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4F5E" w14:textId="4DD69D8F" w:rsidR="000533BD" w:rsidRPr="00010F2F" w:rsidRDefault="000533BD" w:rsidP="000533BD">
      <w:pPr>
        <w:spacing w:after="0" w:line="240" w:lineRule="auto"/>
        <w:jc w:val="both"/>
        <w:rPr>
          <w:rFonts w:ascii="Arial" w:eastAsia="Arial" w:hAnsi="Arial" w:cs="Arial"/>
          <w:b/>
          <w:kern w:val="2"/>
        </w:rPr>
      </w:pPr>
      <w:r w:rsidRPr="00010F2F">
        <w:rPr>
          <w:rFonts w:ascii="Arial" w:hAnsi="Arial"/>
          <w:b/>
          <w:kern w:val="2"/>
        </w:rPr>
        <w:t>2. Project Description</w:t>
      </w:r>
    </w:p>
    <w:p w14:paraId="6DB68F56" w14:textId="5FF41737" w:rsidR="003D6967" w:rsidRPr="00010F2F" w:rsidRDefault="003D6967" w:rsidP="00D9191E">
      <w:pPr>
        <w:spacing w:after="0" w:line="240" w:lineRule="auto"/>
        <w:jc w:val="both"/>
        <w:rPr>
          <w:rFonts w:ascii="Arial" w:eastAsia="Times New Roman" w:hAnsi="Arial" w:cs="Arial"/>
          <w:kern w:val="2"/>
          <w:sz w:val="20"/>
          <w:szCs w:val="20"/>
        </w:rPr>
      </w:pPr>
    </w:p>
    <w:p w14:paraId="10AB97EA" w14:textId="55E51FF1" w:rsidR="001A5362" w:rsidRPr="00010F2F" w:rsidRDefault="001A5362" w:rsidP="00E3456B">
      <w:pPr>
        <w:spacing w:after="0" w:line="240" w:lineRule="auto"/>
        <w:jc w:val="both"/>
        <w:rPr>
          <w:rFonts w:ascii="Arial" w:hAnsi="Arial" w:cs="Arial"/>
          <w:color w:val="000000" w:themeColor="text1"/>
          <w:kern w:val="2"/>
          <w:sz w:val="20"/>
          <w:szCs w:val="20"/>
        </w:rPr>
      </w:pPr>
      <w:r w:rsidRPr="00010F2F">
        <w:rPr>
          <w:rFonts w:ascii="Arial" w:hAnsi="Arial" w:cs="Arial"/>
          <w:color w:val="000000" w:themeColor="text1"/>
          <w:kern w:val="2"/>
          <w:sz w:val="20"/>
          <w:szCs w:val="20"/>
        </w:rPr>
        <w:t>Mass General Brigham Incorporated (“Applicant” or “MGB”)</w:t>
      </w:r>
      <w:r w:rsidR="00D6308C">
        <w:rPr>
          <w:rFonts w:ascii="Arial" w:hAnsi="Arial" w:cs="Arial"/>
          <w:color w:val="000000" w:themeColor="text1"/>
          <w:kern w:val="2"/>
          <w:sz w:val="20"/>
          <w:szCs w:val="20"/>
        </w:rPr>
        <w:t>,</w:t>
      </w:r>
      <w:r w:rsidRPr="00010F2F">
        <w:rPr>
          <w:rFonts w:ascii="Arial" w:hAnsi="Arial" w:cs="Arial"/>
          <w:color w:val="000000" w:themeColor="text1"/>
          <w:kern w:val="2"/>
          <w:sz w:val="20"/>
          <w:szCs w:val="20"/>
        </w:rPr>
        <w:t xml:space="preserve"> with a principal place of business located at 800 Boylston Street, Suite 1150, Boston, Massachusetts 02199, is filing a Notice of Determination of Need (“Application”) with the Massachusetts Department of Public Health (“Department”</w:t>
      </w:r>
      <w:r w:rsidR="00B2567B" w:rsidRPr="00010F2F">
        <w:rPr>
          <w:rFonts w:ascii="Arial" w:hAnsi="Arial" w:cs="Arial"/>
          <w:color w:val="000000" w:themeColor="text1"/>
          <w:kern w:val="2"/>
          <w:sz w:val="20"/>
          <w:szCs w:val="20"/>
        </w:rPr>
        <w:t xml:space="preserve"> or “DPH”</w:t>
      </w:r>
      <w:r w:rsidRPr="00010F2F">
        <w:rPr>
          <w:rFonts w:ascii="Arial" w:hAnsi="Arial" w:cs="Arial"/>
          <w:color w:val="000000" w:themeColor="text1"/>
          <w:kern w:val="2"/>
          <w:sz w:val="20"/>
          <w:szCs w:val="20"/>
        </w:rPr>
        <w:t xml:space="preserve">) to acquire a computed tomography (“CT”) unit for operation at Cooley Dickinson Hospital (“CDH” or the “Hospital”), located at 30 Locust Street, Northampton, Massachusetts 01060. CDH </w:t>
      </w:r>
      <w:r w:rsidR="00B2567B" w:rsidRPr="00010F2F">
        <w:rPr>
          <w:rFonts w:ascii="Arial" w:hAnsi="Arial" w:cs="Arial"/>
          <w:color w:val="000000" w:themeColor="text1"/>
          <w:kern w:val="2"/>
          <w:sz w:val="20"/>
          <w:szCs w:val="20"/>
        </w:rPr>
        <w:t xml:space="preserve">currently </w:t>
      </w:r>
      <w:r w:rsidRPr="00010F2F">
        <w:rPr>
          <w:rFonts w:ascii="Arial" w:hAnsi="Arial" w:cs="Arial"/>
          <w:color w:val="000000" w:themeColor="text1"/>
          <w:kern w:val="2"/>
          <w:sz w:val="20"/>
          <w:szCs w:val="20"/>
        </w:rPr>
        <w:t>has two CT units</w:t>
      </w:r>
      <w:r w:rsidR="00466356" w:rsidRPr="00010F2F">
        <w:rPr>
          <w:rFonts w:ascii="Arial" w:hAnsi="Arial" w:cs="Arial"/>
          <w:color w:val="000000" w:themeColor="text1"/>
          <w:kern w:val="2"/>
          <w:sz w:val="20"/>
          <w:szCs w:val="20"/>
        </w:rPr>
        <w:t>.</w:t>
      </w:r>
      <w:r w:rsidRPr="00010F2F">
        <w:rPr>
          <w:rFonts w:ascii="Arial" w:hAnsi="Arial" w:cs="Arial"/>
          <w:color w:val="000000" w:themeColor="text1"/>
          <w:kern w:val="2"/>
          <w:sz w:val="20"/>
          <w:szCs w:val="20"/>
        </w:rPr>
        <w:t xml:space="preserve"> </w:t>
      </w:r>
      <w:r w:rsidR="00466356" w:rsidRPr="00010F2F">
        <w:rPr>
          <w:rFonts w:ascii="Arial" w:hAnsi="Arial" w:cs="Arial"/>
          <w:color w:val="000000" w:themeColor="text1"/>
          <w:kern w:val="2"/>
          <w:sz w:val="20"/>
          <w:szCs w:val="20"/>
        </w:rPr>
        <w:t>T</w:t>
      </w:r>
      <w:r w:rsidRPr="00010F2F">
        <w:rPr>
          <w:rFonts w:ascii="Arial" w:hAnsi="Arial" w:cs="Arial"/>
          <w:color w:val="000000" w:themeColor="text1"/>
          <w:kern w:val="2"/>
          <w:sz w:val="20"/>
          <w:szCs w:val="20"/>
        </w:rPr>
        <w:t xml:space="preserve">he </w:t>
      </w:r>
      <w:r w:rsidR="00B2567B" w:rsidRPr="00010F2F">
        <w:rPr>
          <w:rFonts w:ascii="Arial" w:hAnsi="Arial" w:cs="Arial"/>
          <w:color w:val="000000" w:themeColor="text1"/>
          <w:kern w:val="2"/>
          <w:sz w:val="20"/>
          <w:szCs w:val="20"/>
        </w:rPr>
        <w:t>proposed third CT unit will be</w:t>
      </w:r>
      <w:r w:rsidR="00466356" w:rsidRPr="00010F2F">
        <w:rPr>
          <w:rFonts w:ascii="Arial" w:hAnsi="Arial" w:cs="Arial"/>
          <w:color w:val="000000" w:themeColor="text1"/>
          <w:kern w:val="2"/>
          <w:sz w:val="20"/>
          <w:szCs w:val="20"/>
        </w:rPr>
        <w:t xml:space="preserve"> located</w:t>
      </w:r>
      <w:r w:rsidR="00B2567B" w:rsidRPr="00010F2F">
        <w:rPr>
          <w:rFonts w:ascii="Arial" w:hAnsi="Arial" w:cs="Arial"/>
          <w:color w:val="000000" w:themeColor="text1"/>
          <w:kern w:val="2"/>
          <w:sz w:val="20"/>
          <w:szCs w:val="20"/>
        </w:rPr>
        <w:t xml:space="preserve"> in</w:t>
      </w:r>
      <w:r w:rsidRPr="00010F2F">
        <w:rPr>
          <w:rFonts w:ascii="Arial" w:hAnsi="Arial" w:cs="Arial"/>
          <w:color w:val="000000" w:themeColor="text1"/>
          <w:kern w:val="2"/>
          <w:sz w:val="20"/>
          <w:szCs w:val="20"/>
        </w:rPr>
        <w:t xml:space="preserve"> the Emergency Department</w:t>
      </w:r>
      <w:r w:rsidR="00BC7B34" w:rsidRPr="00010F2F">
        <w:rPr>
          <w:rFonts w:ascii="Arial" w:hAnsi="Arial" w:cs="Arial"/>
          <w:color w:val="000000" w:themeColor="text1"/>
          <w:kern w:val="2"/>
          <w:sz w:val="20"/>
          <w:szCs w:val="20"/>
        </w:rPr>
        <w:t xml:space="preserve"> (“ED”)</w:t>
      </w:r>
      <w:r w:rsidR="00501027" w:rsidRPr="00010F2F">
        <w:rPr>
          <w:rFonts w:ascii="Arial" w:hAnsi="Arial" w:cs="Arial"/>
          <w:color w:val="000000" w:themeColor="text1"/>
          <w:kern w:val="2"/>
          <w:sz w:val="20"/>
          <w:szCs w:val="20"/>
        </w:rPr>
        <w:t xml:space="preserve">. With </w:t>
      </w:r>
      <w:r w:rsidR="00161C21" w:rsidRPr="00010F2F">
        <w:rPr>
          <w:rFonts w:ascii="Arial" w:hAnsi="Arial" w:cs="Arial"/>
          <w:color w:val="000000" w:themeColor="text1"/>
          <w:kern w:val="2"/>
          <w:sz w:val="20"/>
          <w:szCs w:val="20"/>
        </w:rPr>
        <w:t>the</w:t>
      </w:r>
      <w:r w:rsidR="00501027" w:rsidRPr="00010F2F">
        <w:rPr>
          <w:rFonts w:ascii="Arial" w:hAnsi="Arial" w:cs="Arial"/>
          <w:color w:val="000000" w:themeColor="text1"/>
          <w:kern w:val="2"/>
          <w:sz w:val="20"/>
          <w:szCs w:val="20"/>
        </w:rPr>
        <w:t xml:space="preserve"> addition of the proposed unit, CDH will have CT imaging capacity to meet the need</w:t>
      </w:r>
      <w:r w:rsidR="00D6308C">
        <w:rPr>
          <w:rFonts w:ascii="Arial" w:hAnsi="Arial" w:cs="Arial"/>
          <w:color w:val="000000" w:themeColor="text1"/>
          <w:kern w:val="2"/>
          <w:sz w:val="20"/>
          <w:szCs w:val="20"/>
        </w:rPr>
        <w:t>s</w:t>
      </w:r>
      <w:r w:rsidR="00501027" w:rsidRPr="00010F2F">
        <w:rPr>
          <w:rFonts w:ascii="Arial" w:hAnsi="Arial" w:cs="Arial"/>
          <w:color w:val="000000" w:themeColor="text1"/>
          <w:kern w:val="2"/>
          <w:sz w:val="20"/>
          <w:szCs w:val="20"/>
        </w:rPr>
        <w:t xml:space="preserve"> of its Patient Panel. </w:t>
      </w:r>
    </w:p>
    <w:p w14:paraId="03BD0795" w14:textId="77777777" w:rsidR="001A5362" w:rsidRPr="00010F2F" w:rsidRDefault="001A5362" w:rsidP="00E3456B">
      <w:pPr>
        <w:spacing w:after="0" w:line="240" w:lineRule="auto"/>
        <w:jc w:val="both"/>
        <w:rPr>
          <w:rFonts w:ascii="Arial" w:hAnsi="Arial" w:cs="Arial"/>
          <w:color w:val="000000" w:themeColor="text1"/>
          <w:kern w:val="2"/>
          <w:sz w:val="20"/>
          <w:szCs w:val="20"/>
        </w:rPr>
      </w:pPr>
    </w:p>
    <w:p w14:paraId="1AC197C9" w14:textId="7B076E36" w:rsidR="00E3456B" w:rsidRPr="00010F2F" w:rsidRDefault="00466356" w:rsidP="00E3456B">
      <w:pPr>
        <w:spacing w:after="0" w:line="240" w:lineRule="auto"/>
        <w:jc w:val="both"/>
        <w:rPr>
          <w:rFonts w:ascii="Arial" w:hAnsi="Arial" w:cs="Arial"/>
          <w:sz w:val="20"/>
          <w:szCs w:val="20"/>
        </w:rPr>
      </w:pPr>
      <w:r w:rsidRPr="00010F2F">
        <w:rPr>
          <w:rFonts w:ascii="Arial" w:hAnsi="Arial" w:cs="Arial"/>
          <w:color w:val="000000" w:themeColor="text1"/>
          <w:kern w:val="2"/>
          <w:sz w:val="20"/>
          <w:szCs w:val="20"/>
        </w:rPr>
        <w:t xml:space="preserve">The </w:t>
      </w:r>
      <w:r w:rsidR="0051657F" w:rsidRPr="00010F2F">
        <w:rPr>
          <w:rFonts w:ascii="Arial" w:hAnsi="Arial" w:cs="Arial"/>
          <w:color w:val="000000" w:themeColor="text1"/>
          <w:kern w:val="2"/>
          <w:sz w:val="20"/>
          <w:szCs w:val="20"/>
        </w:rPr>
        <w:t>Applicant</w:t>
      </w:r>
      <w:r w:rsidR="00E3456B" w:rsidRPr="00010F2F">
        <w:rPr>
          <w:rFonts w:ascii="Arial" w:hAnsi="Arial" w:cs="Arial"/>
          <w:color w:val="000000" w:themeColor="text1"/>
          <w:kern w:val="2"/>
          <w:sz w:val="20"/>
          <w:szCs w:val="20"/>
        </w:rPr>
        <w:t xml:space="preserve"> is a non-profit corporation with its principal office locate</w:t>
      </w:r>
      <w:r w:rsidR="0051657F" w:rsidRPr="00010F2F">
        <w:rPr>
          <w:rFonts w:ascii="Arial" w:hAnsi="Arial" w:cs="Arial"/>
          <w:color w:val="000000" w:themeColor="text1"/>
          <w:kern w:val="2"/>
          <w:sz w:val="20"/>
          <w:szCs w:val="20"/>
        </w:rPr>
        <w:t>d</w:t>
      </w:r>
      <w:r w:rsidR="00E3456B" w:rsidRPr="00010F2F">
        <w:rPr>
          <w:rFonts w:ascii="Arial" w:hAnsi="Arial" w:cs="Arial"/>
          <w:color w:val="000000" w:themeColor="text1"/>
          <w:kern w:val="2"/>
          <w:sz w:val="20"/>
          <w:szCs w:val="20"/>
        </w:rPr>
        <w:t xml:space="preserve"> at 800 Boylston Street, Suite 1150, Boston, Massachusetts 02199. </w:t>
      </w:r>
      <w:r w:rsidRPr="00010F2F">
        <w:rPr>
          <w:rFonts w:ascii="Arial" w:hAnsi="Arial" w:cs="Arial"/>
          <w:color w:val="000000" w:themeColor="text1"/>
          <w:kern w:val="2"/>
          <w:sz w:val="20"/>
          <w:szCs w:val="20"/>
        </w:rPr>
        <w:t xml:space="preserve">The </w:t>
      </w:r>
      <w:r w:rsidR="00E3456B" w:rsidRPr="00010F2F">
        <w:rPr>
          <w:rFonts w:ascii="Arial" w:hAnsi="Arial" w:cs="Arial"/>
          <w:color w:val="000000" w:themeColor="text1"/>
          <w:kern w:val="2"/>
          <w:sz w:val="20"/>
          <w:szCs w:val="20"/>
        </w:rPr>
        <w:t>Applicant is the parent organization of a charitable, integrated health care system</w:t>
      </w:r>
      <w:r w:rsidR="00515078" w:rsidRPr="00010F2F">
        <w:rPr>
          <w:rFonts w:ascii="Arial" w:hAnsi="Arial" w:cs="Arial"/>
          <w:color w:val="000000" w:themeColor="text1"/>
          <w:kern w:val="2"/>
          <w:sz w:val="20"/>
          <w:szCs w:val="20"/>
        </w:rPr>
        <w:t xml:space="preserve"> </w:t>
      </w:r>
      <w:r w:rsidR="00E3456B" w:rsidRPr="00010F2F">
        <w:rPr>
          <w:rFonts w:ascii="Arial" w:hAnsi="Arial" w:cs="Arial"/>
          <w:color w:val="000000" w:themeColor="text1"/>
          <w:kern w:val="2"/>
          <w:sz w:val="20"/>
          <w:szCs w:val="20"/>
        </w:rPr>
        <w:t>and i</w:t>
      </w:r>
      <w:r w:rsidR="00D6308C">
        <w:rPr>
          <w:rFonts w:ascii="Arial" w:hAnsi="Arial" w:cs="Arial"/>
          <w:color w:val="000000" w:themeColor="text1"/>
          <w:kern w:val="2"/>
          <w:sz w:val="20"/>
          <w:szCs w:val="20"/>
        </w:rPr>
        <w:t>t</w:t>
      </w:r>
      <w:r w:rsidR="00E3456B" w:rsidRPr="00010F2F">
        <w:rPr>
          <w:rFonts w:ascii="Arial" w:hAnsi="Arial" w:cs="Arial"/>
          <w:color w:val="000000" w:themeColor="text1"/>
          <w:kern w:val="2"/>
          <w:sz w:val="20"/>
          <w:szCs w:val="20"/>
        </w:rPr>
        <w:t xml:space="preserve"> </w:t>
      </w:r>
      <w:r w:rsidR="007B490A" w:rsidRPr="00010F2F">
        <w:rPr>
          <w:rFonts w:ascii="Arial" w:hAnsi="Arial" w:cs="Arial"/>
          <w:color w:val="000000" w:themeColor="text1"/>
          <w:kern w:val="2"/>
          <w:sz w:val="20"/>
          <w:szCs w:val="20"/>
        </w:rPr>
        <w:t>includes community and specialty hospitals</w:t>
      </w:r>
      <w:r w:rsidR="0051657F" w:rsidRPr="00010F2F">
        <w:rPr>
          <w:rFonts w:ascii="Arial" w:hAnsi="Arial" w:cs="Arial"/>
          <w:color w:val="000000" w:themeColor="text1"/>
          <w:kern w:val="2"/>
          <w:sz w:val="20"/>
          <w:szCs w:val="20"/>
        </w:rPr>
        <w:t>,</w:t>
      </w:r>
      <w:r w:rsidR="00E3456B" w:rsidRPr="00010F2F">
        <w:rPr>
          <w:rFonts w:ascii="Arial" w:hAnsi="Arial" w:cs="Arial"/>
          <w:color w:val="000000" w:themeColor="text1"/>
          <w:kern w:val="2"/>
          <w:sz w:val="20"/>
          <w:szCs w:val="20"/>
        </w:rPr>
        <w:t xml:space="preserve"> hospitals specialized in inpatient and outpatient services in behavioral health, rehabilitation medicine and ophthalmology and otolaryngology, a home health agency, a nursing home and a physician network with approximately 7,500 employed and affiliated primary care and specialty care physicians. </w:t>
      </w:r>
      <w:r w:rsidR="0051657F" w:rsidRPr="00010F2F">
        <w:rPr>
          <w:rFonts w:ascii="Arial" w:hAnsi="Arial" w:cs="Arial"/>
          <w:sz w:val="20"/>
          <w:szCs w:val="20"/>
        </w:rPr>
        <w:t>The Applicant</w:t>
      </w:r>
      <w:r w:rsidR="00E3456B" w:rsidRPr="00010F2F">
        <w:rPr>
          <w:rFonts w:ascii="Arial" w:hAnsi="Arial" w:cs="Arial"/>
          <w:sz w:val="20"/>
          <w:szCs w:val="20"/>
        </w:rPr>
        <w:t xml:space="preserve"> also operates a non-profit managed</w:t>
      </w:r>
      <w:r w:rsidR="00E3456B" w:rsidRPr="00010F2F">
        <w:rPr>
          <w:rFonts w:ascii="Arial" w:hAnsi="Arial" w:cs="Arial"/>
          <w:spacing w:val="1"/>
          <w:sz w:val="20"/>
          <w:szCs w:val="20"/>
        </w:rPr>
        <w:t xml:space="preserve"> </w:t>
      </w:r>
      <w:r w:rsidR="00E3456B" w:rsidRPr="00010F2F">
        <w:rPr>
          <w:rFonts w:ascii="Arial" w:hAnsi="Arial" w:cs="Arial"/>
          <w:sz w:val="20"/>
          <w:szCs w:val="20"/>
        </w:rPr>
        <w:t>care organization and a for-profit insurance company that collectively provide health insurance</w:t>
      </w:r>
      <w:r w:rsidR="00E3456B" w:rsidRPr="00010F2F">
        <w:rPr>
          <w:rFonts w:ascii="Arial" w:hAnsi="Arial" w:cs="Arial"/>
          <w:spacing w:val="1"/>
          <w:sz w:val="20"/>
          <w:szCs w:val="20"/>
        </w:rPr>
        <w:t xml:space="preserve"> </w:t>
      </w:r>
      <w:r w:rsidR="00E3456B" w:rsidRPr="00010F2F">
        <w:rPr>
          <w:rFonts w:ascii="Arial" w:hAnsi="Arial" w:cs="Arial"/>
          <w:sz w:val="20"/>
          <w:szCs w:val="20"/>
        </w:rPr>
        <w:t>and</w:t>
      </w:r>
      <w:r w:rsidR="00E3456B" w:rsidRPr="00010F2F">
        <w:rPr>
          <w:rFonts w:ascii="Arial" w:hAnsi="Arial" w:cs="Arial"/>
          <w:spacing w:val="-9"/>
          <w:sz w:val="20"/>
          <w:szCs w:val="20"/>
        </w:rPr>
        <w:t xml:space="preserve"> </w:t>
      </w:r>
      <w:r w:rsidR="00E3456B" w:rsidRPr="00010F2F">
        <w:rPr>
          <w:rFonts w:ascii="Arial" w:hAnsi="Arial" w:cs="Arial"/>
          <w:sz w:val="20"/>
          <w:szCs w:val="20"/>
        </w:rPr>
        <w:t>administrative</w:t>
      </w:r>
      <w:r w:rsidR="00E3456B" w:rsidRPr="00010F2F">
        <w:rPr>
          <w:rFonts w:ascii="Arial" w:hAnsi="Arial" w:cs="Arial"/>
          <w:spacing w:val="-8"/>
          <w:sz w:val="20"/>
          <w:szCs w:val="20"/>
        </w:rPr>
        <w:t xml:space="preserve"> </w:t>
      </w:r>
      <w:r w:rsidR="00E3456B" w:rsidRPr="00010F2F">
        <w:rPr>
          <w:rFonts w:ascii="Arial" w:hAnsi="Arial" w:cs="Arial"/>
          <w:sz w:val="20"/>
          <w:szCs w:val="20"/>
        </w:rPr>
        <w:t>services</w:t>
      </w:r>
      <w:r w:rsidR="00E3456B" w:rsidRPr="00010F2F">
        <w:rPr>
          <w:rFonts w:ascii="Arial" w:hAnsi="Arial" w:cs="Arial"/>
          <w:spacing w:val="-9"/>
          <w:sz w:val="20"/>
          <w:szCs w:val="20"/>
        </w:rPr>
        <w:t xml:space="preserve"> </w:t>
      </w:r>
      <w:r w:rsidR="00E3456B" w:rsidRPr="00010F2F">
        <w:rPr>
          <w:rFonts w:ascii="Arial" w:hAnsi="Arial" w:cs="Arial"/>
          <w:sz w:val="20"/>
          <w:szCs w:val="20"/>
        </w:rPr>
        <w:t>products</w:t>
      </w:r>
      <w:r w:rsidR="00E3456B" w:rsidRPr="00010F2F">
        <w:rPr>
          <w:rFonts w:ascii="Arial" w:hAnsi="Arial" w:cs="Arial"/>
          <w:spacing w:val="-10"/>
          <w:sz w:val="20"/>
          <w:szCs w:val="20"/>
        </w:rPr>
        <w:t xml:space="preserve"> </w:t>
      </w:r>
      <w:r w:rsidR="00E3456B" w:rsidRPr="00010F2F">
        <w:rPr>
          <w:rFonts w:ascii="Arial" w:hAnsi="Arial" w:cs="Arial"/>
          <w:sz w:val="20"/>
          <w:szCs w:val="20"/>
        </w:rPr>
        <w:t>to</w:t>
      </w:r>
      <w:r w:rsidR="00E3456B" w:rsidRPr="00010F2F">
        <w:rPr>
          <w:rFonts w:ascii="Arial" w:hAnsi="Arial" w:cs="Arial"/>
          <w:spacing w:val="-9"/>
          <w:sz w:val="20"/>
          <w:szCs w:val="20"/>
        </w:rPr>
        <w:t xml:space="preserve"> </w:t>
      </w:r>
      <w:r w:rsidR="00E3456B" w:rsidRPr="00010F2F">
        <w:rPr>
          <w:rFonts w:ascii="Arial" w:hAnsi="Arial" w:cs="Arial"/>
          <w:sz w:val="20"/>
          <w:szCs w:val="20"/>
        </w:rPr>
        <w:t>the</w:t>
      </w:r>
      <w:r w:rsidR="00E3456B" w:rsidRPr="00010F2F">
        <w:rPr>
          <w:rFonts w:ascii="Arial" w:hAnsi="Arial" w:cs="Arial"/>
          <w:spacing w:val="-8"/>
          <w:sz w:val="20"/>
          <w:szCs w:val="20"/>
        </w:rPr>
        <w:t xml:space="preserve"> </w:t>
      </w:r>
      <w:r w:rsidR="00E3456B" w:rsidRPr="00010F2F">
        <w:rPr>
          <w:rFonts w:ascii="Arial" w:hAnsi="Arial" w:cs="Arial"/>
          <w:sz w:val="20"/>
          <w:szCs w:val="20"/>
        </w:rPr>
        <w:t>MassHealth</w:t>
      </w:r>
      <w:r w:rsidR="00E3456B" w:rsidRPr="00010F2F">
        <w:rPr>
          <w:rFonts w:ascii="Arial" w:hAnsi="Arial" w:cs="Arial"/>
          <w:spacing w:val="-9"/>
          <w:sz w:val="20"/>
          <w:szCs w:val="20"/>
        </w:rPr>
        <w:t xml:space="preserve"> </w:t>
      </w:r>
      <w:r w:rsidR="00E3456B" w:rsidRPr="00010F2F">
        <w:rPr>
          <w:rFonts w:ascii="Arial" w:hAnsi="Arial" w:cs="Arial"/>
          <w:sz w:val="20"/>
          <w:szCs w:val="20"/>
        </w:rPr>
        <w:t>Program</w:t>
      </w:r>
      <w:r w:rsidR="00E3456B" w:rsidRPr="00010F2F">
        <w:rPr>
          <w:rFonts w:ascii="Arial" w:hAnsi="Arial" w:cs="Arial"/>
          <w:spacing w:val="-8"/>
          <w:sz w:val="20"/>
          <w:szCs w:val="20"/>
        </w:rPr>
        <w:t xml:space="preserve"> </w:t>
      </w:r>
      <w:r w:rsidR="00E3456B" w:rsidRPr="00010F2F">
        <w:rPr>
          <w:rFonts w:ascii="Arial" w:hAnsi="Arial" w:cs="Arial"/>
          <w:sz w:val="20"/>
          <w:szCs w:val="20"/>
        </w:rPr>
        <w:t>(Medicaid),</w:t>
      </w:r>
      <w:r w:rsidR="00E3456B" w:rsidRPr="00010F2F">
        <w:rPr>
          <w:rFonts w:ascii="Arial" w:hAnsi="Arial" w:cs="Arial"/>
          <w:spacing w:val="-9"/>
          <w:sz w:val="20"/>
          <w:szCs w:val="20"/>
        </w:rPr>
        <w:t xml:space="preserve"> </w:t>
      </w:r>
      <w:proofErr w:type="spellStart"/>
      <w:r w:rsidR="00E3456B" w:rsidRPr="00010F2F">
        <w:rPr>
          <w:rFonts w:ascii="Arial" w:hAnsi="Arial" w:cs="Arial"/>
          <w:sz w:val="20"/>
          <w:szCs w:val="20"/>
        </w:rPr>
        <w:t>ConnectorCare</w:t>
      </w:r>
      <w:proofErr w:type="spellEnd"/>
      <w:r w:rsidR="00B2567B" w:rsidRPr="00010F2F">
        <w:rPr>
          <w:rFonts w:ascii="Arial" w:hAnsi="Arial" w:cs="Arial"/>
          <w:sz w:val="20"/>
          <w:szCs w:val="20"/>
        </w:rPr>
        <w:t>,</w:t>
      </w:r>
      <w:r w:rsidR="00E3456B" w:rsidRPr="00010F2F">
        <w:rPr>
          <w:rFonts w:ascii="Arial" w:hAnsi="Arial" w:cs="Arial"/>
          <w:spacing w:val="-8"/>
          <w:sz w:val="20"/>
          <w:szCs w:val="20"/>
        </w:rPr>
        <w:t xml:space="preserve"> </w:t>
      </w:r>
      <w:r w:rsidR="00E3456B" w:rsidRPr="00010F2F">
        <w:rPr>
          <w:rFonts w:ascii="Arial" w:hAnsi="Arial" w:cs="Arial"/>
          <w:sz w:val="20"/>
          <w:szCs w:val="20"/>
        </w:rPr>
        <w:t>and</w:t>
      </w:r>
      <w:r w:rsidR="00D6308C">
        <w:rPr>
          <w:rFonts w:ascii="Arial" w:hAnsi="Arial" w:cs="Arial"/>
          <w:sz w:val="20"/>
          <w:szCs w:val="20"/>
        </w:rPr>
        <w:t xml:space="preserve"> </w:t>
      </w:r>
      <w:r w:rsidR="00E3456B" w:rsidRPr="00010F2F">
        <w:rPr>
          <w:rFonts w:ascii="Arial" w:hAnsi="Arial" w:cs="Arial"/>
          <w:spacing w:val="-59"/>
          <w:sz w:val="20"/>
          <w:szCs w:val="20"/>
        </w:rPr>
        <w:t xml:space="preserve"> </w:t>
      </w:r>
      <w:r w:rsidR="00E3456B" w:rsidRPr="00010F2F">
        <w:rPr>
          <w:rFonts w:ascii="Arial" w:hAnsi="Arial" w:cs="Arial"/>
          <w:sz w:val="20"/>
          <w:szCs w:val="20"/>
        </w:rPr>
        <w:t>commercial</w:t>
      </w:r>
      <w:r w:rsidR="00E3456B" w:rsidRPr="00010F2F">
        <w:rPr>
          <w:rFonts w:ascii="Arial" w:hAnsi="Arial" w:cs="Arial"/>
          <w:spacing w:val="-12"/>
          <w:sz w:val="20"/>
          <w:szCs w:val="20"/>
        </w:rPr>
        <w:t xml:space="preserve"> </w:t>
      </w:r>
      <w:r w:rsidR="00E3456B" w:rsidRPr="00010F2F">
        <w:rPr>
          <w:rFonts w:ascii="Arial" w:hAnsi="Arial" w:cs="Arial"/>
          <w:sz w:val="20"/>
          <w:szCs w:val="20"/>
        </w:rPr>
        <w:t>populations.</w:t>
      </w:r>
      <w:r w:rsidR="00E3456B" w:rsidRPr="00010F2F">
        <w:rPr>
          <w:rFonts w:ascii="Arial" w:hAnsi="Arial" w:cs="Arial"/>
          <w:spacing w:val="-12"/>
          <w:sz w:val="20"/>
          <w:szCs w:val="20"/>
        </w:rPr>
        <w:t xml:space="preserve"> </w:t>
      </w:r>
      <w:r w:rsidR="0051657F" w:rsidRPr="00010F2F">
        <w:rPr>
          <w:rFonts w:ascii="Arial" w:hAnsi="Arial" w:cs="Arial"/>
          <w:sz w:val="20"/>
          <w:szCs w:val="20"/>
        </w:rPr>
        <w:t>The Applicant</w:t>
      </w:r>
      <w:r w:rsidR="00E3456B" w:rsidRPr="00010F2F">
        <w:rPr>
          <w:rFonts w:ascii="Arial" w:hAnsi="Arial" w:cs="Arial"/>
          <w:spacing w:val="-12"/>
          <w:sz w:val="20"/>
          <w:szCs w:val="20"/>
        </w:rPr>
        <w:t xml:space="preserve"> </w:t>
      </w:r>
      <w:r w:rsidR="00E3456B" w:rsidRPr="00010F2F">
        <w:rPr>
          <w:rFonts w:ascii="Arial" w:hAnsi="Arial" w:cs="Arial"/>
          <w:sz w:val="20"/>
          <w:szCs w:val="20"/>
        </w:rPr>
        <w:t>maintains</w:t>
      </w:r>
      <w:r w:rsidR="00E3456B" w:rsidRPr="00010F2F">
        <w:rPr>
          <w:rFonts w:ascii="Arial" w:hAnsi="Arial" w:cs="Arial"/>
          <w:spacing w:val="-12"/>
          <w:sz w:val="20"/>
          <w:szCs w:val="20"/>
        </w:rPr>
        <w:t xml:space="preserve"> </w:t>
      </w:r>
      <w:r w:rsidR="00E3456B" w:rsidRPr="00010F2F">
        <w:rPr>
          <w:rFonts w:ascii="Arial" w:hAnsi="Arial" w:cs="Arial"/>
          <w:sz w:val="20"/>
          <w:szCs w:val="20"/>
        </w:rPr>
        <w:t>the</w:t>
      </w:r>
      <w:r w:rsidR="00E3456B" w:rsidRPr="00010F2F">
        <w:rPr>
          <w:rFonts w:ascii="Arial" w:hAnsi="Arial" w:cs="Arial"/>
          <w:spacing w:val="-11"/>
          <w:sz w:val="20"/>
          <w:szCs w:val="20"/>
        </w:rPr>
        <w:t xml:space="preserve"> </w:t>
      </w:r>
      <w:r w:rsidR="00E3456B" w:rsidRPr="00010F2F">
        <w:rPr>
          <w:rFonts w:ascii="Arial" w:hAnsi="Arial" w:cs="Arial"/>
          <w:sz w:val="20"/>
          <w:szCs w:val="20"/>
        </w:rPr>
        <w:t>largest</w:t>
      </w:r>
      <w:r w:rsidR="00E3456B" w:rsidRPr="00010F2F">
        <w:rPr>
          <w:rFonts w:ascii="Arial" w:hAnsi="Arial" w:cs="Arial"/>
          <w:spacing w:val="-12"/>
          <w:sz w:val="20"/>
          <w:szCs w:val="20"/>
        </w:rPr>
        <w:t xml:space="preserve"> </w:t>
      </w:r>
      <w:r w:rsidR="00E3456B" w:rsidRPr="00010F2F">
        <w:rPr>
          <w:rFonts w:ascii="Arial" w:hAnsi="Arial" w:cs="Arial"/>
          <w:sz w:val="20"/>
          <w:szCs w:val="20"/>
        </w:rPr>
        <w:t>non-university-based,</w:t>
      </w:r>
      <w:r w:rsidR="00E3456B" w:rsidRPr="00010F2F">
        <w:rPr>
          <w:rFonts w:ascii="Arial" w:hAnsi="Arial" w:cs="Arial"/>
          <w:spacing w:val="-12"/>
          <w:sz w:val="20"/>
          <w:szCs w:val="20"/>
        </w:rPr>
        <w:t xml:space="preserve"> </w:t>
      </w:r>
      <w:r w:rsidR="00E3456B" w:rsidRPr="00010F2F">
        <w:rPr>
          <w:rFonts w:ascii="Arial" w:hAnsi="Arial" w:cs="Arial"/>
          <w:sz w:val="20"/>
          <w:szCs w:val="20"/>
        </w:rPr>
        <w:t>non-</w:t>
      </w:r>
      <w:r w:rsidR="00E3456B" w:rsidRPr="00010F2F">
        <w:rPr>
          <w:rFonts w:ascii="Arial" w:hAnsi="Arial" w:cs="Arial"/>
          <w:spacing w:val="-59"/>
          <w:sz w:val="20"/>
          <w:szCs w:val="20"/>
        </w:rPr>
        <w:t xml:space="preserve"> </w:t>
      </w:r>
      <w:r w:rsidR="00E3456B" w:rsidRPr="00010F2F">
        <w:rPr>
          <w:rFonts w:ascii="Arial" w:hAnsi="Arial" w:cs="Arial"/>
          <w:sz w:val="20"/>
          <w:szCs w:val="20"/>
        </w:rPr>
        <w:t>profit,</w:t>
      </w:r>
      <w:r w:rsidR="00E3456B" w:rsidRPr="00010F2F">
        <w:rPr>
          <w:rFonts w:ascii="Arial" w:hAnsi="Arial" w:cs="Arial"/>
          <w:spacing w:val="-9"/>
          <w:sz w:val="20"/>
          <w:szCs w:val="20"/>
        </w:rPr>
        <w:t xml:space="preserve"> </w:t>
      </w:r>
      <w:r w:rsidR="00E3456B" w:rsidRPr="00010F2F">
        <w:rPr>
          <w:rFonts w:ascii="Arial" w:hAnsi="Arial" w:cs="Arial"/>
          <w:sz w:val="20"/>
          <w:szCs w:val="20"/>
        </w:rPr>
        <w:t>private</w:t>
      </w:r>
      <w:r w:rsidR="00E3456B" w:rsidRPr="00010F2F">
        <w:rPr>
          <w:rFonts w:ascii="Arial" w:hAnsi="Arial" w:cs="Arial"/>
          <w:spacing w:val="-9"/>
          <w:sz w:val="20"/>
          <w:szCs w:val="20"/>
        </w:rPr>
        <w:t xml:space="preserve"> </w:t>
      </w:r>
      <w:r w:rsidR="00E3456B" w:rsidRPr="00010F2F">
        <w:rPr>
          <w:rFonts w:ascii="Arial" w:hAnsi="Arial" w:cs="Arial"/>
          <w:sz w:val="20"/>
          <w:szCs w:val="20"/>
        </w:rPr>
        <w:t>medical</w:t>
      </w:r>
      <w:r w:rsidR="00E3456B" w:rsidRPr="00010F2F">
        <w:rPr>
          <w:rFonts w:ascii="Arial" w:hAnsi="Arial" w:cs="Arial"/>
          <w:spacing w:val="-9"/>
          <w:sz w:val="20"/>
          <w:szCs w:val="20"/>
        </w:rPr>
        <w:t xml:space="preserve"> </w:t>
      </w:r>
      <w:r w:rsidR="00E3456B" w:rsidRPr="00010F2F">
        <w:rPr>
          <w:rFonts w:ascii="Arial" w:hAnsi="Arial" w:cs="Arial"/>
          <w:sz w:val="20"/>
          <w:szCs w:val="20"/>
        </w:rPr>
        <w:t>research</w:t>
      </w:r>
      <w:r w:rsidR="00E3456B" w:rsidRPr="00010F2F">
        <w:rPr>
          <w:rFonts w:ascii="Arial" w:hAnsi="Arial" w:cs="Arial"/>
          <w:spacing w:val="-9"/>
          <w:sz w:val="20"/>
          <w:szCs w:val="20"/>
        </w:rPr>
        <w:t xml:space="preserve"> </w:t>
      </w:r>
      <w:r w:rsidR="00E3456B" w:rsidRPr="00010F2F">
        <w:rPr>
          <w:rFonts w:ascii="Arial" w:hAnsi="Arial" w:cs="Arial"/>
          <w:sz w:val="20"/>
          <w:szCs w:val="20"/>
        </w:rPr>
        <w:t>enterprise</w:t>
      </w:r>
      <w:r w:rsidR="00E3456B" w:rsidRPr="00010F2F">
        <w:rPr>
          <w:rFonts w:ascii="Arial" w:hAnsi="Arial" w:cs="Arial"/>
          <w:spacing w:val="-8"/>
          <w:sz w:val="20"/>
          <w:szCs w:val="20"/>
        </w:rPr>
        <w:t xml:space="preserve"> </w:t>
      </w:r>
      <w:r w:rsidR="00E3456B" w:rsidRPr="00010F2F">
        <w:rPr>
          <w:rFonts w:ascii="Arial" w:hAnsi="Arial" w:cs="Arial"/>
          <w:sz w:val="20"/>
          <w:szCs w:val="20"/>
        </w:rPr>
        <w:t>in</w:t>
      </w:r>
      <w:r w:rsidR="00E3456B" w:rsidRPr="00010F2F">
        <w:rPr>
          <w:rFonts w:ascii="Arial" w:hAnsi="Arial" w:cs="Arial"/>
          <w:spacing w:val="-9"/>
          <w:sz w:val="20"/>
          <w:szCs w:val="20"/>
        </w:rPr>
        <w:t xml:space="preserve"> </w:t>
      </w:r>
      <w:r w:rsidR="00E3456B" w:rsidRPr="00010F2F">
        <w:rPr>
          <w:rFonts w:ascii="Arial" w:hAnsi="Arial" w:cs="Arial"/>
          <w:sz w:val="20"/>
          <w:szCs w:val="20"/>
        </w:rPr>
        <w:t>the</w:t>
      </w:r>
      <w:r w:rsidR="00E3456B" w:rsidRPr="00010F2F">
        <w:rPr>
          <w:rFonts w:ascii="Arial" w:hAnsi="Arial" w:cs="Arial"/>
          <w:spacing w:val="-10"/>
          <w:sz w:val="20"/>
          <w:szCs w:val="20"/>
        </w:rPr>
        <w:t xml:space="preserve"> </w:t>
      </w:r>
      <w:r w:rsidR="00E3456B" w:rsidRPr="00010F2F">
        <w:rPr>
          <w:rFonts w:ascii="Arial" w:hAnsi="Arial" w:cs="Arial"/>
          <w:sz w:val="20"/>
          <w:szCs w:val="20"/>
        </w:rPr>
        <w:t>United</w:t>
      </w:r>
      <w:r w:rsidR="00E3456B" w:rsidRPr="00010F2F">
        <w:rPr>
          <w:rFonts w:ascii="Arial" w:hAnsi="Arial" w:cs="Arial"/>
          <w:spacing w:val="-9"/>
          <w:sz w:val="20"/>
          <w:szCs w:val="20"/>
        </w:rPr>
        <w:t xml:space="preserve"> </w:t>
      </w:r>
      <w:r w:rsidR="00E3456B" w:rsidRPr="00010F2F">
        <w:rPr>
          <w:rFonts w:ascii="Arial" w:hAnsi="Arial" w:cs="Arial"/>
          <w:sz w:val="20"/>
          <w:szCs w:val="20"/>
        </w:rPr>
        <w:t>States, and</w:t>
      </w:r>
      <w:r w:rsidR="00E3456B" w:rsidRPr="00010F2F">
        <w:rPr>
          <w:rFonts w:ascii="Arial" w:hAnsi="Arial" w:cs="Arial"/>
          <w:spacing w:val="-8"/>
          <w:sz w:val="20"/>
          <w:szCs w:val="20"/>
        </w:rPr>
        <w:t xml:space="preserve"> </w:t>
      </w:r>
      <w:r w:rsidR="00E3456B" w:rsidRPr="00010F2F">
        <w:rPr>
          <w:rFonts w:ascii="Arial" w:hAnsi="Arial" w:cs="Arial"/>
          <w:sz w:val="20"/>
          <w:szCs w:val="20"/>
        </w:rPr>
        <w:t>its</w:t>
      </w:r>
      <w:r w:rsidR="00E3456B" w:rsidRPr="00010F2F">
        <w:rPr>
          <w:rFonts w:ascii="Arial" w:hAnsi="Arial" w:cs="Arial"/>
          <w:spacing w:val="-9"/>
          <w:sz w:val="20"/>
          <w:szCs w:val="20"/>
        </w:rPr>
        <w:t xml:space="preserve"> </w:t>
      </w:r>
      <w:r w:rsidR="00E3456B" w:rsidRPr="00010F2F">
        <w:rPr>
          <w:rFonts w:ascii="Arial" w:hAnsi="Arial" w:cs="Arial"/>
          <w:sz w:val="20"/>
          <w:szCs w:val="20"/>
        </w:rPr>
        <w:t>hospitals</w:t>
      </w:r>
      <w:r w:rsidR="00E3456B" w:rsidRPr="00010F2F">
        <w:rPr>
          <w:rFonts w:ascii="Arial" w:hAnsi="Arial" w:cs="Arial"/>
          <w:spacing w:val="-9"/>
          <w:sz w:val="20"/>
          <w:szCs w:val="20"/>
        </w:rPr>
        <w:t xml:space="preserve"> </w:t>
      </w:r>
      <w:r w:rsidR="00E3456B" w:rsidRPr="00010F2F">
        <w:rPr>
          <w:rFonts w:ascii="Arial" w:hAnsi="Arial" w:cs="Arial"/>
          <w:sz w:val="20"/>
          <w:szCs w:val="20"/>
        </w:rPr>
        <w:t>are</w:t>
      </w:r>
      <w:r w:rsidR="00E3456B" w:rsidRPr="00010F2F">
        <w:rPr>
          <w:rFonts w:ascii="Arial" w:hAnsi="Arial" w:cs="Arial"/>
          <w:spacing w:val="-9"/>
          <w:sz w:val="20"/>
          <w:szCs w:val="20"/>
        </w:rPr>
        <w:t xml:space="preserve"> </w:t>
      </w:r>
      <w:r w:rsidR="00E3456B" w:rsidRPr="00010F2F">
        <w:rPr>
          <w:rFonts w:ascii="Arial" w:hAnsi="Arial" w:cs="Arial"/>
          <w:sz w:val="20"/>
          <w:szCs w:val="20"/>
        </w:rPr>
        <w:t>principal</w:t>
      </w:r>
      <w:r w:rsidR="00E3456B" w:rsidRPr="00010F2F">
        <w:rPr>
          <w:rFonts w:ascii="Arial" w:hAnsi="Arial" w:cs="Arial"/>
          <w:spacing w:val="-8"/>
          <w:sz w:val="20"/>
          <w:szCs w:val="20"/>
        </w:rPr>
        <w:t xml:space="preserve"> </w:t>
      </w:r>
      <w:r w:rsidR="00E3456B" w:rsidRPr="00010F2F">
        <w:rPr>
          <w:rFonts w:ascii="Arial" w:hAnsi="Arial" w:cs="Arial"/>
          <w:sz w:val="20"/>
          <w:szCs w:val="20"/>
        </w:rPr>
        <w:t>teaching affiliates</w:t>
      </w:r>
      <w:r w:rsidR="00E3456B" w:rsidRPr="00010F2F">
        <w:rPr>
          <w:rFonts w:ascii="Arial" w:hAnsi="Arial" w:cs="Arial"/>
          <w:spacing w:val="-8"/>
          <w:sz w:val="20"/>
          <w:szCs w:val="20"/>
        </w:rPr>
        <w:t xml:space="preserve"> </w:t>
      </w:r>
      <w:r w:rsidR="00E3456B" w:rsidRPr="00010F2F">
        <w:rPr>
          <w:rFonts w:ascii="Arial" w:hAnsi="Arial" w:cs="Arial"/>
          <w:sz w:val="20"/>
          <w:szCs w:val="20"/>
        </w:rPr>
        <w:t>of</w:t>
      </w:r>
      <w:r w:rsidR="00E3456B" w:rsidRPr="00010F2F">
        <w:rPr>
          <w:rFonts w:ascii="Arial" w:hAnsi="Arial" w:cs="Arial"/>
          <w:spacing w:val="-8"/>
          <w:sz w:val="20"/>
          <w:szCs w:val="20"/>
        </w:rPr>
        <w:t xml:space="preserve"> Harvard University’s medical and dental school</w:t>
      </w:r>
      <w:r w:rsidR="0051657F" w:rsidRPr="00010F2F">
        <w:rPr>
          <w:rFonts w:ascii="Arial" w:hAnsi="Arial" w:cs="Arial"/>
          <w:spacing w:val="-8"/>
          <w:sz w:val="20"/>
          <w:szCs w:val="20"/>
        </w:rPr>
        <w:t>s</w:t>
      </w:r>
      <w:r w:rsidR="00E3456B" w:rsidRPr="00010F2F">
        <w:rPr>
          <w:rFonts w:ascii="Arial" w:hAnsi="Arial" w:cs="Arial"/>
          <w:spacing w:val="-8"/>
          <w:sz w:val="20"/>
          <w:szCs w:val="20"/>
        </w:rPr>
        <w:t>,</w:t>
      </w:r>
      <w:r w:rsidR="000646F6" w:rsidRPr="00010F2F">
        <w:rPr>
          <w:rFonts w:ascii="Arial" w:hAnsi="Arial" w:cs="Arial"/>
          <w:spacing w:val="-8"/>
          <w:sz w:val="20"/>
          <w:szCs w:val="20"/>
        </w:rPr>
        <w:t xml:space="preserve"> </w:t>
      </w:r>
      <w:r w:rsidR="00E3456B" w:rsidRPr="00010F2F">
        <w:rPr>
          <w:rFonts w:ascii="Arial" w:hAnsi="Arial" w:cs="Arial"/>
          <w:sz w:val="20"/>
          <w:szCs w:val="20"/>
        </w:rPr>
        <w:t>and</w:t>
      </w:r>
      <w:r w:rsidR="00E3456B" w:rsidRPr="00010F2F">
        <w:rPr>
          <w:rFonts w:ascii="Arial" w:hAnsi="Arial" w:cs="Arial"/>
          <w:spacing w:val="-9"/>
          <w:sz w:val="20"/>
          <w:szCs w:val="20"/>
        </w:rPr>
        <w:t xml:space="preserve"> </w:t>
      </w:r>
      <w:r w:rsidR="00D6308C">
        <w:rPr>
          <w:rFonts w:ascii="Arial" w:hAnsi="Arial" w:cs="Arial"/>
          <w:spacing w:val="-9"/>
          <w:sz w:val="20"/>
          <w:szCs w:val="20"/>
        </w:rPr>
        <w:t xml:space="preserve">it </w:t>
      </w:r>
      <w:r w:rsidR="00E3456B" w:rsidRPr="00010F2F">
        <w:rPr>
          <w:rFonts w:ascii="Arial" w:hAnsi="Arial" w:cs="Arial"/>
          <w:sz w:val="20"/>
          <w:szCs w:val="20"/>
        </w:rPr>
        <w:t>operates</w:t>
      </w:r>
      <w:r w:rsidR="00E3456B" w:rsidRPr="00010F2F">
        <w:rPr>
          <w:rFonts w:ascii="Arial" w:hAnsi="Arial" w:cs="Arial"/>
          <w:spacing w:val="-8"/>
          <w:sz w:val="20"/>
          <w:szCs w:val="20"/>
        </w:rPr>
        <w:t xml:space="preserve"> </w:t>
      </w:r>
      <w:r w:rsidR="00E3456B" w:rsidRPr="00010F2F">
        <w:rPr>
          <w:rFonts w:ascii="Arial" w:hAnsi="Arial" w:cs="Arial"/>
          <w:sz w:val="20"/>
          <w:szCs w:val="20"/>
        </w:rPr>
        <w:t>a</w:t>
      </w:r>
      <w:r w:rsidR="00E3456B" w:rsidRPr="00010F2F">
        <w:rPr>
          <w:rFonts w:ascii="Arial" w:hAnsi="Arial" w:cs="Arial"/>
          <w:spacing w:val="-8"/>
          <w:sz w:val="20"/>
          <w:szCs w:val="20"/>
        </w:rPr>
        <w:t xml:space="preserve"> </w:t>
      </w:r>
      <w:r w:rsidR="00E3456B" w:rsidRPr="00010F2F">
        <w:rPr>
          <w:rFonts w:ascii="Arial" w:hAnsi="Arial" w:cs="Arial"/>
          <w:sz w:val="20"/>
          <w:szCs w:val="20"/>
        </w:rPr>
        <w:t>graduate</w:t>
      </w:r>
      <w:r w:rsidR="00E3456B" w:rsidRPr="00010F2F">
        <w:rPr>
          <w:rFonts w:ascii="Arial" w:hAnsi="Arial" w:cs="Arial"/>
          <w:spacing w:val="-8"/>
          <w:sz w:val="20"/>
          <w:szCs w:val="20"/>
        </w:rPr>
        <w:t xml:space="preserve"> </w:t>
      </w:r>
      <w:r w:rsidR="00E3456B" w:rsidRPr="00010F2F">
        <w:rPr>
          <w:rFonts w:ascii="Arial" w:hAnsi="Arial" w:cs="Arial"/>
          <w:sz w:val="20"/>
          <w:szCs w:val="20"/>
        </w:rPr>
        <w:t>level program</w:t>
      </w:r>
      <w:r w:rsidR="00E3456B" w:rsidRPr="00010F2F">
        <w:rPr>
          <w:rFonts w:ascii="Arial" w:hAnsi="Arial" w:cs="Arial"/>
          <w:spacing w:val="-1"/>
          <w:sz w:val="20"/>
          <w:szCs w:val="20"/>
        </w:rPr>
        <w:t xml:space="preserve"> </w:t>
      </w:r>
      <w:r w:rsidR="00E3456B" w:rsidRPr="00010F2F">
        <w:rPr>
          <w:rFonts w:ascii="Arial" w:hAnsi="Arial" w:cs="Arial"/>
          <w:sz w:val="20"/>
          <w:szCs w:val="20"/>
        </w:rPr>
        <w:t xml:space="preserve">for health sciences. </w:t>
      </w:r>
    </w:p>
    <w:p w14:paraId="29C1F65A" w14:textId="1114A780" w:rsidR="00C86FF2" w:rsidRPr="00010F2F" w:rsidRDefault="00C86FF2" w:rsidP="00E3456B">
      <w:pPr>
        <w:spacing w:after="0" w:line="240" w:lineRule="auto"/>
        <w:jc w:val="both"/>
        <w:rPr>
          <w:rFonts w:ascii="Arial" w:hAnsi="Arial" w:cs="Arial"/>
          <w:sz w:val="20"/>
          <w:szCs w:val="20"/>
        </w:rPr>
      </w:pPr>
    </w:p>
    <w:p w14:paraId="044E078C" w14:textId="4990A516" w:rsidR="00A13FCF" w:rsidRPr="00010F2F" w:rsidRDefault="00C86FF2" w:rsidP="00E3456B">
      <w:pPr>
        <w:spacing w:after="0" w:line="240" w:lineRule="auto"/>
        <w:jc w:val="both"/>
        <w:rPr>
          <w:rFonts w:ascii="Arial" w:hAnsi="Arial" w:cs="Arial"/>
          <w:sz w:val="20"/>
          <w:szCs w:val="20"/>
        </w:rPr>
      </w:pPr>
      <w:r w:rsidRPr="00010F2F">
        <w:rPr>
          <w:rFonts w:ascii="Arial" w:hAnsi="Arial" w:cs="Arial"/>
          <w:sz w:val="20"/>
          <w:szCs w:val="20"/>
        </w:rPr>
        <w:t xml:space="preserve">The need for the Proposed Project is based on existing and future needs of CDH’s </w:t>
      </w:r>
      <w:r w:rsidR="008D16C9" w:rsidRPr="00010F2F">
        <w:rPr>
          <w:rFonts w:ascii="Arial" w:hAnsi="Arial" w:cs="Arial"/>
          <w:sz w:val="20"/>
          <w:szCs w:val="20"/>
        </w:rPr>
        <w:t>Patient Panel</w:t>
      </w:r>
      <w:r w:rsidRPr="00010F2F">
        <w:rPr>
          <w:rFonts w:ascii="Arial" w:hAnsi="Arial" w:cs="Arial"/>
          <w:sz w:val="20"/>
          <w:szCs w:val="20"/>
        </w:rPr>
        <w:t xml:space="preserve">. Currently, CDH offers patients access to CT </w:t>
      </w:r>
      <w:r w:rsidR="00D6308C">
        <w:rPr>
          <w:rFonts w:ascii="Arial" w:hAnsi="Arial" w:cs="Arial"/>
          <w:sz w:val="20"/>
          <w:szCs w:val="20"/>
        </w:rPr>
        <w:t xml:space="preserve">imaging on two </w:t>
      </w:r>
      <w:r w:rsidRPr="00010F2F">
        <w:rPr>
          <w:rFonts w:ascii="Arial" w:hAnsi="Arial" w:cs="Arial"/>
          <w:sz w:val="20"/>
          <w:szCs w:val="20"/>
        </w:rPr>
        <w:t>units. Both CT units are operating near capacity as evidence</w:t>
      </w:r>
      <w:r w:rsidR="00641E7B" w:rsidRPr="00010F2F">
        <w:rPr>
          <w:rFonts w:ascii="Arial" w:hAnsi="Arial" w:cs="Arial"/>
          <w:sz w:val="20"/>
          <w:szCs w:val="20"/>
        </w:rPr>
        <w:t>d</w:t>
      </w:r>
      <w:r w:rsidRPr="00010F2F">
        <w:rPr>
          <w:rFonts w:ascii="Arial" w:hAnsi="Arial" w:cs="Arial"/>
          <w:sz w:val="20"/>
          <w:szCs w:val="20"/>
        </w:rPr>
        <w:t xml:space="preserve"> by historical CT volume trends and long wait times </w:t>
      </w:r>
      <w:r w:rsidR="001B3428" w:rsidRPr="00010F2F">
        <w:rPr>
          <w:rFonts w:ascii="Arial" w:hAnsi="Arial" w:cs="Arial"/>
          <w:sz w:val="20"/>
          <w:szCs w:val="20"/>
        </w:rPr>
        <w:t>to schedule outpatient scans</w:t>
      </w:r>
      <w:r w:rsidR="00D6308C">
        <w:rPr>
          <w:rFonts w:ascii="Arial" w:hAnsi="Arial" w:cs="Arial"/>
          <w:sz w:val="20"/>
          <w:szCs w:val="20"/>
        </w:rPr>
        <w:t>.</w:t>
      </w:r>
      <w:r w:rsidRPr="00010F2F">
        <w:rPr>
          <w:rFonts w:ascii="Arial" w:hAnsi="Arial" w:cs="Arial"/>
          <w:sz w:val="20"/>
          <w:szCs w:val="20"/>
        </w:rPr>
        <w:t xml:space="preserve"> </w:t>
      </w:r>
      <w:r w:rsidR="00A13FCF" w:rsidRPr="00010F2F">
        <w:rPr>
          <w:rFonts w:ascii="Arial" w:hAnsi="Arial" w:cs="Arial"/>
          <w:sz w:val="20"/>
          <w:szCs w:val="20"/>
        </w:rPr>
        <w:t>P</w:t>
      </w:r>
      <w:r w:rsidR="00350543" w:rsidRPr="00010F2F">
        <w:rPr>
          <w:rFonts w:ascii="Arial" w:hAnsi="Arial" w:cs="Arial"/>
          <w:sz w:val="20"/>
          <w:szCs w:val="20"/>
        </w:rPr>
        <w:t xml:space="preserve">opulation </w:t>
      </w:r>
      <w:r w:rsidR="00A3327A">
        <w:rPr>
          <w:rFonts w:ascii="Arial" w:hAnsi="Arial" w:cs="Arial"/>
          <w:sz w:val="20"/>
          <w:szCs w:val="20"/>
        </w:rPr>
        <w:t xml:space="preserve">projections </w:t>
      </w:r>
      <w:r w:rsidR="001B3428" w:rsidRPr="00010F2F">
        <w:rPr>
          <w:rFonts w:ascii="Arial" w:hAnsi="Arial" w:cs="Arial"/>
          <w:sz w:val="20"/>
          <w:szCs w:val="20"/>
        </w:rPr>
        <w:t>substantiate the</w:t>
      </w:r>
      <w:r w:rsidR="00350543" w:rsidRPr="00010F2F">
        <w:rPr>
          <w:rFonts w:ascii="Arial" w:hAnsi="Arial" w:cs="Arial"/>
          <w:sz w:val="20"/>
          <w:szCs w:val="20"/>
        </w:rPr>
        <w:t xml:space="preserve"> need for</w:t>
      </w:r>
      <w:r w:rsidR="00A3327A">
        <w:rPr>
          <w:rFonts w:ascii="Arial" w:hAnsi="Arial" w:cs="Arial"/>
          <w:sz w:val="20"/>
          <w:szCs w:val="20"/>
        </w:rPr>
        <w:t xml:space="preserve"> access to expand</w:t>
      </w:r>
      <w:r w:rsidR="00E813E7">
        <w:rPr>
          <w:rFonts w:ascii="Arial" w:hAnsi="Arial" w:cs="Arial"/>
          <w:sz w:val="20"/>
          <w:szCs w:val="20"/>
        </w:rPr>
        <w:t>ed</w:t>
      </w:r>
      <w:r w:rsidR="00D6308C">
        <w:rPr>
          <w:rFonts w:ascii="Arial" w:hAnsi="Arial" w:cs="Arial"/>
          <w:sz w:val="20"/>
          <w:szCs w:val="20"/>
        </w:rPr>
        <w:t xml:space="preserve"> CT</w:t>
      </w:r>
      <w:r w:rsidR="00350543" w:rsidRPr="00010F2F">
        <w:rPr>
          <w:rFonts w:ascii="Arial" w:hAnsi="Arial" w:cs="Arial"/>
          <w:sz w:val="20"/>
          <w:szCs w:val="20"/>
        </w:rPr>
        <w:t xml:space="preserve"> imaging services as CDH’s </w:t>
      </w:r>
      <w:r w:rsidR="008D16C9" w:rsidRPr="00010F2F">
        <w:rPr>
          <w:rFonts w:ascii="Arial" w:hAnsi="Arial" w:cs="Arial"/>
          <w:sz w:val="20"/>
          <w:szCs w:val="20"/>
        </w:rPr>
        <w:t>Patient Panel</w:t>
      </w:r>
      <w:r w:rsidR="00350543" w:rsidRPr="00010F2F">
        <w:rPr>
          <w:rFonts w:ascii="Arial" w:hAnsi="Arial" w:cs="Arial"/>
          <w:sz w:val="20"/>
          <w:szCs w:val="20"/>
        </w:rPr>
        <w:t xml:space="preserve"> </w:t>
      </w:r>
      <w:r w:rsidR="001B3428" w:rsidRPr="00010F2F">
        <w:rPr>
          <w:rFonts w:ascii="Arial" w:hAnsi="Arial" w:cs="Arial"/>
          <w:sz w:val="20"/>
          <w:szCs w:val="20"/>
        </w:rPr>
        <w:t xml:space="preserve">is </w:t>
      </w:r>
      <w:r w:rsidR="001437FD">
        <w:rPr>
          <w:rFonts w:ascii="Arial" w:hAnsi="Arial" w:cs="Arial"/>
          <w:sz w:val="20"/>
          <w:szCs w:val="20"/>
        </w:rPr>
        <w:t>expected</w:t>
      </w:r>
      <w:r w:rsidR="004E18C1" w:rsidRPr="00010F2F">
        <w:rPr>
          <w:rFonts w:ascii="Arial" w:hAnsi="Arial" w:cs="Arial"/>
          <w:sz w:val="20"/>
          <w:szCs w:val="20"/>
        </w:rPr>
        <w:t xml:space="preserve"> to</w:t>
      </w:r>
      <w:r w:rsidR="00FB59C3" w:rsidRPr="00010F2F">
        <w:rPr>
          <w:rFonts w:ascii="Arial" w:hAnsi="Arial" w:cs="Arial"/>
          <w:sz w:val="20"/>
          <w:szCs w:val="20"/>
        </w:rPr>
        <w:t xml:space="preserve"> grow</w:t>
      </w:r>
      <w:r w:rsidR="00A13FCF" w:rsidRPr="00010F2F">
        <w:rPr>
          <w:rFonts w:ascii="Arial" w:hAnsi="Arial" w:cs="Arial"/>
          <w:sz w:val="20"/>
          <w:szCs w:val="20"/>
        </w:rPr>
        <w:t xml:space="preserve">, </w:t>
      </w:r>
      <w:r w:rsidR="00D6308C">
        <w:rPr>
          <w:rFonts w:ascii="Arial" w:hAnsi="Arial" w:cs="Arial"/>
          <w:sz w:val="20"/>
          <w:szCs w:val="20"/>
        </w:rPr>
        <w:t xml:space="preserve">particularly with respect to </w:t>
      </w:r>
      <w:r w:rsidR="00A13FCF" w:rsidRPr="00010F2F">
        <w:rPr>
          <w:rFonts w:ascii="Arial" w:hAnsi="Arial" w:cs="Arial"/>
          <w:sz w:val="20"/>
          <w:szCs w:val="20"/>
        </w:rPr>
        <w:t>the</w:t>
      </w:r>
      <w:r w:rsidR="00350543" w:rsidRPr="00010F2F">
        <w:rPr>
          <w:rFonts w:ascii="Arial" w:hAnsi="Arial" w:cs="Arial"/>
          <w:sz w:val="20"/>
          <w:szCs w:val="20"/>
        </w:rPr>
        <w:t xml:space="preserve"> 65+ age patient cohort </w:t>
      </w:r>
      <w:r w:rsidR="00A13FCF" w:rsidRPr="00010F2F">
        <w:rPr>
          <w:rFonts w:ascii="Arial" w:hAnsi="Arial" w:cs="Arial"/>
          <w:sz w:val="20"/>
          <w:szCs w:val="20"/>
        </w:rPr>
        <w:t xml:space="preserve">who </w:t>
      </w:r>
      <w:r w:rsidR="00350543" w:rsidRPr="00010F2F">
        <w:rPr>
          <w:rFonts w:ascii="Arial" w:hAnsi="Arial" w:cs="Arial"/>
          <w:sz w:val="20"/>
          <w:szCs w:val="20"/>
        </w:rPr>
        <w:t>require CT services to diagnose and treat age-related conditions.</w:t>
      </w:r>
      <w:r w:rsidR="001B3428" w:rsidRPr="00010F2F">
        <w:rPr>
          <w:rFonts w:ascii="Arial" w:hAnsi="Arial" w:cs="Arial"/>
          <w:sz w:val="20"/>
          <w:szCs w:val="20"/>
        </w:rPr>
        <w:t xml:space="preserve"> </w:t>
      </w:r>
      <w:r w:rsidR="005E5DBC" w:rsidRPr="00010F2F">
        <w:rPr>
          <w:rFonts w:ascii="Arial" w:hAnsi="Arial" w:cs="Arial"/>
          <w:sz w:val="20"/>
          <w:szCs w:val="20"/>
        </w:rPr>
        <w:t>With a third CT unit</w:t>
      </w:r>
      <w:r w:rsidR="00191FB4" w:rsidRPr="00010F2F">
        <w:rPr>
          <w:rFonts w:ascii="Arial" w:hAnsi="Arial" w:cs="Arial"/>
          <w:sz w:val="20"/>
          <w:szCs w:val="20"/>
        </w:rPr>
        <w:t xml:space="preserve">, </w:t>
      </w:r>
      <w:r w:rsidR="001B3428" w:rsidRPr="00010F2F">
        <w:rPr>
          <w:rFonts w:ascii="Arial" w:hAnsi="Arial" w:cs="Arial"/>
          <w:sz w:val="20"/>
          <w:szCs w:val="20"/>
        </w:rPr>
        <w:t xml:space="preserve">CDH </w:t>
      </w:r>
      <w:r w:rsidR="00D6308C">
        <w:rPr>
          <w:rFonts w:ascii="Arial" w:hAnsi="Arial" w:cs="Arial"/>
          <w:sz w:val="20"/>
          <w:szCs w:val="20"/>
        </w:rPr>
        <w:t xml:space="preserve">also </w:t>
      </w:r>
      <w:r w:rsidR="005E5DBC" w:rsidRPr="00010F2F">
        <w:rPr>
          <w:rFonts w:ascii="Arial" w:hAnsi="Arial" w:cs="Arial"/>
          <w:sz w:val="20"/>
          <w:szCs w:val="20"/>
        </w:rPr>
        <w:t>can</w:t>
      </w:r>
      <w:r w:rsidR="00D6308C">
        <w:rPr>
          <w:rFonts w:ascii="Arial" w:hAnsi="Arial" w:cs="Arial"/>
          <w:sz w:val="20"/>
          <w:szCs w:val="20"/>
        </w:rPr>
        <w:t xml:space="preserve"> </w:t>
      </w:r>
      <w:r w:rsidR="00D50670">
        <w:rPr>
          <w:rFonts w:ascii="Arial" w:hAnsi="Arial" w:cs="Arial"/>
          <w:sz w:val="20"/>
          <w:szCs w:val="20"/>
        </w:rPr>
        <w:t xml:space="preserve">provide </w:t>
      </w:r>
      <w:r w:rsidR="00D6308C">
        <w:rPr>
          <w:rFonts w:ascii="Arial" w:hAnsi="Arial" w:cs="Arial"/>
          <w:sz w:val="20"/>
          <w:szCs w:val="20"/>
        </w:rPr>
        <w:t>expanded</w:t>
      </w:r>
      <w:r w:rsidR="00D50670">
        <w:rPr>
          <w:rFonts w:ascii="Arial" w:hAnsi="Arial" w:cs="Arial"/>
          <w:sz w:val="20"/>
          <w:szCs w:val="20"/>
        </w:rPr>
        <w:t xml:space="preserve"> access to</w:t>
      </w:r>
      <w:r w:rsidR="001B3428" w:rsidRPr="00010F2F">
        <w:rPr>
          <w:rFonts w:ascii="Arial" w:hAnsi="Arial" w:cs="Arial"/>
          <w:sz w:val="20"/>
          <w:szCs w:val="20"/>
        </w:rPr>
        <w:t xml:space="preserve"> interventional radiology procedures</w:t>
      </w:r>
      <w:r w:rsidR="002F6C7F">
        <w:rPr>
          <w:rFonts w:ascii="Arial" w:hAnsi="Arial" w:cs="Arial"/>
          <w:sz w:val="20"/>
          <w:szCs w:val="20"/>
        </w:rPr>
        <w:t>.</w:t>
      </w:r>
      <w:r w:rsidR="00350543" w:rsidRPr="00010F2F">
        <w:rPr>
          <w:rFonts w:ascii="Arial" w:hAnsi="Arial" w:cs="Arial"/>
          <w:sz w:val="20"/>
          <w:szCs w:val="20"/>
        </w:rPr>
        <w:t xml:space="preserve"> </w:t>
      </w:r>
    </w:p>
    <w:p w14:paraId="1CAB4072" w14:textId="70D405D1" w:rsidR="00A13FCF" w:rsidRPr="00010F2F" w:rsidRDefault="00A13FCF" w:rsidP="00E3456B">
      <w:pPr>
        <w:spacing w:after="0" w:line="240" w:lineRule="auto"/>
        <w:jc w:val="both"/>
        <w:rPr>
          <w:rFonts w:ascii="Arial" w:hAnsi="Arial" w:cs="Arial"/>
          <w:sz w:val="20"/>
          <w:szCs w:val="20"/>
        </w:rPr>
      </w:pPr>
    </w:p>
    <w:p w14:paraId="63B4E672" w14:textId="36069CD0" w:rsidR="00A13FCF" w:rsidRPr="00010F2F" w:rsidRDefault="00D6308C" w:rsidP="00A13FCF">
      <w:pPr>
        <w:spacing w:after="0" w:line="240" w:lineRule="auto"/>
        <w:jc w:val="both"/>
        <w:rPr>
          <w:rFonts w:ascii="Arial" w:hAnsi="Arial" w:cs="Arial"/>
          <w:kern w:val="2"/>
          <w:sz w:val="20"/>
          <w:szCs w:val="20"/>
        </w:rPr>
      </w:pPr>
      <w:r>
        <w:rPr>
          <w:rFonts w:ascii="Arial" w:hAnsi="Arial" w:cs="Arial"/>
          <w:sz w:val="20"/>
          <w:szCs w:val="20"/>
        </w:rPr>
        <w:t>T</w:t>
      </w:r>
      <w:r w:rsidR="00A13FCF" w:rsidRPr="00010F2F">
        <w:rPr>
          <w:rFonts w:ascii="Arial" w:hAnsi="Arial" w:cs="Arial"/>
          <w:sz w:val="20"/>
          <w:szCs w:val="20"/>
        </w:rPr>
        <w:t xml:space="preserve">he Proposed Project is consistent with Massachusetts’ goals for cost containment.  With a third CT unit, patients will have timely access to CT, and as a result, timely diagnosis. Timely diagnosis allows for treatment to begin before the patient requires more costly care due to advanced disease. </w:t>
      </w:r>
      <w:r w:rsidR="00A13FCF" w:rsidRPr="00010F2F">
        <w:rPr>
          <w:rFonts w:ascii="Arial" w:hAnsi="Arial" w:cs="Arial"/>
          <w:kern w:val="2"/>
          <w:sz w:val="20"/>
          <w:szCs w:val="20"/>
        </w:rPr>
        <w:t xml:space="preserve">The new CT unit will be reimbursed at the same rate as the existing units and will not impact costs for payers or patients. Consequently, the Proposed Project will contribute to the Commonwealth’s goal of </w:t>
      </w:r>
      <w:r w:rsidR="00A13FCF" w:rsidRPr="00010F2F">
        <w:rPr>
          <w:rFonts w:ascii="Arial" w:hAnsi="Arial" w:cs="Arial"/>
          <w:sz w:val="20"/>
          <w:szCs w:val="20"/>
        </w:rPr>
        <w:t>containing the rate of growth of total medical expenses and total healthcare expenditures.</w:t>
      </w:r>
    </w:p>
    <w:p w14:paraId="6EC8106E" w14:textId="77777777" w:rsidR="00A13FCF" w:rsidRPr="00010F2F" w:rsidRDefault="00A13FCF" w:rsidP="00E3456B">
      <w:pPr>
        <w:spacing w:after="0" w:line="240" w:lineRule="auto"/>
        <w:jc w:val="both"/>
        <w:rPr>
          <w:rFonts w:ascii="Arial" w:hAnsi="Arial" w:cs="Arial"/>
          <w:sz w:val="20"/>
          <w:szCs w:val="20"/>
        </w:rPr>
      </w:pPr>
    </w:p>
    <w:p w14:paraId="30D1E6BD" w14:textId="6D9377EB" w:rsidR="00A13FCF" w:rsidRPr="00010F2F" w:rsidRDefault="00A13FCF" w:rsidP="00E3456B">
      <w:pPr>
        <w:spacing w:after="0" w:line="240" w:lineRule="auto"/>
        <w:jc w:val="both"/>
        <w:rPr>
          <w:rFonts w:ascii="Arial" w:hAnsi="Arial" w:cs="Arial"/>
          <w:sz w:val="20"/>
          <w:szCs w:val="20"/>
        </w:rPr>
      </w:pPr>
      <w:r w:rsidRPr="00010F2F">
        <w:rPr>
          <w:rFonts w:ascii="Arial" w:hAnsi="Arial" w:cs="Arial"/>
          <w:sz w:val="20"/>
          <w:szCs w:val="20"/>
        </w:rPr>
        <w:t xml:space="preserve">In summary, the Proposed Project will meet an identified need for CDH’s patients. Approval of Applicant’s request for a third CT unit will increase CT capacity, </w:t>
      </w:r>
      <w:r w:rsidR="00EF62C2">
        <w:rPr>
          <w:rFonts w:ascii="Arial" w:hAnsi="Arial" w:cs="Arial"/>
          <w:sz w:val="20"/>
          <w:szCs w:val="20"/>
        </w:rPr>
        <w:t>thereby</w:t>
      </w:r>
      <w:r w:rsidRPr="00010F2F">
        <w:rPr>
          <w:rFonts w:ascii="Arial" w:hAnsi="Arial" w:cs="Arial"/>
          <w:sz w:val="20"/>
          <w:szCs w:val="20"/>
        </w:rPr>
        <w:t xml:space="preserve"> improv</w:t>
      </w:r>
      <w:r w:rsidR="00EF62C2">
        <w:rPr>
          <w:rFonts w:ascii="Arial" w:hAnsi="Arial" w:cs="Arial"/>
          <w:sz w:val="20"/>
          <w:szCs w:val="20"/>
        </w:rPr>
        <w:t>ing</w:t>
      </w:r>
      <w:r w:rsidRPr="00010F2F">
        <w:rPr>
          <w:rFonts w:ascii="Arial" w:hAnsi="Arial" w:cs="Arial"/>
          <w:sz w:val="20"/>
          <w:szCs w:val="20"/>
        </w:rPr>
        <w:t xml:space="preserve"> public health outcomes, patient experience and </w:t>
      </w:r>
      <w:r w:rsidR="001B3428" w:rsidRPr="00010F2F">
        <w:rPr>
          <w:rFonts w:ascii="Arial" w:hAnsi="Arial" w:cs="Arial"/>
          <w:sz w:val="20"/>
          <w:szCs w:val="20"/>
        </w:rPr>
        <w:t>meaningfully contribut</w:t>
      </w:r>
      <w:r w:rsidR="002649B6">
        <w:rPr>
          <w:rFonts w:ascii="Arial" w:hAnsi="Arial" w:cs="Arial"/>
          <w:sz w:val="20"/>
          <w:szCs w:val="20"/>
        </w:rPr>
        <w:t>ing</w:t>
      </w:r>
      <w:r w:rsidR="001B3428" w:rsidRPr="00010F2F">
        <w:rPr>
          <w:rFonts w:ascii="Arial" w:hAnsi="Arial" w:cs="Arial"/>
          <w:sz w:val="20"/>
          <w:szCs w:val="20"/>
        </w:rPr>
        <w:t xml:space="preserve"> to Massachusetts’ goals for cost containment</w:t>
      </w:r>
      <w:r w:rsidR="00191FB4" w:rsidRPr="00010F2F">
        <w:rPr>
          <w:rFonts w:ascii="Arial" w:hAnsi="Arial" w:cs="Arial"/>
          <w:sz w:val="20"/>
          <w:szCs w:val="20"/>
        </w:rPr>
        <w:t xml:space="preserve">. </w:t>
      </w:r>
      <w:r w:rsidRPr="00010F2F">
        <w:rPr>
          <w:rFonts w:ascii="Arial" w:hAnsi="Arial" w:cs="Arial"/>
          <w:sz w:val="20"/>
          <w:szCs w:val="20"/>
        </w:rPr>
        <w:t>Accordingly, the Proposed Project meets the Determination of Ne</w:t>
      </w:r>
      <w:r w:rsidR="002649B6">
        <w:rPr>
          <w:rFonts w:ascii="Arial" w:hAnsi="Arial" w:cs="Arial"/>
          <w:sz w:val="20"/>
          <w:szCs w:val="20"/>
        </w:rPr>
        <w:t>e</w:t>
      </w:r>
      <w:r w:rsidRPr="00010F2F">
        <w:rPr>
          <w:rFonts w:ascii="Arial" w:hAnsi="Arial" w:cs="Arial"/>
          <w:sz w:val="20"/>
          <w:szCs w:val="20"/>
        </w:rPr>
        <w:t xml:space="preserve">d factors of review. </w:t>
      </w:r>
    </w:p>
    <w:p w14:paraId="4B1034B9" w14:textId="77777777" w:rsidR="00492BB6" w:rsidRPr="00010F2F" w:rsidRDefault="00492BB6" w:rsidP="00492BB6">
      <w:pPr>
        <w:spacing w:after="0" w:line="240" w:lineRule="auto"/>
        <w:jc w:val="both"/>
        <w:rPr>
          <w:rFonts w:ascii="Arial" w:eastAsia="Calibri" w:hAnsi="Arial" w:cs="Arial"/>
          <w:b/>
          <w:kern w:val="2"/>
        </w:rPr>
      </w:pPr>
    </w:p>
    <w:p w14:paraId="6FFA2665" w14:textId="3D741A13" w:rsidR="001251B9" w:rsidRPr="004952E4" w:rsidRDefault="001251B9" w:rsidP="001251B9">
      <w:pPr>
        <w:spacing w:after="0" w:line="240" w:lineRule="auto"/>
        <w:jc w:val="both"/>
        <w:rPr>
          <w:rFonts w:ascii="Arial" w:eastAsia="Calibri" w:hAnsi="Arial" w:cs="Arial"/>
          <w:b/>
          <w:kern w:val="2"/>
          <w:sz w:val="20"/>
          <w:szCs w:val="20"/>
        </w:rPr>
      </w:pPr>
      <w:r w:rsidRPr="004952E4">
        <w:rPr>
          <w:rFonts w:ascii="Arial" w:eastAsia="Calibri" w:hAnsi="Arial" w:cs="Arial"/>
          <w:b/>
          <w:kern w:val="2"/>
          <w:sz w:val="20"/>
          <w:szCs w:val="20"/>
        </w:rPr>
        <w:t>Factor 1: Applicant Patient Panel Need, Public Health Values and Operational Objectives</w:t>
      </w:r>
    </w:p>
    <w:p w14:paraId="6A9FF503" w14:textId="77777777" w:rsidR="001251B9" w:rsidRPr="004952E4" w:rsidRDefault="001251B9" w:rsidP="001251B9">
      <w:pPr>
        <w:spacing w:after="0" w:line="240" w:lineRule="auto"/>
        <w:ind w:left="185"/>
        <w:jc w:val="both"/>
        <w:rPr>
          <w:rFonts w:ascii="Arial" w:eastAsia="Arial" w:hAnsi="Arial" w:cs="Arial"/>
          <w:kern w:val="2"/>
          <w:sz w:val="20"/>
          <w:szCs w:val="20"/>
        </w:rPr>
      </w:pPr>
    </w:p>
    <w:p w14:paraId="15876BE7" w14:textId="77777777" w:rsidR="001251B9" w:rsidRPr="004952E4" w:rsidRDefault="001251B9" w:rsidP="001251B9">
      <w:pPr>
        <w:spacing w:after="0" w:line="240" w:lineRule="auto"/>
        <w:ind w:left="720" w:hanging="720"/>
        <w:jc w:val="both"/>
        <w:rPr>
          <w:rFonts w:ascii="Arial" w:eastAsia="Arial" w:hAnsi="Arial" w:cs="Arial"/>
          <w:kern w:val="2"/>
          <w:sz w:val="20"/>
          <w:szCs w:val="20"/>
          <w:u w:val="single"/>
        </w:rPr>
      </w:pPr>
      <w:r w:rsidRPr="004952E4">
        <w:rPr>
          <w:rFonts w:ascii="Arial" w:eastAsia="Calibri" w:hAnsi="Arial" w:cs="Arial"/>
          <w:b/>
          <w:kern w:val="2"/>
          <w:sz w:val="20"/>
          <w:szCs w:val="20"/>
        </w:rPr>
        <w:t>F1.a.i</w:t>
      </w:r>
      <w:r w:rsidRPr="004952E4">
        <w:rPr>
          <w:rFonts w:ascii="Arial" w:eastAsia="Calibri" w:hAnsi="Arial" w:cs="Arial"/>
          <w:kern w:val="2"/>
          <w:sz w:val="20"/>
          <w:szCs w:val="20"/>
        </w:rPr>
        <w:tab/>
      </w:r>
      <w:r w:rsidRPr="004952E4">
        <w:rPr>
          <w:rFonts w:ascii="Arial" w:eastAsia="Calibri" w:hAnsi="Arial" w:cs="Arial"/>
          <w:kern w:val="2"/>
          <w:sz w:val="20"/>
          <w:szCs w:val="20"/>
        </w:rPr>
        <w:tab/>
      </w:r>
      <w:r w:rsidRPr="004952E4">
        <w:rPr>
          <w:rFonts w:ascii="Arial" w:eastAsia="Calibri" w:hAnsi="Arial" w:cs="Arial"/>
          <w:b/>
          <w:kern w:val="2"/>
          <w:sz w:val="20"/>
          <w:szCs w:val="20"/>
          <w:u w:val="single"/>
        </w:rPr>
        <w:t>Patient Panel</w:t>
      </w:r>
      <w:r w:rsidRPr="004952E4">
        <w:rPr>
          <w:rFonts w:ascii="Arial" w:eastAsia="Calibri" w:hAnsi="Arial" w:cs="Arial"/>
          <w:b/>
          <w:kern w:val="2"/>
          <w:sz w:val="20"/>
          <w:szCs w:val="20"/>
        </w:rPr>
        <w:t>:</w:t>
      </w:r>
    </w:p>
    <w:p w14:paraId="3A30E702" w14:textId="23F35A3B" w:rsidR="001251B9" w:rsidRPr="004952E4" w:rsidRDefault="001251B9" w:rsidP="000533BD">
      <w:pPr>
        <w:spacing w:after="0" w:line="240" w:lineRule="auto"/>
        <w:ind w:left="1440"/>
        <w:jc w:val="both"/>
        <w:rPr>
          <w:rFonts w:ascii="Arial" w:eastAsia="Times New Roman" w:hAnsi="Arial" w:cs="Arial"/>
          <w:b/>
          <w:kern w:val="2"/>
          <w:sz w:val="20"/>
          <w:szCs w:val="20"/>
        </w:rPr>
      </w:pPr>
      <w:r w:rsidRPr="004952E4">
        <w:rPr>
          <w:rFonts w:ascii="Arial" w:eastAsia="Times New Roman" w:hAnsi="Arial" w:cs="Arial"/>
          <w:b/>
          <w:kern w:val="2"/>
          <w:sz w:val="20"/>
          <w:szCs w:val="20"/>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011B025C" w14:textId="768DC452" w:rsidR="001251B9" w:rsidRDefault="001251B9" w:rsidP="001251B9">
      <w:pPr>
        <w:spacing w:after="0" w:line="240" w:lineRule="auto"/>
        <w:contextualSpacing/>
        <w:jc w:val="both"/>
        <w:rPr>
          <w:rFonts w:ascii="Arial" w:eastAsia="Times New Roman" w:hAnsi="Arial" w:cs="Arial"/>
          <w:kern w:val="2"/>
          <w:u w:val="single"/>
        </w:rPr>
      </w:pPr>
    </w:p>
    <w:p w14:paraId="37B186AF" w14:textId="3088BC05" w:rsidR="001D6258" w:rsidRDefault="001D6258" w:rsidP="001251B9">
      <w:pPr>
        <w:spacing w:after="0" w:line="240" w:lineRule="auto"/>
        <w:contextualSpacing/>
        <w:jc w:val="both"/>
        <w:rPr>
          <w:rFonts w:ascii="Arial" w:eastAsia="Times New Roman" w:hAnsi="Arial" w:cs="Arial"/>
          <w:kern w:val="2"/>
          <w:u w:val="single"/>
        </w:rPr>
      </w:pPr>
    </w:p>
    <w:p w14:paraId="08A1DA7F" w14:textId="4447E2F9" w:rsidR="001D6258" w:rsidRDefault="001D6258" w:rsidP="001251B9">
      <w:pPr>
        <w:spacing w:after="0" w:line="240" w:lineRule="auto"/>
        <w:contextualSpacing/>
        <w:jc w:val="both"/>
        <w:rPr>
          <w:rFonts w:ascii="Arial" w:eastAsia="Times New Roman" w:hAnsi="Arial" w:cs="Arial"/>
          <w:kern w:val="2"/>
          <w:u w:val="single"/>
        </w:rPr>
      </w:pPr>
    </w:p>
    <w:p w14:paraId="14DB4413" w14:textId="77777777" w:rsidR="001D6258" w:rsidRPr="00010F2F" w:rsidRDefault="001D6258" w:rsidP="001251B9">
      <w:pPr>
        <w:spacing w:after="0" w:line="240" w:lineRule="auto"/>
        <w:contextualSpacing/>
        <w:jc w:val="both"/>
        <w:rPr>
          <w:rFonts w:ascii="Arial" w:eastAsia="Times New Roman" w:hAnsi="Arial" w:cs="Arial"/>
          <w:kern w:val="2"/>
          <w:u w:val="single"/>
        </w:rPr>
      </w:pPr>
    </w:p>
    <w:p w14:paraId="7F21E227" w14:textId="45E36225" w:rsidR="005D67E7" w:rsidRPr="00010F2F" w:rsidRDefault="00824314" w:rsidP="00347C86">
      <w:pPr>
        <w:pStyle w:val="ListParagraph"/>
        <w:numPr>
          <w:ilvl w:val="0"/>
          <w:numId w:val="1"/>
        </w:numPr>
        <w:spacing w:after="0" w:line="240" w:lineRule="auto"/>
        <w:ind w:left="360"/>
        <w:jc w:val="both"/>
        <w:rPr>
          <w:rFonts w:ascii="Arial" w:eastAsia="Times New Roman" w:hAnsi="Arial" w:cs="Arial"/>
          <w:color w:val="000000" w:themeColor="text1"/>
          <w:kern w:val="2"/>
          <w:sz w:val="20"/>
          <w:szCs w:val="20"/>
          <w:u w:val="single"/>
        </w:rPr>
      </w:pPr>
      <w:r w:rsidRPr="00010F2F">
        <w:rPr>
          <w:rFonts w:ascii="Arial" w:eastAsia="Times New Roman" w:hAnsi="Arial" w:cs="Arial"/>
          <w:color w:val="000000" w:themeColor="text1"/>
          <w:kern w:val="2"/>
          <w:sz w:val="20"/>
          <w:szCs w:val="20"/>
          <w:u w:val="single"/>
        </w:rPr>
        <w:lastRenderedPageBreak/>
        <w:t>Mass General Brigham</w:t>
      </w:r>
      <w:r w:rsidR="00647142" w:rsidRPr="00010F2F">
        <w:rPr>
          <w:rFonts w:ascii="Arial" w:eastAsia="Times New Roman" w:hAnsi="Arial" w:cs="Arial"/>
          <w:color w:val="000000" w:themeColor="text1"/>
          <w:kern w:val="2"/>
          <w:sz w:val="20"/>
          <w:szCs w:val="20"/>
          <w:u w:val="single"/>
        </w:rPr>
        <w:t xml:space="preserve"> Incorporated</w:t>
      </w:r>
      <w:r w:rsidR="003D1F80" w:rsidRPr="00010F2F">
        <w:rPr>
          <w:rFonts w:ascii="Arial" w:eastAsia="Times New Roman" w:hAnsi="Arial" w:cs="Arial"/>
          <w:color w:val="000000" w:themeColor="text1"/>
          <w:kern w:val="2"/>
          <w:sz w:val="20"/>
          <w:szCs w:val="20"/>
          <w:u w:val="single"/>
        </w:rPr>
        <w:t xml:space="preserve"> Patient Panel</w:t>
      </w:r>
    </w:p>
    <w:p w14:paraId="2842C9A0" w14:textId="3F9FEF2F" w:rsidR="00314311" w:rsidRPr="00010F2F" w:rsidRDefault="00314311" w:rsidP="00ED6C5D">
      <w:pPr>
        <w:spacing w:after="0" w:line="240" w:lineRule="auto"/>
        <w:jc w:val="both"/>
        <w:rPr>
          <w:rFonts w:ascii="Arial" w:eastAsia="Times New Roman" w:hAnsi="Arial" w:cs="Arial"/>
          <w:color w:val="000000" w:themeColor="text1"/>
          <w:kern w:val="2"/>
          <w:sz w:val="20"/>
          <w:szCs w:val="20"/>
        </w:rPr>
      </w:pPr>
    </w:p>
    <w:p w14:paraId="723A3E22" w14:textId="02A4631A" w:rsidR="00952743" w:rsidRDefault="00B21599" w:rsidP="003D1F80">
      <w:pPr>
        <w:spacing w:after="0" w:line="240" w:lineRule="auto"/>
        <w:jc w:val="both"/>
        <w:rPr>
          <w:rFonts w:ascii="Arial" w:hAnsi="Arial" w:cs="Arial"/>
          <w:sz w:val="20"/>
        </w:rPr>
      </w:pPr>
      <w:r w:rsidRPr="00010F2F">
        <w:rPr>
          <w:rFonts w:ascii="Arial" w:hAnsi="Arial" w:cs="Arial"/>
          <w:sz w:val="20"/>
        </w:rPr>
        <w:t>MGB</w:t>
      </w:r>
      <w:r w:rsidR="00ED6C5D" w:rsidRPr="00010F2F">
        <w:rPr>
          <w:rStyle w:val="FootnoteReference"/>
          <w:rFonts w:ascii="Arial" w:hAnsi="Arial" w:cs="Arial"/>
          <w:sz w:val="20"/>
        </w:rPr>
        <w:footnoteReference w:id="2"/>
      </w:r>
      <w:r w:rsidR="003D1F80" w:rsidRPr="00010F2F">
        <w:rPr>
          <w:rFonts w:ascii="Arial" w:hAnsi="Arial" w:cs="Arial"/>
          <w:sz w:val="20"/>
        </w:rPr>
        <w:t xml:space="preserve"> serves a large and diverse </w:t>
      </w:r>
      <w:r w:rsidR="008D16C9" w:rsidRPr="00010F2F">
        <w:rPr>
          <w:rFonts w:ascii="Arial" w:hAnsi="Arial" w:cs="Arial"/>
          <w:sz w:val="20"/>
        </w:rPr>
        <w:t>Patient Panel</w:t>
      </w:r>
      <w:r w:rsidR="003D1F80" w:rsidRPr="00010F2F">
        <w:rPr>
          <w:rFonts w:ascii="Arial" w:hAnsi="Arial" w:cs="Arial"/>
          <w:sz w:val="20"/>
        </w:rPr>
        <w:t xml:space="preserve"> as demonstrated by the utilization data for the 36-month period covering Fiscal Year</w:t>
      </w:r>
      <w:r w:rsidR="0094074B">
        <w:rPr>
          <w:rFonts w:ascii="Arial" w:hAnsi="Arial" w:cs="Arial"/>
          <w:sz w:val="20"/>
        </w:rPr>
        <w:t>s</w:t>
      </w:r>
      <w:r w:rsidR="00A044A7" w:rsidRPr="00010F2F">
        <w:rPr>
          <w:rStyle w:val="FootnoteReference"/>
          <w:rFonts w:ascii="Arial" w:hAnsi="Arial" w:cs="Arial"/>
          <w:sz w:val="20"/>
        </w:rPr>
        <w:footnoteReference w:id="3"/>
      </w:r>
      <w:r w:rsidR="003D1F80" w:rsidRPr="00010F2F">
        <w:rPr>
          <w:rFonts w:ascii="Arial" w:hAnsi="Arial" w:cs="Arial"/>
          <w:sz w:val="20"/>
        </w:rPr>
        <w:t xml:space="preserve"> (“FY”) 2020 through FY22. </w:t>
      </w:r>
      <w:r w:rsidR="004717D4" w:rsidRPr="00010F2F">
        <w:rPr>
          <w:rFonts w:ascii="Arial" w:hAnsi="Arial" w:cs="Arial"/>
          <w:sz w:val="20"/>
        </w:rPr>
        <w:t xml:space="preserve">The number of patients utilizing MGB’s services has increased since FY20, with 1,567,944 unique patients in FY20; 1,725,378 unique patients in FY21; and 1,792,288 unique patients in FY22, </w:t>
      </w:r>
      <w:r w:rsidR="00AC5F32" w:rsidRPr="00010F2F">
        <w:rPr>
          <w:rFonts w:ascii="Arial" w:hAnsi="Arial" w:cs="Arial"/>
          <w:sz w:val="20"/>
        </w:rPr>
        <w:t xml:space="preserve">an increase of </w:t>
      </w:r>
      <w:r w:rsidR="00ED6C5D" w:rsidRPr="00010F2F">
        <w:rPr>
          <w:rFonts w:ascii="Arial" w:hAnsi="Arial" w:cs="Arial"/>
          <w:sz w:val="20"/>
        </w:rPr>
        <w:t>14.31</w:t>
      </w:r>
      <w:r w:rsidR="00AC5F32" w:rsidRPr="00010F2F">
        <w:rPr>
          <w:rFonts w:ascii="Arial" w:hAnsi="Arial" w:cs="Arial"/>
          <w:sz w:val="20"/>
        </w:rPr>
        <w:t>%</w:t>
      </w:r>
      <w:r w:rsidR="00ED6C5D" w:rsidRPr="00010F2F">
        <w:rPr>
          <w:rFonts w:ascii="Arial" w:hAnsi="Arial" w:cs="Arial"/>
          <w:sz w:val="20"/>
        </w:rPr>
        <w:t xml:space="preserve"> </w:t>
      </w:r>
      <w:r w:rsidR="00AC5F32" w:rsidRPr="00010F2F">
        <w:rPr>
          <w:rFonts w:ascii="Arial" w:hAnsi="Arial" w:cs="Arial"/>
          <w:sz w:val="20"/>
        </w:rPr>
        <w:t>from FY2</w:t>
      </w:r>
      <w:r w:rsidR="00ED6C5D" w:rsidRPr="00010F2F">
        <w:rPr>
          <w:rFonts w:ascii="Arial" w:hAnsi="Arial" w:cs="Arial"/>
          <w:sz w:val="20"/>
        </w:rPr>
        <w:t>0</w:t>
      </w:r>
      <w:r w:rsidR="00804F30">
        <w:rPr>
          <w:rFonts w:ascii="Arial" w:hAnsi="Arial" w:cs="Arial"/>
          <w:sz w:val="20"/>
        </w:rPr>
        <w:t xml:space="preserve"> to FY22</w:t>
      </w:r>
      <w:r w:rsidR="00AC5F32" w:rsidRPr="00010F2F">
        <w:rPr>
          <w:rFonts w:ascii="Arial" w:hAnsi="Arial" w:cs="Arial"/>
          <w:sz w:val="20"/>
        </w:rPr>
        <w:t>. The following table illustrates the demographics of MGB’s Patient Panel.</w:t>
      </w:r>
    </w:p>
    <w:p w14:paraId="249600DF" w14:textId="29AC248F" w:rsidR="007B1C67" w:rsidRDefault="007B1C67" w:rsidP="003D1F80">
      <w:pPr>
        <w:spacing w:after="0" w:line="240" w:lineRule="auto"/>
        <w:jc w:val="both"/>
        <w:rPr>
          <w:rFonts w:ascii="Arial" w:hAnsi="Arial" w:cs="Arial"/>
          <w:sz w:val="20"/>
        </w:rPr>
      </w:pPr>
    </w:p>
    <w:p w14:paraId="4C03489B" w14:textId="035841DA" w:rsidR="007B1C67" w:rsidRPr="00413B69" w:rsidRDefault="000C47D3" w:rsidP="00D844CF">
      <w:pPr>
        <w:spacing w:after="0"/>
        <w:jc w:val="both"/>
        <w:rPr>
          <w:rFonts w:ascii="Arial" w:hAnsi="Arial" w:cs="Arial"/>
          <w:sz w:val="20"/>
          <w:szCs w:val="20"/>
        </w:rPr>
      </w:pPr>
      <w:r w:rsidRPr="00413B69">
        <w:rPr>
          <w:rFonts w:ascii="Arial" w:hAnsi="Arial" w:cs="Arial"/>
          <w:b/>
          <w:bCs/>
          <w:sz w:val="20"/>
          <w:szCs w:val="20"/>
        </w:rPr>
        <w:t>TABLE 1:</w:t>
      </w:r>
      <w:r w:rsidR="00D844CF" w:rsidRPr="00D844CF">
        <w:rPr>
          <w:rFonts w:ascii="Arial" w:eastAsia="Times New Roman" w:hAnsi="Arial" w:cs="Arial"/>
          <w:color w:val="000000"/>
          <w:sz w:val="20"/>
          <w:szCs w:val="20"/>
        </w:rPr>
        <w:t xml:space="preserve"> </w:t>
      </w:r>
      <w:r w:rsidR="00D844CF" w:rsidRPr="00D844CF">
        <w:rPr>
          <w:rFonts w:ascii="Arial" w:eastAsia="Times New Roman" w:hAnsi="Arial" w:cs="Arial"/>
          <w:b/>
          <w:bCs/>
          <w:color w:val="000000"/>
          <w:sz w:val="20"/>
          <w:szCs w:val="20"/>
        </w:rPr>
        <w:t>MGB Patient Panel</w:t>
      </w:r>
      <w:r w:rsidRPr="00413B69">
        <w:rPr>
          <w:rFonts w:ascii="Arial" w:hAnsi="Arial" w:cs="Arial"/>
          <w:sz w:val="20"/>
          <w:szCs w:val="20"/>
        </w:rPr>
        <w:t xml:space="preserve"> </w:t>
      </w:r>
    </w:p>
    <w:tbl>
      <w:tblPr>
        <w:tblStyle w:val="TableGrid"/>
        <w:tblW w:w="0" w:type="auto"/>
        <w:tblLook w:val="04A0" w:firstRow="1" w:lastRow="0" w:firstColumn="1" w:lastColumn="0" w:noHBand="0" w:noVBand="1"/>
      </w:tblPr>
      <w:tblGrid>
        <w:gridCol w:w="2726"/>
        <w:gridCol w:w="1166"/>
        <w:gridCol w:w="1139"/>
        <w:gridCol w:w="1107"/>
        <w:gridCol w:w="1139"/>
        <w:gridCol w:w="1107"/>
        <w:gridCol w:w="966"/>
      </w:tblGrid>
      <w:tr w:rsidR="000C47D3" w:rsidRPr="00413B69" w14:paraId="4C0970C4" w14:textId="77777777" w:rsidTr="000343B3">
        <w:trPr>
          <w:cantSplit/>
          <w:tblHeader/>
        </w:trPr>
        <w:tc>
          <w:tcPr>
            <w:tcW w:w="2726" w:type="dxa"/>
            <w:vAlign w:val="center"/>
          </w:tcPr>
          <w:p w14:paraId="02124BE8" w14:textId="4DD4315C" w:rsidR="007B1C67" w:rsidRPr="004F4892" w:rsidRDefault="00F57939" w:rsidP="004F4892">
            <w:pPr>
              <w:rPr>
                <w:rFonts w:ascii="Arial" w:hAnsi="Arial" w:cs="Arial"/>
                <w:sz w:val="20"/>
                <w:szCs w:val="20"/>
              </w:rPr>
            </w:pPr>
            <w:r>
              <w:rPr>
                <w:rFonts w:ascii="Arial" w:hAnsi="Arial" w:cs="Arial"/>
                <w:sz w:val="20"/>
                <w:szCs w:val="20"/>
              </w:rPr>
              <w:t>Patient Demographics</w:t>
            </w:r>
          </w:p>
        </w:tc>
        <w:tc>
          <w:tcPr>
            <w:tcW w:w="1166" w:type="dxa"/>
          </w:tcPr>
          <w:p w14:paraId="12F6BB55" w14:textId="3BBF7205" w:rsidR="007B1C67" w:rsidRPr="00413B69" w:rsidRDefault="007B1C67" w:rsidP="00413B69">
            <w:pPr>
              <w:jc w:val="center"/>
              <w:rPr>
                <w:rFonts w:ascii="Arial" w:hAnsi="Arial" w:cs="Arial"/>
                <w:sz w:val="20"/>
                <w:szCs w:val="20"/>
              </w:rPr>
            </w:pPr>
            <w:r w:rsidRPr="00413B69">
              <w:rPr>
                <w:rFonts w:ascii="Arial" w:hAnsi="Arial" w:cs="Arial"/>
                <w:sz w:val="20"/>
                <w:szCs w:val="20"/>
              </w:rPr>
              <w:t>FY20 Count</w:t>
            </w:r>
          </w:p>
        </w:tc>
        <w:tc>
          <w:tcPr>
            <w:tcW w:w="1139" w:type="dxa"/>
          </w:tcPr>
          <w:p w14:paraId="1E7D5A44" w14:textId="3A85F891" w:rsidR="007B1C67" w:rsidRPr="00413B69" w:rsidRDefault="007B1C67" w:rsidP="00413B69">
            <w:pPr>
              <w:jc w:val="center"/>
              <w:rPr>
                <w:rFonts w:ascii="Arial" w:hAnsi="Arial" w:cs="Arial"/>
                <w:sz w:val="20"/>
                <w:szCs w:val="20"/>
              </w:rPr>
            </w:pPr>
            <w:r w:rsidRPr="00413B69">
              <w:rPr>
                <w:rFonts w:ascii="Arial" w:hAnsi="Arial" w:cs="Arial"/>
                <w:sz w:val="20"/>
                <w:szCs w:val="20"/>
              </w:rPr>
              <w:t>FY20 %</w:t>
            </w:r>
          </w:p>
        </w:tc>
        <w:tc>
          <w:tcPr>
            <w:tcW w:w="1107" w:type="dxa"/>
          </w:tcPr>
          <w:p w14:paraId="49FC9787" w14:textId="12604DEB" w:rsidR="007B1C67" w:rsidRPr="00413B69" w:rsidRDefault="007B1C67" w:rsidP="00413B69">
            <w:pPr>
              <w:jc w:val="center"/>
              <w:rPr>
                <w:rFonts w:ascii="Arial" w:hAnsi="Arial" w:cs="Arial"/>
                <w:sz w:val="20"/>
                <w:szCs w:val="20"/>
              </w:rPr>
            </w:pPr>
            <w:r w:rsidRPr="00413B69">
              <w:rPr>
                <w:rFonts w:ascii="Arial" w:hAnsi="Arial" w:cs="Arial"/>
                <w:sz w:val="20"/>
                <w:szCs w:val="20"/>
              </w:rPr>
              <w:t>FY2</w:t>
            </w:r>
            <w:r w:rsidR="000C47D3" w:rsidRPr="00413B69">
              <w:rPr>
                <w:rFonts w:ascii="Arial" w:hAnsi="Arial" w:cs="Arial"/>
                <w:sz w:val="20"/>
                <w:szCs w:val="20"/>
              </w:rPr>
              <w:t>1</w:t>
            </w:r>
            <w:r w:rsidRPr="00413B69">
              <w:rPr>
                <w:rFonts w:ascii="Arial" w:hAnsi="Arial" w:cs="Arial"/>
                <w:sz w:val="20"/>
                <w:szCs w:val="20"/>
              </w:rPr>
              <w:t xml:space="preserve"> Count</w:t>
            </w:r>
          </w:p>
        </w:tc>
        <w:tc>
          <w:tcPr>
            <w:tcW w:w="1139" w:type="dxa"/>
          </w:tcPr>
          <w:p w14:paraId="7A4DF20D" w14:textId="13AC97A7" w:rsidR="007B1C67" w:rsidRPr="00413B69" w:rsidRDefault="007B1C67" w:rsidP="00413B69">
            <w:pPr>
              <w:jc w:val="center"/>
              <w:rPr>
                <w:rFonts w:ascii="Arial" w:hAnsi="Arial" w:cs="Arial"/>
                <w:sz w:val="20"/>
                <w:szCs w:val="20"/>
              </w:rPr>
            </w:pPr>
            <w:r w:rsidRPr="00413B69">
              <w:rPr>
                <w:rFonts w:ascii="Arial" w:hAnsi="Arial" w:cs="Arial"/>
                <w:sz w:val="20"/>
                <w:szCs w:val="20"/>
              </w:rPr>
              <w:t>FY2</w:t>
            </w:r>
            <w:r w:rsidR="000C47D3" w:rsidRPr="00413B69">
              <w:rPr>
                <w:rFonts w:ascii="Arial" w:hAnsi="Arial" w:cs="Arial"/>
                <w:sz w:val="20"/>
                <w:szCs w:val="20"/>
              </w:rPr>
              <w:t>1</w:t>
            </w:r>
            <w:r w:rsidRPr="00413B69">
              <w:rPr>
                <w:rFonts w:ascii="Arial" w:hAnsi="Arial" w:cs="Arial"/>
                <w:sz w:val="20"/>
                <w:szCs w:val="20"/>
              </w:rPr>
              <w:t xml:space="preserve"> %</w:t>
            </w:r>
          </w:p>
        </w:tc>
        <w:tc>
          <w:tcPr>
            <w:tcW w:w="1107" w:type="dxa"/>
          </w:tcPr>
          <w:p w14:paraId="1B4BDF07" w14:textId="176C291C" w:rsidR="007B1C67" w:rsidRPr="00413B69" w:rsidRDefault="007B1C67" w:rsidP="00413B69">
            <w:pPr>
              <w:jc w:val="center"/>
              <w:rPr>
                <w:rFonts w:ascii="Arial" w:hAnsi="Arial" w:cs="Arial"/>
                <w:sz w:val="20"/>
                <w:szCs w:val="20"/>
              </w:rPr>
            </w:pPr>
            <w:r w:rsidRPr="00413B69">
              <w:rPr>
                <w:rFonts w:ascii="Arial" w:hAnsi="Arial" w:cs="Arial"/>
                <w:sz w:val="20"/>
                <w:szCs w:val="20"/>
              </w:rPr>
              <w:t>FY2</w:t>
            </w:r>
            <w:r w:rsidR="000C47D3" w:rsidRPr="00413B69">
              <w:rPr>
                <w:rFonts w:ascii="Arial" w:hAnsi="Arial" w:cs="Arial"/>
                <w:sz w:val="20"/>
                <w:szCs w:val="20"/>
              </w:rPr>
              <w:t>2</w:t>
            </w:r>
            <w:r w:rsidRPr="00413B69">
              <w:rPr>
                <w:rFonts w:ascii="Arial" w:hAnsi="Arial" w:cs="Arial"/>
                <w:sz w:val="20"/>
                <w:szCs w:val="20"/>
              </w:rPr>
              <w:t xml:space="preserve"> Count</w:t>
            </w:r>
          </w:p>
        </w:tc>
        <w:tc>
          <w:tcPr>
            <w:tcW w:w="966" w:type="dxa"/>
          </w:tcPr>
          <w:p w14:paraId="48B7BE39" w14:textId="48276C16" w:rsidR="007B1C67" w:rsidRPr="00413B69" w:rsidRDefault="007B1C67" w:rsidP="00413B69">
            <w:pPr>
              <w:jc w:val="center"/>
              <w:rPr>
                <w:rFonts w:ascii="Arial" w:hAnsi="Arial" w:cs="Arial"/>
                <w:sz w:val="20"/>
                <w:szCs w:val="20"/>
              </w:rPr>
            </w:pPr>
            <w:r w:rsidRPr="00413B69">
              <w:rPr>
                <w:rFonts w:ascii="Arial" w:hAnsi="Arial" w:cs="Arial"/>
                <w:sz w:val="20"/>
                <w:szCs w:val="20"/>
              </w:rPr>
              <w:t>FY2</w:t>
            </w:r>
            <w:r w:rsidR="000C47D3" w:rsidRPr="00413B69">
              <w:rPr>
                <w:rFonts w:ascii="Arial" w:hAnsi="Arial" w:cs="Arial"/>
                <w:sz w:val="20"/>
                <w:szCs w:val="20"/>
              </w:rPr>
              <w:t>2</w:t>
            </w:r>
            <w:r w:rsidRPr="00413B69">
              <w:rPr>
                <w:rFonts w:ascii="Arial" w:hAnsi="Arial" w:cs="Arial"/>
                <w:sz w:val="20"/>
                <w:szCs w:val="20"/>
              </w:rPr>
              <w:t xml:space="preserve"> %</w:t>
            </w:r>
          </w:p>
        </w:tc>
      </w:tr>
      <w:tr w:rsidR="000C47D3" w:rsidRPr="00413B69" w14:paraId="1D483F10" w14:textId="77777777" w:rsidTr="000343B3">
        <w:trPr>
          <w:cantSplit/>
        </w:trPr>
        <w:tc>
          <w:tcPr>
            <w:tcW w:w="2726" w:type="dxa"/>
            <w:shd w:val="clear" w:color="auto" w:fill="E2EFD9" w:themeFill="accent6" w:themeFillTint="33"/>
          </w:tcPr>
          <w:p w14:paraId="2137E3CD" w14:textId="0577304D" w:rsidR="007B1C67" w:rsidRPr="00413B69" w:rsidRDefault="000C47D3" w:rsidP="00685DC8">
            <w:pPr>
              <w:rPr>
                <w:rFonts w:ascii="Arial" w:hAnsi="Arial" w:cs="Arial"/>
                <w:sz w:val="20"/>
                <w:szCs w:val="20"/>
              </w:rPr>
            </w:pPr>
            <w:r w:rsidRPr="00413B69">
              <w:rPr>
                <w:rFonts w:ascii="Arial" w:hAnsi="Arial" w:cs="Arial"/>
                <w:sz w:val="20"/>
                <w:szCs w:val="20"/>
              </w:rPr>
              <w:t>MGB Total</w:t>
            </w:r>
          </w:p>
        </w:tc>
        <w:tc>
          <w:tcPr>
            <w:tcW w:w="1166" w:type="dxa"/>
            <w:shd w:val="clear" w:color="auto" w:fill="E2EFD9" w:themeFill="accent6" w:themeFillTint="33"/>
          </w:tcPr>
          <w:p w14:paraId="782AE5B8" w14:textId="18FD5275" w:rsidR="007B1C67" w:rsidRPr="00413B69" w:rsidRDefault="000C47D3" w:rsidP="00413B69">
            <w:pPr>
              <w:jc w:val="right"/>
              <w:rPr>
                <w:rFonts w:ascii="Arial" w:hAnsi="Arial" w:cs="Arial"/>
                <w:sz w:val="20"/>
                <w:szCs w:val="20"/>
              </w:rPr>
            </w:pPr>
            <w:r w:rsidRPr="00413B69">
              <w:rPr>
                <w:rFonts w:ascii="Arial" w:hAnsi="Arial" w:cs="Arial"/>
                <w:sz w:val="20"/>
                <w:szCs w:val="20"/>
              </w:rPr>
              <w:t>1,567,944</w:t>
            </w:r>
          </w:p>
        </w:tc>
        <w:tc>
          <w:tcPr>
            <w:tcW w:w="1139" w:type="dxa"/>
            <w:shd w:val="clear" w:color="auto" w:fill="E2EFD9" w:themeFill="accent6" w:themeFillTint="33"/>
          </w:tcPr>
          <w:p w14:paraId="20BBB12B" w14:textId="797D4626" w:rsidR="007B1C67" w:rsidRPr="00413B69" w:rsidRDefault="00D844CF" w:rsidP="004F4892">
            <w:pPr>
              <w:jc w:val="right"/>
              <w:rPr>
                <w:rFonts w:ascii="Arial" w:hAnsi="Arial" w:cs="Arial"/>
                <w:sz w:val="20"/>
                <w:szCs w:val="20"/>
              </w:rPr>
            </w:pPr>
            <w:r>
              <w:rPr>
                <w:rFonts w:ascii="Arial" w:hAnsi="Arial" w:cs="Arial"/>
                <w:sz w:val="20"/>
                <w:szCs w:val="20"/>
              </w:rPr>
              <w:t>N/A</w:t>
            </w:r>
          </w:p>
        </w:tc>
        <w:tc>
          <w:tcPr>
            <w:tcW w:w="1107" w:type="dxa"/>
            <w:shd w:val="clear" w:color="auto" w:fill="E2EFD9" w:themeFill="accent6" w:themeFillTint="33"/>
          </w:tcPr>
          <w:p w14:paraId="5B8872B2" w14:textId="7DD4646E" w:rsidR="007B1C67" w:rsidRPr="00413B69" w:rsidRDefault="000C47D3" w:rsidP="00413B69">
            <w:pPr>
              <w:jc w:val="right"/>
              <w:rPr>
                <w:rFonts w:ascii="Arial" w:hAnsi="Arial" w:cs="Arial"/>
                <w:sz w:val="20"/>
                <w:szCs w:val="20"/>
              </w:rPr>
            </w:pPr>
            <w:r w:rsidRPr="00413B69">
              <w:rPr>
                <w:rFonts w:ascii="Arial" w:hAnsi="Arial" w:cs="Arial"/>
                <w:sz w:val="20"/>
                <w:szCs w:val="20"/>
              </w:rPr>
              <w:t>1,725,378</w:t>
            </w:r>
          </w:p>
        </w:tc>
        <w:tc>
          <w:tcPr>
            <w:tcW w:w="1139" w:type="dxa"/>
            <w:shd w:val="clear" w:color="auto" w:fill="E2EFD9" w:themeFill="accent6" w:themeFillTint="33"/>
          </w:tcPr>
          <w:p w14:paraId="1CA4F9B9" w14:textId="76DDB810" w:rsidR="007B1C67" w:rsidRPr="00413B69" w:rsidRDefault="00D844CF" w:rsidP="00413B69">
            <w:pPr>
              <w:jc w:val="right"/>
              <w:rPr>
                <w:rFonts w:ascii="Arial" w:hAnsi="Arial" w:cs="Arial"/>
                <w:sz w:val="20"/>
                <w:szCs w:val="20"/>
              </w:rPr>
            </w:pPr>
            <w:r>
              <w:rPr>
                <w:rFonts w:ascii="Arial" w:hAnsi="Arial" w:cs="Arial"/>
                <w:sz w:val="20"/>
                <w:szCs w:val="20"/>
              </w:rPr>
              <w:t>N/A</w:t>
            </w:r>
          </w:p>
        </w:tc>
        <w:tc>
          <w:tcPr>
            <w:tcW w:w="1107" w:type="dxa"/>
            <w:shd w:val="clear" w:color="auto" w:fill="E2EFD9" w:themeFill="accent6" w:themeFillTint="33"/>
          </w:tcPr>
          <w:p w14:paraId="000CE6A2" w14:textId="2D76066E" w:rsidR="007B1C67" w:rsidRPr="00413B69" w:rsidRDefault="000C47D3" w:rsidP="00413B69">
            <w:pPr>
              <w:jc w:val="right"/>
              <w:rPr>
                <w:rFonts w:ascii="Arial" w:hAnsi="Arial" w:cs="Arial"/>
                <w:sz w:val="20"/>
                <w:szCs w:val="20"/>
              </w:rPr>
            </w:pPr>
            <w:r w:rsidRPr="00413B69">
              <w:rPr>
                <w:rFonts w:ascii="Arial" w:hAnsi="Arial" w:cs="Arial"/>
                <w:sz w:val="20"/>
                <w:szCs w:val="20"/>
              </w:rPr>
              <w:t>1,792,288</w:t>
            </w:r>
          </w:p>
        </w:tc>
        <w:tc>
          <w:tcPr>
            <w:tcW w:w="966" w:type="dxa"/>
            <w:shd w:val="clear" w:color="auto" w:fill="E2EFD9" w:themeFill="accent6" w:themeFillTint="33"/>
          </w:tcPr>
          <w:p w14:paraId="09F87FB7" w14:textId="05B283E0" w:rsidR="007B1C67" w:rsidRPr="00413B69" w:rsidRDefault="00D844CF" w:rsidP="00413B69">
            <w:pPr>
              <w:jc w:val="right"/>
              <w:rPr>
                <w:rFonts w:ascii="Arial" w:hAnsi="Arial" w:cs="Arial"/>
                <w:sz w:val="20"/>
                <w:szCs w:val="20"/>
              </w:rPr>
            </w:pPr>
            <w:r>
              <w:rPr>
                <w:rFonts w:ascii="Arial" w:hAnsi="Arial" w:cs="Arial"/>
                <w:sz w:val="20"/>
                <w:szCs w:val="20"/>
              </w:rPr>
              <w:t>N/A</w:t>
            </w:r>
          </w:p>
        </w:tc>
      </w:tr>
      <w:tr w:rsidR="000C47D3" w:rsidRPr="00413B69" w14:paraId="297FEBC2" w14:textId="77777777" w:rsidTr="000343B3">
        <w:trPr>
          <w:cantSplit/>
        </w:trPr>
        <w:tc>
          <w:tcPr>
            <w:tcW w:w="2726" w:type="dxa"/>
            <w:shd w:val="clear" w:color="auto" w:fill="FBE4D5" w:themeFill="accent2" w:themeFillTint="33"/>
            <w:vAlign w:val="bottom"/>
          </w:tcPr>
          <w:p w14:paraId="5D9E7384" w14:textId="1B38EC31" w:rsidR="000C47D3" w:rsidRPr="00413B69" w:rsidRDefault="00685DC8" w:rsidP="00685DC8">
            <w:pPr>
              <w:rPr>
                <w:rFonts w:ascii="Arial" w:hAnsi="Arial" w:cs="Arial"/>
                <w:sz w:val="20"/>
                <w:szCs w:val="20"/>
              </w:rPr>
            </w:pPr>
            <w:r w:rsidRPr="00685DC8">
              <w:rPr>
                <w:rFonts w:ascii="Arial" w:eastAsia="Times New Roman" w:hAnsi="Arial" w:cs="Arial"/>
                <w:color w:val="000000"/>
                <w:sz w:val="20"/>
                <w:szCs w:val="20"/>
              </w:rPr>
              <w:t>Gender</w:t>
            </w:r>
            <w:r>
              <w:rPr>
                <w:rFonts w:ascii="Arial" w:eastAsia="Times New Roman" w:hAnsi="Arial" w:cs="Arial"/>
                <w:color w:val="000000"/>
                <w:sz w:val="20"/>
                <w:szCs w:val="20"/>
              </w:rPr>
              <w:t xml:space="preserve"> -</w:t>
            </w:r>
            <w:r w:rsidRPr="00413B69">
              <w:rPr>
                <w:rFonts w:ascii="Arial" w:eastAsia="Times New Roman" w:hAnsi="Arial" w:cs="Arial"/>
                <w:color w:val="000000"/>
                <w:sz w:val="20"/>
                <w:szCs w:val="20"/>
              </w:rPr>
              <w:t xml:space="preserve"> </w:t>
            </w:r>
            <w:r w:rsidR="000C47D3" w:rsidRPr="00413B69">
              <w:rPr>
                <w:rFonts w:ascii="Arial" w:eastAsia="Times New Roman" w:hAnsi="Arial" w:cs="Arial"/>
                <w:color w:val="000000"/>
                <w:sz w:val="20"/>
                <w:szCs w:val="20"/>
              </w:rPr>
              <w:t>Female</w:t>
            </w:r>
          </w:p>
        </w:tc>
        <w:tc>
          <w:tcPr>
            <w:tcW w:w="1166" w:type="dxa"/>
            <w:shd w:val="clear" w:color="auto" w:fill="FBE4D5" w:themeFill="accent2" w:themeFillTint="33"/>
            <w:vAlign w:val="bottom"/>
          </w:tcPr>
          <w:p w14:paraId="22C2856B" w14:textId="7357BE1A"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901,965 </w:t>
            </w:r>
          </w:p>
        </w:tc>
        <w:tc>
          <w:tcPr>
            <w:tcW w:w="1139" w:type="dxa"/>
            <w:shd w:val="clear" w:color="auto" w:fill="FBE4D5" w:themeFill="accent2" w:themeFillTint="33"/>
            <w:vAlign w:val="bottom"/>
          </w:tcPr>
          <w:p w14:paraId="1B851F7B" w14:textId="46A050F0"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57.5%</w:t>
            </w:r>
          </w:p>
        </w:tc>
        <w:tc>
          <w:tcPr>
            <w:tcW w:w="1107" w:type="dxa"/>
            <w:shd w:val="clear" w:color="auto" w:fill="FBE4D5" w:themeFill="accent2" w:themeFillTint="33"/>
            <w:vAlign w:val="bottom"/>
          </w:tcPr>
          <w:p w14:paraId="5D1581B5" w14:textId="452CC4E2"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991,605 </w:t>
            </w:r>
          </w:p>
        </w:tc>
        <w:tc>
          <w:tcPr>
            <w:tcW w:w="1139" w:type="dxa"/>
            <w:shd w:val="clear" w:color="auto" w:fill="FBE4D5" w:themeFill="accent2" w:themeFillTint="33"/>
            <w:vAlign w:val="bottom"/>
          </w:tcPr>
          <w:p w14:paraId="1D1DD64C" w14:textId="3A28F66E"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57.5%</w:t>
            </w:r>
          </w:p>
        </w:tc>
        <w:tc>
          <w:tcPr>
            <w:tcW w:w="1107" w:type="dxa"/>
            <w:shd w:val="clear" w:color="auto" w:fill="FBE4D5" w:themeFill="accent2" w:themeFillTint="33"/>
            <w:vAlign w:val="bottom"/>
          </w:tcPr>
          <w:p w14:paraId="1CB2D769" w14:textId="5D5CE3C7"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1,030,477 </w:t>
            </w:r>
          </w:p>
        </w:tc>
        <w:tc>
          <w:tcPr>
            <w:tcW w:w="966" w:type="dxa"/>
            <w:shd w:val="clear" w:color="auto" w:fill="FBE4D5" w:themeFill="accent2" w:themeFillTint="33"/>
            <w:vAlign w:val="bottom"/>
          </w:tcPr>
          <w:p w14:paraId="13FE9AA8" w14:textId="414CB03D"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57.5%</w:t>
            </w:r>
          </w:p>
        </w:tc>
      </w:tr>
      <w:tr w:rsidR="000C47D3" w:rsidRPr="00413B69" w14:paraId="60885A0C" w14:textId="77777777" w:rsidTr="000343B3">
        <w:trPr>
          <w:cantSplit/>
        </w:trPr>
        <w:tc>
          <w:tcPr>
            <w:tcW w:w="2726" w:type="dxa"/>
            <w:shd w:val="clear" w:color="auto" w:fill="FBE4D5" w:themeFill="accent2" w:themeFillTint="33"/>
            <w:vAlign w:val="bottom"/>
          </w:tcPr>
          <w:p w14:paraId="2B844B51" w14:textId="470BFB3F" w:rsidR="000C47D3" w:rsidRPr="00413B69" w:rsidRDefault="00685DC8" w:rsidP="00685DC8">
            <w:pPr>
              <w:rPr>
                <w:rFonts w:ascii="Arial" w:hAnsi="Arial" w:cs="Arial"/>
                <w:sz w:val="20"/>
                <w:szCs w:val="20"/>
              </w:rPr>
            </w:pPr>
            <w:r w:rsidRPr="00685DC8">
              <w:rPr>
                <w:rFonts w:ascii="Arial" w:eastAsia="Times New Roman" w:hAnsi="Arial" w:cs="Arial"/>
                <w:color w:val="000000"/>
                <w:sz w:val="20"/>
                <w:szCs w:val="20"/>
              </w:rPr>
              <w:t>Gender</w:t>
            </w:r>
            <w:r w:rsidRPr="00413B69">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000C47D3" w:rsidRPr="00413B69">
              <w:rPr>
                <w:rFonts w:ascii="Arial" w:eastAsia="Times New Roman" w:hAnsi="Arial" w:cs="Arial"/>
                <w:color w:val="000000"/>
                <w:sz w:val="20"/>
                <w:szCs w:val="20"/>
              </w:rPr>
              <w:t>Male</w:t>
            </w:r>
          </w:p>
        </w:tc>
        <w:tc>
          <w:tcPr>
            <w:tcW w:w="1166" w:type="dxa"/>
            <w:shd w:val="clear" w:color="auto" w:fill="FBE4D5" w:themeFill="accent2" w:themeFillTint="33"/>
            <w:vAlign w:val="bottom"/>
          </w:tcPr>
          <w:p w14:paraId="0D4A341A" w14:textId="324BF568"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665,825 </w:t>
            </w:r>
          </w:p>
        </w:tc>
        <w:tc>
          <w:tcPr>
            <w:tcW w:w="1139" w:type="dxa"/>
            <w:shd w:val="clear" w:color="auto" w:fill="FBE4D5" w:themeFill="accent2" w:themeFillTint="33"/>
            <w:vAlign w:val="bottom"/>
          </w:tcPr>
          <w:p w14:paraId="72BD7C78" w14:textId="37E677A5"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42.5%</w:t>
            </w:r>
          </w:p>
        </w:tc>
        <w:tc>
          <w:tcPr>
            <w:tcW w:w="1107" w:type="dxa"/>
            <w:shd w:val="clear" w:color="auto" w:fill="FBE4D5" w:themeFill="accent2" w:themeFillTint="33"/>
            <w:vAlign w:val="bottom"/>
          </w:tcPr>
          <w:p w14:paraId="6A5CFC2E" w14:textId="415E5693"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733,594 </w:t>
            </w:r>
          </w:p>
        </w:tc>
        <w:tc>
          <w:tcPr>
            <w:tcW w:w="1139" w:type="dxa"/>
            <w:shd w:val="clear" w:color="auto" w:fill="FBE4D5" w:themeFill="accent2" w:themeFillTint="33"/>
            <w:vAlign w:val="bottom"/>
          </w:tcPr>
          <w:p w14:paraId="0C4362D5" w14:textId="5DBF6858"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42.5%</w:t>
            </w:r>
          </w:p>
        </w:tc>
        <w:tc>
          <w:tcPr>
            <w:tcW w:w="1107" w:type="dxa"/>
            <w:shd w:val="clear" w:color="auto" w:fill="FBE4D5" w:themeFill="accent2" w:themeFillTint="33"/>
            <w:vAlign w:val="bottom"/>
          </w:tcPr>
          <w:p w14:paraId="10332AFF" w14:textId="02201F3A"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761,516 </w:t>
            </w:r>
          </w:p>
        </w:tc>
        <w:tc>
          <w:tcPr>
            <w:tcW w:w="966" w:type="dxa"/>
            <w:shd w:val="clear" w:color="auto" w:fill="FBE4D5" w:themeFill="accent2" w:themeFillTint="33"/>
            <w:vAlign w:val="bottom"/>
          </w:tcPr>
          <w:p w14:paraId="16053329" w14:textId="57C218EF"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42.5%</w:t>
            </w:r>
          </w:p>
        </w:tc>
      </w:tr>
      <w:tr w:rsidR="000C47D3" w:rsidRPr="00413B69" w14:paraId="09D0956B" w14:textId="77777777" w:rsidTr="000343B3">
        <w:trPr>
          <w:cantSplit/>
        </w:trPr>
        <w:tc>
          <w:tcPr>
            <w:tcW w:w="2726" w:type="dxa"/>
            <w:shd w:val="clear" w:color="auto" w:fill="FBE4D5" w:themeFill="accent2" w:themeFillTint="33"/>
            <w:vAlign w:val="bottom"/>
          </w:tcPr>
          <w:p w14:paraId="69F37A5D" w14:textId="2E426A17" w:rsidR="000C47D3" w:rsidRPr="00413B69" w:rsidRDefault="00685DC8" w:rsidP="00685DC8">
            <w:pPr>
              <w:rPr>
                <w:rFonts w:ascii="Arial" w:hAnsi="Arial" w:cs="Arial"/>
                <w:sz w:val="20"/>
                <w:szCs w:val="20"/>
              </w:rPr>
            </w:pPr>
            <w:r w:rsidRPr="00685DC8">
              <w:rPr>
                <w:rFonts w:ascii="Arial" w:eastAsia="Times New Roman" w:hAnsi="Arial" w:cs="Arial"/>
                <w:color w:val="000000"/>
                <w:sz w:val="20"/>
                <w:szCs w:val="20"/>
              </w:rPr>
              <w:t>Gender</w:t>
            </w:r>
            <w:r>
              <w:rPr>
                <w:rFonts w:ascii="Arial" w:eastAsia="Times New Roman" w:hAnsi="Arial" w:cs="Arial"/>
                <w:color w:val="000000"/>
                <w:sz w:val="20"/>
                <w:szCs w:val="20"/>
              </w:rPr>
              <w:t xml:space="preserve"> -</w:t>
            </w:r>
            <w:r w:rsidR="000C47D3" w:rsidRPr="00413B69">
              <w:rPr>
                <w:rFonts w:ascii="Arial" w:eastAsia="Times New Roman" w:hAnsi="Arial" w:cs="Arial"/>
                <w:color w:val="000000"/>
                <w:sz w:val="20"/>
                <w:szCs w:val="20"/>
              </w:rPr>
              <w:t>Other/Unknown</w:t>
            </w:r>
          </w:p>
        </w:tc>
        <w:tc>
          <w:tcPr>
            <w:tcW w:w="1166" w:type="dxa"/>
            <w:shd w:val="clear" w:color="auto" w:fill="FBE4D5" w:themeFill="accent2" w:themeFillTint="33"/>
            <w:vAlign w:val="bottom"/>
          </w:tcPr>
          <w:p w14:paraId="3CAA333A" w14:textId="019DA300"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154 </w:t>
            </w:r>
          </w:p>
        </w:tc>
        <w:tc>
          <w:tcPr>
            <w:tcW w:w="1139" w:type="dxa"/>
            <w:shd w:val="clear" w:color="auto" w:fill="FBE4D5" w:themeFill="accent2" w:themeFillTint="33"/>
            <w:vAlign w:val="bottom"/>
          </w:tcPr>
          <w:p w14:paraId="687C120F" w14:textId="67133033"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0.0%</w:t>
            </w:r>
          </w:p>
        </w:tc>
        <w:tc>
          <w:tcPr>
            <w:tcW w:w="1107" w:type="dxa"/>
            <w:shd w:val="clear" w:color="auto" w:fill="FBE4D5" w:themeFill="accent2" w:themeFillTint="33"/>
            <w:vAlign w:val="bottom"/>
          </w:tcPr>
          <w:p w14:paraId="7ACDA90E" w14:textId="79187FA5"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179 </w:t>
            </w:r>
          </w:p>
        </w:tc>
        <w:tc>
          <w:tcPr>
            <w:tcW w:w="1139" w:type="dxa"/>
            <w:shd w:val="clear" w:color="auto" w:fill="FBE4D5" w:themeFill="accent2" w:themeFillTint="33"/>
            <w:vAlign w:val="bottom"/>
          </w:tcPr>
          <w:p w14:paraId="3EDB7599" w14:textId="6695E8BD"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0.0%</w:t>
            </w:r>
          </w:p>
        </w:tc>
        <w:tc>
          <w:tcPr>
            <w:tcW w:w="1107" w:type="dxa"/>
            <w:shd w:val="clear" w:color="auto" w:fill="FBE4D5" w:themeFill="accent2" w:themeFillTint="33"/>
            <w:vAlign w:val="bottom"/>
          </w:tcPr>
          <w:p w14:paraId="043B3DA3" w14:textId="65225BD2"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295 </w:t>
            </w:r>
          </w:p>
        </w:tc>
        <w:tc>
          <w:tcPr>
            <w:tcW w:w="966" w:type="dxa"/>
            <w:shd w:val="clear" w:color="auto" w:fill="FBE4D5" w:themeFill="accent2" w:themeFillTint="33"/>
            <w:vAlign w:val="bottom"/>
          </w:tcPr>
          <w:p w14:paraId="6FB83B87" w14:textId="6858647C"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0.0%</w:t>
            </w:r>
          </w:p>
        </w:tc>
      </w:tr>
      <w:tr w:rsidR="000C47D3" w:rsidRPr="00413B69" w14:paraId="7D974934" w14:textId="77777777" w:rsidTr="000343B3">
        <w:trPr>
          <w:cantSplit/>
        </w:trPr>
        <w:tc>
          <w:tcPr>
            <w:tcW w:w="2726" w:type="dxa"/>
            <w:shd w:val="clear" w:color="auto" w:fill="D9E2F3" w:themeFill="accent1" w:themeFillTint="33"/>
            <w:vAlign w:val="bottom"/>
          </w:tcPr>
          <w:p w14:paraId="0CBB96F2" w14:textId="413F8343" w:rsidR="000C47D3" w:rsidRPr="00413B69" w:rsidRDefault="00685DC8" w:rsidP="00685DC8">
            <w:pPr>
              <w:rPr>
                <w:rFonts w:ascii="Arial" w:hAnsi="Arial" w:cs="Arial"/>
                <w:sz w:val="20"/>
                <w:szCs w:val="20"/>
              </w:rPr>
            </w:pPr>
            <w:r>
              <w:rPr>
                <w:rFonts w:ascii="Arial" w:eastAsia="Times New Roman" w:hAnsi="Arial" w:cs="Arial"/>
                <w:color w:val="000000"/>
                <w:sz w:val="20"/>
                <w:szCs w:val="20"/>
              </w:rPr>
              <w:t xml:space="preserve">Age - </w:t>
            </w:r>
            <w:r w:rsidR="000C47D3" w:rsidRPr="00413B69">
              <w:rPr>
                <w:rFonts w:ascii="Arial" w:eastAsia="Times New Roman" w:hAnsi="Arial" w:cs="Arial"/>
                <w:color w:val="000000"/>
                <w:sz w:val="20"/>
                <w:szCs w:val="20"/>
              </w:rPr>
              <w:t>0-17</w:t>
            </w:r>
          </w:p>
        </w:tc>
        <w:tc>
          <w:tcPr>
            <w:tcW w:w="1166" w:type="dxa"/>
            <w:shd w:val="clear" w:color="auto" w:fill="D9E2F3" w:themeFill="accent1" w:themeFillTint="33"/>
            <w:vAlign w:val="bottom"/>
          </w:tcPr>
          <w:p w14:paraId="139A7A57" w14:textId="6E005F04"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146,914 </w:t>
            </w:r>
          </w:p>
        </w:tc>
        <w:tc>
          <w:tcPr>
            <w:tcW w:w="1139" w:type="dxa"/>
            <w:shd w:val="clear" w:color="auto" w:fill="D9E2F3" w:themeFill="accent1" w:themeFillTint="33"/>
            <w:vAlign w:val="bottom"/>
          </w:tcPr>
          <w:p w14:paraId="28540677" w14:textId="2DFB3C95"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9.4%</w:t>
            </w:r>
          </w:p>
        </w:tc>
        <w:tc>
          <w:tcPr>
            <w:tcW w:w="1107" w:type="dxa"/>
            <w:shd w:val="clear" w:color="auto" w:fill="D9E2F3" w:themeFill="accent1" w:themeFillTint="33"/>
            <w:vAlign w:val="bottom"/>
          </w:tcPr>
          <w:p w14:paraId="3A88D92D" w14:textId="1BBA70A2"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171,720 </w:t>
            </w:r>
          </w:p>
        </w:tc>
        <w:tc>
          <w:tcPr>
            <w:tcW w:w="1139" w:type="dxa"/>
            <w:shd w:val="clear" w:color="auto" w:fill="D9E2F3" w:themeFill="accent1" w:themeFillTint="33"/>
            <w:vAlign w:val="bottom"/>
          </w:tcPr>
          <w:p w14:paraId="2F0053F0" w14:textId="08553ADB"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10.0%</w:t>
            </w:r>
          </w:p>
        </w:tc>
        <w:tc>
          <w:tcPr>
            <w:tcW w:w="1107" w:type="dxa"/>
            <w:shd w:val="clear" w:color="auto" w:fill="D9E2F3" w:themeFill="accent1" w:themeFillTint="33"/>
            <w:vAlign w:val="bottom"/>
          </w:tcPr>
          <w:p w14:paraId="3AA0E7B1" w14:textId="1F06EDF7"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 xml:space="preserve">192,945 </w:t>
            </w:r>
          </w:p>
        </w:tc>
        <w:tc>
          <w:tcPr>
            <w:tcW w:w="966" w:type="dxa"/>
            <w:shd w:val="clear" w:color="auto" w:fill="D9E2F3" w:themeFill="accent1" w:themeFillTint="33"/>
            <w:vAlign w:val="bottom"/>
          </w:tcPr>
          <w:p w14:paraId="49E55268" w14:textId="7B2E6DA0" w:rsidR="000C47D3" w:rsidRPr="00413B69" w:rsidRDefault="000C47D3" w:rsidP="00413B69">
            <w:pPr>
              <w:jc w:val="right"/>
              <w:rPr>
                <w:rFonts w:ascii="Arial" w:hAnsi="Arial" w:cs="Arial"/>
                <w:sz w:val="20"/>
                <w:szCs w:val="20"/>
              </w:rPr>
            </w:pPr>
            <w:r w:rsidRPr="00413B69">
              <w:rPr>
                <w:rFonts w:ascii="Arial" w:eastAsia="Times New Roman" w:hAnsi="Arial" w:cs="Arial"/>
                <w:color w:val="000000"/>
                <w:sz w:val="20"/>
                <w:szCs w:val="20"/>
              </w:rPr>
              <w:t>10.8%</w:t>
            </w:r>
          </w:p>
        </w:tc>
      </w:tr>
      <w:tr w:rsidR="000C47D3" w:rsidRPr="00413B69" w14:paraId="44F05080" w14:textId="77777777" w:rsidTr="000343B3">
        <w:trPr>
          <w:cantSplit/>
        </w:trPr>
        <w:tc>
          <w:tcPr>
            <w:tcW w:w="2726" w:type="dxa"/>
            <w:shd w:val="clear" w:color="auto" w:fill="D9E2F3" w:themeFill="accent1" w:themeFillTint="33"/>
            <w:vAlign w:val="bottom"/>
          </w:tcPr>
          <w:p w14:paraId="678A0940" w14:textId="344BF9FB"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Age - </w:t>
            </w:r>
            <w:r w:rsidR="000C47D3" w:rsidRPr="00413B69">
              <w:rPr>
                <w:rFonts w:ascii="Arial" w:eastAsia="Times New Roman" w:hAnsi="Arial" w:cs="Arial"/>
                <w:color w:val="000000"/>
                <w:sz w:val="20"/>
                <w:szCs w:val="20"/>
              </w:rPr>
              <w:t>18-64</w:t>
            </w:r>
          </w:p>
        </w:tc>
        <w:tc>
          <w:tcPr>
            <w:tcW w:w="1166" w:type="dxa"/>
            <w:shd w:val="clear" w:color="auto" w:fill="D9E2F3" w:themeFill="accent1" w:themeFillTint="33"/>
            <w:vAlign w:val="bottom"/>
          </w:tcPr>
          <w:p w14:paraId="3591DCE7" w14:textId="57CA18B3"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935,519 </w:t>
            </w:r>
          </w:p>
        </w:tc>
        <w:tc>
          <w:tcPr>
            <w:tcW w:w="1139" w:type="dxa"/>
            <w:shd w:val="clear" w:color="auto" w:fill="D9E2F3" w:themeFill="accent1" w:themeFillTint="33"/>
            <w:vAlign w:val="bottom"/>
          </w:tcPr>
          <w:p w14:paraId="37D45F0A" w14:textId="6C5EA42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59.7%</w:t>
            </w:r>
          </w:p>
        </w:tc>
        <w:tc>
          <w:tcPr>
            <w:tcW w:w="1107" w:type="dxa"/>
            <w:shd w:val="clear" w:color="auto" w:fill="D9E2F3" w:themeFill="accent1" w:themeFillTint="33"/>
            <w:vAlign w:val="bottom"/>
          </w:tcPr>
          <w:p w14:paraId="694EC34B" w14:textId="6478CDD0"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1,045,615 </w:t>
            </w:r>
          </w:p>
        </w:tc>
        <w:tc>
          <w:tcPr>
            <w:tcW w:w="1139" w:type="dxa"/>
            <w:shd w:val="clear" w:color="auto" w:fill="D9E2F3" w:themeFill="accent1" w:themeFillTint="33"/>
            <w:vAlign w:val="bottom"/>
          </w:tcPr>
          <w:p w14:paraId="0DA70B16" w14:textId="20FE7419"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60.6%</w:t>
            </w:r>
          </w:p>
        </w:tc>
        <w:tc>
          <w:tcPr>
            <w:tcW w:w="1107" w:type="dxa"/>
            <w:shd w:val="clear" w:color="auto" w:fill="D9E2F3" w:themeFill="accent1" w:themeFillTint="33"/>
            <w:vAlign w:val="bottom"/>
          </w:tcPr>
          <w:p w14:paraId="5C61019D" w14:textId="0B32027D"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1,087,412 </w:t>
            </w:r>
          </w:p>
        </w:tc>
        <w:tc>
          <w:tcPr>
            <w:tcW w:w="966" w:type="dxa"/>
            <w:shd w:val="clear" w:color="auto" w:fill="D9E2F3" w:themeFill="accent1" w:themeFillTint="33"/>
            <w:vAlign w:val="bottom"/>
          </w:tcPr>
          <w:p w14:paraId="1087CDD6" w14:textId="320FCB21"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60.7%</w:t>
            </w:r>
          </w:p>
        </w:tc>
      </w:tr>
      <w:tr w:rsidR="000C47D3" w:rsidRPr="00413B69" w14:paraId="4A4679AF" w14:textId="77777777" w:rsidTr="000343B3">
        <w:trPr>
          <w:cantSplit/>
        </w:trPr>
        <w:tc>
          <w:tcPr>
            <w:tcW w:w="2726" w:type="dxa"/>
            <w:shd w:val="clear" w:color="auto" w:fill="D9E2F3" w:themeFill="accent1" w:themeFillTint="33"/>
            <w:vAlign w:val="bottom"/>
          </w:tcPr>
          <w:p w14:paraId="5D12A738" w14:textId="61C1CEA6"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Age - </w:t>
            </w:r>
            <w:r w:rsidR="000C47D3" w:rsidRPr="00413B69">
              <w:rPr>
                <w:rFonts w:ascii="Arial" w:eastAsia="Times New Roman" w:hAnsi="Arial" w:cs="Arial"/>
                <w:color w:val="000000"/>
                <w:sz w:val="20"/>
                <w:szCs w:val="20"/>
              </w:rPr>
              <w:t>65+</w:t>
            </w:r>
          </w:p>
        </w:tc>
        <w:tc>
          <w:tcPr>
            <w:tcW w:w="1166" w:type="dxa"/>
            <w:shd w:val="clear" w:color="auto" w:fill="D9E2F3" w:themeFill="accent1" w:themeFillTint="33"/>
            <w:vAlign w:val="bottom"/>
          </w:tcPr>
          <w:p w14:paraId="2FA6062E" w14:textId="4BA8AB2E"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485,464 </w:t>
            </w:r>
          </w:p>
        </w:tc>
        <w:tc>
          <w:tcPr>
            <w:tcW w:w="1139" w:type="dxa"/>
            <w:shd w:val="clear" w:color="auto" w:fill="D9E2F3" w:themeFill="accent1" w:themeFillTint="33"/>
            <w:vAlign w:val="bottom"/>
          </w:tcPr>
          <w:p w14:paraId="0F47EFB3" w14:textId="0C6C84D1"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31.0%</w:t>
            </w:r>
          </w:p>
        </w:tc>
        <w:tc>
          <w:tcPr>
            <w:tcW w:w="1107" w:type="dxa"/>
            <w:shd w:val="clear" w:color="auto" w:fill="D9E2F3" w:themeFill="accent1" w:themeFillTint="33"/>
            <w:vAlign w:val="bottom"/>
          </w:tcPr>
          <w:p w14:paraId="55C36976" w14:textId="44E995AA"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508,022 </w:t>
            </w:r>
          </w:p>
        </w:tc>
        <w:tc>
          <w:tcPr>
            <w:tcW w:w="1139" w:type="dxa"/>
            <w:shd w:val="clear" w:color="auto" w:fill="D9E2F3" w:themeFill="accent1" w:themeFillTint="33"/>
            <w:vAlign w:val="bottom"/>
          </w:tcPr>
          <w:p w14:paraId="44B1BFFD" w14:textId="5C3804D5"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29.4%</w:t>
            </w:r>
          </w:p>
        </w:tc>
        <w:tc>
          <w:tcPr>
            <w:tcW w:w="1107" w:type="dxa"/>
            <w:shd w:val="clear" w:color="auto" w:fill="D9E2F3" w:themeFill="accent1" w:themeFillTint="33"/>
            <w:vAlign w:val="bottom"/>
          </w:tcPr>
          <w:p w14:paraId="721F2ADE" w14:textId="271F35B9"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511,899 </w:t>
            </w:r>
          </w:p>
        </w:tc>
        <w:tc>
          <w:tcPr>
            <w:tcW w:w="966" w:type="dxa"/>
            <w:shd w:val="clear" w:color="auto" w:fill="D9E2F3" w:themeFill="accent1" w:themeFillTint="33"/>
            <w:vAlign w:val="bottom"/>
          </w:tcPr>
          <w:p w14:paraId="30BC7E4F" w14:textId="5FDEDB7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28.6%</w:t>
            </w:r>
          </w:p>
        </w:tc>
      </w:tr>
      <w:tr w:rsidR="000C47D3" w:rsidRPr="00413B69" w14:paraId="686D0C53" w14:textId="77777777" w:rsidTr="000343B3">
        <w:trPr>
          <w:cantSplit/>
        </w:trPr>
        <w:tc>
          <w:tcPr>
            <w:tcW w:w="2726" w:type="dxa"/>
            <w:shd w:val="clear" w:color="auto" w:fill="D9E2F3" w:themeFill="accent1" w:themeFillTint="33"/>
            <w:vAlign w:val="bottom"/>
          </w:tcPr>
          <w:p w14:paraId="2768B7EB" w14:textId="6321A68C"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Age - </w:t>
            </w:r>
            <w:r w:rsidR="000C47D3" w:rsidRPr="00413B69">
              <w:rPr>
                <w:rFonts w:ascii="Arial" w:eastAsia="Times New Roman" w:hAnsi="Arial" w:cs="Arial"/>
                <w:color w:val="000000"/>
                <w:sz w:val="20"/>
                <w:szCs w:val="20"/>
              </w:rPr>
              <w:t>Unknown</w:t>
            </w:r>
          </w:p>
        </w:tc>
        <w:tc>
          <w:tcPr>
            <w:tcW w:w="1166" w:type="dxa"/>
            <w:shd w:val="clear" w:color="auto" w:fill="D9E2F3" w:themeFill="accent1" w:themeFillTint="33"/>
            <w:vAlign w:val="bottom"/>
          </w:tcPr>
          <w:p w14:paraId="77646F23" w14:textId="2AE7DA58"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47 </w:t>
            </w:r>
          </w:p>
        </w:tc>
        <w:tc>
          <w:tcPr>
            <w:tcW w:w="1139" w:type="dxa"/>
            <w:shd w:val="clear" w:color="auto" w:fill="D9E2F3" w:themeFill="accent1" w:themeFillTint="33"/>
            <w:vAlign w:val="bottom"/>
          </w:tcPr>
          <w:p w14:paraId="63087777" w14:textId="1F464C6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0.0%</w:t>
            </w:r>
          </w:p>
        </w:tc>
        <w:tc>
          <w:tcPr>
            <w:tcW w:w="1107" w:type="dxa"/>
            <w:shd w:val="clear" w:color="auto" w:fill="D9E2F3" w:themeFill="accent1" w:themeFillTint="33"/>
            <w:vAlign w:val="bottom"/>
          </w:tcPr>
          <w:p w14:paraId="56DC03D8" w14:textId="38A7D9BE"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21 </w:t>
            </w:r>
          </w:p>
        </w:tc>
        <w:tc>
          <w:tcPr>
            <w:tcW w:w="1139" w:type="dxa"/>
            <w:shd w:val="clear" w:color="auto" w:fill="D9E2F3" w:themeFill="accent1" w:themeFillTint="33"/>
            <w:vAlign w:val="bottom"/>
          </w:tcPr>
          <w:p w14:paraId="518C59B9" w14:textId="781B1301"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0.0%</w:t>
            </w:r>
          </w:p>
        </w:tc>
        <w:tc>
          <w:tcPr>
            <w:tcW w:w="1107" w:type="dxa"/>
            <w:shd w:val="clear" w:color="auto" w:fill="D9E2F3" w:themeFill="accent1" w:themeFillTint="33"/>
            <w:vAlign w:val="bottom"/>
          </w:tcPr>
          <w:p w14:paraId="105AE966" w14:textId="02F8F497"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32 </w:t>
            </w:r>
          </w:p>
        </w:tc>
        <w:tc>
          <w:tcPr>
            <w:tcW w:w="966" w:type="dxa"/>
            <w:shd w:val="clear" w:color="auto" w:fill="D9E2F3" w:themeFill="accent1" w:themeFillTint="33"/>
            <w:vAlign w:val="bottom"/>
          </w:tcPr>
          <w:p w14:paraId="0AB8A3B5" w14:textId="5741232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0.0%</w:t>
            </w:r>
          </w:p>
        </w:tc>
      </w:tr>
      <w:tr w:rsidR="000C47D3" w:rsidRPr="00413B69" w14:paraId="2C854D6D" w14:textId="77777777" w:rsidTr="000343B3">
        <w:trPr>
          <w:cantSplit/>
        </w:trPr>
        <w:tc>
          <w:tcPr>
            <w:tcW w:w="2726" w:type="dxa"/>
            <w:shd w:val="clear" w:color="auto" w:fill="FFF2CC" w:themeFill="accent4" w:themeFillTint="33"/>
            <w:vAlign w:val="bottom"/>
          </w:tcPr>
          <w:p w14:paraId="5C78A094" w14:textId="26C54632" w:rsidR="000C47D3" w:rsidRPr="00413B69" w:rsidRDefault="00685DC8" w:rsidP="00685DC8">
            <w:pPr>
              <w:rPr>
                <w:rFonts w:ascii="Arial" w:eastAsia="Times New Roman" w:hAnsi="Arial" w:cs="Arial"/>
                <w:b/>
                <w:bCs/>
                <w:color w:val="000000"/>
                <w:sz w:val="20"/>
                <w:szCs w:val="20"/>
              </w:rPr>
            </w:pPr>
            <w:r>
              <w:rPr>
                <w:rFonts w:ascii="Arial" w:eastAsia="Times New Roman" w:hAnsi="Arial" w:cs="Arial"/>
                <w:color w:val="000000"/>
                <w:sz w:val="20"/>
                <w:szCs w:val="20"/>
              </w:rPr>
              <w:t xml:space="preserve">Race - </w:t>
            </w:r>
            <w:r w:rsidR="000C47D3" w:rsidRPr="00413B69">
              <w:rPr>
                <w:rFonts w:ascii="Arial" w:eastAsia="Times New Roman" w:hAnsi="Arial" w:cs="Arial"/>
                <w:color w:val="000000"/>
                <w:sz w:val="20"/>
                <w:szCs w:val="20"/>
              </w:rPr>
              <w:t>American Indian or Alaska Native</w:t>
            </w:r>
          </w:p>
        </w:tc>
        <w:tc>
          <w:tcPr>
            <w:tcW w:w="1166" w:type="dxa"/>
            <w:shd w:val="clear" w:color="auto" w:fill="FFF2CC" w:themeFill="accent4" w:themeFillTint="33"/>
            <w:vAlign w:val="bottom"/>
          </w:tcPr>
          <w:p w14:paraId="1AB52343" w14:textId="48072BD1"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3,061 </w:t>
            </w:r>
          </w:p>
        </w:tc>
        <w:tc>
          <w:tcPr>
            <w:tcW w:w="1139" w:type="dxa"/>
            <w:shd w:val="clear" w:color="auto" w:fill="FFF2CC" w:themeFill="accent4" w:themeFillTint="33"/>
            <w:vAlign w:val="bottom"/>
          </w:tcPr>
          <w:p w14:paraId="32167E7C" w14:textId="0179C9AE"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0.2%</w:t>
            </w:r>
          </w:p>
        </w:tc>
        <w:tc>
          <w:tcPr>
            <w:tcW w:w="1107" w:type="dxa"/>
            <w:shd w:val="clear" w:color="auto" w:fill="FFF2CC" w:themeFill="accent4" w:themeFillTint="33"/>
            <w:vAlign w:val="bottom"/>
          </w:tcPr>
          <w:p w14:paraId="23FF16EB" w14:textId="6D4A8EC3"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3,306 </w:t>
            </w:r>
          </w:p>
        </w:tc>
        <w:tc>
          <w:tcPr>
            <w:tcW w:w="1139" w:type="dxa"/>
            <w:shd w:val="clear" w:color="auto" w:fill="FFF2CC" w:themeFill="accent4" w:themeFillTint="33"/>
            <w:vAlign w:val="bottom"/>
          </w:tcPr>
          <w:p w14:paraId="0C1EEDDF" w14:textId="435448B9"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0.2%</w:t>
            </w:r>
          </w:p>
        </w:tc>
        <w:tc>
          <w:tcPr>
            <w:tcW w:w="1107" w:type="dxa"/>
            <w:shd w:val="clear" w:color="auto" w:fill="FFF2CC" w:themeFill="accent4" w:themeFillTint="33"/>
            <w:vAlign w:val="bottom"/>
          </w:tcPr>
          <w:p w14:paraId="199835D7" w14:textId="65406542"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3,503 </w:t>
            </w:r>
          </w:p>
        </w:tc>
        <w:tc>
          <w:tcPr>
            <w:tcW w:w="966" w:type="dxa"/>
            <w:shd w:val="clear" w:color="auto" w:fill="FFF2CC" w:themeFill="accent4" w:themeFillTint="33"/>
            <w:vAlign w:val="bottom"/>
          </w:tcPr>
          <w:p w14:paraId="7F564AEC" w14:textId="4B6B9E9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0.2%</w:t>
            </w:r>
          </w:p>
        </w:tc>
      </w:tr>
      <w:tr w:rsidR="000C47D3" w:rsidRPr="00413B69" w14:paraId="1F55E1FA" w14:textId="77777777" w:rsidTr="000343B3">
        <w:trPr>
          <w:cantSplit/>
        </w:trPr>
        <w:tc>
          <w:tcPr>
            <w:tcW w:w="2726" w:type="dxa"/>
            <w:shd w:val="clear" w:color="auto" w:fill="FFF2CC" w:themeFill="accent4" w:themeFillTint="33"/>
            <w:vAlign w:val="bottom"/>
          </w:tcPr>
          <w:p w14:paraId="26870040" w14:textId="29F6F26B"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Race - </w:t>
            </w:r>
            <w:r w:rsidR="000C47D3" w:rsidRPr="00413B69">
              <w:rPr>
                <w:rFonts w:ascii="Arial" w:eastAsia="Times New Roman" w:hAnsi="Arial" w:cs="Arial"/>
                <w:color w:val="000000"/>
                <w:sz w:val="20"/>
                <w:szCs w:val="20"/>
              </w:rPr>
              <w:t>Asian</w:t>
            </w:r>
          </w:p>
        </w:tc>
        <w:tc>
          <w:tcPr>
            <w:tcW w:w="1166" w:type="dxa"/>
            <w:shd w:val="clear" w:color="auto" w:fill="FFF2CC" w:themeFill="accent4" w:themeFillTint="33"/>
            <w:vAlign w:val="bottom"/>
          </w:tcPr>
          <w:p w14:paraId="242160D5" w14:textId="72796F90"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70,070 </w:t>
            </w:r>
          </w:p>
        </w:tc>
        <w:tc>
          <w:tcPr>
            <w:tcW w:w="1139" w:type="dxa"/>
            <w:shd w:val="clear" w:color="auto" w:fill="FFF2CC" w:themeFill="accent4" w:themeFillTint="33"/>
            <w:vAlign w:val="bottom"/>
          </w:tcPr>
          <w:p w14:paraId="2F8C8D18" w14:textId="1484E1B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4.5%</w:t>
            </w:r>
          </w:p>
        </w:tc>
        <w:tc>
          <w:tcPr>
            <w:tcW w:w="1107" w:type="dxa"/>
            <w:shd w:val="clear" w:color="auto" w:fill="FFF2CC" w:themeFill="accent4" w:themeFillTint="33"/>
            <w:vAlign w:val="bottom"/>
          </w:tcPr>
          <w:p w14:paraId="3E0D90A9" w14:textId="37B9D84E"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79,049 </w:t>
            </w:r>
          </w:p>
        </w:tc>
        <w:tc>
          <w:tcPr>
            <w:tcW w:w="1139" w:type="dxa"/>
            <w:shd w:val="clear" w:color="auto" w:fill="FFF2CC" w:themeFill="accent4" w:themeFillTint="33"/>
            <w:vAlign w:val="bottom"/>
          </w:tcPr>
          <w:p w14:paraId="29736D0D" w14:textId="30D142D4"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4.6%</w:t>
            </w:r>
          </w:p>
        </w:tc>
        <w:tc>
          <w:tcPr>
            <w:tcW w:w="1107" w:type="dxa"/>
            <w:shd w:val="clear" w:color="auto" w:fill="FFF2CC" w:themeFill="accent4" w:themeFillTint="33"/>
            <w:vAlign w:val="bottom"/>
          </w:tcPr>
          <w:p w14:paraId="4C2B5467" w14:textId="6FABFEE0"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88,137 </w:t>
            </w:r>
          </w:p>
        </w:tc>
        <w:tc>
          <w:tcPr>
            <w:tcW w:w="966" w:type="dxa"/>
            <w:shd w:val="clear" w:color="auto" w:fill="FFF2CC" w:themeFill="accent4" w:themeFillTint="33"/>
            <w:vAlign w:val="bottom"/>
          </w:tcPr>
          <w:p w14:paraId="3551D49A" w14:textId="292E831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4.9%</w:t>
            </w:r>
          </w:p>
        </w:tc>
      </w:tr>
      <w:tr w:rsidR="000C47D3" w:rsidRPr="00413B69" w14:paraId="180616CA" w14:textId="77777777" w:rsidTr="000343B3">
        <w:trPr>
          <w:cantSplit/>
        </w:trPr>
        <w:tc>
          <w:tcPr>
            <w:tcW w:w="2726" w:type="dxa"/>
            <w:shd w:val="clear" w:color="auto" w:fill="FFF2CC" w:themeFill="accent4" w:themeFillTint="33"/>
            <w:vAlign w:val="bottom"/>
          </w:tcPr>
          <w:p w14:paraId="470460E2" w14:textId="58A231D1"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Race - </w:t>
            </w:r>
            <w:r w:rsidR="000C47D3" w:rsidRPr="00413B69">
              <w:rPr>
                <w:rFonts w:ascii="Arial" w:eastAsia="Times New Roman" w:hAnsi="Arial" w:cs="Arial"/>
                <w:color w:val="000000"/>
                <w:sz w:val="20"/>
                <w:szCs w:val="20"/>
              </w:rPr>
              <w:t>Black or African American</w:t>
            </w:r>
          </w:p>
        </w:tc>
        <w:tc>
          <w:tcPr>
            <w:tcW w:w="1166" w:type="dxa"/>
            <w:shd w:val="clear" w:color="auto" w:fill="FFF2CC" w:themeFill="accent4" w:themeFillTint="33"/>
            <w:vAlign w:val="bottom"/>
          </w:tcPr>
          <w:p w14:paraId="0E05AB5A" w14:textId="0DF6482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86,510 </w:t>
            </w:r>
          </w:p>
        </w:tc>
        <w:tc>
          <w:tcPr>
            <w:tcW w:w="1139" w:type="dxa"/>
            <w:shd w:val="clear" w:color="auto" w:fill="FFF2CC" w:themeFill="accent4" w:themeFillTint="33"/>
            <w:vAlign w:val="bottom"/>
          </w:tcPr>
          <w:p w14:paraId="0A8B48BB" w14:textId="458B7C7C"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5.5%</w:t>
            </w:r>
          </w:p>
        </w:tc>
        <w:tc>
          <w:tcPr>
            <w:tcW w:w="1107" w:type="dxa"/>
            <w:shd w:val="clear" w:color="auto" w:fill="FFF2CC" w:themeFill="accent4" w:themeFillTint="33"/>
            <w:vAlign w:val="bottom"/>
          </w:tcPr>
          <w:p w14:paraId="1C71E7C8" w14:textId="3C3B654D"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95,367 </w:t>
            </w:r>
          </w:p>
        </w:tc>
        <w:tc>
          <w:tcPr>
            <w:tcW w:w="1139" w:type="dxa"/>
            <w:shd w:val="clear" w:color="auto" w:fill="FFF2CC" w:themeFill="accent4" w:themeFillTint="33"/>
            <w:vAlign w:val="bottom"/>
          </w:tcPr>
          <w:p w14:paraId="58D59FD3" w14:textId="36CDA15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5.5%</w:t>
            </w:r>
          </w:p>
        </w:tc>
        <w:tc>
          <w:tcPr>
            <w:tcW w:w="1107" w:type="dxa"/>
            <w:shd w:val="clear" w:color="auto" w:fill="FFF2CC" w:themeFill="accent4" w:themeFillTint="33"/>
            <w:vAlign w:val="bottom"/>
          </w:tcPr>
          <w:p w14:paraId="16613606" w14:textId="4DA9FFF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99,490 </w:t>
            </w:r>
          </w:p>
        </w:tc>
        <w:tc>
          <w:tcPr>
            <w:tcW w:w="966" w:type="dxa"/>
            <w:shd w:val="clear" w:color="auto" w:fill="FFF2CC" w:themeFill="accent4" w:themeFillTint="33"/>
            <w:vAlign w:val="bottom"/>
          </w:tcPr>
          <w:p w14:paraId="2A624BE3" w14:textId="5827E27E"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5.6%</w:t>
            </w:r>
          </w:p>
        </w:tc>
      </w:tr>
      <w:tr w:rsidR="000C47D3" w:rsidRPr="00413B69" w14:paraId="24F2B3EA" w14:textId="77777777" w:rsidTr="000343B3">
        <w:trPr>
          <w:cantSplit/>
        </w:trPr>
        <w:tc>
          <w:tcPr>
            <w:tcW w:w="2726" w:type="dxa"/>
            <w:shd w:val="clear" w:color="auto" w:fill="FFF2CC" w:themeFill="accent4" w:themeFillTint="33"/>
            <w:vAlign w:val="bottom"/>
          </w:tcPr>
          <w:p w14:paraId="713B10CF" w14:textId="4C45B17C"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Race - </w:t>
            </w:r>
            <w:r w:rsidR="000C47D3" w:rsidRPr="00413B69">
              <w:rPr>
                <w:rFonts w:ascii="Arial" w:eastAsia="Times New Roman" w:hAnsi="Arial" w:cs="Arial"/>
                <w:color w:val="000000"/>
                <w:sz w:val="20"/>
                <w:szCs w:val="20"/>
              </w:rPr>
              <w:t>Hispanic/Latino</w:t>
            </w:r>
          </w:p>
        </w:tc>
        <w:tc>
          <w:tcPr>
            <w:tcW w:w="1166" w:type="dxa"/>
            <w:shd w:val="clear" w:color="auto" w:fill="FFF2CC" w:themeFill="accent4" w:themeFillTint="33"/>
            <w:vAlign w:val="bottom"/>
          </w:tcPr>
          <w:p w14:paraId="0200C932" w14:textId="05CCDAC7"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226 </w:t>
            </w:r>
          </w:p>
        </w:tc>
        <w:tc>
          <w:tcPr>
            <w:tcW w:w="1139" w:type="dxa"/>
            <w:shd w:val="clear" w:color="auto" w:fill="FFF2CC" w:themeFill="accent4" w:themeFillTint="33"/>
            <w:vAlign w:val="bottom"/>
          </w:tcPr>
          <w:p w14:paraId="733322B5" w14:textId="5E5757FA"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0.0%</w:t>
            </w:r>
          </w:p>
        </w:tc>
        <w:tc>
          <w:tcPr>
            <w:tcW w:w="1107" w:type="dxa"/>
            <w:shd w:val="clear" w:color="auto" w:fill="FFF2CC" w:themeFill="accent4" w:themeFillTint="33"/>
            <w:vAlign w:val="bottom"/>
          </w:tcPr>
          <w:p w14:paraId="0BC765A8" w14:textId="4BEDC489"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221 </w:t>
            </w:r>
          </w:p>
        </w:tc>
        <w:tc>
          <w:tcPr>
            <w:tcW w:w="1139" w:type="dxa"/>
            <w:shd w:val="clear" w:color="auto" w:fill="FFF2CC" w:themeFill="accent4" w:themeFillTint="33"/>
            <w:vAlign w:val="bottom"/>
          </w:tcPr>
          <w:p w14:paraId="7B9397CC" w14:textId="6B88BF26"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0.0%</w:t>
            </w:r>
          </w:p>
        </w:tc>
        <w:tc>
          <w:tcPr>
            <w:tcW w:w="1107" w:type="dxa"/>
            <w:shd w:val="clear" w:color="auto" w:fill="FFF2CC" w:themeFill="accent4" w:themeFillTint="33"/>
            <w:vAlign w:val="bottom"/>
          </w:tcPr>
          <w:p w14:paraId="68336F08" w14:textId="7B999382"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192 </w:t>
            </w:r>
          </w:p>
        </w:tc>
        <w:tc>
          <w:tcPr>
            <w:tcW w:w="966" w:type="dxa"/>
            <w:shd w:val="clear" w:color="auto" w:fill="FFF2CC" w:themeFill="accent4" w:themeFillTint="33"/>
            <w:vAlign w:val="bottom"/>
          </w:tcPr>
          <w:p w14:paraId="183784EA" w14:textId="1B1AC5A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0.0%</w:t>
            </w:r>
          </w:p>
        </w:tc>
      </w:tr>
      <w:tr w:rsidR="000C47D3" w:rsidRPr="00413B69" w14:paraId="767F6DFB" w14:textId="77777777" w:rsidTr="000343B3">
        <w:trPr>
          <w:cantSplit/>
        </w:trPr>
        <w:tc>
          <w:tcPr>
            <w:tcW w:w="2726" w:type="dxa"/>
            <w:shd w:val="clear" w:color="auto" w:fill="FFF2CC" w:themeFill="accent4" w:themeFillTint="33"/>
            <w:vAlign w:val="bottom"/>
          </w:tcPr>
          <w:p w14:paraId="1332F243" w14:textId="6D19FD9E"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Race - </w:t>
            </w:r>
            <w:r w:rsidR="000C47D3" w:rsidRPr="00413B69">
              <w:rPr>
                <w:rFonts w:ascii="Arial" w:eastAsia="Times New Roman" w:hAnsi="Arial" w:cs="Arial"/>
                <w:color w:val="000000"/>
                <w:sz w:val="20"/>
                <w:szCs w:val="20"/>
              </w:rPr>
              <w:t>Native Hawaiian or Other Pacific Islander</w:t>
            </w:r>
          </w:p>
        </w:tc>
        <w:tc>
          <w:tcPr>
            <w:tcW w:w="1166" w:type="dxa"/>
            <w:shd w:val="clear" w:color="auto" w:fill="FFF2CC" w:themeFill="accent4" w:themeFillTint="33"/>
            <w:vAlign w:val="bottom"/>
          </w:tcPr>
          <w:p w14:paraId="2484A126" w14:textId="4DBCD6F7"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1,106 </w:t>
            </w:r>
          </w:p>
        </w:tc>
        <w:tc>
          <w:tcPr>
            <w:tcW w:w="1139" w:type="dxa"/>
            <w:shd w:val="clear" w:color="auto" w:fill="FFF2CC" w:themeFill="accent4" w:themeFillTint="33"/>
            <w:vAlign w:val="bottom"/>
          </w:tcPr>
          <w:p w14:paraId="0F26FA1C" w14:textId="6E25979E"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0.1%</w:t>
            </w:r>
          </w:p>
        </w:tc>
        <w:tc>
          <w:tcPr>
            <w:tcW w:w="1107" w:type="dxa"/>
            <w:shd w:val="clear" w:color="auto" w:fill="FFF2CC" w:themeFill="accent4" w:themeFillTint="33"/>
            <w:vAlign w:val="bottom"/>
          </w:tcPr>
          <w:p w14:paraId="6555CCB3" w14:textId="608F9B91"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1,242 </w:t>
            </w:r>
          </w:p>
        </w:tc>
        <w:tc>
          <w:tcPr>
            <w:tcW w:w="1139" w:type="dxa"/>
            <w:shd w:val="clear" w:color="auto" w:fill="FFF2CC" w:themeFill="accent4" w:themeFillTint="33"/>
            <w:vAlign w:val="bottom"/>
          </w:tcPr>
          <w:p w14:paraId="279AE8A3" w14:textId="4955050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0.1%</w:t>
            </w:r>
          </w:p>
        </w:tc>
        <w:tc>
          <w:tcPr>
            <w:tcW w:w="1107" w:type="dxa"/>
            <w:shd w:val="clear" w:color="auto" w:fill="FFF2CC" w:themeFill="accent4" w:themeFillTint="33"/>
            <w:vAlign w:val="bottom"/>
          </w:tcPr>
          <w:p w14:paraId="7CDB877C" w14:textId="005001B7"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1,344 </w:t>
            </w:r>
          </w:p>
        </w:tc>
        <w:tc>
          <w:tcPr>
            <w:tcW w:w="966" w:type="dxa"/>
            <w:shd w:val="clear" w:color="auto" w:fill="FFF2CC" w:themeFill="accent4" w:themeFillTint="33"/>
            <w:vAlign w:val="bottom"/>
          </w:tcPr>
          <w:p w14:paraId="0CE98AD3" w14:textId="2A9489B7"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0.1%</w:t>
            </w:r>
          </w:p>
        </w:tc>
      </w:tr>
      <w:tr w:rsidR="000C47D3" w:rsidRPr="00413B69" w14:paraId="1C45B799" w14:textId="77777777" w:rsidTr="000343B3">
        <w:trPr>
          <w:cantSplit/>
        </w:trPr>
        <w:tc>
          <w:tcPr>
            <w:tcW w:w="2726" w:type="dxa"/>
            <w:shd w:val="clear" w:color="auto" w:fill="FFF2CC" w:themeFill="accent4" w:themeFillTint="33"/>
            <w:vAlign w:val="bottom"/>
          </w:tcPr>
          <w:p w14:paraId="45CEC4D3" w14:textId="71978256"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Race - </w:t>
            </w:r>
            <w:r w:rsidR="000C47D3" w:rsidRPr="00413B69">
              <w:rPr>
                <w:rFonts w:ascii="Arial" w:eastAsia="Times New Roman" w:hAnsi="Arial" w:cs="Arial"/>
                <w:color w:val="000000"/>
                <w:sz w:val="20"/>
                <w:szCs w:val="20"/>
              </w:rPr>
              <w:t>Other/Unknown</w:t>
            </w:r>
          </w:p>
        </w:tc>
        <w:tc>
          <w:tcPr>
            <w:tcW w:w="1166" w:type="dxa"/>
            <w:shd w:val="clear" w:color="auto" w:fill="FFF2CC" w:themeFill="accent4" w:themeFillTint="33"/>
            <w:vAlign w:val="bottom"/>
          </w:tcPr>
          <w:p w14:paraId="2861A826" w14:textId="185E7C82"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223,127 </w:t>
            </w:r>
          </w:p>
        </w:tc>
        <w:tc>
          <w:tcPr>
            <w:tcW w:w="1139" w:type="dxa"/>
            <w:shd w:val="clear" w:color="auto" w:fill="FFF2CC" w:themeFill="accent4" w:themeFillTint="33"/>
            <w:vAlign w:val="bottom"/>
          </w:tcPr>
          <w:p w14:paraId="457C76F2" w14:textId="58C9070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14.2%</w:t>
            </w:r>
          </w:p>
        </w:tc>
        <w:tc>
          <w:tcPr>
            <w:tcW w:w="1107" w:type="dxa"/>
            <w:shd w:val="clear" w:color="auto" w:fill="FFF2CC" w:themeFill="accent4" w:themeFillTint="33"/>
            <w:vAlign w:val="bottom"/>
          </w:tcPr>
          <w:p w14:paraId="52EC0425" w14:textId="7BDB5573"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253,400 </w:t>
            </w:r>
          </w:p>
        </w:tc>
        <w:tc>
          <w:tcPr>
            <w:tcW w:w="1139" w:type="dxa"/>
            <w:shd w:val="clear" w:color="auto" w:fill="FFF2CC" w:themeFill="accent4" w:themeFillTint="33"/>
            <w:vAlign w:val="bottom"/>
          </w:tcPr>
          <w:p w14:paraId="4367DE4D" w14:textId="06EC7551"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14.7%</w:t>
            </w:r>
          </w:p>
        </w:tc>
        <w:tc>
          <w:tcPr>
            <w:tcW w:w="1107" w:type="dxa"/>
            <w:shd w:val="clear" w:color="auto" w:fill="FFF2CC" w:themeFill="accent4" w:themeFillTint="33"/>
            <w:vAlign w:val="bottom"/>
          </w:tcPr>
          <w:p w14:paraId="02C8082B" w14:textId="09F16265"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276,741 </w:t>
            </w:r>
          </w:p>
        </w:tc>
        <w:tc>
          <w:tcPr>
            <w:tcW w:w="966" w:type="dxa"/>
            <w:shd w:val="clear" w:color="auto" w:fill="FFF2CC" w:themeFill="accent4" w:themeFillTint="33"/>
            <w:vAlign w:val="bottom"/>
          </w:tcPr>
          <w:p w14:paraId="4EEE0514" w14:textId="6FD9CC66"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15.4%</w:t>
            </w:r>
          </w:p>
        </w:tc>
      </w:tr>
      <w:tr w:rsidR="000C47D3" w:rsidRPr="00413B69" w14:paraId="12AC6554" w14:textId="77777777" w:rsidTr="000343B3">
        <w:trPr>
          <w:cantSplit/>
        </w:trPr>
        <w:tc>
          <w:tcPr>
            <w:tcW w:w="2726" w:type="dxa"/>
            <w:shd w:val="clear" w:color="auto" w:fill="FFF2CC" w:themeFill="accent4" w:themeFillTint="33"/>
            <w:vAlign w:val="bottom"/>
          </w:tcPr>
          <w:p w14:paraId="46F462CD" w14:textId="0022D0FA"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Race - </w:t>
            </w:r>
            <w:r w:rsidR="000C47D3" w:rsidRPr="00413B69">
              <w:rPr>
                <w:rFonts w:ascii="Arial" w:eastAsia="Times New Roman" w:hAnsi="Arial" w:cs="Arial"/>
                <w:color w:val="000000"/>
                <w:sz w:val="20"/>
                <w:szCs w:val="20"/>
              </w:rPr>
              <w:t>White</w:t>
            </w:r>
          </w:p>
        </w:tc>
        <w:tc>
          <w:tcPr>
            <w:tcW w:w="1166" w:type="dxa"/>
            <w:shd w:val="clear" w:color="auto" w:fill="FFF2CC" w:themeFill="accent4" w:themeFillTint="33"/>
            <w:vAlign w:val="bottom"/>
          </w:tcPr>
          <w:p w14:paraId="287F30CF" w14:textId="35B4ABBD"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1,183,844 </w:t>
            </w:r>
          </w:p>
        </w:tc>
        <w:tc>
          <w:tcPr>
            <w:tcW w:w="1139" w:type="dxa"/>
            <w:shd w:val="clear" w:color="auto" w:fill="FFF2CC" w:themeFill="accent4" w:themeFillTint="33"/>
            <w:vAlign w:val="bottom"/>
          </w:tcPr>
          <w:p w14:paraId="328042FA" w14:textId="517A6456"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75.5%</w:t>
            </w:r>
          </w:p>
        </w:tc>
        <w:tc>
          <w:tcPr>
            <w:tcW w:w="1107" w:type="dxa"/>
            <w:shd w:val="clear" w:color="auto" w:fill="FFF2CC" w:themeFill="accent4" w:themeFillTint="33"/>
            <w:vAlign w:val="bottom"/>
          </w:tcPr>
          <w:p w14:paraId="7D96391F" w14:textId="55E47924"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1,292,793 </w:t>
            </w:r>
          </w:p>
        </w:tc>
        <w:tc>
          <w:tcPr>
            <w:tcW w:w="1139" w:type="dxa"/>
            <w:shd w:val="clear" w:color="auto" w:fill="FFF2CC" w:themeFill="accent4" w:themeFillTint="33"/>
            <w:vAlign w:val="bottom"/>
          </w:tcPr>
          <w:p w14:paraId="071A6555" w14:textId="3935AF4E"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74.9%</w:t>
            </w:r>
          </w:p>
        </w:tc>
        <w:tc>
          <w:tcPr>
            <w:tcW w:w="1107" w:type="dxa"/>
            <w:shd w:val="clear" w:color="auto" w:fill="FFF2CC" w:themeFill="accent4" w:themeFillTint="33"/>
            <w:vAlign w:val="bottom"/>
          </w:tcPr>
          <w:p w14:paraId="1AAE2627" w14:textId="3395C60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1,322,881 </w:t>
            </w:r>
          </w:p>
        </w:tc>
        <w:tc>
          <w:tcPr>
            <w:tcW w:w="966" w:type="dxa"/>
            <w:shd w:val="clear" w:color="auto" w:fill="FFF2CC" w:themeFill="accent4" w:themeFillTint="33"/>
            <w:vAlign w:val="bottom"/>
          </w:tcPr>
          <w:p w14:paraId="25FA6975" w14:textId="34C4E52D"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73.8%</w:t>
            </w:r>
          </w:p>
        </w:tc>
      </w:tr>
      <w:tr w:rsidR="000C47D3" w:rsidRPr="00413B69" w14:paraId="04A0D45E" w14:textId="77777777" w:rsidTr="000343B3">
        <w:trPr>
          <w:cantSplit/>
        </w:trPr>
        <w:tc>
          <w:tcPr>
            <w:tcW w:w="2726" w:type="dxa"/>
            <w:shd w:val="clear" w:color="auto" w:fill="D0CECE" w:themeFill="background2" w:themeFillShade="E6"/>
            <w:vAlign w:val="bottom"/>
          </w:tcPr>
          <w:p w14:paraId="136C4A26" w14:textId="6770DE3F" w:rsidR="000C47D3" w:rsidRPr="00413B69" w:rsidRDefault="00685DC8" w:rsidP="00685DC8">
            <w:pPr>
              <w:rPr>
                <w:rFonts w:ascii="Arial" w:eastAsia="Times New Roman" w:hAnsi="Arial" w:cs="Arial"/>
                <w:b/>
                <w:bCs/>
                <w:color w:val="000000"/>
                <w:sz w:val="20"/>
                <w:szCs w:val="20"/>
              </w:rPr>
            </w:pPr>
            <w:r>
              <w:rPr>
                <w:rFonts w:ascii="Arial" w:eastAsia="Times New Roman" w:hAnsi="Arial" w:cs="Arial"/>
                <w:color w:val="000000"/>
                <w:sz w:val="20"/>
                <w:szCs w:val="20"/>
              </w:rPr>
              <w:t xml:space="preserve">Patient Origin - </w:t>
            </w:r>
            <w:r w:rsidR="000C47D3" w:rsidRPr="00413B69">
              <w:rPr>
                <w:rFonts w:ascii="Arial" w:eastAsia="Times New Roman" w:hAnsi="Arial" w:cs="Arial"/>
                <w:color w:val="000000"/>
                <w:sz w:val="20"/>
                <w:szCs w:val="20"/>
              </w:rPr>
              <w:t>HSA_1</w:t>
            </w:r>
          </w:p>
        </w:tc>
        <w:tc>
          <w:tcPr>
            <w:tcW w:w="1166" w:type="dxa"/>
            <w:shd w:val="clear" w:color="auto" w:fill="D0CECE" w:themeFill="background2" w:themeFillShade="E6"/>
            <w:vAlign w:val="bottom"/>
          </w:tcPr>
          <w:p w14:paraId="3C6551FF" w14:textId="65398F17"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99,772 </w:t>
            </w:r>
          </w:p>
        </w:tc>
        <w:tc>
          <w:tcPr>
            <w:tcW w:w="1139" w:type="dxa"/>
            <w:shd w:val="clear" w:color="auto" w:fill="D0CECE" w:themeFill="background2" w:themeFillShade="E6"/>
            <w:vAlign w:val="bottom"/>
          </w:tcPr>
          <w:p w14:paraId="16077456" w14:textId="63C41AD0"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6.4%</w:t>
            </w:r>
          </w:p>
        </w:tc>
        <w:tc>
          <w:tcPr>
            <w:tcW w:w="1107" w:type="dxa"/>
            <w:shd w:val="clear" w:color="auto" w:fill="D0CECE" w:themeFill="background2" w:themeFillShade="E6"/>
            <w:vAlign w:val="bottom"/>
          </w:tcPr>
          <w:p w14:paraId="3706D2C5" w14:textId="6C3362A2"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107,934 </w:t>
            </w:r>
          </w:p>
        </w:tc>
        <w:tc>
          <w:tcPr>
            <w:tcW w:w="1139" w:type="dxa"/>
            <w:shd w:val="clear" w:color="auto" w:fill="D0CECE" w:themeFill="background2" w:themeFillShade="E6"/>
            <w:vAlign w:val="bottom"/>
          </w:tcPr>
          <w:p w14:paraId="1BD0AD01" w14:textId="09CB0500"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6.3%</w:t>
            </w:r>
          </w:p>
        </w:tc>
        <w:tc>
          <w:tcPr>
            <w:tcW w:w="1107" w:type="dxa"/>
            <w:shd w:val="clear" w:color="auto" w:fill="D0CECE" w:themeFill="background2" w:themeFillShade="E6"/>
            <w:vAlign w:val="bottom"/>
          </w:tcPr>
          <w:p w14:paraId="2F89C63F" w14:textId="0A5BD5A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111,279 </w:t>
            </w:r>
          </w:p>
        </w:tc>
        <w:tc>
          <w:tcPr>
            <w:tcW w:w="966" w:type="dxa"/>
            <w:shd w:val="clear" w:color="auto" w:fill="D0CECE" w:themeFill="background2" w:themeFillShade="E6"/>
            <w:vAlign w:val="bottom"/>
          </w:tcPr>
          <w:p w14:paraId="53873248" w14:textId="20B37EFE"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6.2%</w:t>
            </w:r>
          </w:p>
        </w:tc>
      </w:tr>
      <w:tr w:rsidR="000C47D3" w:rsidRPr="00413B69" w14:paraId="07F41E1B" w14:textId="77777777" w:rsidTr="000343B3">
        <w:trPr>
          <w:cantSplit/>
        </w:trPr>
        <w:tc>
          <w:tcPr>
            <w:tcW w:w="2726" w:type="dxa"/>
            <w:shd w:val="clear" w:color="auto" w:fill="D0CECE" w:themeFill="background2" w:themeFillShade="E6"/>
            <w:vAlign w:val="bottom"/>
          </w:tcPr>
          <w:p w14:paraId="65483418" w14:textId="7982787B"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Patient Origin - </w:t>
            </w:r>
            <w:r w:rsidR="000C47D3" w:rsidRPr="00413B69">
              <w:rPr>
                <w:rFonts w:ascii="Arial" w:eastAsia="Times New Roman" w:hAnsi="Arial" w:cs="Arial"/>
                <w:color w:val="000000"/>
                <w:sz w:val="20"/>
                <w:szCs w:val="20"/>
              </w:rPr>
              <w:t>HSA_2</w:t>
            </w:r>
          </w:p>
        </w:tc>
        <w:tc>
          <w:tcPr>
            <w:tcW w:w="1166" w:type="dxa"/>
            <w:shd w:val="clear" w:color="auto" w:fill="D0CECE" w:themeFill="background2" w:themeFillShade="E6"/>
            <w:vAlign w:val="bottom"/>
          </w:tcPr>
          <w:p w14:paraId="1E036EC3" w14:textId="0020BB7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55,629 </w:t>
            </w:r>
          </w:p>
        </w:tc>
        <w:tc>
          <w:tcPr>
            <w:tcW w:w="1139" w:type="dxa"/>
            <w:shd w:val="clear" w:color="auto" w:fill="D0CECE" w:themeFill="background2" w:themeFillShade="E6"/>
            <w:vAlign w:val="bottom"/>
          </w:tcPr>
          <w:p w14:paraId="04BCF3DA" w14:textId="09DC7E10"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3.5%</w:t>
            </w:r>
          </w:p>
        </w:tc>
        <w:tc>
          <w:tcPr>
            <w:tcW w:w="1107" w:type="dxa"/>
            <w:shd w:val="clear" w:color="auto" w:fill="D0CECE" w:themeFill="background2" w:themeFillShade="E6"/>
            <w:vAlign w:val="bottom"/>
          </w:tcPr>
          <w:p w14:paraId="5FE3B0D5" w14:textId="714C5BF1"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70,848 </w:t>
            </w:r>
          </w:p>
        </w:tc>
        <w:tc>
          <w:tcPr>
            <w:tcW w:w="1139" w:type="dxa"/>
            <w:shd w:val="clear" w:color="auto" w:fill="D0CECE" w:themeFill="background2" w:themeFillShade="E6"/>
            <w:vAlign w:val="bottom"/>
          </w:tcPr>
          <w:p w14:paraId="3D03D5E3" w14:textId="34F65C7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4.1%</w:t>
            </w:r>
          </w:p>
        </w:tc>
        <w:tc>
          <w:tcPr>
            <w:tcW w:w="1107" w:type="dxa"/>
            <w:shd w:val="clear" w:color="auto" w:fill="D0CECE" w:themeFill="background2" w:themeFillShade="E6"/>
            <w:vAlign w:val="bottom"/>
          </w:tcPr>
          <w:p w14:paraId="57313EA1" w14:textId="19702B9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72,924 </w:t>
            </w:r>
          </w:p>
        </w:tc>
        <w:tc>
          <w:tcPr>
            <w:tcW w:w="966" w:type="dxa"/>
            <w:shd w:val="clear" w:color="auto" w:fill="D0CECE" w:themeFill="background2" w:themeFillShade="E6"/>
            <w:vAlign w:val="bottom"/>
          </w:tcPr>
          <w:p w14:paraId="173C862D" w14:textId="4CE33D5A"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4.1%</w:t>
            </w:r>
          </w:p>
        </w:tc>
      </w:tr>
      <w:tr w:rsidR="000C47D3" w:rsidRPr="00413B69" w14:paraId="01946522" w14:textId="77777777" w:rsidTr="000343B3">
        <w:trPr>
          <w:cantSplit/>
        </w:trPr>
        <w:tc>
          <w:tcPr>
            <w:tcW w:w="2726" w:type="dxa"/>
            <w:shd w:val="clear" w:color="auto" w:fill="D0CECE" w:themeFill="background2" w:themeFillShade="E6"/>
            <w:vAlign w:val="bottom"/>
          </w:tcPr>
          <w:p w14:paraId="63F36708" w14:textId="549D6CF8"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Patient Origin - </w:t>
            </w:r>
            <w:r w:rsidR="000C47D3" w:rsidRPr="00413B69">
              <w:rPr>
                <w:rFonts w:ascii="Arial" w:eastAsia="Times New Roman" w:hAnsi="Arial" w:cs="Arial"/>
                <w:color w:val="000000"/>
                <w:sz w:val="20"/>
                <w:szCs w:val="20"/>
              </w:rPr>
              <w:t>HSA_3</w:t>
            </w:r>
          </w:p>
        </w:tc>
        <w:tc>
          <w:tcPr>
            <w:tcW w:w="1166" w:type="dxa"/>
            <w:shd w:val="clear" w:color="auto" w:fill="D0CECE" w:themeFill="background2" w:themeFillShade="E6"/>
            <w:vAlign w:val="bottom"/>
          </w:tcPr>
          <w:p w14:paraId="0BC49472" w14:textId="7F4628C8"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96,078 </w:t>
            </w:r>
          </w:p>
        </w:tc>
        <w:tc>
          <w:tcPr>
            <w:tcW w:w="1139" w:type="dxa"/>
            <w:shd w:val="clear" w:color="auto" w:fill="D0CECE" w:themeFill="background2" w:themeFillShade="E6"/>
            <w:vAlign w:val="bottom"/>
          </w:tcPr>
          <w:p w14:paraId="0F7F9A88" w14:textId="38BE7ABA"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6.1%</w:t>
            </w:r>
          </w:p>
        </w:tc>
        <w:tc>
          <w:tcPr>
            <w:tcW w:w="1107" w:type="dxa"/>
            <w:shd w:val="clear" w:color="auto" w:fill="D0CECE" w:themeFill="background2" w:themeFillShade="E6"/>
            <w:vAlign w:val="bottom"/>
          </w:tcPr>
          <w:p w14:paraId="2D5800F7" w14:textId="41977F6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103,048 </w:t>
            </w:r>
          </w:p>
        </w:tc>
        <w:tc>
          <w:tcPr>
            <w:tcW w:w="1139" w:type="dxa"/>
            <w:shd w:val="clear" w:color="auto" w:fill="D0CECE" w:themeFill="background2" w:themeFillShade="E6"/>
            <w:vAlign w:val="bottom"/>
          </w:tcPr>
          <w:p w14:paraId="2429C7FE" w14:textId="342F18A9"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6.0%</w:t>
            </w:r>
          </w:p>
        </w:tc>
        <w:tc>
          <w:tcPr>
            <w:tcW w:w="1107" w:type="dxa"/>
            <w:shd w:val="clear" w:color="auto" w:fill="D0CECE" w:themeFill="background2" w:themeFillShade="E6"/>
            <w:vAlign w:val="bottom"/>
          </w:tcPr>
          <w:p w14:paraId="71EA20F4" w14:textId="6C00AC0C"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105,250 </w:t>
            </w:r>
          </w:p>
        </w:tc>
        <w:tc>
          <w:tcPr>
            <w:tcW w:w="966" w:type="dxa"/>
            <w:shd w:val="clear" w:color="auto" w:fill="D0CECE" w:themeFill="background2" w:themeFillShade="E6"/>
            <w:vAlign w:val="bottom"/>
          </w:tcPr>
          <w:p w14:paraId="3DFF2DFF" w14:textId="44EA27C9"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5.9%</w:t>
            </w:r>
          </w:p>
        </w:tc>
      </w:tr>
      <w:tr w:rsidR="000C47D3" w:rsidRPr="00413B69" w14:paraId="1F911CB1" w14:textId="77777777" w:rsidTr="000343B3">
        <w:trPr>
          <w:cantSplit/>
        </w:trPr>
        <w:tc>
          <w:tcPr>
            <w:tcW w:w="2726" w:type="dxa"/>
            <w:shd w:val="clear" w:color="auto" w:fill="D0CECE" w:themeFill="background2" w:themeFillShade="E6"/>
            <w:vAlign w:val="bottom"/>
          </w:tcPr>
          <w:p w14:paraId="21E8E9D2" w14:textId="4AA889FF"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Patient Origin - </w:t>
            </w:r>
            <w:r w:rsidR="000C47D3" w:rsidRPr="00413B69">
              <w:rPr>
                <w:rFonts w:ascii="Arial" w:eastAsia="Times New Roman" w:hAnsi="Arial" w:cs="Arial"/>
                <w:color w:val="000000"/>
                <w:sz w:val="20"/>
                <w:szCs w:val="20"/>
              </w:rPr>
              <w:t>HSA_4</w:t>
            </w:r>
          </w:p>
        </w:tc>
        <w:tc>
          <w:tcPr>
            <w:tcW w:w="1166" w:type="dxa"/>
            <w:shd w:val="clear" w:color="auto" w:fill="D0CECE" w:themeFill="background2" w:themeFillShade="E6"/>
            <w:vAlign w:val="bottom"/>
          </w:tcPr>
          <w:p w14:paraId="7F5ED57B" w14:textId="70D549A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660,451 </w:t>
            </w:r>
          </w:p>
        </w:tc>
        <w:tc>
          <w:tcPr>
            <w:tcW w:w="1139" w:type="dxa"/>
            <w:shd w:val="clear" w:color="auto" w:fill="D0CECE" w:themeFill="background2" w:themeFillShade="E6"/>
            <w:vAlign w:val="bottom"/>
          </w:tcPr>
          <w:p w14:paraId="7430D8B9" w14:textId="74066368"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42.1%</w:t>
            </w:r>
          </w:p>
        </w:tc>
        <w:tc>
          <w:tcPr>
            <w:tcW w:w="1107" w:type="dxa"/>
            <w:shd w:val="clear" w:color="auto" w:fill="D0CECE" w:themeFill="background2" w:themeFillShade="E6"/>
            <w:vAlign w:val="bottom"/>
          </w:tcPr>
          <w:p w14:paraId="10F739F4" w14:textId="021C77F6"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726,474 </w:t>
            </w:r>
          </w:p>
        </w:tc>
        <w:tc>
          <w:tcPr>
            <w:tcW w:w="1139" w:type="dxa"/>
            <w:shd w:val="clear" w:color="auto" w:fill="D0CECE" w:themeFill="background2" w:themeFillShade="E6"/>
            <w:vAlign w:val="bottom"/>
          </w:tcPr>
          <w:p w14:paraId="77770C25" w14:textId="5BA8C117"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42.1%</w:t>
            </w:r>
          </w:p>
        </w:tc>
        <w:tc>
          <w:tcPr>
            <w:tcW w:w="1107" w:type="dxa"/>
            <w:shd w:val="clear" w:color="auto" w:fill="D0CECE" w:themeFill="background2" w:themeFillShade="E6"/>
            <w:vAlign w:val="bottom"/>
          </w:tcPr>
          <w:p w14:paraId="2D19E4B9" w14:textId="7450A129"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754,979 </w:t>
            </w:r>
          </w:p>
        </w:tc>
        <w:tc>
          <w:tcPr>
            <w:tcW w:w="966" w:type="dxa"/>
            <w:shd w:val="clear" w:color="auto" w:fill="D0CECE" w:themeFill="background2" w:themeFillShade="E6"/>
            <w:vAlign w:val="bottom"/>
          </w:tcPr>
          <w:p w14:paraId="55685BA8" w14:textId="6836157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42.1%</w:t>
            </w:r>
          </w:p>
        </w:tc>
      </w:tr>
      <w:tr w:rsidR="000C47D3" w:rsidRPr="00413B69" w14:paraId="5CF0183D" w14:textId="77777777" w:rsidTr="000343B3">
        <w:trPr>
          <w:cantSplit/>
        </w:trPr>
        <w:tc>
          <w:tcPr>
            <w:tcW w:w="2726" w:type="dxa"/>
            <w:shd w:val="clear" w:color="auto" w:fill="D0CECE" w:themeFill="background2" w:themeFillShade="E6"/>
            <w:vAlign w:val="bottom"/>
          </w:tcPr>
          <w:p w14:paraId="172610A4" w14:textId="1F0DFD32"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Patient Origin - </w:t>
            </w:r>
            <w:r w:rsidR="000C47D3" w:rsidRPr="00413B69">
              <w:rPr>
                <w:rFonts w:ascii="Arial" w:eastAsia="Times New Roman" w:hAnsi="Arial" w:cs="Arial"/>
                <w:color w:val="000000"/>
                <w:sz w:val="20"/>
                <w:szCs w:val="20"/>
              </w:rPr>
              <w:t>HSA_5</w:t>
            </w:r>
          </w:p>
        </w:tc>
        <w:tc>
          <w:tcPr>
            <w:tcW w:w="1166" w:type="dxa"/>
            <w:shd w:val="clear" w:color="auto" w:fill="D0CECE" w:themeFill="background2" w:themeFillShade="E6"/>
            <w:vAlign w:val="bottom"/>
          </w:tcPr>
          <w:p w14:paraId="2A590F1D" w14:textId="3FA91CE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185,016 </w:t>
            </w:r>
          </w:p>
        </w:tc>
        <w:tc>
          <w:tcPr>
            <w:tcW w:w="1139" w:type="dxa"/>
            <w:shd w:val="clear" w:color="auto" w:fill="D0CECE" w:themeFill="background2" w:themeFillShade="E6"/>
            <w:vAlign w:val="bottom"/>
          </w:tcPr>
          <w:p w14:paraId="35A59378" w14:textId="4E663C1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11.8%</w:t>
            </w:r>
          </w:p>
        </w:tc>
        <w:tc>
          <w:tcPr>
            <w:tcW w:w="1107" w:type="dxa"/>
            <w:shd w:val="clear" w:color="auto" w:fill="D0CECE" w:themeFill="background2" w:themeFillShade="E6"/>
            <w:vAlign w:val="bottom"/>
          </w:tcPr>
          <w:p w14:paraId="2C172475" w14:textId="719964D5"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205,036 </w:t>
            </w:r>
          </w:p>
        </w:tc>
        <w:tc>
          <w:tcPr>
            <w:tcW w:w="1139" w:type="dxa"/>
            <w:shd w:val="clear" w:color="auto" w:fill="D0CECE" w:themeFill="background2" w:themeFillShade="E6"/>
            <w:vAlign w:val="bottom"/>
          </w:tcPr>
          <w:p w14:paraId="0EDE6962" w14:textId="55109F0A"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11.9%</w:t>
            </w:r>
          </w:p>
        </w:tc>
        <w:tc>
          <w:tcPr>
            <w:tcW w:w="1107" w:type="dxa"/>
            <w:shd w:val="clear" w:color="auto" w:fill="D0CECE" w:themeFill="background2" w:themeFillShade="E6"/>
            <w:vAlign w:val="bottom"/>
          </w:tcPr>
          <w:p w14:paraId="057D9605" w14:textId="07E9F4BC"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214,108 </w:t>
            </w:r>
          </w:p>
        </w:tc>
        <w:tc>
          <w:tcPr>
            <w:tcW w:w="966" w:type="dxa"/>
            <w:shd w:val="clear" w:color="auto" w:fill="D0CECE" w:themeFill="background2" w:themeFillShade="E6"/>
            <w:vAlign w:val="bottom"/>
          </w:tcPr>
          <w:p w14:paraId="3DF0E0E2" w14:textId="4348651E"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11.9%</w:t>
            </w:r>
          </w:p>
        </w:tc>
      </w:tr>
      <w:tr w:rsidR="000C47D3" w:rsidRPr="00413B69" w14:paraId="18266814" w14:textId="77777777" w:rsidTr="000343B3">
        <w:trPr>
          <w:cantSplit/>
        </w:trPr>
        <w:tc>
          <w:tcPr>
            <w:tcW w:w="2726" w:type="dxa"/>
            <w:shd w:val="clear" w:color="auto" w:fill="D0CECE" w:themeFill="background2" w:themeFillShade="E6"/>
            <w:vAlign w:val="bottom"/>
          </w:tcPr>
          <w:p w14:paraId="62037E23" w14:textId="15351082"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Patient Origin - </w:t>
            </w:r>
            <w:r w:rsidR="000C47D3" w:rsidRPr="00413B69">
              <w:rPr>
                <w:rFonts w:ascii="Arial" w:eastAsia="Times New Roman" w:hAnsi="Arial" w:cs="Arial"/>
                <w:color w:val="000000"/>
                <w:sz w:val="20"/>
                <w:szCs w:val="20"/>
              </w:rPr>
              <w:t>HSA_6</w:t>
            </w:r>
          </w:p>
        </w:tc>
        <w:tc>
          <w:tcPr>
            <w:tcW w:w="1166" w:type="dxa"/>
            <w:shd w:val="clear" w:color="auto" w:fill="D0CECE" w:themeFill="background2" w:themeFillShade="E6"/>
            <w:vAlign w:val="bottom"/>
          </w:tcPr>
          <w:p w14:paraId="3B0AFF86" w14:textId="355E7E74"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207,877 </w:t>
            </w:r>
          </w:p>
        </w:tc>
        <w:tc>
          <w:tcPr>
            <w:tcW w:w="1139" w:type="dxa"/>
            <w:shd w:val="clear" w:color="auto" w:fill="D0CECE" w:themeFill="background2" w:themeFillShade="E6"/>
            <w:vAlign w:val="bottom"/>
          </w:tcPr>
          <w:p w14:paraId="2FF9865B" w14:textId="19080A77"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13.3%</w:t>
            </w:r>
          </w:p>
        </w:tc>
        <w:tc>
          <w:tcPr>
            <w:tcW w:w="1107" w:type="dxa"/>
            <w:shd w:val="clear" w:color="auto" w:fill="D0CECE" w:themeFill="background2" w:themeFillShade="E6"/>
            <w:vAlign w:val="bottom"/>
          </w:tcPr>
          <w:p w14:paraId="12A42043" w14:textId="45C2B80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226,181 </w:t>
            </w:r>
          </w:p>
        </w:tc>
        <w:tc>
          <w:tcPr>
            <w:tcW w:w="1139" w:type="dxa"/>
            <w:shd w:val="clear" w:color="auto" w:fill="D0CECE" w:themeFill="background2" w:themeFillShade="E6"/>
            <w:vAlign w:val="bottom"/>
          </w:tcPr>
          <w:p w14:paraId="3D765D97" w14:textId="0E5722EF"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13.1%</w:t>
            </w:r>
          </w:p>
        </w:tc>
        <w:tc>
          <w:tcPr>
            <w:tcW w:w="1107" w:type="dxa"/>
            <w:shd w:val="clear" w:color="auto" w:fill="D0CECE" w:themeFill="background2" w:themeFillShade="E6"/>
            <w:vAlign w:val="bottom"/>
          </w:tcPr>
          <w:p w14:paraId="00F14CFD" w14:textId="575E6358"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233,937 </w:t>
            </w:r>
          </w:p>
        </w:tc>
        <w:tc>
          <w:tcPr>
            <w:tcW w:w="966" w:type="dxa"/>
            <w:shd w:val="clear" w:color="auto" w:fill="D0CECE" w:themeFill="background2" w:themeFillShade="E6"/>
            <w:vAlign w:val="bottom"/>
          </w:tcPr>
          <w:p w14:paraId="4423454D" w14:textId="2221F52D"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13.1%</w:t>
            </w:r>
          </w:p>
        </w:tc>
      </w:tr>
      <w:tr w:rsidR="000C47D3" w:rsidRPr="00413B69" w14:paraId="7F43E8B3" w14:textId="77777777" w:rsidTr="000343B3">
        <w:trPr>
          <w:cantSplit/>
        </w:trPr>
        <w:tc>
          <w:tcPr>
            <w:tcW w:w="2726" w:type="dxa"/>
            <w:shd w:val="clear" w:color="auto" w:fill="D0CECE" w:themeFill="background2" w:themeFillShade="E6"/>
            <w:vAlign w:val="bottom"/>
          </w:tcPr>
          <w:p w14:paraId="71C8FC7C" w14:textId="6D17F8D5" w:rsidR="000C47D3" w:rsidRPr="00413B69" w:rsidRDefault="00685DC8" w:rsidP="00685DC8">
            <w:pPr>
              <w:rPr>
                <w:rFonts w:ascii="Arial" w:eastAsia="Times New Roman" w:hAnsi="Arial" w:cs="Arial"/>
                <w:color w:val="000000"/>
                <w:sz w:val="20"/>
                <w:szCs w:val="20"/>
              </w:rPr>
            </w:pPr>
            <w:r>
              <w:rPr>
                <w:rFonts w:ascii="Arial" w:eastAsia="Times New Roman" w:hAnsi="Arial" w:cs="Arial"/>
                <w:color w:val="000000"/>
                <w:sz w:val="20"/>
                <w:szCs w:val="20"/>
              </w:rPr>
              <w:t xml:space="preserve">Patient Origin - </w:t>
            </w:r>
            <w:r w:rsidR="000C47D3" w:rsidRPr="00413B69">
              <w:rPr>
                <w:rFonts w:ascii="Arial" w:eastAsia="Times New Roman" w:hAnsi="Arial" w:cs="Arial"/>
                <w:color w:val="000000"/>
                <w:sz w:val="20"/>
                <w:szCs w:val="20"/>
              </w:rPr>
              <w:t>In MA but not in HSA 1-6</w:t>
            </w:r>
          </w:p>
        </w:tc>
        <w:tc>
          <w:tcPr>
            <w:tcW w:w="1166" w:type="dxa"/>
            <w:shd w:val="clear" w:color="auto" w:fill="D0CECE" w:themeFill="background2" w:themeFillShade="E6"/>
            <w:vAlign w:val="bottom"/>
          </w:tcPr>
          <w:p w14:paraId="468B0F7E" w14:textId="5B161723"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25 </w:t>
            </w:r>
          </w:p>
        </w:tc>
        <w:tc>
          <w:tcPr>
            <w:tcW w:w="1139" w:type="dxa"/>
            <w:shd w:val="clear" w:color="auto" w:fill="D0CECE" w:themeFill="background2" w:themeFillShade="E6"/>
            <w:vAlign w:val="bottom"/>
          </w:tcPr>
          <w:p w14:paraId="5FDE24B8" w14:textId="57CBEFCB"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0.0%</w:t>
            </w:r>
          </w:p>
        </w:tc>
        <w:tc>
          <w:tcPr>
            <w:tcW w:w="1107" w:type="dxa"/>
            <w:shd w:val="clear" w:color="auto" w:fill="D0CECE" w:themeFill="background2" w:themeFillShade="E6"/>
            <w:vAlign w:val="bottom"/>
          </w:tcPr>
          <w:p w14:paraId="68339FC7" w14:textId="2FB9B7C8"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28 </w:t>
            </w:r>
          </w:p>
        </w:tc>
        <w:tc>
          <w:tcPr>
            <w:tcW w:w="1139" w:type="dxa"/>
            <w:shd w:val="clear" w:color="auto" w:fill="D0CECE" w:themeFill="background2" w:themeFillShade="E6"/>
            <w:vAlign w:val="bottom"/>
          </w:tcPr>
          <w:p w14:paraId="1F857594" w14:textId="38544584"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0.0%</w:t>
            </w:r>
          </w:p>
        </w:tc>
        <w:tc>
          <w:tcPr>
            <w:tcW w:w="1107" w:type="dxa"/>
            <w:shd w:val="clear" w:color="auto" w:fill="D0CECE" w:themeFill="background2" w:themeFillShade="E6"/>
            <w:vAlign w:val="bottom"/>
          </w:tcPr>
          <w:p w14:paraId="5DFC71E6" w14:textId="7047AF84"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 xml:space="preserve">38 </w:t>
            </w:r>
          </w:p>
        </w:tc>
        <w:tc>
          <w:tcPr>
            <w:tcW w:w="966" w:type="dxa"/>
            <w:shd w:val="clear" w:color="auto" w:fill="D0CECE" w:themeFill="background2" w:themeFillShade="E6"/>
            <w:vAlign w:val="bottom"/>
          </w:tcPr>
          <w:p w14:paraId="38AA7B2B" w14:textId="37522696" w:rsidR="000C47D3" w:rsidRPr="00413B69" w:rsidRDefault="000C47D3" w:rsidP="00413B69">
            <w:pPr>
              <w:jc w:val="right"/>
              <w:rPr>
                <w:rFonts w:ascii="Arial" w:eastAsia="Times New Roman" w:hAnsi="Arial" w:cs="Arial"/>
                <w:color w:val="000000"/>
                <w:sz w:val="20"/>
                <w:szCs w:val="20"/>
              </w:rPr>
            </w:pPr>
            <w:r w:rsidRPr="00413B69">
              <w:rPr>
                <w:rFonts w:ascii="Arial" w:eastAsia="Times New Roman" w:hAnsi="Arial" w:cs="Arial"/>
                <w:color w:val="000000"/>
                <w:sz w:val="20"/>
                <w:szCs w:val="20"/>
              </w:rPr>
              <w:t>0.0%</w:t>
            </w:r>
          </w:p>
        </w:tc>
      </w:tr>
      <w:tr w:rsidR="000C47D3" w14:paraId="773F6752" w14:textId="77777777" w:rsidTr="000343B3">
        <w:trPr>
          <w:cantSplit/>
        </w:trPr>
        <w:tc>
          <w:tcPr>
            <w:tcW w:w="2726" w:type="dxa"/>
            <w:shd w:val="clear" w:color="auto" w:fill="D0CECE" w:themeFill="background2" w:themeFillShade="E6"/>
            <w:vAlign w:val="bottom"/>
          </w:tcPr>
          <w:p w14:paraId="1A3AAB3A" w14:textId="5A3C5E6A" w:rsidR="000C47D3" w:rsidRPr="00010F2F" w:rsidRDefault="00685DC8" w:rsidP="004F4892">
            <w:pPr>
              <w:rPr>
                <w:rFonts w:ascii="Calibri" w:eastAsia="Times New Roman" w:hAnsi="Calibri" w:cs="Calibri"/>
                <w:color w:val="000000"/>
              </w:rPr>
            </w:pPr>
            <w:r>
              <w:rPr>
                <w:rFonts w:ascii="Arial" w:eastAsia="Times New Roman" w:hAnsi="Arial" w:cs="Arial"/>
                <w:color w:val="000000"/>
                <w:sz w:val="20"/>
                <w:szCs w:val="20"/>
              </w:rPr>
              <w:t xml:space="preserve">Patient Origin - </w:t>
            </w:r>
            <w:r w:rsidR="000C47D3" w:rsidRPr="00010F2F">
              <w:rPr>
                <w:rFonts w:ascii="Calibri" w:eastAsia="Times New Roman" w:hAnsi="Calibri" w:cs="Calibri"/>
                <w:color w:val="000000"/>
              </w:rPr>
              <w:t>Outside of MA</w:t>
            </w:r>
          </w:p>
        </w:tc>
        <w:tc>
          <w:tcPr>
            <w:tcW w:w="1166" w:type="dxa"/>
            <w:shd w:val="clear" w:color="auto" w:fill="D0CECE" w:themeFill="background2" w:themeFillShade="E6"/>
            <w:vAlign w:val="bottom"/>
          </w:tcPr>
          <w:p w14:paraId="57C7869E" w14:textId="2E8BC9C2"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 xml:space="preserve">259,006 </w:t>
            </w:r>
          </w:p>
        </w:tc>
        <w:tc>
          <w:tcPr>
            <w:tcW w:w="1139" w:type="dxa"/>
            <w:shd w:val="clear" w:color="auto" w:fill="D0CECE" w:themeFill="background2" w:themeFillShade="E6"/>
            <w:vAlign w:val="bottom"/>
          </w:tcPr>
          <w:p w14:paraId="1C843E3B" w14:textId="3E2E7F79"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16.5%</w:t>
            </w:r>
          </w:p>
        </w:tc>
        <w:tc>
          <w:tcPr>
            <w:tcW w:w="1107" w:type="dxa"/>
            <w:shd w:val="clear" w:color="auto" w:fill="D0CECE" w:themeFill="background2" w:themeFillShade="E6"/>
            <w:vAlign w:val="bottom"/>
          </w:tcPr>
          <w:p w14:paraId="18542751" w14:textId="43C7D60B"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 xml:space="preserve">282,420 </w:t>
            </w:r>
          </w:p>
        </w:tc>
        <w:tc>
          <w:tcPr>
            <w:tcW w:w="1139" w:type="dxa"/>
            <w:shd w:val="clear" w:color="auto" w:fill="D0CECE" w:themeFill="background2" w:themeFillShade="E6"/>
            <w:vAlign w:val="bottom"/>
          </w:tcPr>
          <w:p w14:paraId="6F7505A5" w14:textId="73B463A5"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16.4%</w:t>
            </w:r>
          </w:p>
        </w:tc>
        <w:tc>
          <w:tcPr>
            <w:tcW w:w="1107" w:type="dxa"/>
            <w:shd w:val="clear" w:color="auto" w:fill="D0CECE" w:themeFill="background2" w:themeFillShade="E6"/>
            <w:vAlign w:val="bottom"/>
          </w:tcPr>
          <w:p w14:paraId="7766861F" w14:textId="646B312C"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 xml:space="preserve">295,425 </w:t>
            </w:r>
          </w:p>
        </w:tc>
        <w:tc>
          <w:tcPr>
            <w:tcW w:w="966" w:type="dxa"/>
            <w:shd w:val="clear" w:color="auto" w:fill="D0CECE" w:themeFill="background2" w:themeFillShade="E6"/>
            <w:vAlign w:val="bottom"/>
          </w:tcPr>
          <w:p w14:paraId="333444C7" w14:textId="71138D1A"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16.5%</w:t>
            </w:r>
          </w:p>
        </w:tc>
      </w:tr>
      <w:tr w:rsidR="000C47D3" w14:paraId="0F0D275A" w14:textId="77777777" w:rsidTr="000343B3">
        <w:trPr>
          <w:cantSplit/>
        </w:trPr>
        <w:tc>
          <w:tcPr>
            <w:tcW w:w="2726" w:type="dxa"/>
            <w:shd w:val="clear" w:color="auto" w:fill="D0CECE" w:themeFill="background2" w:themeFillShade="E6"/>
            <w:vAlign w:val="bottom"/>
          </w:tcPr>
          <w:p w14:paraId="6BE80954" w14:textId="1D3847F3" w:rsidR="000C47D3" w:rsidRPr="00010F2F" w:rsidRDefault="00685DC8" w:rsidP="00685DC8">
            <w:pPr>
              <w:rPr>
                <w:rFonts w:ascii="Calibri" w:eastAsia="Times New Roman" w:hAnsi="Calibri" w:cs="Calibri"/>
                <w:color w:val="000000"/>
              </w:rPr>
            </w:pPr>
            <w:r>
              <w:rPr>
                <w:rFonts w:ascii="Arial" w:eastAsia="Times New Roman" w:hAnsi="Arial" w:cs="Arial"/>
                <w:color w:val="000000"/>
                <w:sz w:val="20"/>
                <w:szCs w:val="20"/>
              </w:rPr>
              <w:t xml:space="preserve">Patient Origin - </w:t>
            </w:r>
            <w:r w:rsidR="000C47D3" w:rsidRPr="00010F2F">
              <w:rPr>
                <w:rFonts w:ascii="Calibri" w:eastAsia="Times New Roman" w:hAnsi="Calibri" w:cs="Calibri"/>
                <w:color w:val="000000"/>
              </w:rPr>
              <w:t>Unknown</w:t>
            </w:r>
          </w:p>
        </w:tc>
        <w:tc>
          <w:tcPr>
            <w:tcW w:w="1166" w:type="dxa"/>
            <w:shd w:val="clear" w:color="auto" w:fill="D0CECE" w:themeFill="background2" w:themeFillShade="E6"/>
            <w:vAlign w:val="bottom"/>
          </w:tcPr>
          <w:p w14:paraId="3FBABE92" w14:textId="4AC9A1A4"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 xml:space="preserve">4,090 </w:t>
            </w:r>
          </w:p>
        </w:tc>
        <w:tc>
          <w:tcPr>
            <w:tcW w:w="1139" w:type="dxa"/>
            <w:shd w:val="clear" w:color="auto" w:fill="D0CECE" w:themeFill="background2" w:themeFillShade="E6"/>
            <w:vAlign w:val="bottom"/>
          </w:tcPr>
          <w:p w14:paraId="7A2DC5F8" w14:textId="1B9E747E"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0.3%</w:t>
            </w:r>
          </w:p>
        </w:tc>
        <w:tc>
          <w:tcPr>
            <w:tcW w:w="1107" w:type="dxa"/>
            <w:shd w:val="clear" w:color="auto" w:fill="D0CECE" w:themeFill="background2" w:themeFillShade="E6"/>
            <w:vAlign w:val="bottom"/>
          </w:tcPr>
          <w:p w14:paraId="4910C09E" w14:textId="78524F54"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 xml:space="preserve">3,409 </w:t>
            </w:r>
          </w:p>
        </w:tc>
        <w:tc>
          <w:tcPr>
            <w:tcW w:w="1139" w:type="dxa"/>
            <w:shd w:val="clear" w:color="auto" w:fill="D0CECE" w:themeFill="background2" w:themeFillShade="E6"/>
            <w:vAlign w:val="bottom"/>
          </w:tcPr>
          <w:p w14:paraId="22BA3B40" w14:textId="5E754A01"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0.2%</w:t>
            </w:r>
          </w:p>
        </w:tc>
        <w:tc>
          <w:tcPr>
            <w:tcW w:w="1107" w:type="dxa"/>
            <w:shd w:val="clear" w:color="auto" w:fill="D0CECE" w:themeFill="background2" w:themeFillShade="E6"/>
            <w:vAlign w:val="bottom"/>
          </w:tcPr>
          <w:p w14:paraId="5D7FD586" w14:textId="5ADE493F"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 xml:space="preserve">4,348 </w:t>
            </w:r>
          </w:p>
        </w:tc>
        <w:tc>
          <w:tcPr>
            <w:tcW w:w="966" w:type="dxa"/>
            <w:shd w:val="clear" w:color="auto" w:fill="D0CECE" w:themeFill="background2" w:themeFillShade="E6"/>
            <w:vAlign w:val="bottom"/>
          </w:tcPr>
          <w:p w14:paraId="0C2F5644" w14:textId="57161913" w:rsidR="000C47D3" w:rsidRPr="00010F2F" w:rsidRDefault="000C47D3" w:rsidP="00413B69">
            <w:pPr>
              <w:jc w:val="right"/>
              <w:rPr>
                <w:rFonts w:ascii="Calibri" w:eastAsia="Times New Roman" w:hAnsi="Calibri" w:cs="Calibri"/>
                <w:color w:val="000000"/>
              </w:rPr>
            </w:pPr>
            <w:r w:rsidRPr="00010F2F">
              <w:rPr>
                <w:rFonts w:ascii="Calibri" w:eastAsia="Times New Roman" w:hAnsi="Calibri" w:cs="Calibri"/>
                <w:color w:val="000000"/>
              </w:rPr>
              <w:t>0.2%</w:t>
            </w:r>
          </w:p>
        </w:tc>
      </w:tr>
    </w:tbl>
    <w:p w14:paraId="265C2BB6" w14:textId="2BD3A852" w:rsidR="004717D4" w:rsidRPr="00010F2F" w:rsidRDefault="004717D4" w:rsidP="00734CE6">
      <w:pPr>
        <w:spacing w:after="0"/>
        <w:jc w:val="both"/>
        <w:rPr>
          <w:rFonts w:ascii="Arial" w:eastAsia="Verdana" w:hAnsi="Arial" w:cs="Arial"/>
          <w:sz w:val="20"/>
        </w:rPr>
      </w:pPr>
      <w:r w:rsidRPr="00010F2F">
        <w:rPr>
          <w:rFonts w:ascii="Arial" w:eastAsia="Verdana" w:hAnsi="Arial" w:cs="Arial"/>
          <w:b/>
          <w:bCs/>
          <w:sz w:val="20"/>
        </w:rPr>
        <w:lastRenderedPageBreak/>
        <w:t xml:space="preserve">Age: </w:t>
      </w:r>
      <w:r w:rsidR="0061305D" w:rsidRPr="00010F2F">
        <w:rPr>
          <w:rFonts w:ascii="Arial" w:eastAsia="Verdana" w:hAnsi="Arial" w:cs="Arial"/>
          <w:sz w:val="20"/>
        </w:rPr>
        <w:t>Data</w:t>
      </w:r>
      <w:r w:rsidR="00F34C3A" w:rsidRPr="00010F2F">
        <w:rPr>
          <w:rFonts w:ascii="Arial" w:eastAsia="Verdana" w:hAnsi="Arial" w:cs="Arial"/>
          <w:sz w:val="20"/>
        </w:rPr>
        <w:t xml:space="preserve"> for FY20-FY22 show that the majority of MGB’s </w:t>
      </w:r>
      <w:r w:rsidR="008D16C9" w:rsidRPr="00010F2F">
        <w:rPr>
          <w:rFonts w:ascii="Arial" w:eastAsia="Verdana" w:hAnsi="Arial" w:cs="Arial"/>
          <w:sz w:val="20"/>
        </w:rPr>
        <w:t>Patient Panel</w:t>
      </w:r>
      <w:r w:rsidR="00F34C3A" w:rsidRPr="00010F2F">
        <w:rPr>
          <w:rFonts w:ascii="Arial" w:eastAsia="Verdana" w:hAnsi="Arial" w:cs="Arial"/>
          <w:sz w:val="20"/>
        </w:rPr>
        <w:t xml:space="preserve"> is between the ages of 18-64 (ranging from 59.7%-60.7%)</w:t>
      </w:r>
      <w:r w:rsidR="005A5DA9" w:rsidRPr="00010F2F">
        <w:rPr>
          <w:rFonts w:ascii="Arial" w:eastAsia="Verdana" w:hAnsi="Arial" w:cs="Arial"/>
          <w:sz w:val="20"/>
        </w:rPr>
        <w:t xml:space="preserve">, followed by 65+ and 0-17 age cohorts, </w:t>
      </w:r>
      <w:r w:rsidR="0061305D" w:rsidRPr="00010F2F">
        <w:rPr>
          <w:rFonts w:ascii="Arial" w:eastAsia="Verdana" w:hAnsi="Arial" w:cs="Arial"/>
          <w:sz w:val="20"/>
        </w:rPr>
        <w:t>respectively</w:t>
      </w:r>
      <w:r w:rsidR="005A5DA9" w:rsidRPr="00010F2F">
        <w:rPr>
          <w:rFonts w:ascii="Arial" w:eastAsia="Verdana" w:hAnsi="Arial" w:cs="Arial"/>
          <w:sz w:val="20"/>
        </w:rPr>
        <w:t xml:space="preserve">.  </w:t>
      </w:r>
    </w:p>
    <w:p w14:paraId="2B75FA72" w14:textId="77777777" w:rsidR="004717D4" w:rsidRPr="00010F2F" w:rsidRDefault="004717D4" w:rsidP="004717D4">
      <w:pPr>
        <w:spacing w:after="0"/>
        <w:ind w:left="-540"/>
        <w:jc w:val="both"/>
        <w:rPr>
          <w:rFonts w:ascii="Arial" w:eastAsia="Verdana" w:hAnsi="Arial" w:cs="Arial"/>
          <w:b/>
          <w:bCs/>
          <w:sz w:val="20"/>
        </w:rPr>
      </w:pPr>
    </w:p>
    <w:p w14:paraId="48114F4D" w14:textId="776D1530" w:rsidR="0083640E" w:rsidRPr="00010F2F" w:rsidRDefault="004717D4" w:rsidP="00734CE6">
      <w:pPr>
        <w:spacing w:after="0"/>
        <w:jc w:val="both"/>
        <w:rPr>
          <w:rFonts w:ascii="Arial" w:eastAsia="Verdana" w:hAnsi="Arial" w:cs="Arial"/>
          <w:sz w:val="20"/>
        </w:rPr>
      </w:pPr>
      <w:r w:rsidRPr="00010F2F">
        <w:rPr>
          <w:rFonts w:ascii="Arial" w:eastAsia="Verdana" w:hAnsi="Arial" w:cs="Arial"/>
          <w:b/>
          <w:bCs/>
          <w:sz w:val="20"/>
        </w:rPr>
        <w:t xml:space="preserve">Gender: </w:t>
      </w:r>
      <w:r w:rsidR="00F34C3A" w:rsidRPr="00010F2F">
        <w:rPr>
          <w:rFonts w:ascii="Arial" w:eastAsia="Verdana" w:hAnsi="Arial" w:cs="Arial"/>
          <w:sz w:val="20"/>
        </w:rPr>
        <w:t>MGB’s Patient Panel</w:t>
      </w:r>
      <w:r w:rsidRPr="00010F2F">
        <w:rPr>
          <w:rFonts w:ascii="Arial" w:eastAsia="Verdana" w:hAnsi="Arial" w:cs="Arial"/>
          <w:sz w:val="20"/>
        </w:rPr>
        <w:t xml:space="preserve"> is approximately 57</w:t>
      </w:r>
      <w:r w:rsidR="00F34C3A" w:rsidRPr="00010F2F">
        <w:rPr>
          <w:rFonts w:ascii="Arial" w:eastAsia="Verdana" w:hAnsi="Arial" w:cs="Arial"/>
          <w:sz w:val="20"/>
        </w:rPr>
        <w:t>.5</w:t>
      </w:r>
      <w:r w:rsidRPr="00010F2F">
        <w:rPr>
          <w:rFonts w:ascii="Arial" w:eastAsia="Verdana" w:hAnsi="Arial" w:cs="Arial"/>
          <w:sz w:val="20"/>
        </w:rPr>
        <w:t>% female</w:t>
      </w:r>
      <w:r w:rsidR="00E429E6">
        <w:rPr>
          <w:rFonts w:ascii="Arial" w:eastAsia="Verdana" w:hAnsi="Arial" w:cs="Arial"/>
          <w:sz w:val="20"/>
        </w:rPr>
        <w:t xml:space="preserve"> and</w:t>
      </w:r>
      <w:r w:rsidRPr="00010F2F">
        <w:rPr>
          <w:rFonts w:ascii="Arial" w:eastAsia="Verdana" w:hAnsi="Arial" w:cs="Arial"/>
          <w:sz w:val="20"/>
        </w:rPr>
        <w:t xml:space="preserve"> 4</w:t>
      </w:r>
      <w:r w:rsidR="00F34C3A" w:rsidRPr="00010F2F">
        <w:rPr>
          <w:rFonts w:ascii="Arial" w:eastAsia="Verdana" w:hAnsi="Arial" w:cs="Arial"/>
          <w:sz w:val="20"/>
        </w:rPr>
        <w:t>2.5</w:t>
      </w:r>
      <w:r w:rsidRPr="00010F2F">
        <w:rPr>
          <w:rFonts w:ascii="Arial" w:eastAsia="Verdana" w:hAnsi="Arial" w:cs="Arial"/>
          <w:sz w:val="20"/>
        </w:rPr>
        <w:t xml:space="preserve">% male. These percentages </w:t>
      </w:r>
      <w:r w:rsidR="00F34C3A" w:rsidRPr="00010F2F">
        <w:rPr>
          <w:rFonts w:ascii="Arial" w:eastAsia="Verdana" w:hAnsi="Arial" w:cs="Arial"/>
          <w:sz w:val="20"/>
        </w:rPr>
        <w:t>remained</w:t>
      </w:r>
      <w:r w:rsidRPr="00010F2F">
        <w:rPr>
          <w:rFonts w:ascii="Arial" w:eastAsia="Verdana" w:hAnsi="Arial" w:cs="Arial"/>
          <w:sz w:val="20"/>
        </w:rPr>
        <w:t xml:space="preserve"> unchanged between FY</w:t>
      </w:r>
      <w:r w:rsidR="00F34C3A" w:rsidRPr="00010F2F">
        <w:rPr>
          <w:rFonts w:ascii="Arial" w:eastAsia="Verdana" w:hAnsi="Arial" w:cs="Arial"/>
          <w:sz w:val="20"/>
        </w:rPr>
        <w:t>20</w:t>
      </w:r>
      <w:r w:rsidRPr="00010F2F">
        <w:rPr>
          <w:rFonts w:ascii="Arial" w:eastAsia="Verdana" w:hAnsi="Arial" w:cs="Arial"/>
          <w:sz w:val="20"/>
        </w:rPr>
        <w:t xml:space="preserve"> and FY22</w:t>
      </w:r>
      <w:r w:rsidR="00F34C3A" w:rsidRPr="00010F2F">
        <w:rPr>
          <w:rFonts w:ascii="Arial" w:eastAsia="Verdana" w:hAnsi="Arial" w:cs="Arial"/>
          <w:sz w:val="20"/>
        </w:rPr>
        <w:t>.</w:t>
      </w:r>
    </w:p>
    <w:p w14:paraId="5DDAEFCC" w14:textId="77777777" w:rsidR="0083640E" w:rsidRPr="00010F2F" w:rsidRDefault="0083640E" w:rsidP="0083640E">
      <w:pPr>
        <w:spacing w:after="0"/>
        <w:ind w:left="-540"/>
        <w:jc w:val="both"/>
        <w:rPr>
          <w:rFonts w:ascii="Arial" w:eastAsia="Verdana" w:hAnsi="Arial" w:cs="Arial"/>
          <w:b/>
          <w:bCs/>
          <w:sz w:val="20"/>
        </w:rPr>
      </w:pPr>
    </w:p>
    <w:p w14:paraId="776B825A" w14:textId="4748AF13" w:rsidR="004717D4" w:rsidRPr="00010F2F" w:rsidRDefault="004717D4" w:rsidP="00734CE6">
      <w:pPr>
        <w:spacing w:after="0" w:line="240" w:lineRule="auto"/>
        <w:jc w:val="both"/>
        <w:rPr>
          <w:rFonts w:ascii="Arial" w:eastAsia="Verdana" w:hAnsi="Arial" w:cs="Arial"/>
          <w:sz w:val="20"/>
          <w:szCs w:val="20"/>
        </w:rPr>
      </w:pPr>
      <w:r w:rsidRPr="00010F2F">
        <w:rPr>
          <w:rFonts w:ascii="Arial" w:eastAsia="Verdana" w:hAnsi="Arial" w:cs="Arial"/>
          <w:b/>
          <w:bCs/>
          <w:sz w:val="20"/>
          <w:szCs w:val="20"/>
        </w:rPr>
        <w:t xml:space="preserve">Race and Ethnicity: </w:t>
      </w:r>
      <w:r w:rsidRPr="00010F2F">
        <w:rPr>
          <w:rFonts w:ascii="Arial" w:eastAsia="Verdana" w:hAnsi="Arial" w:cs="Arial"/>
          <w:sz w:val="20"/>
          <w:szCs w:val="20"/>
        </w:rPr>
        <w:t>Data</w:t>
      </w:r>
      <w:r w:rsidR="005A5DA9" w:rsidRPr="00010F2F">
        <w:rPr>
          <w:rFonts w:ascii="Arial" w:eastAsia="Verdana" w:hAnsi="Arial" w:cs="Arial"/>
          <w:sz w:val="20"/>
          <w:szCs w:val="20"/>
        </w:rPr>
        <w:t xml:space="preserve"> based on self-reporting demonstrate</w:t>
      </w:r>
      <w:r w:rsidR="00D76AE0" w:rsidRPr="00010F2F">
        <w:rPr>
          <w:rFonts w:ascii="Arial" w:eastAsia="Verdana" w:hAnsi="Arial" w:cs="Arial"/>
          <w:sz w:val="20"/>
          <w:szCs w:val="20"/>
        </w:rPr>
        <w:t>s</w:t>
      </w:r>
      <w:r w:rsidR="005A5DA9" w:rsidRPr="00010F2F">
        <w:rPr>
          <w:rFonts w:ascii="Arial" w:eastAsia="Verdana" w:hAnsi="Arial" w:cs="Arial"/>
          <w:sz w:val="20"/>
          <w:szCs w:val="20"/>
        </w:rPr>
        <w:t xml:space="preserve"> that between FY20 and FY22, </w:t>
      </w:r>
      <w:r w:rsidRPr="00010F2F">
        <w:rPr>
          <w:rFonts w:ascii="Arial" w:eastAsia="Verdana" w:hAnsi="Arial" w:cs="Arial"/>
          <w:sz w:val="20"/>
          <w:szCs w:val="20"/>
        </w:rPr>
        <w:t xml:space="preserve">the majority of </w:t>
      </w:r>
      <w:r w:rsidR="00F34C3A" w:rsidRPr="00010F2F">
        <w:rPr>
          <w:rFonts w:ascii="Arial" w:eastAsia="Verdana" w:hAnsi="Arial" w:cs="Arial"/>
          <w:sz w:val="20"/>
          <w:szCs w:val="20"/>
        </w:rPr>
        <w:t>MGB’s</w:t>
      </w:r>
      <w:r w:rsidRPr="00010F2F">
        <w:rPr>
          <w:rFonts w:ascii="Arial" w:eastAsia="Verdana" w:hAnsi="Arial" w:cs="Arial"/>
          <w:sz w:val="20"/>
          <w:szCs w:val="20"/>
        </w:rPr>
        <w:t xml:space="preserve"> patients self-identified as White (</w:t>
      </w:r>
      <w:r w:rsidR="00F34C3A" w:rsidRPr="00010F2F">
        <w:rPr>
          <w:rFonts w:ascii="Arial" w:eastAsia="Verdana" w:hAnsi="Arial" w:cs="Arial"/>
          <w:sz w:val="20"/>
          <w:szCs w:val="20"/>
        </w:rPr>
        <w:t>74.73</w:t>
      </w:r>
      <w:r w:rsidRPr="00010F2F">
        <w:rPr>
          <w:rFonts w:ascii="Arial" w:eastAsia="Verdana" w:hAnsi="Arial" w:cs="Arial"/>
          <w:sz w:val="20"/>
          <w:szCs w:val="20"/>
        </w:rPr>
        <w:t>%). Patients also self-identified as African American (</w:t>
      </w:r>
      <w:r w:rsidR="0083640E" w:rsidRPr="00010F2F">
        <w:rPr>
          <w:rFonts w:ascii="Arial" w:eastAsia="Verdana" w:hAnsi="Arial" w:cs="Arial"/>
          <w:sz w:val="20"/>
          <w:szCs w:val="20"/>
        </w:rPr>
        <w:t>5.53</w:t>
      </w:r>
      <w:r w:rsidRPr="00010F2F">
        <w:rPr>
          <w:rFonts w:ascii="Arial" w:eastAsia="Verdana" w:hAnsi="Arial" w:cs="Arial"/>
          <w:sz w:val="20"/>
          <w:szCs w:val="20"/>
        </w:rPr>
        <w:t>%)</w:t>
      </w:r>
      <w:r w:rsidR="0083640E" w:rsidRPr="00010F2F">
        <w:rPr>
          <w:rFonts w:ascii="Arial" w:eastAsia="Verdana" w:hAnsi="Arial" w:cs="Arial"/>
          <w:sz w:val="20"/>
          <w:szCs w:val="20"/>
        </w:rPr>
        <w:t>; Asian (4.67%);</w:t>
      </w:r>
      <w:r w:rsidRPr="00010F2F">
        <w:rPr>
          <w:rFonts w:ascii="Arial" w:eastAsia="Verdana" w:hAnsi="Arial" w:cs="Arial"/>
          <w:sz w:val="20"/>
          <w:szCs w:val="20"/>
        </w:rPr>
        <w:t xml:space="preserve"> </w:t>
      </w:r>
      <w:r w:rsidR="00D14FC8" w:rsidRPr="00010F2F">
        <w:rPr>
          <w:rFonts w:ascii="Arial" w:eastAsia="Verdana" w:hAnsi="Arial" w:cs="Arial"/>
          <w:sz w:val="20"/>
          <w:szCs w:val="20"/>
        </w:rPr>
        <w:t xml:space="preserve">American Indian or Alaska Native </w:t>
      </w:r>
      <w:r w:rsidRPr="00010F2F">
        <w:rPr>
          <w:rFonts w:ascii="Arial" w:eastAsia="Verdana" w:hAnsi="Arial" w:cs="Arial"/>
          <w:sz w:val="20"/>
          <w:szCs w:val="20"/>
        </w:rPr>
        <w:t>(</w:t>
      </w:r>
      <w:r w:rsidR="00D14FC8" w:rsidRPr="00010F2F">
        <w:rPr>
          <w:rFonts w:ascii="Arial" w:eastAsia="Verdana" w:hAnsi="Arial" w:cs="Arial"/>
          <w:sz w:val="20"/>
          <w:szCs w:val="20"/>
        </w:rPr>
        <w:t>0.2</w:t>
      </w:r>
      <w:r w:rsidRPr="00010F2F">
        <w:rPr>
          <w:rFonts w:ascii="Arial" w:eastAsia="Verdana" w:hAnsi="Arial" w:cs="Arial"/>
          <w:sz w:val="20"/>
          <w:szCs w:val="20"/>
        </w:rPr>
        <w:t>%)</w:t>
      </w:r>
      <w:r w:rsidR="00D14FC8" w:rsidRPr="00010F2F">
        <w:rPr>
          <w:rFonts w:ascii="Arial" w:eastAsia="Verdana" w:hAnsi="Arial" w:cs="Arial"/>
          <w:sz w:val="20"/>
          <w:szCs w:val="20"/>
        </w:rPr>
        <w:t>;</w:t>
      </w:r>
      <w:r w:rsidRPr="00010F2F">
        <w:rPr>
          <w:rFonts w:ascii="Arial" w:eastAsia="Verdana" w:hAnsi="Arial" w:cs="Arial"/>
          <w:sz w:val="20"/>
          <w:szCs w:val="20"/>
        </w:rPr>
        <w:t xml:space="preserve"> </w:t>
      </w:r>
      <w:r w:rsidR="00D14FC8" w:rsidRPr="00010F2F">
        <w:rPr>
          <w:rFonts w:ascii="Arial" w:eastAsia="Verdana" w:hAnsi="Arial" w:cs="Arial"/>
          <w:sz w:val="20"/>
          <w:szCs w:val="20"/>
        </w:rPr>
        <w:t>Native/Hawaiian or Other Pacific Island (0.1%); and Hispanic/Latino</w:t>
      </w:r>
      <w:r w:rsidRPr="00010F2F">
        <w:rPr>
          <w:rFonts w:ascii="Arial" w:eastAsia="Verdana" w:hAnsi="Arial" w:cs="Arial"/>
          <w:sz w:val="20"/>
          <w:szCs w:val="20"/>
        </w:rPr>
        <w:t xml:space="preserve"> (</w:t>
      </w:r>
      <w:r w:rsidR="00D14FC8" w:rsidRPr="00010F2F">
        <w:rPr>
          <w:rFonts w:ascii="Arial" w:eastAsia="Verdana" w:hAnsi="Arial" w:cs="Arial"/>
          <w:sz w:val="20"/>
          <w:szCs w:val="20"/>
        </w:rPr>
        <w:t>0</w:t>
      </w:r>
      <w:r w:rsidRPr="00010F2F">
        <w:rPr>
          <w:rFonts w:ascii="Arial" w:eastAsia="Verdana" w:hAnsi="Arial" w:cs="Arial"/>
          <w:sz w:val="20"/>
          <w:szCs w:val="20"/>
        </w:rPr>
        <w:t>%)</w:t>
      </w:r>
      <w:r w:rsidR="00D14FC8" w:rsidRPr="00010F2F">
        <w:rPr>
          <w:rFonts w:ascii="Arial" w:eastAsia="Verdana" w:hAnsi="Arial" w:cs="Arial"/>
          <w:sz w:val="20"/>
          <w:szCs w:val="20"/>
        </w:rPr>
        <w:t>.</w:t>
      </w:r>
      <w:r w:rsidRPr="00010F2F">
        <w:rPr>
          <w:rFonts w:ascii="Arial" w:eastAsia="Verdana" w:hAnsi="Arial" w:cs="Arial"/>
          <w:sz w:val="20"/>
          <w:szCs w:val="20"/>
        </w:rPr>
        <w:t xml:space="preserve"> </w:t>
      </w:r>
      <w:r w:rsidR="0083640E" w:rsidRPr="00010F2F">
        <w:rPr>
          <w:rFonts w:ascii="Arial" w:hAnsi="Arial" w:cs="Arial"/>
          <w:sz w:val="20"/>
          <w:szCs w:val="20"/>
        </w:rPr>
        <w:t>Since patients were grouped into these categories</w:t>
      </w:r>
      <w:r w:rsidR="0083640E" w:rsidRPr="00010F2F">
        <w:rPr>
          <w:rFonts w:ascii="Arial" w:hAnsi="Arial" w:cs="Arial"/>
          <w:spacing w:val="1"/>
          <w:sz w:val="20"/>
          <w:szCs w:val="20"/>
        </w:rPr>
        <w:t xml:space="preserve"> </w:t>
      </w:r>
      <w:r w:rsidR="0083640E" w:rsidRPr="00010F2F">
        <w:rPr>
          <w:rFonts w:ascii="Arial" w:hAnsi="Arial" w:cs="Arial"/>
          <w:sz w:val="20"/>
          <w:szCs w:val="20"/>
        </w:rPr>
        <w:t>based on how they self-identified</w:t>
      </w:r>
      <w:r w:rsidR="00D14FC8" w:rsidRPr="00010F2F">
        <w:rPr>
          <w:rFonts w:ascii="Arial" w:hAnsi="Arial" w:cs="Arial"/>
          <w:sz w:val="20"/>
          <w:szCs w:val="20"/>
        </w:rPr>
        <w:t>,</w:t>
      </w:r>
      <w:r w:rsidR="0083640E" w:rsidRPr="00010F2F">
        <w:rPr>
          <w:rFonts w:ascii="Arial" w:hAnsi="Arial" w:cs="Arial"/>
          <w:spacing w:val="1"/>
          <w:position w:val="7"/>
          <w:sz w:val="20"/>
          <w:szCs w:val="20"/>
        </w:rPr>
        <w:t xml:space="preserve"> </w:t>
      </w:r>
      <w:r w:rsidR="0083640E" w:rsidRPr="00010F2F">
        <w:rPr>
          <w:rFonts w:ascii="Arial" w:hAnsi="Arial" w:cs="Arial"/>
          <w:sz w:val="20"/>
          <w:szCs w:val="20"/>
        </w:rPr>
        <w:t>there is a portion of the patient population (1</w:t>
      </w:r>
      <w:r w:rsidR="00D14FC8" w:rsidRPr="00010F2F">
        <w:rPr>
          <w:rFonts w:ascii="Arial" w:hAnsi="Arial" w:cs="Arial"/>
          <w:sz w:val="20"/>
          <w:szCs w:val="20"/>
        </w:rPr>
        <w:t>4.77</w:t>
      </w:r>
      <w:r w:rsidR="0083640E" w:rsidRPr="00010F2F">
        <w:rPr>
          <w:rFonts w:ascii="Arial" w:hAnsi="Arial" w:cs="Arial"/>
          <w:sz w:val="20"/>
          <w:szCs w:val="20"/>
        </w:rPr>
        <w:t>%</w:t>
      </w:r>
      <w:r w:rsidR="00D14FC8" w:rsidRPr="00010F2F">
        <w:rPr>
          <w:rFonts w:ascii="Arial" w:hAnsi="Arial" w:cs="Arial"/>
          <w:sz w:val="20"/>
          <w:szCs w:val="20"/>
        </w:rPr>
        <w:t xml:space="preserve"> on average</w:t>
      </w:r>
      <w:r w:rsidR="0083640E" w:rsidRPr="00010F2F">
        <w:rPr>
          <w:rFonts w:ascii="Arial" w:hAnsi="Arial" w:cs="Arial"/>
          <w:sz w:val="20"/>
          <w:szCs w:val="20"/>
        </w:rPr>
        <w:t>)</w:t>
      </w:r>
      <w:r w:rsidR="0083640E" w:rsidRPr="00010F2F">
        <w:rPr>
          <w:rFonts w:ascii="Arial" w:hAnsi="Arial" w:cs="Arial"/>
          <w:spacing w:val="1"/>
          <w:sz w:val="20"/>
          <w:szCs w:val="20"/>
        </w:rPr>
        <w:t xml:space="preserve"> </w:t>
      </w:r>
      <w:r w:rsidR="0083640E" w:rsidRPr="00010F2F">
        <w:rPr>
          <w:rFonts w:ascii="Arial" w:hAnsi="Arial" w:cs="Arial"/>
          <w:sz w:val="20"/>
          <w:szCs w:val="20"/>
        </w:rPr>
        <w:t>that either chose not to report their race or identified as a race that did not align with the above</w:t>
      </w:r>
      <w:r w:rsidR="0083640E" w:rsidRPr="00010F2F">
        <w:rPr>
          <w:rFonts w:ascii="Arial" w:hAnsi="Arial" w:cs="Arial"/>
          <w:spacing w:val="1"/>
          <w:sz w:val="20"/>
          <w:szCs w:val="20"/>
        </w:rPr>
        <w:t xml:space="preserve"> </w:t>
      </w:r>
      <w:r w:rsidR="0083640E" w:rsidRPr="00010F2F">
        <w:rPr>
          <w:rFonts w:ascii="Arial" w:hAnsi="Arial" w:cs="Arial"/>
          <w:sz w:val="20"/>
          <w:szCs w:val="20"/>
        </w:rPr>
        <w:t>categories.</w:t>
      </w:r>
      <w:r w:rsidR="00D14FC8" w:rsidRPr="00010F2F">
        <w:rPr>
          <w:rFonts w:ascii="Arial" w:eastAsia="Verdana" w:hAnsi="Arial" w:cs="Arial"/>
          <w:sz w:val="20"/>
          <w:szCs w:val="20"/>
        </w:rPr>
        <w:t xml:space="preserve"> </w:t>
      </w:r>
      <w:r w:rsidR="00D76AE0" w:rsidRPr="00010F2F">
        <w:rPr>
          <w:rFonts w:ascii="Arial" w:eastAsia="Verdana" w:hAnsi="Arial" w:cs="Arial"/>
          <w:sz w:val="20"/>
          <w:szCs w:val="20"/>
        </w:rPr>
        <w:t xml:space="preserve">As a result, </w:t>
      </w:r>
      <w:r w:rsidR="00D76AE0" w:rsidRPr="00010F2F">
        <w:rPr>
          <w:rFonts w:ascii="Arial" w:hAnsi="Arial" w:cs="Arial"/>
          <w:sz w:val="20"/>
          <w:szCs w:val="20"/>
        </w:rPr>
        <w:t>it is important to note that the racial composition of MGB’s patients may be understated.</w:t>
      </w:r>
      <w:r w:rsidR="00D76AE0" w:rsidRPr="00010F2F">
        <w:t xml:space="preserve"> </w:t>
      </w:r>
      <w:r w:rsidR="0051657F" w:rsidRPr="00010F2F">
        <w:t xml:space="preserve">Also, </w:t>
      </w:r>
      <w:r w:rsidR="0051657F" w:rsidRPr="00010F2F">
        <w:rPr>
          <w:rFonts w:ascii="Arial" w:eastAsia="Verdana" w:hAnsi="Arial" w:cs="Arial"/>
          <w:sz w:val="20"/>
          <w:szCs w:val="20"/>
        </w:rPr>
        <w:t>a</w:t>
      </w:r>
      <w:r w:rsidR="00D14FC8" w:rsidRPr="00010F2F">
        <w:rPr>
          <w:rFonts w:ascii="Arial" w:eastAsia="Verdana" w:hAnsi="Arial" w:cs="Arial"/>
          <w:sz w:val="20"/>
          <w:szCs w:val="20"/>
        </w:rPr>
        <w:t xml:space="preserve">ll </w:t>
      </w:r>
      <w:r w:rsidR="00D14FC8" w:rsidRPr="00010F2F">
        <w:rPr>
          <w:rFonts w:ascii="Arial" w:eastAsia="Verdana" w:hAnsi="Arial" w:cs="Arial"/>
          <w:sz w:val="20"/>
        </w:rPr>
        <w:t>p</w:t>
      </w:r>
      <w:r w:rsidRPr="00010F2F">
        <w:rPr>
          <w:rFonts w:ascii="Arial" w:eastAsia="Verdana" w:hAnsi="Arial" w:cs="Arial"/>
          <w:sz w:val="20"/>
        </w:rPr>
        <w:t xml:space="preserve">ercentages were largely unchanged between </w:t>
      </w:r>
      <w:r w:rsidR="00D14FC8" w:rsidRPr="00010F2F">
        <w:rPr>
          <w:rFonts w:ascii="Arial" w:eastAsia="Verdana" w:hAnsi="Arial" w:cs="Arial"/>
          <w:sz w:val="20"/>
        </w:rPr>
        <w:t>FY20 and FY22.</w:t>
      </w:r>
    </w:p>
    <w:p w14:paraId="00186412" w14:textId="772B2FBB" w:rsidR="004717D4" w:rsidRPr="00010F2F" w:rsidRDefault="004717D4" w:rsidP="004614CA">
      <w:pPr>
        <w:spacing w:after="0"/>
        <w:jc w:val="both"/>
        <w:rPr>
          <w:rFonts w:ascii="Arial" w:eastAsia="Verdana" w:hAnsi="Arial" w:cs="Arial"/>
          <w:b/>
          <w:bCs/>
          <w:sz w:val="20"/>
        </w:rPr>
      </w:pPr>
    </w:p>
    <w:p w14:paraId="0DE39D74" w14:textId="48E82AE6" w:rsidR="001959EA" w:rsidRDefault="004717D4" w:rsidP="00ED573E">
      <w:pPr>
        <w:spacing w:after="0"/>
        <w:jc w:val="both"/>
        <w:rPr>
          <w:rFonts w:ascii="Arial" w:eastAsia="Verdana" w:hAnsi="Arial" w:cs="Arial"/>
          <w:sz w:val="20"/>
        </w:rPr>
      </w:pPr>
      <w:r w:rsidRPr="00010F2F">
        <w:rPr>
          <w:rFonts w:ascii="Arial" w:eastAsia="Verdana" w:hAnsi="Arial" w:cs="Arial"/>
          <w:b/>
          <w:bCs/>
          <w:sz w:val="20"/>
        </w:rPr>
        <w:t>Payer Mix</w:t>
      </w:r>
      <w:r w:rsidRPr="00010F2F">
        <w:rPr>
          <w:rFonts w:ascii="Arial" w:eastAsia="Verdana" w:hAnsi="Arial" w:cs="Arial"/>
          <w:sz w:val="20"/>
        </w:rPr>
        <w:t xml:space="preserve">: </w:t>
      </w:r>
      <w:r w:rsidR="003B6A4A" w:rsidRPr="00010F2F">
        <w:rPr>
          <w:rFonts w:ascii="Arial" w:eastAsia="Verdana" w:hAnsi="Arial" w:cs="Arial"/>
          <w:sz w:val="20"/>
        </w:rPr>
        <w:t xml:space="preserve">Between FY20 and FY22, on average </w:t>
      </w:r>
      <w:r w:rsidR="00902B4F" w:rsidRPr="00010F2F">
        <w:rPr>
          <w:rFonts w:ascii="Arial" w:eastAsia="Verdana" w:hAnsi="Arial" w:cs="Arial"/>
          <w:sz w:val="20"/>
        </w:rPr>
        <w:t>37.61%</w:t>
      </w:r>
      <w:r w:rsidR="003B6A4A" w:rsidRPr="00010F2F">
        <w:rPr>
          <w:rFonts w:ascii="Arial" w:eastAsia="Verdana" w:hAnsi="Arial" w:cs="Arial"/>
          <w:sz w:val="20"/>
        </w:rPr>
        <w:t xml:space="preserve"> of all MGB patients were covered by Commercial PPO/Indemnity</w:t>
      </w:r>
      <w:r w:rsidR="00C662A6">
        <w:rPr>
          <w:rFonts w:ascii="Arial" w:eastAsia="Verdana" w:hAnsi="Arial" w:cs="Arial"/>
          <w:sz w:val="20"/>
        </w:rPr>
        <w:t xml:space="preserve"> Plans</w:t>
      </w:r>
      <w:r w:rsidR="003B6A4A" w:rsidRPr="00010F2F">
        <w:rPr>
          <w:rFonts w:ascii="Arial" w:eastAsia="Verdana" w:hAnsi="Arial" w:cs="Arial"/>
          <w:sz w:val="20"/>
        </w:rPr>
        <w:t>; followed by</w:t>
      </w:r>
      <w:r w:rsidR="005B1527" w:rsidRPr="00010F2F">
        <w:rPr>
          <w:rFonts w:ascii="Arial" w:eastAsia="Verdana" w:hAnsi="Arial" w:cs="Arial"/>
          <w:sz w:val="20"/>
        </w:rPr>
        <w:t>, on average,</w:t>
      </w:r>
      <w:r w:rsidR="003B6A4A" w:rsidRPr="00010F2F">
        <w:rPr>
          <w:rFonts w:ascii="Arial" w:eastAsia="Verdana" w:hAnsi="Arial" w:cs="Arial"/>
          <w:sz w:val="20"/>
        </w:rPr>
        <w:t xml:space="preserve"> approximately </w:t>
      </w:r>
      <w:r w:rsidR="00902B4F" w:rsidRPr="00010F2F">
        <w:rPr>
          <w:rFonts w:ascii="Arial" w:eastAsia="Verdana" w:hAnsi="Arial" w:cs="Arial"/>
          <w:sz w:val="20"/>
        </w:rPr>
        <w:t>22.05</w:t>
      </w:r>
      <w:r w:rsidR="003B6A4A" w:rsidRPr="00010F2F">
        <w:rPr>
          <w:rFonts w:ascii="Arial" w:eastAsia="Verdana" w:hAnsi="Arial" w:cs="Arial"/>
          <w:sz w:val="20"/>
        </w:rPr>
        <w:t xml:space="preserve">% of patients </w:t>
      </w:r>
      <w:r w:rsidR="006F22BB">
        <w:rPr>
          <w:rFonts w:ascii="Arial" w:eastAsia="Verdana" w:hAnsi="Arial" w:cs="Arial"/>
          <w:sz w:val="20"/>
        </w:rPr>
        <w:t>covered by</w:t>
      </w:r>
      <w:r w:rsidR="003B6A4A" w:rsidRPr="00010F2F">
        <w:rPr>
          <w:rFonts w:ascii="Arial" w:eastAsia="Verdana" w:hAnsi="Arial" w:cs="Arial"/>
          <w:sz w:val="20"/>
        </w:rPr>
        <w:t xml:space="preserve"> </w:t>
      </w:r>
      <w:r w:rsidR="00ED573E" w:rsidRPr="00010F2F">
        <w:rPr>
          <w:rFonts w:ascii="Arial" w:eastAsia="Verdana" w:hAnsi="Arial" w:cs="Arial"/>
          <w:sz w:val="20"/>
        </w:rPr>
        <w:t>Medicare,</w:t>
      </w:r>
      <w:r w:rsidR="003B6A4A" w:rsidRPr="00010F2F">
        <w:rPr>
          <w:rFonts w:ascii="Arial" w:eastAsia="Verdana" w:hAnsi="Arial" w:cs="Arial"/>
          <w:sz w:val="20"/>
        </w:rPr>
        <w:t xml:space="preserve"> </w:t>
      </w:r>
      <w:r w:rsidR="00902B4F" w:rsidRPr="00010F2F">
        <w:rPr>
          <w:rFonts w:ascii="Arial" w:eastAsia="Verdana" w:hAnsi="Arial" w:cs="Arial"/>
          <w:sz w:val="20"/>
        </w:rPr>
        <w:t>19.64</w:t>
      </w:r>
      <w:r w:rsidR="003B6A4A" w:rsidRPr="00010F2F">
        <w:rPr>
          <w:rFonts w:ascii="Arial" w:eastAsia="Verdana" w:hAnsi="Arial" w:cs="Arial"/>
          <w:sz w:val="20"/>
        </w:rPr>
        <w:t xml:space="preserve">% of patients </w:t>
      </w:r>
      <w:r w:rsidR="006F22BB">
        <w:rPr>
          <w:rFonts w:ascii="Arial" w:eastAsia="Verdana" w:hAnsi="Arial" w:cs="Arial"/>
          <w:sz w:val="20"/>
        </w:rPr>
        <w:t>covered by</w:t>
      </w:r>
      <w:r w:rsidR="006F22BB" w:rsidRPr="00010F2F">
        <w:rPr>
          <w:rFonts w:ascii="Arial" w:eastAsia="Verdana" w:hAnsi="Arial" w:cs="Arial"/>
          <w:sz w:val="20"/>
        </w:rPr>
        <w:t xml:space="preserve"> </w:t>
      </w:r>
      <w:r w:rsidR="003B6A4A" w:rsidRPr="00010F2F">
        <w:rPr>
          <w:rFonts w:ascii="Arial" w:eastAsia="Verdana" w:hAnsi="Arial" w:cs="Arial"/>
          <w:sz w:val="20"/>
        </w:rPr>
        <w:t xml:space="preserve">Commercial </w:t>
      </w:r>
      <w:r w:rsidR="00ED573E" w:rsidRPr="00010F2F">
        <w:rPr>
          <w:rFonts w:ascii="Arial" w:eastAsia="Verdana" w:hAnsi="Arial" w:cs="Arial"/>
          <w:sz w:val="20"/>
        </w:rPr>
        <w:t xml:space="preserve">HMO/POS, </w:t>
      </w:r>
      <w:r w:rsidR="005B1527" w:rsidRPr="00010F2F">
        <w:rPr>
          <w:rFonts w:ascii="Arial" w:eastAsia="Verdana" w:hAnsi="Arial" w:cs="Arial"/>
          <w:sz w:val="20"/>
        </w:rPr>
        <w:t>6.59</w:t>
      </w:r>
      <w:r w:rsidR="00ED573E" w:rsidRPr="00010F2F">
        <w:rPr>
          <w:rFonts w:ascii="Arial" w:eastAsia="Verdana" w:hAnsi="Arial" w:cs="Arial"/>
          <w:sz w:val="20"/>
        </w:rPr>
        <w:t xml:space="preserve">% of patients </w:t>
      </w:r>
      <w:r w:rsidR="006F22BB">
        <w:rPr>
          <w:rFonts w:ascii="Arial" w:eastAsia="Verdana" w:hAnsi="Arial" w:cs="Arial"/>
          <w:sz w:val="20"/>
        </w:rPr>
        <w:t>covered by</w:t>
      </w:r>
      <w:r w:rsidR="006F22BB" w:rsidRPr="00010F2F">
        <w:rPr>
          <w:rFonts w:ascii="Arial" w:eastAsia="Verdana" w:hAnsi="Arial" w:cs="Arial"/>
          <w:sz w:val="20"/>
        </w:rPr>
        <w:t xml:space="preserve"> </w:t>
      </w:r>
      <w:r w:rsidR="00ED573E" w:rsidRPr="00010F2F">
        <w:rPr>
          <w:rFonts w:ascii="Arial" w:eastAsia="Verdana" w:hAnsi="Arial" w:cs="Arial"/>
          <w:sz w:val="20"/>
        </w:rPr>
        <w:t xml:space="preserve">Commercial </w:t>
      </w:r>
      <w:r w:rsidR="003B6A4A" w:rsidRPr="00010F2F">
        <w:rPr>
          <w:rFonts w:ascii="Arial" w:eastAsia="Verdana" w:hAnsi="Arial" w:cs="Arial"/>
          <w:sz w:val="20"/>
        </w:rPr>
        <w:t>Medicare</w:t>
      </w:r>
      <w:r w:rsidR="00ED573E" w:rsidRPr="00010F2F">
        <w:rPr>
          <w:rFonts w:ascii="Arial" w:eastAsia="Verdana" w:hAnsi="Arial" w:cs="Arial"/>
          <w:sz w:val="20"/>
        </w:rPr>
        <w:t xml:space="preserve">, </w:t>
      </w:r>
      <w:r w:rsidR="005B1527" w:rsidRPr="00010F2F">
        <w:rPr>
          <w:rFonts w:ascii="Arial" w:eastAsia="Verdana" w:hAnsi="Arial" w:cs="Arial"/>
          <w:sz w:val="20"/>
        </w:rPr>
        <w:t>5.97</w:t>
      </w:r>
      <w:r w:rsidR="00ED573E" w:rsidRPr="00010F2F">
        <w:rPr>
          <w:rFonts w:ascii="Arial" w:eastAsia="Verdana" w:hAnsi="Arial" w:cs="Arial"/>
          <w:sz w:val="20"/>
        </w:rPr>
        <w:t xml:space="preserve">% of patients </w:t>
      </w:r>
      <w:r w:rsidR="00D10B46">
        <w:rPr>
          <w:rFonts w:ascii="Arial" w:eastAsia="Verdana" w:hAnsi="Arial" w:cs="Arial"/>
          <w:sz w:val="20"/>
        </w:rPr>
        <w:t>covered by</w:t>
      </w:r>
      <w:r w:rsidR="00D10B46" w:rsidRPr="00010F2F">
        <w:rPr>
          <w:rFonts w:ascii="Arial" w:eastAsia="Verdana" w:hAnsi="Arial" w:cs="Arial"/>
          <w:sz w:val="20"/>
        </w:rPr>
        <w:t xml:space="preserve"> </w:t>
      </w:r>
      <w:r w:rsidR="00ED573E" w:rsidRPr="00010F2F">
        <w:rPr>
          <w:rFonts w:ascii="Arial" w:eastAsia="Verdana" w:hAnsi="Arial" w:cs="Arial"/>
          <w:sz w:val="20"/>
        </w:rPr>
        <w:t xml:space="preserve">Other, </w:t>
      </w:r>
      <w:r w:rsidR="005B1527" w:rsidRPr="00010F2F">
        <w:rPr>
          <w:rFonts w:ascii="Arial" w:eastAsia="Verdana" w:hAnsi="Arial" w:cs="Arial"/>
          <w:sz w:val="20"/>
        </w:rPr>
        <w:t>5.93</w:t>
      </w:r>
      <w:r w:rsidR="00ED573E" w:rsidRPr="00010F2F">
        <w:rPr>
          <w:rFonts w:ascii="Arial" w:eastAsia="Verdana" w:hAnsi="Arial" w:cs="Arial"/>
          <w:sz w:val="20"/>
        </w:rPr>
        <w:t xml:space="preserve">% of patients </w:t>
      </w:r>
      <w:r w:rsidR="00D10B46">
        <w:rPr>
          <w:rFonts w:ascii="Arial" w:eastAsia="Verdana" w:hAnsi="Arial" w:cs="Arial"/>
          <w:sz w:val="20"/>
        </w:rPr>
        <w:t>covered by</w:t>
      </w:r>
      <w:r w:rsidR="00D10B46" w:rsidRPr="00010F2F">
        <w:rPr>
          <w:rFonts w:ascii="Arial" w:eastAsia="Verdana" w:hAnsi="Arial" w:cs="Arial"/>
          <w:sz w:val="20"/>
        </w:rPr>
        <w:t xml:space="preserve"> </w:t>
      </w:r>
      <w:r w:rsidR="00ED573E" w:rsidRPr="00010F2F">
        <w:rPr>
          <w:rFonts w:ascii="Arial" w:eastAsia="Verdana" w:hAnsi="Arial" w:cs="Arial"/>
          <w:sz w:val="20"/>
        </w:rPr>
        <w:t xml:space="preserve">MassHealth, and </w:t>
      </w:r>
      <w:r w:rsidR="005B1527" w:rsidRPr="00010F2F">
        <w:rPr>
          <w:rFonts w:ascii="Arial" w:eastAsia="Verdana" w:hAnsi="Arial" w:cs="Arial"/>
          <w:sz w:val="20"/>
        </w:rPr>
        <w:t>2.22</w:t>
      </w:r>
      <w:r w:rsidR="00ED573E" w:rsidRPr="00010F2F">
        <w:rPr>
          <w:rFonts w:ascii="Arial" w:eastAsia="Verdana" w:hAnsi="Arial" w:cs="Arial"/>
          <w:sz w:val="20"/>
        </w:rPr>
        <w:t xml:space="preserve">% of patients </w:t>
      </w:r>
      <w:r w:rsidR="00D10B46">
        <w:rPr>
          <w:rFonts w:ascii="Arial" w:eastAsia="Verdana" w:hAnsi="Arial" w:cs="Arial"/>
          <w:sz w:val="20"/>
        </w:rPr>
        <w:t>covered by</w:t>
      </w:r>
      <w:r w:rsidR="00D10B46" w:rsidRPr="00010F2F">
        <w:rPr>
          <w:rFonts w:ascii="Arial" w:eastAsia="Verdana" w:hAnsi="Arial" w:cs="Arial"/>
          <w:sz w:val="20"/>
        </w:rPr>
        <w:t xml:space="preserve"> </w:t>
      </w:r>
      <w:r w:rsidR="00ED573E" w:rsidRPr="00010F2F">
        <w:rPr>
          <w:rFonts w:ascii="Arial" w:eastAsia="Verdana" w:hAnsi="Arial" w:cs="Arial"/>
          <w:sz w:val="20"/>
        </w:rPr>
        <w:t>Managed Medicaid</w:t>
      </w:r>
      <w:r w:rsidR="003B6A4A" w:rsidRPr="00010F2F">
        <w:rPr>
          <w:rFonts w:ascii="Arial" w:eastAsia="Verdana" w:hAnsi="Arial" w:cs="Arial"/>
          <w:sz w:val="20"/>
        </w:rPr>
        <w:t xml:space="preserve">. </w:t>
      </w:r>
      <w:r w:rsidR="00ED573E" w:rsidRPr="00010F2F">
        <w:rPr>
          <w:rFonts w:ascii="Arial" w:eastAsia="Verdana" w:hAnsi="Arial" w:cs="Arial"/>
          <w:sz w:val="20"/>
        </w:rPr>
        <w:t>Percentages were largely unchanged between FY20 and FY22.</w:t>
      </w:r>
      <w:r w:rsidR="003B6A4A" w:rsidRPr="00010F2F">
        <w:rPr>
          <w:rFonts w:ascii="Arial" w:eastAsia="Verdana" w:hAnsi="Arial" w:cs="Arial"/>
          <w:sz w:val="20"/>
        </w:rPr>
        <w:t xml:space="preserve">  </w:t>
      </w:r>
      <w:r w:rsidR="00705EED" w:rsidRPr="00010F2F">
        <w:rPr>
          <w:rFonts w:ascii="Arial" w:eastAsia="Verdana" w:hAnsi="Arial" w:cs="Arial"/>
          <w:sz w:val="20"/>
        </w:rPr>
        <w:t xml:space="preserve">Payer mix for MGB is </w:t>
      </w:r>
      <w:r w:rsidR="00ED573E" w:rsidRPr="00010F2F">
        <w:rPr>
          <w:rFonts w:ascii="Arial" w:eastAsia="Verdana" w:hAnsi="Arial" w:cs="Arial"/>
          <w:sz w:val="20"/>
        </w:rPr>
        <w:t>illustrated</w:t>
      </w:r>
      <w:r w:rsidR="00705EED" w:rsidRPr="00010F2F">
        <w:rPr>
          <w:rFonts w:ascii="Arial" w:eastAsia="Verdana" w:hAnsi="Arial" w:cs="Arial"/>
          <w:sz w:val="20"/>
        </w:rPr>
        <w:t xml:space="preserve"> in the table below.</w:t>
      </w:r>
      <w:r w:rsidR="003B6A4A" w:rsidRPr="00010F2F">
        <w:rPr>
          <w:rFonts w:ascii="Arial" w:eastAsia="Verdana" w:hAnsi="Arial" w:cs="Arial"/>
          <w:sz w:val="20"/>
        </w:rPr>
        <w:t xml:space="preserve"> </w:t>
      </w:r>
    </w:p>
    <w:p w14:paraId="0DC2878F" w14:textId="7AD72FCB" w:rsidR="00413B69" w:rsidRDefault="00413B69" w:rsidP="00ED573E">
      <w:pPr>
        <w:spacing w:after="0"/>
        <w:jc w:val="both"/>
        <w:rPr>
          <w:rFonts w:ascii="Arial" w:eastAsia="Verdana" w:hAnsi="Arial" w:cs="Arial"/>
          <w:sz w:val="20"/>
        </w:rPr>
      </w:pPr>
    </w:p>
    <w:tbl>
      <w:tblPr>
        <w:tblStyle w:val="TableGrid"/>
        <w:tblW w:w="0" w:type="auto"/>
        <w:tblLook w:val="04A0" w:firstRow="1" w:lastRow="0" w:firstColumn="1" w:lastColumn="0" w:noHBand="0" w:noVBand="1"/>
      </w:tblPr>
      <w:tblGrid>
        <w:gridCol w:w="2515"/>
        <w:gridCol w:w="1170"/>
        <w:gridCol w:w="1620"/>
        <w:gridCol w:w="1350"/>
      </w:tblGrid>
      <w:tr w:rsidR="00413B69" w14:paraId="18D68D36" w14:textId="77777777" w:rsidTr="004D4723">
        <w:trPr>
          <w:cantSplit/>
          <w:tblHeader/>
        </w:trPr>
        <w:tc>
          <w:tcPr>
            <w:tcW w:w="2515" w:type="dxa"/>
            <w:shd w:val="clear" w:color="auto" w:fill="E7E6E6" w:themeFill="background2"/>
            <w:vAlign w:val="bottom"/>
          </w:tcPr>
          <w:p w14:paraId="4D46849C" w14:textId="77777777" w:rsidR="00413B69" w:rsidRPr="00413B69" w:rsidRDefault="00413B69" w:rsidP="002B25AC">
            <w:pPr>
              <w:jc w:val="both"/>
              <w:rPr>
                <w:rFonts w:ascii="Arial" w:eastAsia="Verdana" w:hAnsi="Arial" w:cs="Arial"/>
                <w:sz w:val="20"/>
              </w:rPr>
            </w:pPr>
            <w:r w:rsidRPr="00413B69">
              <w:rPr>
                <w:rFonts w:ascii="Arial" w:eastAsia="Times New Roman" w:hAnsi="Arial" w:cs="Arial"/>
                <w:color w:val="000000"/>
                <w:sz w:val="20"/>
                <w:szCs w:val="20"/>
              </w:rPr>
              <w:t>Payer Group</w:t>
            </w:r>
          </w:p>
        </w:tc>
        <w:tc>
          <w:tcPr>
            <w:tcW w:w="1170" w:type="dxa"/>
            <w:shd w:val="clear" w:color="auto" w:fill="E7E6E6" w:themeFill="background2"/>
            <w:vAlign w:val="bottom"/>
          </w:tcPr>
          <w:p w14:paraId="255A3ABA" w14:textId="70814B1D" w:rsidR="00413B69" w:rsidRPr="00413B69" w:rsidRDefault="00413B69" w:rsidP="00413B69">
            <w:pPr>
              <w:jc w:val="center"/>
              <w:rPr>
                <w:rFonts w:ascii="Arial" w:eastAsia="Verdana" w:hAnsi="Arial" w:cs="Arial"/>
                <w:sz w:val="20"/>
              </w:rPr>
            </w:pPr>
            <w:r w:rsidRPr="00413B69">
              <w:rPr>
                <w:rFonts w:ascii="Arial" w:eastAsia="Times New Roman" w:hAnsi="Arial" w:cs="Arial"/>
                <w:color w:val="000000"/>
                <w:sz w:val="20"/>
                <w:szCs w:val="20"/>
              </w:rPr>
              <w:t>FY20</w:t>
            </w:r>
          </w:p>
        </w:tc>
        <w:tc>
          <w:tcPr>
            <w:tcW w:w="1620" w:type="dxa"/>
            <w:shd w:val="clear" w:color="auto" w:fill="E7E6E6" w:themeFill="background2"/>
            <w:vAlign w:val="bottom"/>
          </w:tcPr>
          <w:p w14:paraId="118BB42F" w14:textId="2B2B8276" w:rsidR="00413B69" w:rsidRPr="00413B69" w:rsidRDefault="00413B69" w:rsidP="00413B69">
            <w:pPr>
              <w:jc w:val="center"/>
              <w:rPr>
                <w:rFonts w:ascii="Arial" w:eastAsia="Verdana" w:hAnsi="Arial" w:cs="Arial"/>
                <w:sz w:val="20"/>
              </w:rPr>
            </w:pPr>
            <w:r w:rsidRPr="00413B69">
              <w:rPr>
                <w:rFonts w:ascii="Arial" w:eastAsia="Times New Roman" w:hAnsi="Arial" w:cs="Arial"/>
                <w:color w:val="000000"/>
                <w:sz w:val="20"/>
                <w:szCs w:val="20"/>
              </w:rPr>
              <w:t>FY21</w:t>
            </w:r>
          </w:p>
        </w:tc>
        <w:tc>
          <w:tcPr>
            <w:tcW w:w="1350" w:type="dxa"/>
            <w:shd w:val="clear" w:color="auto" w:fill="E7E6E6" w:themeFill="background2"/>
            <w:vAlign w:val="bottom"/>
          </w:tcPr>
          <w:p w14:paraId="378C34E9" w14:textId="3F38A423" w:rsidR="00413B69" w:rsidRPr="00413B69" w:rsidRDefault="00413B69" w:rsidP="00413B69">
            <w:pPr>
              <w:jc w:val="center"/>
              <w:rPr>
                <w:rFonts w:ascii="Arial" w:eastAsia="Verdana" w:hAnsi="Arial" w:cs="Arial"/>
                <w:sz w:val="20"/>
              </w:rPr>
            </w:pPr>
            <w:r w:rsidRPr="00413B69">
              <w:rPr>
                <w:rFonts w:ascii="Arial" w:eastAsia="Times New Roman" w:hAnsi="Arial" w:cs="Arial"/>
                <w:color w:val="000000"/>
                <w:sz w:val="20"/>
                <w:szCs w:val="20"/>
              </w:rPr>
              <w:t>FY22</w:t>
            </w:r>
          </w:p>
        </w:tc>
      </w:tr>
      <w:tr w:rsidR="00413B69" w14:paraId="7CF847BF" w14:textId="77777777" w:rsidTr="004D4723">
        <w:trPr>
          <w:cantSplit/>
        </w:trPr>
        <w:tc>
          <w:tcPr>
            <w:tcW w:w="2515" w:type="dxa"/>
            <w:vAlign w:val="bottom"/>
          </w:tcPr>
          <w:p w14:paraId="79F41DCA" w14:textId="3CD31AFF"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Commercial (PPO/Indemnity)</w:t>
            </w:r>
            <w:r w:rsidRPr="00413B69">
              <w:rPr>
                <w:rStyle w:val="FootnoteReference"/>
                <w:rFonts w:ascii="Arial" w:eastAsia="Times New Roman" w:hAnsi="Arial" w:cs="Arial"/>
                <w:color w:val="000000"/>
                <w:sz w:val="20"/>
                <w:szCs w:val="20"/>
              </w:rPr>
              <w:footnoteReference w:id="4"/>
            </w:r>
          </w:p>
        </w:tc>
        <w:tc>
          <w:tcPr>
            <w:tcW w:w="1170" w:type="dxa"/>
            <w:vAlign w:val="bottom"/>
          </w:tcPr>
          <w:p w14:paraId="2527D209" w14:textId="12E65508"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37.95%</w:t>
            </w:r>
          </w:p>
        </w:tc>
        <w:tc>
          <w:tcPr>
            <w:tcW w:w="1620" w:type="dxa"/>
            <w:vAlign w:val="bottom"/>
          </w:tcPr>
          <w:p w14:paraId="03B15C4B" w14:textId="2958C18A"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37.44%</w:t>
            </w:r>
          </w:p>
        </w:tc>
        <w:tc>
          <w:tcPr>
            <w:tcW w:w="1350" w:type="dxa"/>
            <w:vAlign w:val="bottom"/>
          </w:tcPr>
          <w:p w14:paraId="462E657D" w14:textId="4D05965C"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37.45%</w:t>
            </w:r>
          </w:p>
        </w:tc>
      </w:tr>
      <w:tr w:rsidR="00413B69" w14:paraId="10E1D8CB" w14:textId="77777777" w:rsidTr="004D4723">
        <w:trPr>
          <w:cantSplit/>
        </w:trPr>
        <w:tc>
          <w:tcPr>
            <w:tcW w:w="2515" w:type="dxa"/>
            <w:vAlign w:val="bottom"/>
          </w:tcPr>
          <w:p w14:paraId="5BE55455" w14:textId="6A662F58"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Commercial (HMO/POS)</w:t>
            </w:r>
            <w:r w:rsidRPr="00413B69">
              <w:rPr>
                <w:rStyle w:val="FootnoteReference"/>
                <w:rFonts w:ascii="Arial" w:eastAsia="Times New Roman" w:hAnsi="Arial" w:cs="Arial"/>
                <w:color w:val="000000"/>
                <w:sz w:val="20"/>
                <w:szCs w:val="20"/>
              </w:rPr>
              <w:t xml:space="preserve"> </w:t>
            </w:r>
            <w:r w:rsidRPr="00413B69">
              <w:rPr>
                <w:rStyle w:val="FootnoteReference"/>
                <w:rFonts w:ascii="Arial" w:eastAsia="Times New Roman" w:hAnsi="Arial" w:cs="Arial"/>
                <w:color w:val="000000"/>
                <w:sz w:val="20"/>
                <w:szCs w:val="20"/>
              </w:rPr>
              <w:footnoteReference w:id="5"/>
            </w:r>
          </w:p>
        </w:tc>
        <w:tc>
          <w:tcPr>
            <w:tcW w:w="1170" w:type="dxa"/>
            <w:vAlign w:val="bottom"/>
          </w:tcPr>
          <w:p w14:paraId="07E13B17" w14:textId="6245E4EC"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19.94%</w:t>
            </w:r>
          </w:p>
        </w:tc>
        <w:tc>
          <w:tcPr>
            <w:tcW w:w="1620" w:type="dxa"/>
            <w:vAlign w:val="bottom"/>
          </w:tcPr>
          <w:p w14:paraId="66A49EA5" w14:textId="2E6C201B"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19.78%</w:t>
            </w:r>
          </w:p>
        </w:tc>
        <w:tc>
          <w:tcPr>
            <w:tcW w:w="1350" w:type="dxa"/>
            <w:vAlign w:val="bottom"/>
          </w:tcPr>
          <w:p w14:paraId="5467101C" w14:textId="051874A5"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19.19%</w:t>
            </w:r>
          </w:p>
        </w:tc>
      </w:tr>
      <w:tr w:rsidR="00413B69" w14:paraId="7FE39ACD" w14:textId="77777777" w:rsidTr="004D4723">
        <w:trPr>
          <w:cantSplit/>
        </w:trPr>
        <w:tc>
          <w:tcPr>
            <w:tcW w:w="2515" w:type="dxa"/>
            <w:vAlign w:val="bottom"/>
          </w:tcPr>
          <w:p w14:paraId="43469653" w14:textId="163F8056"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Medicare</w:t>
            </w:r>
            <w:r w:rsidRPr="00413B69">
              <w:rPr>
                <w:rStyle w:val="FootnoteReference"/>
                <w:rFonts w:ascii="Arial" w:eastAsia="Times New Roman" w:hAnsi="Arial" w:cs="Arial"/>
                <w:color w:val="000000"/>
                <w:sz w:val="20"/>
                <w:szCs w:val="20"/>
              </w:rPr>
              <w:footnoteReference w:id="6"/>
            </w:r>
          </w:p>
        </w:tc>
        <w:tc>
          <w:tcPr>
            <w:tcW w:w="1170" w:type="dxa"/>
            <w:vAlign w:val="bottom"/>
          </w:tcPr>
          <w:p w14:paraId="0601B8EF" w14:textId="1B3869D1"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22.39%</w:t>
            </w:r>
          </w:p>
        </w:tc>
        <w:tc>
          <w:tcPr>
            <w:tcW w:w="1620" w:type="dxa"/>
            <w:vAlign w:val="bottom"/>
          </w:tcPr>
          <w:p w14:paraId="0B2066F1" w14:textId="5E403C75"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22.16%</w:t>
            </w:r>
          </w:p>
        </w:tc>
        <w:tc>
          <w:tcPr>
            <w:tcW w:w="1350" w:type="dxa"/>
            <w:vAlign w:val="bottom"/>
          </w:tcPr>
          <w:p w14:paraId="7519F547" w14:textId="615C43EC"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21.59%</w:t>
            </w:r>
          </w:p>
        </w:tc>
      </w:tr>
      <w:tr w:rsidR="00413B69" w14:paraId="6832955F" w14:textId="77777777" w:rsidTr="004D4723">
        <w:trPr>
          <w:cantSplit/>
        </w:trPr>
        <w:tc>
          <w:tcPr>
            <w:tcW w:w="2515" w:type="dxa"/>
            <w:vAlign w:val="bottom"/>
          </w:tcPr>
          <w:p w14:paraId="59B6ADF8" w14:textId="2BA69265"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Commercial Medicare</w:t>
            </w:r>
          </w:p>
        </w:tc>
        <w:tc>
          <w:tcPr>
            <w:tcW w:w="1170" w:type="dxa"/>
            <w:vAlign w:val="bottom"/>
          </w:tcPr>
          <w:p w14:paraId="503CFAE7" w14:textId="304B087B"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5.68%</w:t>
            </w:r>
          </w:p>
        </w:tc>
        <w:tc>
          <w:tcPr>
            <w:tcW w:w="1620" w:type="dxa"/>
            <w:vAlign w:val="bottom"/>
          </w:tcPr>
          <w:p w14:paraId="4E725AC4" w14:textId="49911DB7"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6.63%</w:t>
            </w:r>
          </w:p>
        </w:tc>
        <w:tc>
          <w:tcPr>
            <w:tcW w:w="1350" w:type="dxa"/>
            <w:vAlign w:val="bottom"/>
          </w:tcPr>
          <w:p w14:paraId="1410EBCB" w14:textId="5F2DD6D0"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7.45%</w:t>
            </w:r>
          </w:p>
        </w:tc>
      </w:tr>
      <w:tr w:rsidR="00413B69" w14:paraId="6C8641A5" w14:textId="77777777" w:rsidTr="004D4723">
        <w:trPr>
          <w:cantSplit/>
        </w:trPr>
        <w:tc>
          <w:tcPr>
            <w:tcW w:w="2515" w:type="dxa"/>
            <w:vAlign w:val="bottom"/>
          </w:tcPr>
          <w:p w14:paraId="77995A6A" w14:textId="7C96C186"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MassHealth</w:t>
            </w:r>
          </w:p>
        </w:tc>
        <w:tc>
          <w:tcPr>
            <w:tcW w:w="1170" w:type="dxa"/>
            <w:vAlign w:val="bottom"/>
          </w:tcPr>
          <w:p w14:paraId="512E8CD8" w14:textId="3E8B3B53"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5.94%</w:t>
            </w:r>
          </w:p>
        </w:tc>
        <w:tc>
          <w:tcPr>
            <w:tcW w:w="1620" w:type="dxa"/>
            <w:vAlign w:val="bottom"/>
          </w:tcPr>
          <w:p w14:paraId="01DE0986" w14:textId="7E6FAC8D"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5.80%</w:t>
            </w:r>
          </w:p>
        </w:tc>
        <w:tc>
          <w:tcPr>
            <w:tcW w:w="1350" w:type="dxa"/>
            <w:vAlign w:val="bottom"/>
          </w:tcPr>
          <w:p w14:paraId="3E1FFEFF" w14:textId="1D3B8F6A"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6.04%</w:t>
            </w:r>
          </w:p>
        </w:tc>
      </w:tr>
      <w:tr w:rsidR="00413B69" w14:paraId="038FF457" w14:textId="77777777" w:rsidTr="004D4723">
        <w:trPr>
          <w:cantSplit/>
        </w:trPr>
        <w:tc>
          <w:tcPr>
            <w:tcW w:w="2515" w:type="dxa"/>
            <w:vAlign w:val="bottom"/>
          </w:tcPr>
          <w:p w14:paraId="759152F2" w14:textId="10F9A875"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Managed Medicaid</w:t>
            </w:r>
          </w:p>
        </w:tc>
        <w:tc>
          <w:tcPr>
            <w:tcW w:w="1170" w:type="dxa"/>
            <w:vAlign w:val="bottom"/>
          </w:tcPr>
          <w:p w14:paraId="6327FF6E" w14:textId="54C046E7"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2.27%</w:t>
            </w:r>
          </w:p>
        </w:tc>
        <w:tc>
          <w:tcPr>
            <w:tcW w:w="1620" w:type="dxa"/>
            <w:vAlign w:val="bottom"/>
          </w:tcPr>
          <w:p w14:paraId="107EFFFF" w14:textId="6F6CE0CF"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2.15%</w:t>
            </w:r>
          </w:p>
        </w:tc>
        <w:tc>
          <w:tcPr>
            <w:tcW w:w="1350" w:type="dxa"/>
            <w:vAlign w:val="bottom"/>
          </w:tcPr>
          <w:p w14:paraId="732F95BA" w14:textId="3EF95DAF"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2.25%</w:t>
            </w:r>
          </w:p>
        </w:tc>
      </w:tr>
      <w:tr w:rsidR="00413B69" w14:paraId="4B238935" w14:textId="77777777" w:rsidTr="004D4723">
        <w:trPr>
          <w:cantSplit/>
        </w:trPr>
        <w:tc>
          <w:tcPr>
            <w:tcW w:w="2515" w:type="dxa"/>
            <w:vAlign w:val="bottom"/>
          </w:tcPr>
          <w:p w14:paraId="449D5325" w14:textId="7F8BDF68"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Other</w:t>
            </w:r>
            <w:r w:rsidRPr="00413B69">
              <w:rPr>
                <w:rStyle w:val="FootnoteReference"/>
                <w:rFonts w:ascii="Arial" w:eastAsia="Times New Roman" w:hAnsi="Arial" w:cs="Arial"/>
                <w:color w:val="000000"/>
                <w:sz w:val="20"/>
                <w:szCs w:val="20"/>
              </w:rPr>
              <w:footnoteReference w:id="7"/>
            </w:r>
          </w:p>
        </w:tc>
        <w:tc>
          <w:tcPr>
            <w:tcW w:w="1170" w:type="dxa"/>
            <w:vAlign w:val="bottom"/>
          </w:tcPr>
          <w:p w14:paraId="628B8C5B" w14:textId="7C7569E0"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5.83%</w:t>
            </w:r>
          </w:p>
        </w:tc>
        <w:tc>
          <w:tcPr>
            <w:tcW w:w="1620" w:type="dxa"/>
            <w:vAlign w:val="bottom"/>
          </w:tcPr>
          <w:p w14:paraId="1E9457B3" w14:textId="3F6BA186"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6.04%</w:t>
            </w:r>
          </w:p>
        </w:tc>
        <w:tc>
          <w:tcPr>
            <w:tcW w:w="1350" w:type="dxa"/>
            <w:vAlign w:val="bottom"/>
          </w:tcPr>
          <w:p w14:paraId="3BF5434C" w14:textId="1F2061EE"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6.03%</w:t>
            </w:r>
          </w:p>
        </w:tc>
      </w:tr>
      <w:tr w:rsidR="00413B69" w14:paraId="3B95633F" w14:textId="77777777" w:rsidTr="004D4723">
        <w:trPr>
          <w:cantSplit/>
        </w:trPr>
        <w:tc>
          <w:tcPr>
            <w:tcW w:w="2515" w:type="dxa"/>
            <w:vAlign w:val="bottom"/>
          </w:tcPr>
          <w:p w14:paraId="2D53A4D9" w14:textId="3859AF8B" w:rsidR="00413B69" w:rsidRPr="00413B69" w:rsidRDefault="00413B69" w:rsidP="00413B69">
            <w:pPr>
              <w:jc w:val="both"/>
              <w:rPr>
                <w:rFonts w:ascii="Arial" w:eastAsia="Verdana" w:hAnsi="Arial" w:cs="Arial"/>
                <w:sz w:val="20"/>
              </w:rPr>
            </w:pPr>
            <w:r w:rsidRPr="00413B69">
              <w:rPr>
                <w:rFonts w:ascii="Arial" w:eastAsia="Times New Roman" w:hAnsi="Arial" w:cs="Arial"/>
                <w:b/>
                <w:bCs/>
                <w:color w:val="000000"/>
                <w:sz w:val="20"/>
                <w:szCs w:val="20"/>
              </w:rPr>
              <w:t>Total</w:t>
            </w:r>
          </w:p>
        </w:tc>
        <w:tc>
          <w:tcPr>
            <w:tcW w:w="1170" w:type="dxa"/>
            <w:vAlign w:val="bottom"/>
          </w:tcPr>
          <w:p w14:paraId="7CE7F690" w14:textId="63B0374B" w:rsidR="00413B69" w:rsidRPr="00413B69" w:rsidRDefault="00413B69" w:rsidP="00413B69">
            <w:pPr>
              <w:jc w:val="right"/>
              <w:rPr>
                <w:rFonts w:ascii="Arial" w:eastAsia="Verdana" w:hAnsi="Arial" w:cs="Arial"/>
                <w:sz w:val="20"/>
              </w:rPr>
            </w:pPr>
            <w:r w:rsidRPr="00413B69">
              <w:rPr>
                <w:rFonts w:ascii="Arial" w:eastAsia="Times New Roman" w:hAnsi="Arial" w:cs="Arial"/>
                <w:b/>
                <w:bCs/>
                <w:color w:val="000000"/>
                <w:sz w:val="20"/>
                <w:szCs w:val="20"/>
              </w:rPr>
              <w:t>100.00%</w:t>
            </w:r>
          </w:p>
        </w:tc>
        <w:tc>
          <w:tcPr>
            <w:tcW w:w="1620" w:type="dxa"/>
            <w:vAlign w:val="bottom"/>
          </w:tcPr>
          <w:p w14:paraId="69EAFB6E" w14:textId="7A46233E" w:rsidR="00413B69" w:rsidRPr="00413B69" w:rsidRDefault="00413B69" w:rsidP="00413B69">
            <w:pPr>
              <w:jc w:val="right"/>
              <w:rPr>
                <w:rFonts w:ascii="Arial" w:eastAsia="Verdana" w:hAnsi="Arial" w:cs="Arial"/>
                <w:sz w:val="20"/>
              </w:rPr>
            </w:pPr>
            <w:r w:rsidRPr="00413B69">
              <w:rPr>
                <w:rFonts w:ascii="Arial" w:eastAsia="Times New Roman" w:hAnsi="Arial" w:cs="Arial"/>
                <w:b/>
                <w:bCs/>
                <w:color w:val="000000"/>
                <w:sz w:val="20"/>
                <w:szCs w:val="20"/>
              </w:rPr>
              <w:t>100.00%</w:t>
            </w:r>
          </w:p>
        </w:tc>
        <w:tc>
          <w:tcPr>
            <w:tcW w:w="1350" w:type="dxa"/>
            <w:vAlign w:val="bottom"/>
          </w:tcPr>
          <w:p w14:paraId="76BC9462" w14:textId="6FC2EA0C" w:rsidR="00413B69" w:rsidRPr="00413B69" w:rsidRDefault="00413B69" w:rsidP="00413B69">
            <w:pPr>
              <w:jc w:val="right"/>
              <w:rPr>
                <w:rFonts w:ascii="Arial" w:eastAsia="Verdana" w:hAnsi="Arial" w:cs="Arial"/>
                <w:sz w:val="20"/>
              </w:rPr>
            </w:pPr>
            <w:r w:rsidRPr="00413B69">
              <w:rPr>
                <w:rFonts w:ascii="Arial" w:eastAsia="Times New Roman" w:hAnsi="Arial" w:cs="Arial"/>
                <w:b/>
                <w:bCs/>
                <w:color w:val="000000"/>
                <w:sz w:val="20"/>
                <w:szCs w:val="20"/>
              </w:rPr>
              <w:t>100.00%</w:t>
            </w:r>
          </w:p>
        </w:tc>
      </w:tr>
    </w:tbl>
    <w:p w14:paraId="2C517D74" w14:textId="77777777" w:rsidR="00413B69" w:rsidRDefault="00413B69" w:rsidP="00ED573E">
      <w:pPr>
        <w:spacing w:after="0"/>
        <w:jc w:val="both"/>
        <w:rPr>
          <w:rFonts w:ascii="Arial" w:eastAsia="Verdana" w:hAnsi="Arial" w:cs="Arial"/>
          <w:sz w:val="20"/>
        </w:rPr>
      </w:pPr>
    </w:p>
    <w:p w14:paraId="353EA6B2" w14:textId="0E781043" w:rsidR="004614CA" w:rsidRPr="00010F2F" w:rsidRDefault="00161C21" w:rsidP="004614CA">
      <w:pPr>
        <w:spacing w:after="0" w:line="240" w:lineRule="auto"/>
        <w:jc w:val="both"/>
        <w:rPr>
          <w:rFonts w:ascii="Arial" w:eastAsia="Times New Roman" w:hAnsi="Arial" w:cs="Arial"/>
          <w:color w:val="000000" w:themeColor="text1"/>
          <w:kern w:val="2"/>
          <w:sz w:val="20"/>
          <w:szCs w:val="20"/>
        </w:rPr>
      </w:pPr>
      <w:r w:rsidRPr="00010F2F">
        <w:rPr>
          <w:rFonts w:ascii="Arial" w:eastAsia="Times New Roman" w:hAnsi="Arial" w:cs="Arial"/>
          <w:color w:val="000000" w:themeColor="text1"/>
          <w:kern w:val="2"/>
          <w:sz w:val="20"/>
          <w:szCs w:val="20"/>
        </w:rPr>
        <w:t>MGB</w:t>
      </w:r>
      <w:r w:rsidR="00B87B4D" w:rsidRPr="00010F2F">
        <w:rPr>
          <w:rFonts w:ascii="Arial" w:eastAsia="Times New Roman" w:hAnsi="Arial" w:cs="Arial"/>
          <w:color w:val="000000" w:themeColor="text1"/>
          <w:kern w:val="2"/>
          <w:sz w:val="20"/>
          <w:szCs w:val="20"/>
        </w:rPr>
        <w:t xml:space="preserve"> provides care to patients from a broad range of geographies. Although </w:t>
      </w:r>
      <w:r w:rsidR="0051657F" w:rsidRPr="00010F2F">
        <w:rPr>
          <w:rFonts w:ascii="Arial" w:eastAsia="Times New Roman" w:hAnsi="Arial" w:cs="Arial"/>
          <w:color w:val="000000" w:themeColor="text1"/>
          <w:kern w:val="2"/>
          <w:sz w:val="20"/>
          <w:szCs w:val="20"/>
        </w:rPr>
        <w:t>MGB’s</w:t>
      </w:r>
      <w:r w:rsidR="00B87B4D" w:rsidRPr="00010F2F">
        <w:rPr>
          <w:rFonts w:ascii="Arial" w:eastAsia="Times New Roman" w:hAnsi="Arial" w:cs="Arial"/>
          <w:color w:val="000000" w:themeColor="text1"/>
          <w:kern w:val="2"/>
          <w:sz w:val="20"/>
          <w:szCs w:val="20"/>
        </w:rPr>
        <w:t xml:space="preserve"> patients reside mainly in eastern Massachusetts, there is a sizeable portion of its </w:t>
      </w:r>
      <w:r w:rsidR="0051657F" w:rsidRPr="00010F2F">
        <w:rPr>
          <w:rFonts w:ascii="Arial" w:eastAsia="Times New Roman" w:hAnsi="Arial" w:cs="Arial"/>
          <w:color w:val="000000" w:themeColor="text1"/>
          <w:kern w:val="2"/>
          <w:sz w:val="20"/>
          <w:szCs w:val="20"/>
        </w:rPr>
        <w:t>P</w:t>
      </w:r>
      <w:r w:rsidR="00B87B4D" w:rsidRPr="00010F2F">
        <w:rPr>
          <w:rFonts w:ascii="Arial" w:eastAsia="Times New Roman" w:hAnsi="Arial" w:cs="Arial"/>
          <w:color w:val="000000" w:themeColor="text1"/>
          <w:kern w:val="2"/>
          <w:sz w:val="20"/>
          <w:szCs w:val="20"/>
        </w:rPr>
        <w:t xml:space="preserve">atient </w:t>
      </w:r>
      <w:r w:rsidR="0051657F" w:rsidRPr="00010F2F">
        <w:rPr>
          <w:rFonts w:ascii="Arial" w:eastAsia="Times New Roman" w:hAnsi="Arial" w:cs="Arial"/>
          <w:color w:val="000000" w:themeColor="text1"/>
          <w:kern w:val="2"/>
          <w:sz w:val="20"/>
          <w:szCs w:val="20"/>
        </w:rPr>
        <w:t>P</w:t>
      </w:r>
      <w:r w:rsidR="00B87B4D" w:rsidRPr="00010F2F">
        <w:rPr>
          <w:rFonts w:ascii="Arial" w:eastAsia="Times New Roman" w:hAnsi="Arial" w:cs="Arial"/>
          <w:color w:val="000000" w:themeColor="text1"/>
          <w:kern w:val="2"/>
          <w:sz w:val="20"/>
          <w:szCs w:val="20"/>
        </w:rPr>
        <w:t xml:space="preserve">anel who reside outside of Massachusetts. On average, between FY20 and FY22, 278,950 patients or 16.5% of patients were not residents of Massachusetts. </w:t>
      </w:r>
      <w:r w:rsidR="00912941" w:rsidRPr="00010F2F">
        <w:rPr>
          <w:rFonts w:ascii="Arial" w:eastAsia="Times New Roman" w:hAnsi="Arial" w:cs="Arial"/>
          <w:color w:val="000000" w:themeColor="text1"/>
          <w:kern w:val="2"/>
          <w:sz w:val="20"/>
          <w:szCs w:val="20"/>
        </w:rPr>
        <w:t xml:space="preserve">Applying </w:t>
      </w:r>
      <w:r w:rsidR="009315B5">
        <w:rPr>
          <w:rFonts w:ascii="Arial" w:eastAsia="Times New Roman" w:hAnsi="Arial" w:cs="Arial"/>
          <w:color w:val="000000" w:themeColor="text1"/>
          <w:kern w:val="2"/>
          <w:sz w:val="20"/>
          <w:szCs w:val="20"/>
        </w:rPr>
        <w:t>DPH</w:t>
      </w:r>
      <w:r w:rsidR="00912941" w:rsidRPr="00010F2F">
        <w:rPr>
          <w:rFonts w:ascii="Arial" w:eastAsia="Times New Roman" w:hAnsi="Arial" w:cs="Arial"/>
          <w:color w:val="000000" w:themeColor="text1"/>
          <w:kern w:val="2"/>
          <w:sz w:val="20"/>
          <w:szCs w:val="20"/>
        </w:rPr>
        <w:t xml:space="preserve"> Health Services Area (“HSA”) categories to FY20-FY22 data, approximately 42.1% of </w:t>
      </w:r>
      <w:r w:rsidR="0051657F" w:rsidRPr="00010F2F">
        <w:rPr>
          <w:rFonts w:ascii="Arial" w:eastAsia="Times New Roman" w:hAnsi="Arial" w:cs="Arial"/>
          <w:color w:val="000000" w:themeColor="text1"/>
          <w:kern w:val="2"/>
          <w:sz w:val="20"/>
          <w:szCs w:val="20"/>
        </w:rPr>
        <w:t>MGB’s</w:t>
      </w:r>
      <w:r w:rsidR="00912941" w:rsidRPr="00010F2F">
        <w:rPr>
          <w:rFonts w:ascii="Arial" w:eastAsia="Times New Roman" w:hAnsi="Arial" w:cs="Arial"/>
          <w:color w:val="000000" w:themeColor="text1"/>
          <w:kern w:val="2"/>
          <w:sz w:val="20"/>
          <w:szCs w:val="20"/>
        </w:rPr>
        <w:t xml:space="preserve"> patients reside in HSA 4 (713,968 patients); </w:t>
      </w:r>
      <w:r w:rsidR="000B3DF1" w:rsidRPr="00010F2F">
        <w:rPr>
          <w:rFonts w:ascii="Arial" w:eastAsia="Times New Roman" w:hAnsi="Arial" w:cs="Arial"/>
          <w:color w:val="000000" w:themeColor="text1"/>
          <w:kern w:val="2"/>
          <w:sz w:val="20"/>
          <w:szCs w:val="20"/>
        </w:rPr>
        <w:t>13.2% reside in H</w:t>
      </w:r>
      <w:r w:rsidR="000C680A" w:rsidRPr="00010F2F">
        <w:rPr>
          <w:rFonts w:ascii="Arial" w:eastAsia="Times New Roman" w:hAnsi="Arial" w:cs="Arial"/>
          <w:color w:val="000000" w:themeColor="text1"/>
          <w:kern w:val="2"/>
          <w:sz w:val="20"/>
          <w:szCs w:val="20"/>
        </w:rPr>
        <w:t>SA</w:t>
      </w:r>
      <w:r w:rsidR="000B3DF1" w:rsidRPr="00010F2F">
        <w:rPr>
          <w:rFonts w:ascii="Arial" w:eastAsia="Times New Roman" w:hAnsi="Arial" w:cs="Arial"/>
          <w:color w:val="000000" w:themeColor="text1"/>
          <w:kern w:val="2"/>
          <w:sz w:val="20"/>
          <w:szCs w:val="20"/>
        </w:rPr>
        <w:t xml:space="preserve"> 6 (</w:t>
      </w:r>
      <w:r w:rsidR="000C680A" w:rsidRPr="00010F2F">
        <w:rPr>
          <w:rFonts w:ascii="Arial" w:eastAsia="Times New Roman" w:hAnsi="Arial" w:cs="Arial"/>
          <w:color w:val="000000" w:themeColor="text1"/>
          <w:kern w:val="2"/>
          <w:sz w:val="20"/>
          <w:szCs w:val="20"/>
        </w:rPr>
        <w:t>222,665 patients);</w:t>
      </w:r>
      <w:r w:rsidR="006F2C1C" w:rsidRPr="00010F2F">
        <w:rPr>
          <w:rFonts w:ascii="Arial" w:eastAsia="Times New Roman" w:hAnsi="Arial" w:cs="Arial"/>
          <w:color w:val="000000" w:themeColor="text1"/>
          <w:kern w:val="2"/>
          <w:sz w:val="20"/>
          <w:szCs w:val="20"/>
        </w:rPr>
        <w:t xml:space="preserve"> </w:t>
      </w:r>
      <w:r w:rsidR="00480C23" w:rsidRPr="00010F2F">
        <w:rPr>
          <w:rFonts w:ascii="Arial" w:eastAsia="Times New Roman" w:hAnsi="Arial" w:cs="Arial"/>
          <w:color w:val="000000" w:themeColor="text1"/>
          <w:kern w:val="2"/>
          <w:sz w:val="20"/>
          <w:szCs w:val="20"/>
        </w:rPr>
        <w:t xml:space="preserve">11.9% reside in HSA 5 (201,386 patients); </w:t>
      </w:r>
      <w:r w:rsidR="006F2C1C" w:rsidRPr="00010F2F">
        <w:rPr>
          <w:rFonts w:ascii="Arial" w:eastAsia="Times New Roman" w:hAnsi="Arial" w:cs="Arial"/>
          <w:color w:val="000000" w:themeColor="text1"/>
          <w:kern w:val="2"/>
          <w:sz w:val="20"/>
          <w:szCs w:val="20"/>
        </w:rPr>
        <w:t xml:space="preserve">6.3% reside in HSA 1 (106,328 patients); 6% reside in HSA 3 (101,458 patients); 3.9% reside in HSA 2 (66,467 patients); and 0% reside in Massachusetts but </w:t>
      </w:r>
      <w:r w:rsidR="008B6814" w:rsidRPr="00010F2F">
        <w:rPr>
          <w:rFonts w:ascii="Arial" w:eastAsia="Times New Roman" w:hAnsi="Arial" w:cs="Arial"/>
          <w:color w:val="000000" w:themeColor="text1"/>
          <w:kern w:val="2"/>
          <w:sz w:val="20"/>
          <w:szCs w:val="20"/>
        </w:rPr>
        <w:t xml:space="preserve">outside of </w:t>
      </w:r>
      <w:r w:rsidR="006F2C1C" w:rsidRPr="00010F2F">
        <w:rPr>
          <w:rFonts w:ascii="Arial" w:eastAsia="Times New Roman" w:hAnsi="Arial" w:cs="Arial"/>
          <w:color w:val="000000" w:themeColor="text1"/>
          <w:kern w:val="2"/>
          <w:sz w:val="20"/>
          <w:szCs w:val="20"/>
        </w:rPr>
        <w:t xml:space="preserve"> H</w:t>
      </w:r>
      <w:r w:rsidR="00480C23" w:rsidRPr="00010F2F">
        <w:rPr>
          <w:rFonts w:ascii="Arial" w:eastAsia="Times New Roman" w:hAnsi="Arial" w:cs="Arial"/>
          <w:color w:val="000000" w:themeColor="text1"/>
          <w:kern w:val="2"/>
          <w:sz w:val="20"/>
          <w:szCs w:val="20"/>
        </w:rPr>
        <w:t>SA</w:t>
      </w:r>
      <w:r w:rsidR="008B6814" w:rsidRPr="00010F2F">
        <w:rPr>
          <w:rFonts w:ascii="Arial" w:eastAsia="Times New Roman" w:hAnsi="Arial" w:cs="Arial"/>
          <w:color w:val="000000" w:themeColor="text1"/>
          <w:kern w:val="2"/>
          <w:sz w:val="20"/>
          <w:szCs w:val="20"/>
        </w:rPr>
        <w:t>s</w:t>
      </w:r>
      <w:r w:rsidR="006F2C1C" w:rsidRPr="00010F2F">
        <w:rPr>
          <w:rFonts w:ascii="Arial" w:eastAsia="Times New Roman" w:hAnsi="Arial" w:cs="Arial"/>
          <w:color w:val="000000" w:themeColor="text1"/>
          <w:kern w:val="2"/>
          <w:sz w:val="20"/>
          <w:szCs w:val="20"/>
        </w:rPr>
        <w:t xml:space="preserve"> 1-6 (28 patients). </w:t>
      </w:r>
      <w:r w:rsidR="00912941" w:rsidRPr="00010F2F">
        <w:rPr>
          <w:rFonts w:ascii="Arial" w:hAnsi="Arial" w:cs="Arial"/>
          <w:sz w:val="20"/>
          <w:szCs w:val="20"/>
        </w:rPr>
        <w:t xml:space="preserve">The remaining approximately 0.2% of </w:t>
      </w:r>
      <w:r w:rsidR="0051657F" w:rsidRPr="00010F2F">
        <w:rPr>
          <w:rFonts w:ascii="Arial" w:hAnsi="Arial" w:cs="Arial"/>
          <w:sz w:val="20"/>
          <w:szCs w:val="20"/>
        </w:rPr>
        <w:t>MGB</w:t>
      </w:r>
      <w:r w:rsidR="0061305D" w:rsidRPr="00010F2F">
        <w:rPr>
          <w:rFonts w:ascii="Arial" w:hAnsi="Arial" w:cs="Arial"/>
          <w:sz w:val="20"/>
          <w:szCs w:val="20"/>
        </w:rPr>
        <w:t>’</w:t>
      </w:r>
      <w:r w:rsidR="0051657F" w:rsidRPr="00010F2F">
        <w:rPr>
          <w:rFonts w:ascii="Arial" w:hAnsi="Arial" w:cs="Arial"/>
          <w:sz w:val="20"/>
          <w:szCs w:val="20"/>
        </w:rPr>
        <w:t>s</w:t>
      </w:r>
      <w:r w:rsidR="00912941" w:rsidRPr="00010F2F">
        <w:rPr>
          <w:rFonts w:ascii="Arial" w:hAnsi="Arial" w:cs="Arial"/>
          <w:sz w:val="20"/>
          <w:szCs w:val="20"/>
        </w:rPr>
        <w:t xml:space="preserve"> patients (3,949 patients) </w:t>
      </w:r>
      <w:r w:rsidR="000B3DF1" w:rsidRPr="00010F2F">
        <w:rPr>
          <w:rFonts w:ascii="Arial" w:hAnsi="Arial" w:cs="Arial"/>
          <w:sz w:val="20"/>
          <w:szCs w:val="20"/>
        </w:rPr>
        <w:t xml:space="preserve">have an unknown origin. </w:t>
      </w:r>
    </w:p>
    <w:p w14:paraId="7241D96E" w14:textId="77777777" w:rsidR="00B87B4D" w:rsidRPr="00010F2F" w:rsidRDefault="00B87B4D" w:rsidP="004614CA">
      <w:pPr>
        <w:spacing w:after="0" w:line="240" w:lineRule="auto"/>
        <w:jc w:val="both"/>
        <w:rPr>
          <w:rFonts w:ascii="Arial" w:eastAsia="Times New Roman" w:hAnsi="Arial" w:cs="Arial"/>
          <w:color w:val="000000" w:themeColor="text1"/>
          <w:kern w:val="2"/>
          <w:sz w:val="20"/>
          <w:szCs w:val="20"/>
          <w:u w:val="single"/>
        </w:rPr>
      </w:pPr>
    </w:p>
    <w:p w14:paraId="2166EEA4" w14:textId="479FEEBA" w:rsidR="00A56746" w:rsidRPr="00010F2F" w:rsidRDefault="004614CA" w:rsidP="006F6754">
      <w:pPr>
        <w:spacing w:after="0" w:line="240" w:lineRule="auto"/>
        <w:ind w:left="360" w:hanging="360"/>
        <w:jc w:val="both"/>
        <w:rPr>
          <w:rFonts w:ascii="Arial" w:hAnsi="Arial"/>
          <w:color w:val="000000" w:themeColor="text1"/>
          <w:kern w:val="2"/>
          <w:sz w:val="20"/>
          <w:u w:val="single"/>
        </w:rPr>
      </w:pPr>
      <w:r w:rsidRPr="006F6754">
        <w:rPr>
          <w:rFonts w:ascii="Arial" w:eastAsia="Times New Roman" w:hAnsi="Arial" w:cs="Arial"/>
          <w:color w:val="000000" w:themeColor="text1"/>
          <w:kern w:val="2"/>
          <w:sz w:val="20"/>
          <w:szCs w:val="20"/>
        </w:rPr>
        <w:t xml:space="preserve">B. </w:t>
      </w:r>
      <w:r w:rsidR="00824314" w:rsidRPr="00010F2F">
        <w:rPr>
          <w:rFonts w:ascii="Arial" w:hAnsi="Arial"/>
          <w:color w:val="000000" w:themeColor="text1"/>
          <w:kern w:val="2"/>
          <w:sz w:val="20"/>
          <w:u w:val="single"/>
        </w:rPr>
        <w:t>Cooley Dick</w:t>
      </w:r>
      <w:r w:rsidRPr="00010F2F">
        <w:rPr>
          <w:rFonts w:ascii="Arial" w:hAnsi="Arial"/>
          <w:color w:val="000000" w:themeColor="text1"/>
          <w:kern w:val="2"/>
          <w:sz w:val="20"/>
          <w:u w:val="single"/>
        </w:rPr>
        <w:t>i</w:t>
      </w:r>
      <w:r w:rsidR="00824314" w:rsidRPr="00010F2F">
        <w:rPr>
          <w:rFonts w:ascii="Arial" w:hAnsi="Arial"/>
          <w:color w:val="000000" w:themeColor="text1"/>
          <w:kern w:val="2"/>
          <w:sz w:val="20"/>
          <w:u w:val="single"/>
        </w:rPr>
        <w:t>nson Hospital</w:t>
      </w:r>
      <w:r w:rsidRPr="00010F2F">
        <w:rPr>
          <w:rFonts w:ascii="Arial" w:hAnsi="Arial"/>
          <w:color w:val="000000" w:themeColor="text1"/>
          <w:kern w:val="2"/>
          <w:sz w:val="20"/>
          <w:u w:val="single"/>
        </w:rPr>
        <w:t xml:space="preserve"> Patient Panel</w:t>
      </w:r>
    </w:p>
    <w:p w14:paraId="7E6E9666" w14:textId="017E81DE" w:rsidR="00172569" w:rsidRPr="00010F2F" w:rsidRDefault="00172569" w:rsidP="00A56746">
      <w:pPr>
        <w:spacing w:after="0" w:line="240" w:lineRule="auto"/>
        <w:jc w:val="both"/>
        <w:rPr>
          <w:rFonts w:ascii="Arial" w:eastAsia="Times New Roman" w:hAnsi="Arial" w:cs="Arial"/>
          <w:color w:val="000000" w:themeColor="text1"/>
          <w:kern w:val="2"/>
          <w:sz w:val="20"/>
          <w:szCs w:val="20"/>
          <w:u w:val="single"/>
        </w:rPr>
      </w:pPr>
    </w:p>
    <w:p w14:paraId="34C762DC" w14:textId="069A5E5A" w:rsidR="005C3FDF" w:rsidRPr="00010F2F" w:rsidRDefault="0061305D" w:rsidP="00A56746">
      <w:pPr>
        <w:spacing w:after="0" w:line="240" w:lineRule="auto"/>
        <w:jc w:val="both"/>
        <w:rPr>
          <w:rFonts w:ascii="Arial" w:eastAsia="Times New Roman" w:hAnsi="Arial" w:cs="Arial"/>
          <w:color w:val="000000" w:themeColor="text1"/>
          <w:kern w:val="2"/>
          <w:sz w:val="20"/>
          <w:szCs w:val="20"/>
        </w:rPr>
      </w:pPr>
      <w:r w:rsidRPr="00010F2F">
        <w:rPr>
          <w:rFonts w:ascii="Arial" w:eastAsia="Times New Roman" w:hAnsi="Arial" w:cs="Arial"/>
          <w:color w:val="000000" w:themeColor="text1"/>
          <w:kern w:val="2"/>
          <w:sz w:val="20"/>
          <w:szCs w:val="20"/>
        </w:rPr>
        <w:t>CDH</w:t>
      </w:r>
      <w:r w:rsidR="00A9718E" w:rsidRPr="00010F2F">
        <w:rPr>
          <w:rStyle w:val="FootnoteReference"/>
          <w:rFonts w:ascii="Arial" w:eastAsia="Times New Roman" w:hAnsi="Arial" w:cs="Arial"/>
          <w:color w:val="000000" w:themeColor="text1"/>
          <w:kern w:val="2"/>
          <w:sz w:val="20"/>
          <w:szCs w:val="20"/>
        </w:rPr>
        <w:footnoteReference w:id="8"/>
      </w:r>
      <w:r w:rsidR="00A9718E" w:rsidRPr="00010F2F">
        <w:rPr>
          <w:rFonts w:ascii="Arial" w:eastAsia="Times New Roman" w:hAnsi="Arial" w:cs="Arial"/>
          <w:color w:val="000000" w:themeColor="text1"/>
          <w:kern w:val="2"/>
          <w:sz w:val="20"/>
          <w:szCs w:val="20"/>
        </w:rPr>
        <w:t xml:space="preserve"> </w:t>
      </w:r>
      <w:r w:rsidR="001740EB" w:rsidRPr="00010F2F">
        <w:rPr>
          <w:rFonts w:ascii="Arial" w:eastAsia="Times New Roman" w:hAnsi="Arial" w:cs="Arial"/>
          <w:color w:val="000000" w:themeColor="text1"/>
          <w:kern w:val="2"/>
          <w:sz w:val="20"/>
          <w:szCs w:val="20"/>
        </w:rPr>
        <w:t>has 140 licensed beds</w:t>
      </w:r>
      <w:r w:rsidR="00A466E6" w:rsidRPr="00010F2F">
        <w:rPr>
          <w:rFonts w:ascii="Arial" w:eastAsia="Times New Roman" w:hAnsi="Arial" w:cs="Arial"/>
          <w:color w:val="000000" w:themeColor="text1"/>
          <w:kern w:val="2"/>
          <w:sz w:val="20"/>
          <w:szCs w:val="20"/>
        </w:rPr>
        <w:t xml:space="preserve"> for the following services: medical/surgical, intensive care unit, pediatric, obstetrics, </w:t>
      </w:r>
      <w:r w:rsidR="00904105">
        <w:rPr>
          <w:rFonts w:ascii="Arial" w:eastAsia="Times New Roman" w:hAnsi="Arial" w:cs="Arial"/>
          <w:color w:val="000000" w:themeColor="text1"/>
          <w:kern w:val="2"/>
          <w:sz w:val="20"/>
          <w:szCs w:val="20"/>
        </w:rPr>
        <w:t xml:space="preserve">and </w:t>
      </w:r>
      <w:r w:rsidR="00A466E6" w:rsidRPr="00010F2F">
        <w:rPr>
          <w:rFonts w:ascii="Arial" w:eastAsia="Times New Roman" w:hAnsi="Arial" w:cs="Arial"/>
          <w:color w:val="000000" w:themeColor="text1"/>
          <w:kern w:val="2"/>
          <w:sz w:val="20"/>
          <w:szCs w:val="20"/>
        </w:rPr>
        <w:t xml:space="preserve">psychiatric. </w:t>
      </w:r>
      <w:r w:rsidR="001740EB" w:rsidRPr="00010F2F">
        <w:rPr>
          <w:rFonts w:ascii="Arial" w:eastAsia="Times New Roman" w:hAnsi="Arial" w:cs="Arial"/>
          <w:color w:val="000000" w:themeColor="text1"/>
          <w:kern w:val="2"/>
          <w:sz w:val="20"/>
          <w:szCs w:val="20"/>
        </w:rPr>
        <w:t xml:space="preserve">In addition to its main hospital campus in Northampton, </w:t>
      </w:r>
      <w:r w:rsidR="004A4992" w:rsidRPr="00010F2F">
        <w:rPr>
          <w:rFonts w:ascii="Arial" w:eastAsia="Times New Roman" w:hAnsi="Arial" w:cs="Arial"/>
          <w:color w:val="000000" w:themeColor="text1"/>
          <w:kern w:val="2"/>
          <w:sz w:val="20"/>
          <w:szCs w:val="20"/>
        </w:rPr>
        <w:t>CDH</w:t>
      </w:r>
      <w:r w:rsidR="001740EB" w:rsidRPr="00010F2F">
        <w:rPr>
          <w:rFonts w:ascii="Arial" w:eastAsia="Times New Roman" w:hAnsi="Arial" w:cs="Arial"/>
          <w:color w:val="000000" w:themeColor="text1"/>
          <w:kern w:val="2"/>
          <w:sz w:val="20"/>
          <w:szCs w:val="20"/>
        </w:rPr>
        <w:t xml:space="preserve"> offers services to </w:t>
      </w:r>
      <w:r w:rsidR="001740EB" w:rsidRPr="00010F2F">
        <w:rPr>
          <w:rFonts w:ascii="Arial" w:eastAsia="Times New Roman" w:hAnsi="Arial" w:cs="Arial"/>
          <w:color w:val="000000" w:themeColor="text1"/>
          <w:kern w:val="2"/>
          <w:sz w:val="20"/>
          <w:szCs w:val="20"/>
        </w:rPr>
        <w:lastRenderedPageBreak/>
        <w:t xml:space="preserve">patients </w:t>
      </w:r>
      <w:r w:rsidR="00AA5B46">
        <w:rPr>
          <w:rFonts w:ascii="Arial" w:eastAsia="Times New Roman" w:hAnsi="Arial" w:cs="Arial"/>
          <w:color w:val="000000" w:themeColor="text1"/>
          <w:kern w:val="2"/>
          <w:sz w:val="20"/>
          <w:szCs w:val="20"/>
        </w:rPr>
        <w:t>at</w:t>
      </w:r>
      <w:r w:rsidR="001740EB" w:rsidRPr="00010F2F">
        <w:rPr>
          <w:rFonts w:ascii="Arial" w:eastAsia="Times New Roman" w:hAnsi="Arial" w:cs="Arial"/>
          <w:color w:val="000000" w:themeColor="text1"/>
          <w:kern w:val="2"/>
          <w:sz w:val="20"/>
          <w:szCs w:val="20"/>
        </w:rPr>
        <w:t xml:space="preserve"> hospital satellite locations </w:t>
      </w:r>
      <w:r w:rsidR="005C3FDF" w:rsidRPr="00010F2F">
        <w:rPr>
          <w:rFonts w:ascii="Arial" w:eastAsia="Times New Roman" w:hAnsi="Arial" w:cs="Arial"/>
          <w:color w:val="000000" w:themeColor="text1"/>
          <w:kern w:val="2"/>
          <w:sz w:val="20"/>
          <w:szCs w:val="20"/>
        </w:rPr>
        <w:t xml:space="preserve">throughout the Pioneer Valley in </w:t>
      </w:r>
      <w:r w:rsidRPr="00010F2F">
        <w:rPr>
          <w:rFonts w:ascii="Arial" w:eastAsia="Times New Roman" w:hAnsi="Arial" w:cs="Arial"/>
          <w:color w:val="000000" w:themeColor="text1"/>
          <w:kern w:val="2"/>
          <w:sz w:val="20"/>
          <w:szCs w:val="20"/>
        </w:rPr>
        <w:t>W</w:t>
      </w:r>
      <w:r w:rsidR="005C3FDF" w:rsidRPr="00010F2F">
        <w:rPr>
          <w:rFonts w:ascii="Arial" w:eastAsia="Times New Roman" w:hAnsi="Arial" w:cs="Arial"/>
          <w:color w:val="000000" w:themeColor="text1"/>
          <w:kern w:val="2"/>
          <w:sz w:val="20"/>
          <w:szCs w:val="20"/>
        </w:rPr>
        <w:t xml:space="preserve">estern Massachusetts. </w:t>
      </w:r>
      <w:r w:rsidRPr="00010F2F">
        <w:rPr>
          <w:rFonts w:ascii="Arial" w:eastAsia="Times New Roman" w:hAnsi="Arial" w:cs="Arial"/>
          <w:color w:val="000000" w:themeColor="text1"/>
          <w:kern w:val="2"/>
          <w:sz w:val="20"/>
          <w:szCs w:val="20"/>
        </w:rPr>
        <w:t>Like</w:t>
      </w:r>
      <w:r w:rsidR="005C3FDF" w:rsidRPr="00010F2F">
        <w:rPr>
          <w:rFonts w:ascii="Arial" w:eastAsia="Times New Roman" w:hAnsi="Arial" w:cs="Arial"/>
          <w:color w:val="000000" w:themeColor="text1"/>
          <w:kern w:val="2"/>
          <w:sz w:val="20"/>
          <w:szCs w:val="20"/>
        </w:rPr>
        <w:t xml:space="preserve"> MGB, the number of patients </w:t>
      </w:r>
      <w:r w:rsidR="00EE49C9" w:rsidRPr="00010F2F">
        <w:rPr>
          <w:rFonts w:ascii="Arial" w:eastAsia="Times New Roman" w:hAnsi="Arial" w:cs="Arial"/>
          <w:color w:val="000000" w:themeColor="text1"/>
          <w:kern w:val="2"/>
          <w:sz w:val="20"/>
          <w:szCs w:val="20"/>
        </w:rPr>
        <w:t>utilizing</w:t>
      </w:r>
      <w:r w:rsidR="005C3FDF" w:rsidRPr="00010F2F">
        <w:rPr>
          <w:rFonts w:ascii="Arial" w:eastAsia="Times New Roman" w:hAnsi="Arial" w:cs="Arial"/>
          <w:color w:val="000000" w:themeColor="text1"/>
          <w:kern w:val="2"/>
          <w:sz w:val="20"/>
          <w:szCs w:val="20"/>
        </w:rPr>
        <w:t xml:space="preserve"> </w:t>
      </w:r>
      <w:r w:rsidR="004A4992" w:rsidRPr="00010F2F">
        <w:rPr>
          <w:rFonts w:ascii="Arial" w:eastAsia="Times New Roman" w:hAnsi="Arial" w:cs="Arial"/>
          <w:color w:val="000000" w:themeColor="text1"/>
          <w:kern w:val="2"/>
          <w:sz w:val="20"/>
          <w:szCs w:val="20"/>
        </w:rPr>
        <w:t>CDH’s</w:t>
      </w:r>
      <w:r w:rsidR="005C3FDF" w:rsidRPr="00010F2F">
        <w:rPr>
          <w:rFonts w:ascii="Arial" w:eastAsia="Times New Roman" w:hAnsi="Arial" w:cs="Arial"/>
          <w:color w:val="000000" w:themeColor="text1"/>
          <w:kern w:val="2"/>
          <w:sz w:val="20"/>
          <w:szCs w:val="20"/>
        </w:rPr>
        <w:t xml:space="preserve"> services increased from FY20 to FY22, with 94,9</w:t>
      </w:r>
      <w:r w:rsidR="00EE49C9" w:rsidRPr="00010F2F">
        <w:rPr>
          <w:rFonts w:ascii="Arial" w:eastAsia="Times New Roman" w:hAnsi="Arial" w:cs="Arial"/>
          <w:color w:val="000000" w:themeColor="text1"/>
          <w:kern w:val="2"/>
          <w:sz w:val="20"/>
          <w:szCs w:val="20"/>
        </w:rPr>
        <w:t xml:space="preserve">12 unique patients in FY20; 106,054 unique patients in FY21; and 108,778 unique patients in FY22, an increase of 14.61%. </w:t>
      </w:r>
      <w:r w:rsidR="00AA5B46">
        <w:rPr>
          <w:rFonts w:ascii="Arial" w:eastAsia="Times New Roman" w:hAnsi="Arial" w:cs="Arial"/>
          <w:color w:val="000000" w:themeColor="text1"/>
          <w:kern w:val="2"/>
          <w:sz w:val="20"/>
          <w:szCs w:val="20"/>
        </w:rPr>
        <w:t xml:space="preserve">Between FY20 and FY22, </w:t>
      </w:r>
      <w:r w:rsidR="00594752" w:rsidRPr="00010F2F">
        <w:rPr>
          <w:rFonts w:ascii="Arial" w:eastAsia="Times New Roman" w:hAnsi="Arial" w:cs="Arial"/>
          <w:color w:val="000000" w:themeColor="text1"/>
          <w:kern w:val="2"/>
          <w:sz w:val="20"/>
          <w:szCs w:val="20"/>
        </w:rPr>
        <w:t>CDH’s primary service area include</w:t>
      </w:r>
      <w:r w:rsidR="00CD6B49">
        <w:rPr>
          <w:rFonts w:ascii="Arial" w:eastAsia="Times New Roman" w:hAnsi="Arial" w:cs="Arial"/>
          <w:color w:val="000000" w:themeColor="text1"/>
          <w:kern w:val="2"/>
          <w:sz w:val="20"/>
          <w:szCs w:val="20"/>
        </w:rPr>
        <w:t>d</w:t>
      </w:r>
      <w:r w:rsidR="00594752" w:rsidRPr="00010F2F">
        <w:rPr>
          <w:rFonts w:ascii="Arial" w:eastAsia="Times New Roman" w:hAnsi="Arial" w:cs="Arial"/>
          <w:color w:val="000000" w:themeColor="text1"/>
          <w:kern w:val="2"/>
          <w:sz w:val="20"/>
          <w:szCs w:val="20"/>
        </w:rPr>
        <w:t>: Cummington, Goshen, Williamsburg, Chesterfield, Florence, Westhampton, Northampton, Easthampton, Southampton, Hatfield, What</w:t>
      </w:r>
      <w:r w:rsidR="00850AB0" w:rsidRPr="00010F2F">
        <w:rPr>
          <w:rFonts w:ascii="Arial" w:eastAsia="Times New Roman" w:hAnsi="Arial" w:cs="Arial"/>
          <w:color w:val="000000" w:themeColor="text1"/>
          <w:kern w:val="2"/>
          <w:sz w:val="20"/>
          <w:szCs w:val="20"/>
        </w:rPr>
        <w:t>e</w:t>
      </w:r>
      <w:r w:rsidR="00594752" w:rsidRPr="00010F2F">
        <w:rPr>
          <w:rFonts w:ascii="Arial" w:eastAsia="Times New Roman" w:hAnsi="Arial" w:cs="Arial"/>
          <w:color w:val="000000" w:themeColor="text1"/>
          <w:kern w:val="2"/>
          <w:sz w:val="20"/>
          <w:szCs w:val="20"/>
        </w:rPr>
        <w:t xml:space="preserve">ly, Amherst, and Pelham. </w:t>
      </w:r>
      <w:r w:rsidR="005C3FDF" w:rsidRPr="00010F2F">
        <w:rPr>
          <w:rFonts w:ascii="Arial" w:hAnsi="Arial" w:cs="Arial"/>
          <w:sz w:val="20"/>
        </w:rPr>
        <w:t xml:space="preserve">The following table illustrates the demographics of </w:t>
      </w:r>
      <w:r w:rsidR="004A4992" w:rsidRPr="00010F2F">
        <w:rPr>
          <w:rFonts w:ascii="Arial" w:hAnsi="Arial" w:cs="Arial"/>
          <w:sz w:val="20"/>
        </w:rPr>
        <w:t xml:space="preserve">CDH’s </w:t>
      </w:r>
      <w:r w:rsidR="005C3FDF" w:rsidRPr="00010F2F">
        <w:rPr>
          <w:rFonts w:ascii="Arial" w:hAnsi="Arial" w:cs="Arial"/>
          <w:sz w:val="20"/>
        </w:rPr>
        <w:t>Patient Panel.</w:t>
      </w:r>
    </w:p>
    <w:p w14:paraId="4C5F2EF1" w14:textId="77777777" w:rsidR="00F3072A" w:rsidRPr="00010F2F" w:rsidRDefault="00F3072A" w:rsidP="00F3072A">
      <w:pPr>
        <w:pStyle w:val="Heading5"/>
      </w:pPr>
    </w:p>
    <w:p w14:paraId="4FB3CF3F" w14:textId="31C3A9BF" w:rsidR="00F3072A" w:rsidRDefault="00F3072A" w:rsidP="00042719">
      <w:pPr>
        <w:pStyle w:val="Heading5"/>
        <w:rPr>
          <w:sz w:val="20"/>
          <w:szCs w:val="20"/>
        </w:rPr>
      </w:pPr>
      <w:r w:rsidRPr="00010F2F">
        <w:rPr>
          <w:sz w:val="20"/>
          <w:szCs w:val="20"/>
        </w:rPr>
        <w:t>TABLE 2</w:t>
      </w:r>
      <w:r w:rsidR="00042719">
        <w:rPr>
          <w:sz w:val="20"/>
          <w:szCs w:val="20"/>
        </w:rPr>
        <w:t>:</w:t>
      </w:r>
      <w:r w:rsidR="00D844CF">
        <w:rPr>
          <w:sz w:val="20"/>
          <w:szCs w:val="20"/>
        </w:rPr>
        <w:t xml:space="preserve"> CDH Patient Panel</w:t>
      </w:r>
    </w:p>
    <w:tbl>
      <w:tblPr>
        <w:tblStyle w:val="TableGrid"/>
        <w:tblW w:w="0" w:type="auto"/>
        <w:tblLook w:val="04A0" w:firstRow="1" w:lastRow="0" w:firstColumn="1" w:lastColumn="0" w:noHBand="0" w:noVBand="1"/>
      </w:tblPr>
      <w:tblGrid>
        <w:gridCol w:w="2726"/>
        <w:gridCol w:w="1166"/>
        <w:gridCol w:w="1139"/>
        <w:gridCol w:w="1107"/>
        <w:gridCol w:w="1139"/>
        <w:gridCol w:w="1107"/>
        <w:gridCol w:w="966"/>
      </w:tblGrid>
      <w:tr w:rsidR="00042719" w14:paraId="22D99171" w14:textId="77777777" w:rsidTr="0049316D">
        <w:trPr>
          <w:cantSplit/>
          <w:tblHeader/>
        </w:trPr>
        <w:tc>
          <w:tcPr>
            <w:tcW w:w="2726" w:type="dxa"/>
          </w:tcPr>
          <w:p w14:paraId="4A0278B8" w14:textId="3B09AF63" w:rsidR="00042719" w:rsidRDefault="00F57939" w:rsidP="006746AF">
            <w:pPr>
              <w:jc w:val="both"/>
              <w:rPr>
                <w:rFonts w:ascii="Arial" w:hAnsi="Arial" w:cs="Arial"/>
                <w:sz w:val="20"/>
              </w:rPr>
            </w:pPr>
            <w:r>
              <w:rPr>
                <w:rFonts w:ascii="Arial" w:hAnsi="Arial" w:cs="Arial"/>
                <w:sz w:val="20"/>
              </w:rPr>
              <w:t>Patient Demographics</w:t>
            </w:r>
          </w:p>
        </w:tc>
        <w:tc>
          <w:tcPr>
            <w:tcW w:w="1166" w:type="dxa"/>
          </w:tcPr>
          <w:p w14:paraId="5BDE1910" w14:textId="77777777" w:rsidR="00042719" w:rsidRDefault="00042719" w:rsidP="00413B69">
            <w:pPr>
              <w:jc w:val="center"/>
              <w:rPr>
                <w:rFonts w:ascii="Arial" w:hAnsi="Arial" w:cs="Arial"/>
                <w:sz w:val="20"/>
              </w:rPr>
            </w:pPr>
            <w:r>
              <w:rPr>
                <w:rFonts w:ascii="Arial" w:hAnsi="Arial" w:cs="Arial"/>
                <w:sz w:val="20"/>
              </w:rPr>
              <w:t>FY20 Count</w:t>
            </w:r>
          </w:p>
        </w:tc>
        <w:tc>
          <w:tcPr>
            <w:tcW w:w="1139" w:type="dxa"/>
          </w:tcPr>
          <w:p w14:paraId="72745C11" w14:textId="77777777" w:rsidR="00042719" w:rsidRDefault="00042719" w:rsidP="00413B69">
            <w:pPr>
              <w:jc w:val="center"/>
              <w:rPr>
                <w:rFonts w:ascii="Arial" w:hAnsi="Arial" w:cs="Arial"/>
                <w:sz w:val="20"/>
              </w:rPr>
            </w:pPr>
            <w:r>
              <w:rPr>
                <w:rFonts w:ascii="Arial" w:hAnsi="Arial" w:cs="Arial"/>
                <w:sz w:val="20"/>
              </w:rPr>
              <w:t>FY20 %</w:t>
            </w:r>
          </w:p>
        </w:tc>
        <w:tc>
          <w:tcPr>
            <w:tcW w:w="1107" w:type="dxa"/>
          </w:tcPr>
          <w:p w14:paraId="74FCEF89" w14:textId="77777777" w:rsidR="00042719" w:rsidRDefault="00042719" w:rsidP="00413B69">
            <w:pPr>
              <w:jc w:val="center"/>
              <w:rPr>
                <w:rFonts w:ascii="Arial" w:hAnsi="Arial" w:cs="Arial"/>
                <w:sz w:val="20"/>
              </w:rPr>
            </w:pPr>
            <w:r>
              <w:rPr>
                <w:rFonts w:ascii="Arial" w:hAnsi="Arial" w:cs="Arial"/>
                <w:sz w:val="20"/>
              </w:rPr>
              <w:t>FY21 Count</w:t>
            </w:r>
          </w:p>
        </w:tc>
        <w:tc>
          <w:tcPr>
            <w:tcW w:w="1139" w:type="dxa"/>
          </w:tcPr>
          <w:p w14:paraId="267E423F" w14:textId="77777777" w:rsidR="00042719" w:rsidRDefault="00042719" w:rsidP="00413B69">
            <w:pPr>
              <w:jc w:val="center"/>
              <w:rPr>
                <w:rFonts w:ascii="Arial" w:hAnsi="Arial" w:cs="Arial"/>
                <w:sz w:val="20"/>
              </w:rPr>
            </w:pPr>
            <w:r>
              <w:rPr>
                <w:rFonts w:ascii="Arial" w:hAnsi="Arial" w:cs="Arial"/>
                <w:sz w:val="20"/>
              </w:rPr>
              <w:t>FY21 %</w:t>
            </w:r>
          </w:p>
        </w:tc>
        <w:tc>
          <w:tcPr>
            <w:tcW w:w="1107" w:type="dxa"/>
          </w:tcPr>
          <w:p w14:paraId="54C03EE1" w14:textId="77777777" w:rsidR="00042719" w:rsidRDefault="00042719" w:rsidP="00413B69">
            <w:pPr>
              <w:jc w:val="center"/>
              <w:rPr>
                <w:rFonts w:ascii="Arial" w:hAnsi="Arial" w:cs="Arial"/>
                <w:sz w:val="20"/>
              </w:rPr>
            </w:pPr>
            <w:r>
              <w:rPr>
                <w:rFonts w:ascii="Arial" w:hAnsi="Arial" w:cs="Arial"/>
                <w:sz w:val="20"/>
              </w:rPr>
              <w:t>FY22 Count</w:t>
            </w:r>
          </w:p>
        </w:tc>
        <w:tc>
          <w:tcPr>
            <w:tcW w:w="966" w:type="dxa"/>
          </w:tcPr>
          <w:p w14:paraId="6E392F54" w14:textId="77777777" w:rsidR="00042719" w:rsidRDefault="00042719" w:rsidP="00413B69">
            <w:pPr>
              <w:jc w:val="center"/>
              <w:rPr>
                <w:rFonts w:ascii="Arial" w:hAnsi="Arial" w:cs="Arial"/>
                <w:sz w:val="20"/>
              </w:rPr>
            </w:pPr>
            <w:r>
              <w:rPr>
                <w:rFonts w:ascii="Arial" w:hAnsi="Arial" w:cs="Arial"/>
                <w:sz w:val="20"/>
              </w:rPr>
              <w:t>FY22 %</w:t>
            </w:r>
          </w:p>
        </w:tc>
      </w:tr>
      <w:tr w:rsidR="00042719" w14:paraId="3E9C5750" w14:textId="77777777" w:rsidTr="0049316D">
        <w:trPr>
          <w:cantSplit/>
        </w:trPr>
        <w:tc>
          <w:tcPr>
            <w:tcW w:w="2726" w:type="dxa"/>
            <w:shd w:val="clear" w:color="auto" w:fill="E2EFD9" w:themeFill="accent6" w:themeFillTint="33"/>
          </w:tcPr>
          <w:p w14:paraId="0FAD737F" w14:textId="2D08B515" w:rsidR="00042719" w:rsidRDefault="00042719" w:rsidP="006746AF">
            <w:pPr>
              <w:jc w:val="both"/>
              <w:rPr>
                <w:rFonts w:ascii="Arial" w:hAnsi="Arial" w:cs="Arial"/>
                <w:sz w:val="20"/>
              </w:rPr>
            </w:pPr>
            <w:r>
              <w:rPr>
                <w:rFonts w:ascii="Arial" w:hAnsi="Arial" w:cs="Arial"/>
                <w:sz w:val="20"/>
              </w:rPr>
              <w:t>CDH Total</w:t>
            </w:r>
          </w:p>
        </w:tc>
        <w:tc>
          <w:tcPr>
            <w:tcW w:w="1166" w:type="dxa"/>
            <w:shd w:val="clear" w:color="auto" w:fill="E2EFD9" w:themeFill="accent6" w:themeFillTint="33"/>
          </w:tcPr>
          <w:p w14:paraId="0C3481A4" w14:textId="5B260D48" w:rsidR="00042719" w:rsidRDefault="00042719" w:rsidP="00413B69">
            <w:pPr>
              <w:jc w:val="right"/>
              <w:rPr>
                <w:rFonts w:ascii="Arial" w:hAnsi="Arial" w:cs="Arial"/>
                <w:sz w:val="20"/>
              </w:rPr>
            </w:pPr>
            <w:r>
              <w:rPr>
                <w:rFonts w:ascii="Arial" w:hAnsi="Arial" w:cs="Arial"/>
                <w:sz w:val="20"/>
              </w:rPr>
              <w:t>94,912</w:t>
            </w:r>
          </w:p>
        </w:tc>
        <w:tc>
          <w:tcPr>
            <w:tcW w:w="1139" w:type="dxa"/>
            <w:shd w:val="clear" w:color="auto" w:fill="E2EFD9" w:themeFill="accent6" w:themeFillTint="33"/>
          </w:tcPr>
          <w:p w14:paraId="555E3463" w14:textId="0D9F536B" w:rsidR="00042719" w:rsidRDefault="00D844CF" w:rsidP="00413B69">
            <w:pPr>
              <w:jc w:val="right"/>
              <w:rPr>
                <w:rFonts w:ascii="Arial" w:hAnsi="Arial" w:cs="Arial"/>
                <w:sz w:val="20"/>
              </w:rPr>
            </w:pPr>
            <w:r>
              <w:rPr>
                <w:rFonts w:ascii="Arial" w:hAnsi="Arial" w:cs="Arial"/>
                <w:sz w:val="20"/>
              </w:rPr>
              <w:t>N/A</w:t>
            </w:r>
          </w:p>
        </w:tc>
        <w:tc>
          <w:tcPr>
            <w:tcW w:w="1107" w:type="dxa"/>
            <w:shd w:val="clear" w:color="auto" w:fill="E2EFD9" w:themeFill="accent6" w:themeFillTint="33"/>
          </w:tcPr>
          <w:p w14:paraId="1A0CA291" w14:textId="678D4760" w:rsidR="00042719" w:rsidRDefault="00042719" w:rsidP="00413B69">
            <w:pPr>
              <w:jc w:val="right"/>
              <w:rPr>
                <w:rFonts w:ascii="Arial" w:hAnsi="Arial" w:cs="Arial"/>
                <w:sz w:val="20"/>
              </w:rPr>
            </w:pPr>
            <w:r>
              <w:rPr>
                <w:rFonts w:ascii="Arial" w:hAnsi="Arial" w:cs="Arial"/>
                <w:sz w:val="20"/>
              </w:rPr>
              <w:t>106,054</w:t>
            </w:r>
          </w:p>
        </w:tc>
        <w:tc>
          <w:tcPr>
            <w:tcW w:w="1139" w:type="dxa"/>
            <w:shd w:val="clear" w:color="auto" w:fill="E2EFD9" w:themeFill="accent6" w:themeFillTint="33"/>
          </w:tcPr>
          <w:p w14:paraId="71C55E07" w14:textId="533002B6" w:rsidR="00042719" w:rsidRDefault="00D844CF" w:rsidP="00413B69">
            <w:pPr>
              <w:jc w:val="right"/>
              <w:rPr>
                <w:rFonts w:ascii="Arial" w:hAnsi="Arial" w:cs="Arial"/>
                <w:sz w:val="20"/>
              </w:rPr>
            </w:pPr>
            <w:r>
              <w:rPr>
                <w:rFonts w:ascii="Arial" w:hAnsi="Arial" w:cs="Arial"/>
                <w:sz w:val="20"/>
              </w:rPr>
              <w:t>N/A</w:t>
            </w:r>
          </w:p>
        </w:tc>
        <w:tc>
          <w:tcPr>
            <w:tcW w:w="1107" w:type="dxa"/>
            <w:shd w:val="clear" w:color="auto" w:fill="E2EFD9" w:themeFill="accent6" w:themeFillTint="33"/>
          </w:tcPr>
          <w:p w14:paraId="3BB52C14" w14:textId="4D9B1A2B" w:rsidR="00042719" w:rsidRDefault="00042719" w:rsidP="00413B69">
            <w:pPr>
              <w:jc w:val="right"/>
              <w:rPr>
                <w:rFonts w:ascii="Arial" w:hAnsi="Arial" w:cs="Arial"/>
                <w:sz w:val="20"/>
              </w:rPr>
            </w:pPr>
            <w:r>
              <w:rPr>
                <w:rFonts w:ascii="Arial" w:hAnsi="Arial" w:cs="Arial"/>
                <w:sz w:val="20"/>
              </w:rPr>
              <w:t>108,778</w:t>
            </w:r>
          </w:p>
        </w:tc>
        <w:tc>
          <w:tcPr>
            <w:tcW w:w="966" w:type="dxa"/>
            <w:shd w:val="clear" w:color="auto" w:fill="E2EFD9" w:themeFill="accent6" w:themeFillTint="33"/>
          </w:tcPr>
          <w:p w14:paraId="3068C6B8" w14:textId="1C3ABDE5" w:rsidR="00042719" w:rsidRDefault="00D844CF" w:rsidP="00413B69">
            <w:pPr>
              <w:jc w:val="right"/>
              <w:rPr>
                <w:rFonts w:ascii="Arial" w:hAnsi="Arial" w:cs="Arial"/>
                <w:sz w:val="20"/>
              </w:rPr>
            </w:pPr>
            <w:r>
              <w:rPr>
                <w:rFonts w:ascii="Arial" w:hAnsi="Arial" w:cs="Arial"/>
                <w:sz w:val="20"/>
              </w:rPr>
              <w:t>N/A</w:t>
            </w:r>
          </w:p>
        </w:tc>
      </w:tr>
      <w:tr w:rsidR="00042719" w14:paraId="5FBBC09C" w14:textId="77777777" w:rsidTr="0049316D">
        <w:trPr>
          <w:cantSplit/>
        </w:trPr>
        <w:tc>
          <w:tcPr>
            <w:tcW w:w="2726" w:type="dxa"/>
            <w:shd w:val="clear" w:color="auto" w:fill="FBE4D5" w:themeFill="accent2" w:themeFillTint="33"/>
            <w:vAlign w:val="bottom"/>
          </w:tcPr>
          <w:p w14:paraId="287092BC" w14:textId="5E396286" w:rsidR="00042719" w:rsidRPr="00D844CF" w:rsidRDefault="004F4892" w:rsidP="00042719">
            <w:pPr>
              <w:jc w:val="both"/>
              <w:rPr>
                <w:rFonts w:ascii="Arial" w:hAnsi="Arial" w:cs="Arial"/>
                <w:sz w:val="20"/>
                <w:szCs w:val="20"/>
              </w:rPr>
            </w:pPr>
            <w:r w:rsidRPr="00D844CF">
              <w:rPr>
                <w:rFonts w:ascii="Arial" w:eastAsia="Times New Roman" w:hAnsi="Arial" w:cs="Arial"/>
                <w:color w:val="000000"/>
                <w:sz w:val="20"/>
                <w:szCs w:val="20"/>
              </w:rPr>
              <w:t xml:space="preserve">Gender - </w:t>
            </w:r>
            <w:r w:rsidR="00042719" w:rsidRPr="00D844CF">
              <w:rPr>
                <w:rFonts w:ascii="Arial" w:eastAsia="Times New Roman" w:hAnsi="Arial" w:cs="Arial"/>
                <w:color w:val="000000"/>
                <w:sz w:val="20"/>
                <w:szCs w:val="20"/>
              </w:rPr>
              <w:t>Female</w:t>
            </w:r>
          </w:p>
        </w:tc>
        <w:tc>
          <w:tcPr>
            <w:tcW w:w="1166" w:type="dxa"/>
            <w:shd w:val="clear" w:color="auto" w:fill="FBE4D5" w:themeFill="accent2" w:themeFillTint="33"/>
            <w:vAlign w:val="bottom"/>
          </w:tcPr>
          <w:p w14:paraId="01B9F457" w14:textId="309C29B5"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 xml:space="preserve">55,686 </w:t>
            </w:r>
          </w:p>
        </w:tc>
        <w:tc>
          <w:tcPr>
            <w:tcW w:w="1139" w:type="dxa"/>
            <w:shd w:val="clear" w:color="auto" w:fill="FBE4D5" w:themeFill="accent2" w:themeFillTint="33"/>
            <w:vAlign w:val="bottom"/>
          </w:tcPr>
          <w:p w14:paraId="55DF705E" w14:textId="71F8D24D"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58.7%</w:t>
            </w:r>
          </w:p>
        </w:tc>
        <w:tc>
          <w:tcPr>
            <w:tcW w:w="1107" w:type="dxa"/>
            <w:shd w:val="clear" w:color="auto" w:fill="FBE4D5" w:themeFill="accent2" w:themeFillTint="33"/>
            <w:vAlign w:val="bottom"/>
          </w:tcPr>
          <w:p w14:paraId="77E699EB" w14:textId="71A8D419"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 xml:space="preserve">61,997 </w:t>
            </w:r>
          </w:p>
        </w:tc>
        <w:tc>
          <w:tcPr>
            <w:tcW w:w="1139" w:type="dxa"/>
            <w:shd w:val="clear" w:color="auto" w:fill="FBE4D5" w:themeFill="accent2" w:themeFillTint="33"/>
            <w:vAlign w:val="bottom"/>
          </w:tcPr>
          <w:p w14:paraId="64ABC00F" w14:textId="74DDB44C"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58.5%</w:t>
            </w:r>
          </w:p>
        </w:tc>
        <w:tc>
          <w:tcPr>
            <w:tcW w:w="1107" w:type="dxa"/>
            <w:shd w:val="clear" w:color="auto" w:fill="FBE4D5" w:themeFill="accent2" w:themeFillTint="33"/>
            <w:vAlign w:val="bottom"/>
          </w:tcPr>
          <w:p w14:paraId="2BF3EAAC" w14:textId="785AB321"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 xml:space="preserve">62,880 </w:t>
            </w:r>
          </w:p>
        </w:tc>
        <w:tc>
          <w:tcPr>
            <w:tcW w:w="966" w:type="dxa"/>
            <w:shd w:val="clear" w:color="auto" w:fill="FBE4D5" w:themeFill="accent2" w:themeFillTint="33"/>
            <w:vAlign w:val="bottom"/>
          </w:tcPr>
          <w:p w14:paraId="477E9F8D" w14:textId="4A96EC01"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57.8%</w:t>
            </w:r>
          </w:p>
        </w:tc>
      </w:tr>
      <w:tr w:rsidR="00042719" w14:paraId="4B61519D" w14:textId="77777777" w:rsidTr="0049316D">
        <w:trPr>
          <w:cantSplit/>
        </w:trPr>
        <w:tc>
          <w:tcPr>
            <w:tcW w:w="2726" w:type="dxa"/>
            <w:shd w:val="clear" w:color="auto" w:fill="FBE4D5" w:themeFill="accent2" w:themeFillTint="33"/>
            <w:vAlign w:val="bottom"/>
          </w:tcPr>
          <w:p w14:paraId="40D8F916" w14:textId="748C23B2" w:rsidR="00042719" w:rsidRPr="00D844CF" w:rsidRDefault="004F4892" w:rsidP="00042719">
            <w:pPr>
              <w:jc w:val="both"/>
              <w:rPr>
                <w:rFonts w:ascii="Arial" w:hAnsi="Arial" w:cs="Arial"/>
                <w:sz w:val="20"/>
                <w:szCs w:val="20"/>
              </w:rPr>
            </w:pPr>
            <w:r w:rsidRPr="00D844CF">
              <w:rPr>
                <w:rFonts w:ascii="Arial" w:eastAsia="Times New Roman" w:hAnsi="Arial" w:cs="Arial"/>
                <w:color w:val="000000"/>
                <w:sz w:val="20"/>
                <w:szCs w:val="20"/>
              </w:rPr>
              <w:t xml:space="preserve">Gender - </w:t>
            </w:r>
            <w:r w:rsidR="00042719" w:rsidRPr="00D844CF">
              <w:rPr>
                <w:rFonts w:ascii="Arial" w:eastAsia="Times New Roman" w:hAnsi="Arial" w:cs="Arial"/>
                <w:color w:val="000000"/>
                <w:sz w:val="20"/>
                <w:szCs w:val="20"/>
              </w:rPr>
              <w:t>Male</w:t>
            </w:r>
          </w:p>
        </w:tc>
        <w:tc>
          <w:tcPr>
            <w:tcW w:w="1166" w:type="dxa"/>
            <w:shd w:val="clear" w:color="auto" w:fill="FBE4D5" w:themeFill="accent2" w:themeFillTint="33"/>
            <w:vAlign w:val="bottom"/>
          </w:tcPr>
          <w:p w14:paraId="5ED8A7B8" w14:textId="6C807475"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 xml:space="preserve">39,194 </w:t>
            </w:r>
          </w:p>
        </w:tc>
        <w:tc>
          <w:tcPr>
            <w:tcW w:w="1139" w:type="dxa"/>
            <w:shd w:val="clear" w:color="auto" w:fill="FBE4D5" w:themeFill="accent2" w:themeFillTint="33"/>
            <w:vAlign w:val="bottom"/>
          </w:tcPr>
          <w:p w14:paraId="38A718CF" w14:textId="1700A7C4"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41.3%</w:t>
            </w:r>
          </w:p>
        </w:tc>
        <w:tc>
          <w:tcPr>
            <w:tcW w:w="1107" w:type="dxa"/>
            <w:shd w:val="clear" w:color="auto" w:fill="FBE4D5" w:themeFill="accent2" w:themeFillTint="33"/>
            <w:vAlign w:val="bottom"/>
          </w:tcPr>
          <w:p w14:paraId="7D6F844E" w14:textId="0F30B60A"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 xml:space="preserve">44,009 </w:t>
            </w:r>
          </w:p>
        </w:tc>
        <w:tc>
          <w:tcPr>
            <w:tcW w:w="1139" w:type="dxa"/>
            <w:shd w:val="clear" w:color="auto" w:fill="FBE4D5" w:themeFill="accent2" w:themeFillTint="33"/>
            <w:vAlign w:val="bottom"/>
          </w:tcPr>
          <w:p w14:paraId="3A338CA3" w14:textId="5AC45B13"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41.5%</w:t>
            </w:r>
          </w:p>
        </w:tc>
        <w:tc>
          <w:tcPr>
            <w:tcW w:w="1107" w:type="dxa"/>
            <w:shd w:val="clear" w:color="auto" w:fill="FBE4D5" w:themeFill="accent2" w:themeFillTint="33"/>
            <w:vAlign w:val="bottom"/>
          </w:tcPr>
          <w:p w14:paraId="66A71D0F" w14:textId="39E6BFA5"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 xml:space="preserve">45,795 </w:t>
            </w:r>
          </w:p>
        </w:tc>
        <w:tc>
          <w:tcPr>
            <w:tcW w:w="966" w:type="dxa"/>
            <w:shd w:val="clear" w:color="auto" w:fill="FBE4D5" w:themeFill="accent2" w:themeFillTint="33"/>
            <w:vAlign w:val="bottom"/>
          </w:tcPr>
          <w:p w14:paraId="3412AC1B" w14:textId="6452EB51"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42.1%</w:t>
            </w:r>
          </w:p>
        </w:tc>
      </w:tr>
      <w:tr w:rsidR="00042719" w14:paraId="782167FE" w14:textId="77777777" w:rsidTr="0049316D">
        <w:trPr>
          <w:cantSplit/>
        </w:trPr>
        <w:tc>
          <w:tcPr>
            <w:tcW w:w="2726" w:type="dxa"/>
            <w:shd w:val="clear" w:color="auto" w:fill="FBE4D5" w:themeFill="accent2" w:themeFillTint="33"/>
            <w:vAlign w:val="bottom"/>
          </w:tcPr>
          <w:p w14:paraId="6F84CAA6" w14:textId="54784972" w:rsidR="00042719" w:rsidRPr="00D844CF" w:rsidRDefault="004F4892" w:rsidP="00042719">
            <w:pPr>
              <w:jc w:val="both"/>
              <w:rPr>
                <w:rFonts w:ascii="Arial" w:hAnsi="Arial" w:cs="Arial"/>
                <w:sz w:val="20"/>
                <w:szCs w:val="20"/>
              </w:rPr>
            </w:pPr>
            <w:r w:rsidRPr="00D844CF">
              <w:rPr>
                <w:rFonts w:ascii="Arial" w:eastAsia="Times New Roman" w:hAnsi="Arial" w:cs="Arial"/>
                <w:color w:val="000000"/>
                <w:sz w:val="20"/>
                <w:szCs w:val="20"/>
              </w:rPr>
              <w:t xml:space="preserve">Gender - </w:t>
            </w:r>
            <w:r w:rsidR="00042719" w:rsidRPr="00D844CF">
              <w:rPr>
                <w:rFonts w:ascii="Arial" w:eastAsia="Times New Roman" w:hAnsi="Arial" w:cs="Arial"/>
                <w:color w:val="000000"/>
                <w:sz w:val="20"/>
                <w:szCs w:val="20"/>
              </w:rPr>
              <w:t>Other/Unknown</w:t>
            </w:r>
          </w:p>
        </w:tc>
        <w:tc>
          <w:tcPr>
            <w:tcW w:w="1166" w:type="dxa"/>
            <w:shd w:val="clear" w:color="auto" w:fill="FBE4D5" w:themeFill="accent2" w:themeFillTint="33"/>
            <w:vAlign w:val="bottom"/>
          </w:tcPr>
          <w:p w14:paraId="545F419B" w14:textId="7A4CAEA1"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 xml:space="preserve">32 </w:t>
            </w:r>
          </w:p>
        </w:tc>
        <w:tc>
          <w:tcPr>
            <w:tcW w:w="1139" w:type="dxa"/>
            <w:shd w:val="clear" w:color="auto" w:fill="FBE4D5" w:themeFill="accent2" w:themeFillTint="33"/>
            <w:vAlign w:val="bottom"/>
          </w:tcPr>
          <w:p w14:paraId="6564C886" w14:textId="6AD45E7B"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0.0%</w:t>
            </w:r>
          </w:p>
        </w:tc>
        <w:tc>
          <w:tcPr>
            <w:tcW w:w="1107" w:type="dxa"/>
            <w:shd w:val="clear" w:color="auto" w:fill="FBE4D5" w:themeFill="accent2" w:themeFillTint="33"/>
            <w:vAlign w:val="bottom"/>
          </w:tcPr>
          <w:p w14:paraId="666DA820" w14:textId="70398898"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 xml:space="preserve">48 </w:t>
            </w:r>
          </w:p>
        </w:tc>
        <w:tc>
          <w:tcPr>
            <w:tcW w:w="1139" w:type="dxa"/>
            <w:shd w:val="clear" w:color="auto" w:fill="FBE4D5" w:themeFill="accent2" w:themeFillTint="33"/>
            <w:vAlign w:val="bottom"/>
          </w:tcPr>
          <w:p w14:paraId="17D7BF99" w14:textId="6A3A2F6B"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0.0%</w:t>
            </w:r>
          </w:p>
        </w:tc>
        <w:tc>
          <w:tcPr>
            <w:tcW w:w="1107" w:type="dxa"/>
            <w:shd w:val="clear" w:color="auto" w:fill="FBE4D5" w:themeFill="accent2" w:themeFillTint="33"/>
            <w:vAlign w:val="bottom"/>
          </w:tcPr>
          <w:p w14:paraId="4ADE209B" w14:textId="553A13FB"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 xml:space="preserve">103 </w:t>
            </w:r>
          </w:p>
        </w:tc>
        <w:tc>
          <w:tcPr>
            <w:tcW w:w="966" w:type="dxa"/>
            <w:shd w:val="clear" w:color="auto" w:fill="FBE4D5" w:themeFill="accent2" w:themeFillTint="33"/>
            <w:vAlign w:val="bottom"/>
          </w:tcPr>
          <w:p w14:paraId="4695B3D9" w14:textId="301D648B" w:rsidR="00042719" w:rsidRPr="00D844CF" w:rsidRDefault="00042719" w:rsidP="00413B69">
            <w:pPr>
              <w:jc w:val="right"/>
              <w:rPr>
                <w:rFonts w:ascii="Arial" w:hAnsi="Arial" w:cs="Arial"/>
                <w:sz w:val="20"/>
                <w:szCs w:val="20"/>
              </w:rPr>
            </w:pPr>
            <w:r w:rsidRPr="00D844CF">
              <w:rPr>
                <w:rFonts w:ascii="Arial" w:eastAsia="Times New Roman" w:hAnsi="Arial" w:cs="Arial"/>
                <w:color w:val="000000"/>
                <w:sz w:val="20"/>
                <w:szCs w:val="20"/>
              </w:rPr>
              <w:t>0.1%</w:t>
            </w:r>
          </w:p>
        </w:tc>
      </w:tr>
      <w:tr w:rsidR="00042719" w14:paraId="07F5E21C" w14:textId="77777777" w:rsidTr="0049316D">
        <w:trPr>
          <w:cantSplit/>
        </w:trPr>
        <w:tc>
          <w:tcPr>
            <w:tcW w:w="2726" w:type="dxa"/>
            <w:shd w:val="clear" w:color="auto" w:fill="D9E2F3" w:themeFill="accent1" w:themeFillTint="33"/>
            <w:vAlign w:val="bottom"/>
          </w:tcPr>
          <w:p w14:paraId="00D5280A" w14:textId="72F62FCB" w:rsidR="00042719" w:rsidRPr="00D844CF" w:rsidRDefault="004F4892" w:rsidP="00042719">
            <w:pPr>
              <w:jc w:val="both"/>
              <w:rPr>
                <w:rFonts w:ascii="Arial" w:eastAsia="Times New Roman" w:hAnsi="Arial" w:cs="Arial"/>
                <w:b/>
                <w:bCs/>
                <w:color w:val="000000"/>
                <w:sz w:val="20"/>
                <w:szCs w:val="20"/>
              </w:rPr>
            </w:pPr>
            <w:r w:rsidRPr="00D844CF">
              <w:rPr>
                <w:rFonts w:ascii="Arial" w:eastAsia="Times New Roman" w:hAnsi="Arial" w:cs="Arial"/>
                <w:color w:val="000000"/>
                <w:sz w:val="20"/>
                <w:szCs w:val="20"/>
              </w:rPr>
              <w:t xml:space="preserve">Age - </w:t>
            </w:r>
            <w:r w:rsidR="00042719" w:rsidRPr="00D844CF">
              <w:rPr>
                <w:rFonts w:ascii="Arial" w:eastAsia="Times New Roman" w:hAnsi="Arial" w:cs="Arial"/>
                <w:color w:val="000000"/>
                <w:sz w:val="20"/>
                <w:szCs w:val="20"/>
              </w:rPr>
              <w:t>0-17</w:t>
            </w:r>
          </w:p>
        </w:tc>
        <w:tc>
          <w:tcPr>
            <w:tcW w:w="1166" w:type="dxa"/>
            <w:shd w:val="clear" w:color="auto" w:fill="D9E2F3" w:themeFill="accent1" w:themeFillTint="33"/>
            <w:vAlign w:val="bottom"/>
          </w:tcPr>
          <w:p w14:paraId="0C6DBC16" w14:textId="57D918DB"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8,797 </w:t>
            </w:r>
          </w:p>
        </w:tc>
        <w:tc>
          <w:tcPr>
            <w:tcW w:w="1139" w:type="dxa"/>
            <w:shd w:val="clear" w:color="auto" w:fill="D9E2F3" w:themeFill="accent1" w:themeFillTint="33"/>
            <w:vAlign w:val="bottom"/>
          </w:tcPr>
          <w:p w14:paraId="68D55129" w14:textId="3E9B6B7E"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9.3%</w:t>
            </w:r>
          </w:p>
        </w:tc>
        <w:tc>
          <w:tcPr>
            <w:tcW w:w="1107" w:type="dxa"/>
            <w:shd w:val="clear" w:color="auto" w:fill="D9E2F3" w:themeFill="accent1" w:themeFillTint="33"/>
            <w:vAlign w:val="bottom"/>
          </w:tcPr>
          <w:p w14:paraId="5A978DF0" w14:textId="6B7783C2"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10,825 </w:t>
            </w:r>
          </w:p>
        </w:tc>
        <w:tc>
          <w:tcPr>
            <w:tcW w:w="1139" w:type="dxa"/>
            <w:shd w:val="clear" w:color="auto" w:fill="D9E2F3" w:themeFill="accent1" w:themeFillTint="33"/>
            <w:vAlign w:val="bottom"/>
          </w:tcPr>
          <w:p w14:paraId="032D11E6" w14:textId="63069226"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10.2%</w:t>
            </w:r>
          </w:p>
        </w:tc>
        <w:tc>
          <w:tcPr>
            <w:tcW w:w="1107" w:type="dxa"/>
            <w:shd w:val="clear" w:color="auto" w:fill="D9E2F3" w:themeFill="accent1" w:themeFillTint="33"/>
            <w:vAlign w:val="bottom"/>
          </w:tcPr>
          <w:p w14:paraId="731452A2" w14:textId="0E21B292"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11,125 </w:t>
            </w:r>
          </w:p>
        </w:tc>
        <w:tc>
          <w:tcPr>
            <w:tcW w:w="966" w:type="dxa"/>
            <w:shd w:val="clear" w:color="auto" w:fill="D9E2F3" w:themeFill="accent1" w:themeFillTint="33"/>
            <w:vAlign w:val="bottom"/>
          </w:tcPr>
          <w:p w14:paraId="6DB305E4" w14:textId="3DCC3AB2"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10.2%</w:t>
            </w:r>
          </w:p>
        </w:tc>
      </w:tr>
      <w:tr w:rsidR="00042719" w14:paraId="2856861D" w14:textId="77777777" w:rsidTr="0049316D">
        <w:trPr>
          <w:cantSplit/>
        </w:trPr>
        <w:tc>
          <w:tcPr>
            <w:tcW w:w="2726" w:type="dxa"/>
            <w:shd w:val="clear" w:color="auto" w:fill="D9E2F3" w:themeFill="accent1" w:themeFillTint="33"/>
            <w:vAlign w:val="bottom"/>
          </w:tcPr>
          <w:p w14:paraId="7D9FADBF" w14:textId="4B8E98EA" w:rsidR="00042719" w:rsidRPr="00D844CF" w:rsidRDefault="004F4892" w:rsidP="00042719">
            <w:pPr>
              <w:jc w:val="both"/>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Age - </w:t>
            </w:r>
            <w:r w:rsidR="00042719" w:rsidRPr="00D844CF">
              <w:rPr>
                <w:rFonts w:ascii="Arial" w:eastAsia="Times New Roman" w:hAnsi="Arial" w:cs="Arial"/>
                <w:color w:val="000000"/>
                <w:sz w:val="20"/>
                <w:szCs w:val="20"/>
              </w:rPr>
              <w:t>18-64</w:t>
            </w:r>
          </w:p>
        </w:tc>
        <w:tc>
          <w:tcPr>
            <w:tcW w:w="1166" w:type="dxa"/>
            <w:shd w:val="clear" w:color="auto" w:fill="D9E2F3" w:themeFill="accent1" w:themeFillTint="33"/>
            <w:vAlign w:val="bottom"/>
          </w:tcPr>
          <w:p w14:paraId="71D97EE1" w14:textId="02FA27B1"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55,448 </w:t>
            </w:r>
          </w:p>
        </w:tc>
        <w:tc>
          <w:tcPr>
            <w:tcW w:w="1139" w:type="dxa"/>
            <w:shd w:val="clear" w:color="auto" w:fill="D9E2F3" w:themeFill="accent1" w:themeFillTint="33"/>
            <w:vAlign w:val="bottom"/>
          </w:tcPr>
          <w:p w14:paraId="3FE57FBD" w14:textId="51D1606E"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58.4%</w:t>
            </w:r>
          </w:p>
        </w:tc>
        <w:tc>
          <w:tcPr>
            <w:tcW w:w="1107" w:type="dxa"/>
            <w:shd w:val="clear" w:color="auto" w:fill="D9E2F3" w:themeFill="accent1" w:themeFillTint="33"/>
            <w:vAlign w:val="bottom"/>
          </w:tcPr>
          <w:p w14:paraId="62625531" w14:textId="686D3F77"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62,650 </w:t>
            </w:r>
          </w:p>
        </w:tc>
        <w:tc>
          <w:tcPr>
            <w:tcW w:w="1139" w:type="dxa"/>
            <w:shd w:val="clear" w:color="auto" w:fill="D9E2F3" w:themeFill="accent1" w:themeFillTint="33"/>
            <w:vAlign w:val="bottom"/>
          </w:tcPr>
          <w:p w14:paraId="716B2957" w14:textId="4228B177"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59.1%</w:t>
            </w:r>
          </w:p>
        </w:tc>
        <w:tc>
          <w:tcPr>
            <w:tcW w:w="1107" w:type="dxa"/>
            <w:shd w:val="clear" w:color="auto" w:fill="D9E2F3" w:themeFill="accent1" w:themeFillTint="33"/>
            <w:vAlign w:val="bottom"/>
          </w:tcPr>
          <w:p w14:paraId="371DE811" w14:textId="2E2CF806"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65,977 </w:t>
            </w:r>
          </w:p>
        </w:tc>
        <w:tc>
          <w:tcPr>
            <w:tcW w:w="966" w:type="dxa"/>
            <w:shd w:val="clear" w:color="auto" w:fill="D9E2F3" w:themeFill="accent1" w:themeFillTint="33"/>
            <w:vAlign w:val="bottom"/>
          </w:tcPr>
          <w:p w14:paraId="115C9897" w14:textId="0E33D733"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60.7%</w:t>
            </w:r>
          </w:p>
        </w:tc>
      </w:tr>
      <w:tr w:rsidR="00042719" w14:paraId="4CD182FD" w14:textId="77777777" w:rsidTr="0049316D">
        <w:trPr>
          <w:cantSplit/>
        </w:trPr>
        <w:tc>
          <w:tcPr>
            <w:tcW w:w="2726" w:type="dxa"/>
            <w:shd w:val="clear" w:color="auto" w:fill="D9E2F3" w:themeFill="accent1" w:themeFillTint="33"/>
            <w:vAlign w:val="bottom"/>
          </w:tcPr>
          <w:p w14:paraId="54757D9B" w14:textId="0351856E" w:rsidR="00042719" w:rsidRPr="00D844CF" w:rsidRDefault="004F4892" w:rsidP="00042719">
            <w:pPr>
              <w:jc w:val="both"/>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Age - </w:t>
            </w:r>
            <w:r w:rsidR="00042719" w:rsidRPr="00D844CF">
              <w:rPr>
                <w:rFonts w:ascii="Arial" w:eastAsia="Times New Roman" w:hAnsi="Arial" w:cs="Arial"/>
                <w:color w:val="000000"/>
                <w:sz w:val="20"/>
                <w:szCs w:val="20"/>
              </w:rPr>
              <w:t>65+/Unknown</w:t>
            </w:r>
            <w:r w:rsidR="00042719" w:rsidRPr="00D844CF">
              <w:rPr>
                <w:rStyle w:val="FootnoteReference"/>
                <w:rFonts w:ascii="Arial" w:eastAsia="Times New Roman" w:hAnsi="Arial" w:cs="Arial"/>
                <w:color w:val="000000"/>
                <w:sz w:val="20"/>
                <w:szCs w:val="20"/>
              </w:rPr>
              <w:footnoteReference w:id="9"/>
            </w:r>
          </w:p>
        </w:tc>
        <w:tc>
          <w:tcPr>
            <w:tcW w:w="1166" w:type="dxa"/>
            <w:shd w:val="clear" w:color="auto" w:fill="D9E2F3" w:themeFill="accent1" w:themeFillTint="33"/>
            <w:vAlign w:val="bottom"/>
          </w:tcPr>
          <w:p w14:paraId="3A607E33" w14:textId="0A79C55E"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30,667 </w:t>
            </w:r>
          </w:p>
        </w:tc>
        <w:tc>
          <w:tcPr>
            <w:tcW w:w="1139" w:type="dxa"/>
            <w:shd w:val="clear" w:color="auto" w:fill="D9E2F3" w:themeFill="accent1" w:themeFillTint="33"/>
            <w:vAlign w:val="bottom"/>
          </w:tcPr>
          <w:p w14:paraId="22D62AAB" w14:textId="7C956B54"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32.3%</w:t>
            </w:r>
          </w:p>
        </w:tc>
        <w:tc>
          <w:tcPr>
            <w:tcW w:w="1107" w:type="dxa"/>
            <w:shd w:val="clear" w:color="auto" w:fill="D9E2F3" w:themeFill="accent1" w:themeFillTint="33"/>
            <w:vAlign w:val="bottom"/>
          </w:tcPr>
          <w:p w14:paraId="0D2FA82F" w14:textId="0B4380F6"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32,579 </w:t>
            </w:r>
          </w:p>
        </w:tc>
        <w:tc>
          <w:tcPr>
            <w:tcW w:w="1139" w:type="dxa"/>
            <w:shd w:val="clear" w:color="auto" w:fill="D9E2F3" w:themeFill="accent1" w:themeFillTint="33"/>
            <w:vAlign w:val="bottom"/>
          </w:tcPr>
          <w:p w14:paraId="7853C02E" w14:textId="37B71231"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30.7%</w:t>
            </w:r>
          </w:p>
        </w:tc>
        <w:tc>
          <w:tcPr>
            <w:tcW w:w="1107" w:type="dxa"/>
            <w:shd w:val="clear" w:color="auto" w:fill="D9E2F3" w:themeFill="accent1" w:themeFillTint="33"/>
            <w:vAlign w:val="bottom"/>
          </w:tcPr>
          <w:p w14:paraId="40008BE3" w14:textId="0541BDD1"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31,676 </w:t>
            </w:r>
          </w:p>
        </w:tc>
        <w:tc>
          <w:tcPr>
            <w:tcW w:w="966" w:type="dxa"/>
            <w:shd w:val="clear" w:color="auto" w:fill="D9E2F3" w:themeFill="accent1" w:themeFillTint="33"/>
            <w:vAlign w:val="bottom"/>
          </w:tcPr>
          <w:p w14:paraId="700361F2" w14:textId="461BB080"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29.1%</w:t>
            </w:r>
          </w:p>
        </w:tc>
      </w:tr>
      <w:tr w:rsidR="00042719" w14:paraId="4F082844" w14:textId="77777777" w:rsidTr="0049316D">
        <w:trPr>
          <w:cantSplit/>
        </w:trPr>
        <w:tc>
          <w:tcPr>
            <w:tcW w:w="2726" w:type="dxa"/>
            <w:shd w:val="clear" w:color="auto" w:fill="FFF2CC" w:themeFill="accent4" w:themeFillTint="33"/>
            <w:vAlign w:val="bottom"/>
          </w:tcPr>
          <w:p w14:paraId="012E376F" w14:textId="3DD51679" w:rsidR="00042719" w:rsidRPr="00D844CF" w:rsidRDefault="004F4892" w:rsidP="004F4892">
            <w:pPr>
              <w:rPr>
                <w:rFonts w:ascii="Arial" w:eastAsia="Times New Roman" w:hAnsi="Arial" w:cs="Arial"/>
                <w:b/>
                <w:bCs/>
                <w:color w:val="000000"/>
                <w:sz w:val="20"/>
                <w:szCs w:val="20"/>
              </w:rPr>
            </w:pPr>
            <w:r w:rsidRPr="00D844CF">
              <w:rPr>
                <w:rFonts w:ascii="Arial" w:eastAsia="Times New Roman" w:hAnsi="Arial" w:cs="Arial"/>
                <w:color w:val="000000"/>
                <w:sz w:val="20"/>
                <w:szCs w:val="20"/>
              </w:rPr>
              <w:t xml:space="preserve">Race - </w:t>
            </w:r>
            <w:r w:rsidR="00042719" w:rsidRPr="00D844CF">
              <w:rPr>
                <w:rFonts w:ascii="Arial" w:eastAsia="Times New Roman" w:hAnsi="Arial" w:cs="Arial"/>
                <w:color w:val="000000"/>
                <w:sz w:val="20"/>
                <w:szCs w:val="20"/>
              </w:rPr>
              <w:t>American Indian or Alaska Native</w:t>
            </w:r>
          </w:p>
        </w:tc>
        <w:tc>
          <w:tcPr>
            <w:tcW w:w="1166" w:type="dxa"/>
            <w:shd w:val="clear" w:color="auto" w:fill="FFF2CC" w:themeFill="accent4" w:themeFillTint="33"/>
            <w:vAlign w:val="bottom"/>
          </w:tcPr>
          <w:p w14:paraId="65113BBE" w14:textId="4761E1E3"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203 </w:t>
            </w:r>
          </w:p>
        </w:tc>
        <w:tc>
          <w:tcPr>
            <w:tcW w:w="1139" w:type="dxa"/>
            <w:shd w:val="clear" w:color="auto" w:fill="FFF2CC" w:themeFill="accent4" w:themeFillTint="33"/>
            <w:vAlign w:val="bottom"/>
          </w:tcPr>
          <w:p w14:paraId="612DDE7C" w14:textId="11238FFE"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0.2%</w:t>
            </w:r>
          </w:p>
        </w:tc>
        <w:tc>
          <w:tcPr>
            <w:tcW w:w="1107" w:type="dxa"/>
            <w:shd w:val="clear" w:color="auto" w:fill="FFF2CC" w:themeFill="accent4" w:themeFillTint="33"/>
            <w:vAlign w:val="bottom"/>
          </w:tcPr>
          <w:p w14:paraId="37BD2705" w14:textId="1C57C48A"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237 </w:t>
            </w:r>
          </w:p>
        </w:tc>
        <w:tc>
          <w:tcPr>
            <w:tcW w:w="1139" w:type="dxa"/>
            <w:shd w:val="clear" w:color="auto" w:fill="FFF2CC" w:themeFill="accent4" w:themeFillTint="33"/>
            <w:vAlign w:val="bottom"/>
          </w:tcPr>
          <w:p w14:paraId="6E8EBAD6" w14:textId="6E1B9DA0"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0.2%</w:t>
            </w:r>
          </w:p>
        </w:tc>
        <w:tc>
          <w:tcPr>
            <w:tcW w:w="1107" w:type="dxa"/>
            <w:shd w:val="clear" w:color="auto" w:fill="FFF2CC" w:themeFill="accent4" w:themeFillTint="33"/>
            <w:vAlign w:val="bottom"/>
          </w:tcPr>
          <w:p w14:paraId="74A2A3A4" w14:textId="347AE582"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244 </w:t>
            </w:r>
          </w:p>
        </w:tc>
        <w:tc>
          <w:tcPr>
            <w:tcW w:w="966" w:type="dxa"/>
            <w:shd w:val="clear" w:color="auto" w:fill="FFF2CC" w:themeFill="accent4" w:themeFillTint="33"/>
            <w:vAlign w:val="bottom"/>
          </w:tcPr>
          <w:p w14:paraId="1E6CCD2E" w14:textId="69C372BB"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0.2%</w:t>
            </w:r>
          </w:p>
        </w:tc>
      </w:tr>
      <w:tr w:rsidR="00042719" w14:paraId="67E86DDF" w14:textId="77777777" w:rsidTr="0049316D">
        <w:trPr>
          <w:cantSplit/>
        </w:trPr>
        <w:tc>
          <w:tcPr>
            <w:tcW w:w="2726" w:type="dxa"/>
            <w:shd w:val="clear" w:color="auto" w:fill="FFF2CC" w:themeFill="accent4" w:themeFillTint="33"/>
            <w:vAlign w:val="bottom"/>
          </w:tcPr>
          <w:p w14:paraId="15AB8404" w14:textId="6BD80099"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Race - </w:t>
            </w:r>
            <w:r w:rsidR="00042719" w:rsidRPr="00D844CF">
              <w:rPr>
                <w:rFonts w:ascii="Arial" w:eastAsia="Times New Roman" w:hAnsi="Arial" w:cs="Arial"/>
                <w:color w:val="000000"/>
                <w:sz w:val="20"/>
                <w:szCs w:val="20"/>
              </w:rPr>
              <w:t>Asian</w:t>
            </w:r>
          </w:p>
        </w:tc>
        <w:tc>
          <w:tcPr>
            <w:tcW w:w="1166" w:type="dxa"/>
            <w:shd w:val="clear" w:color="auto" w:fill="FFF2CC" w:themeFill="accent4" w:themeFillTint="33"/>
            <w:vAlign w:val="bottom"/>
          </w:tcPr>
          <w:p w14:paraId="6FF45635" w14:textId="5CA887BC"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2,195 </w:t>
            </w:r>
          </w:p>
        </w:tc>
        <w:tc>
          <w:tcPr>
            <w:tcW w:w="1139" w:type="dxa"/>
            <w:shd w:val="clear" w:color="auto" w:fill="FFF2CC" w:themeFill="accent4" w:themeFillTint="33"/>
            <w:vAlign w:val="bottom"/>
          </w:tcPr>
          <w:p w14:paraId="0B9C1768" w14:textId="486C0F90"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2.3%</w:t>
            </w:r>
          </w:p>
        </w:tc>
        <w:tc>
          <w:tcPr>
            <w:tcW w:w="1107" w:type="dxa"/>
            <w:shd w:val="clear" w:color="auto" w:fill="FFF2CC" w:themeFill="accent4" w:themeFillTint="33"/>
            <w:vAlign w:val="bottom"/>
          </w:tcPr>
          <w:p w14:paraId="7E3AB6D6" w14:textId="749DE01A"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2,407 </w:t>
            </w:r>
          </w:p>
        </w:tc>
        <w:tc>
          <w:tcPr>
            <w:tcW w:w="1139" w:type="dxa"/>
            <w:shd w:val="clear" w:color="auto" w:fill="FFF2CC" w:themeFill="accent4" w:themeFillTint="33"/>
            <w:vAlign w:val="bottom"/>
          </w:tcPr>
          <w:p w14:paraId="2D852994" w14:textId="67AB28A6"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2.3%</w:t>
            </w:r>
          </w:p>
        </w:tc>
        <w:tc>
          <w:tcPr>
            <w:tcW w:w="1107" w:type="dxa"/>
            <w:shd w:val="clear" w:color="auto" w:fill="FFF2CC" w:themeFill="accent4" w:themeFillTint="33"/>
            <w:vAlign w:val="bottom"/>
          </w:tcPr>
          <w:p w14:paraId="6898D3BA" w14:textId="2C435507"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2,848 </w:t>
            </w:r>
          </w:p>
        </w:tc>
        <w:tc>
          <w:tcPr>
            <w:tcW w:w="966" w:type="dxa"/>
            <w:shd w:val="clear" w:color="auto" w:fill="FFF2CC" w:themeFill="accent4" w:themeFillTint="33"/>
            <w:vAlign w:val="bottom"/>
          </w:tcPr>
          <w:p w14:paraId="49FF72EB" w14:textId="2E21B686"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2.6%</w:t>
            </w:r>
          </w:p>
        </w:tc>
      </w:tr>
      <w:tr w:rsidR="00042719" w14:paraId="0EC68504" w14:textId="77777777" w:rsidTr="0049316D">
        <w:trPr>
          <w:cantSplit/>
        </w:trPr>
        <w:tc>
          <w:tcPr>
            <w:tcW w:w="2726" w:type="dxa"/>
            <w:shd w:val="clear" w:color="auto" w:fill="FFF2CC" w:themeFill="accent4" w:themeFillTint="33"/>
            <w:vAlign w:val="bottom"/>
          </w:tcPr>
          <w:p w14:paraId="36EFE08C" w14:textId="1CC3BC7B"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Race - </w:t>
            </w:r>
            <w:r w:rsidR="00042719" w:rsidRPr="00D844CF">
              <w:rPr>
                <w:rFonts w:ascii="Arial" w:eastAsia="Times New Roman" w:hAnsi="Arial" w:cs="Arial"/>
                <w:color w:val="000000"/>
                <w:sz w:val="20"/>
                <w:szCs w:val="20"/>
              </w:rPr>
              <w:t>Black or African American</w:t>
            </w:r>
          </w:p>
        </w:tc>
        <w:tc>
          <w:tcPr>
            <w:tcW w:w="1166" w:type="dxa"/>
            <w:shd w:val="clear" w:color="auto" w:fill="FFF2CC" w:themeFill="accent4" w:themeFillTint="33"/>
            <w:vAlign w:val="bottom"/>
          </w:tcPr>
          <w:p w14:paraId="2B8628B6" w14:textId="4F145158"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2,374 </w:t>
            </w:r>
          </w:p>
        </w:tc>
        <w:tc>
          <w:tcPr>
            <w:tcW w:w="1139" w:type="dxa"/>
            <w:shd w:val="clear" w:color="auto" w:fill="FFF2CC" w:themeFill="accent4" w:themeFillTint="33"/>
            <w:vAlign w:val="bottom"/>
          </w:tcPr>
          <w:p w14:paraId="54D49D64" w14:textId="59818C16"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2.5%</w:t>
            </w:r>
          </w:p>
        </w:tc>
        <w:tc>
          <w:tcPr>
            <w:tcW w:w="1107" w:type="dxa"/>
            <w:shd w:val="clear" w:color="auto" w:fill="FFF2CC" w:themeFill="accent4" w:themeFillTint="33"/>
            <w:vAlign w:val="bottom"/>
          </w:tcPr>
          <w:p w14:paraId="7BA6E5E8" w14:textId="59E81024"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2,594 </w:t>
            </w:r>
          </w:p>
        </w:tc>
        <w:tc>
          <w:tcPr>
            <w:tcW w:w="1139" w:type="dxa"/>
            <w:shd w:val="clear" w:color="auto" w:fill="FFF2CC" w:themeFill="accent4" w:themeFillTint="33"/>
            <w:vAlign w:val="bottom"/>
          </w:tcPr>
          <w:p w14:paraId="4CCEFAA7" w14:textId="36C0215A"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2.4%</w:t>
            </w:r>
          </w:p>
        </w:tc>
        <w:tc>
          <w:tcPr>
            <w:tcW w:w="1107" w:type="dxa"/>
            <w:shd w:val="clear" w:color="auto" w:fill="FFF2CC" w:themeFill="accent4" w:themeFillTint="33"/>
            <w:vAlign w:val="bottom"/>
          </w:tcPr>
          <w:p w14:paraId="3B72BECC" w14:textId="03CC3F3C"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2,801 </w:t>
            </w:r>
          </w:p>
        </w:tc>
        <w:tc>
          <w:tcPr>
            <w:tcW w:w="966" w:type="dxa"/>
            <w:shd w:val="clear" w:color="auto" w:fill="FFF2CC" w:themeFill="accent4" w:themeFillTint="33"/>
            <w:vAlign w:val="bottom"/>
          </w:tcPr>
          <w:p w14:paraId="3C0E61B1" w14:textId="4DA2837D"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2.6%</w:t>
            </w:r>
          </w:p>
        </w:tc>
      </w:tr>
      <w:tr w:rsidR="00042719" w14:paraId="620F50A7" w14:textId="77777777" w:rsidTr="0049316D">
        <w:trPr>
          <w:cantSplit/>
        </w:trPr>
        <w:tc>
          <w:tcPr>
            <w:tcW w:w="2726" w:type="dxa"/>
            <w:shd w:val="clear" w:color="auto" w:fill="FFF2CC" w:themeFill="accent4" w:themeFillTint="33"/>
            <w:vAlign w:val="bottom"/>
          </w:tcPr>
          <w:p w14:paraId="6BD844B7" w14:textId="48694DD0"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Race - </w:t>
            </w:r>
            <w:r w:rsidR="00042719" w:rsidRPr="00D844CF">
              <w:rPr>
                <w:rFonts w:ascii="Arial" w:eastAsia="Times New Roman" w:hAnsi="Arial" w:cs="Arial"/>
                <w:color w:val="000000"/>
                <w:sz w:val="20"/>
                <w:szCs w:val="20"/>
              </w:rPr>
              <w:t>Native Hawaiian or Other Pacific Islander</w:t>
            </w:r>
          </w:p>
        </w:tc>
        <w:tc>
          <w:tcPr>
            <w:tcW w:w="1166" w:type="dxa"/>
            <w:shd w:val="clear" w:color="auto" w:fill="FFF2CC" w:themeFill="accent4" w:themeFillTint="33"/>
            <w:vAlign w:val="bottom"/>
          </w:tcPr>
          <w:p w14:paraId="62D10063" w14:textId="1734EEFE"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45 </w:t>
            </w:r>
          </w:p>
        </w:tc>
        <w:tc>
          <w:tcPr>
            <w:tcW w:w="1139" w:type="dxa"/>
            <w:shd w:val="clear" w:color="auto" w:fill="FFF2CC" w:themeFill="accent4" w:themeFillTint="33"/>
            <w:vAlign w:val="bottom"/>
          </w:tcPr>
          <w:p w14:paraId="0708C2FD" w14:textId="64C13421"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0.0%</w:t>
            </w:r>
          </w:p>
        </w:tc>
        <w:tc>
          <w:tcPr>
            <w:tcW w:w="1107" w:type="dxa"/>
            <w:shd w:val="clear" w:color="auto" w:fill="FFF2CC" w:themeFill="accent4" w:themeFillTint="33"/>
            <w:vAlign w:val="bottom"/>
          </w:tcPr>
          <w:p w14:paraId="762D2266" w14:textId="62F9C19F"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50 </w:t>
            </w:r>
          </w:p>
        </w:tc>
        <w:tc>
          <w:tcPr>
            <w:tcW w:w="1139" w:type="dxa"/>
            <w:shd w:val="clear" w:color="auto" w:fill="FFF2CC" w:themeFill="accent4" w:themeFillTint="33"/>
            <w:vAlign w:val="bottom"/>
          </w:tcPr>
          <w:p w14:paraId="3C8D8FA0" w14:textId="2285DB03"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0.0%</w:t>
            </w:r>
          </w:p>
        </w:tc>
        <w:tc>
          <w:tcPr>
            <w:tcW w:w="1107" w:type="dxa"/>
            <w:shd w:val="clear" w:color="auto" w:fill="FFF2CC" w:themeFill="accent4" w:themeFillTint="33"/>
            <w:vAlign w:val="bottom"/>
          </w:tcPr>
          <w:p w14:paraId="1DCBCE9C" w14:textId="042FCB4C"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51 </w:t>
            </w:r>
          </w:p>
        </w:tc>
        <w:tc>
          <w:tcPr>
            <w:tcW w:w="966" w:type="dxa"/>
            <w:shd w:val="clear" w:color="auto" w:fill="FFF2CC" w:themeFill="accent4" w:themeFillTint="33"/>
            <w:vAlign w:val="bottom"/>
          </w:tcPr>
          <w:p w14:paraId="2EC1F636" w14:textId="3896E7D8"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0.0%</w:t>
            </w:r>
          </w:p>
        </w:tc>
      </w:tr>
      <w:tr w:rsidR="00042719" w14:paraId="47E0EE12" w14:textId="77777777" w:rsidTr="0049316D">
        <w:trPr>
          <w:cantSplit/>
        </w:trPr>
        <w:tc>
          <w:tcPr>
            <w:tcW w:w="2726" w:type="dxa"/>
            <w:shd w:val="clear" w:color="auto" w:fill="FFF2CC" w:themeFill="accent4" w:themeFillTint="33"/>
            <w:vAlign w:val="bottom"/>
          </w:tcPr>
          <w:p w14:paraId="6F30B66B" w14:textId="4CC1FB62"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Race - </w:t>
            </w:r>
            <w:r w:rsidR="00042719" w:rsidRPr="00D844CF">
              <w:rPr>
                <w:rFonts w:ascii="Arial" w:eastAsia="Times New Roman" w:hAnsi="Arial" w:cs="Arial"/>
                <w:color w:val="000000"/>
                <w:sz w:val="20"/>
                <w:szCs w:val="20"/>
              </w:rPr>
              <w:t>Other/Unknown</w:t>
            </w:r>
          </w:p>
        </w:tc>
        <w:tc>
          <w:tcPr>
            <w:tcW w:w="1166" w:type="dxa"/>
            <w:shd w:val="clear" w:color="auto" w:fill="FFF2CC" w:themeFill="accent4" w:themeFillTint="33"/>
            <w:vAlign w:val="bottom"/>
          </w:tcPr>
          <w:p w14:paraId="3AD319F6" w14:textId="50E848C1"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16,397 </w:t>
            </w:r>
          </w:p>
        </w:tc>
        <w:tc>
          <w:tcPr>
            <w:tcW w:w="1139" w:type="dxa"/>
            <w:shd w:val="clear" w:color="auto" w:fill="FFF2CC" w:themeFill="accent4" w:themeFillTint="33"/>
            <w:vAlign w:val="bottom"/>
          </w:tcPr>
          <w:p w14:paraId="4F97CC35" w14:textId="7A3BE9C1"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17.3%</w:t>
            </w:r>
          </w:p>
        </w:tc>
        <w:tc>
          <w:tcPr>
            <w:tcW w:w="1107" w:type="dxa"/>
            <w:shd w:val="clear" w:color="auto" w:fill="FFF2CC" w:themeFill="accent4" w:themeFillTint="33"/>
            <w:vAlign w:val="bottom"/>
          </w:tcPr>
          <w:p w14:paraId="0D81DEEE" w14:textId="6783828D"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18,686 </w:t>
            </w:r>
          </w:p>
        </w:tc>
        <w:tc>
          <w:tcPr>
            <w:tcW w:w="1139" w:type="dxa"/>
            <w:shd w:val="clear" w:color="auto" w:fill="FFF2CC" w:themeFill="accent4" w:themeFillTint="33"/>
            <w:vAlign w:val="bottom"/>
          </w:tcPr>
          <w:p w14:paraId="4A52037D" w14:textId="3B345BBA"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17.6%</w:t>
            </w:r>
          </w:p>
        </w:tc>
        <w:tc>
          <w:tcPr>
            <w:tcW w:w="1107" w:type="dxa"/>
            <w:shd w:val="clear" w:color="auto" w:fill="FFF2CC" w:themeFill="accent4" w:themeFillTint="33"/>
            <w:vAlign w:val="bottom"/>
          </w:tcPr>
          <w:p w14:paraId="475CA0A3" w14:textId="62AFB5C0"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19,226 </w:t>
            </w:r>
          </w:p>
        </w:tc>
        <w:tc>
          <w:tcPr>
            <w:tcW w:w="966" w:type="dxa"/>
            <w:shd w:val="clear" w:color="auto" w:fill="FFF2CC" w:themeFill="accent4" w:themeFillTint="33"/>
            <w:vAlign w:val="bottom"/>
          </w:tcPr>
          <w:p w14:paraId="478B58F8" w14:textId="09DC7606"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17.7%</w:t>
            </w:r>
          </w:p>
        </w:tc>
      </w:tr>
      <w:tr w:rsidR="00042719" w14:paraId="64155786" w14:textId="77777777" w:rsidTr="0049316D">
        <w:trPr>
          <w:cantSplit/>
        </w:trPr>
        <w:tc>
          <w:tcPr>
            <w:tcW w:w="2726" w:type="dxa"/>
            <w:shd w:val="clear" w:color="auto" w:fill="FFF2CC" w:themeFill="accent4" w:themeFillTint="33"/>
            <w:vAlign w:val="bottom"/>
          </w:tcPr>
          <w:p w14:paraId="35AC544F" w14:textId="02E26BDE"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Race - </w:t>
            </w:r>
            <w:r w:rsidR="00042719" w:rsidRPr="00D844CF">
              <w:rPr>
                <w:rFonts w:ascii="Arial" w:eastAsia="Times New Roman" w:hAnsi="Arial" w:cs="Arial"/>
                <w:color w:val="000000"/>
                <w:sz w:val="20"/>
                <w:szCs w:val="20"/>
              </w:rPr>
              <w:t>White</w:t>
            </w:r>
          </w:p>
        </w:tc>
        <w:tc>
          <w:tcPr>
            <w:tcW w:w="1166" w:type="dxa"/>
            <w:shd w:val="clear" w:color="auto" w:fill="FFF2CC" w:themeFill="accent4" w:themeFillTint="33"/>
            <w:vAlign w:val="bottom"/>
          </w:tcPr>
          <w:p w14:paraId="2F2B1C30" w14:textId="189582EC"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73,698 </w:t>
            </w:r>
          </w:p>
        </w:tc>
        <w:tc>
          <w:tcPr>
            <w:tcW w:w="1139" w:type="dxa"/>
            <w:shd w:val="clear" w:color="auto" w:fill="FFF2CC" w:themeFill="accent4" w:themeFillTint="33"/>
            <w:vAlign w:val="bottom"/>
          </w:tcPr>
          <w:p w14:paraId="23E52DD6" w14:textId="3ACC558D"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77.6%</w:t>
            </w:r>
          </w:p>
        </w:tc>
        <w:tc>
          <w:tcPr>
            <w:tcW w:w="1107" w:type="dxa"/>
            <w:shd w:val="clear" w:color="auto" w:fill="FFF2CC" w:themeFill="accent4" w:themeFillTint="33"/>
            <w:vAlign w:val="bottom"/>
          </w:tcPr>
          <w:p w14:paraId="2A1C40C3" w14:textId="4BFAD671"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82,080 </w:t>
            </w:r>
          </w:p>
        </w:tc>
        <w:tc>
          <w:tcPr>
            <w:tcW w:w="1139" w:type="dxa"/>
            <w:shd w:val="clear" w:color="auto" w:fill="FFF2CC" w:themeFill="accent4" w:themeFillTint="33"/>
            <w:vAlign w:val="bottom"/>
          </w:tcPr>
          <w:p w14:paraId="18ED4066" w14:textId="71018D2E"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77.4%</w:t>
            </w:r>
          </w:p>
        </w:tc>
        <w:tc>
          <w:tcPr>
            <w:tcW w:w="1107" w:type="dxa"/>
            <w:shd w:val="clear" w:color="auto" w:fill="FFF2CC" w:themeFill="accent4" w:themeFillTint="33"/>
            <w:vAlign w:val="bottom"/>
          </w:tcPr>
          <w:p w14:paraId="60CC4E70" w14:textId="63921FA2"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83,608 </w:t>
            </w:r>
          </w:p>
        </w:tc>
        <w:tc>
          <w:tcPr>
            <w:tcW w:w="966" w:type="dxa"/>
            <w:shd w:val="clear" w:color="auto" w:fill="FFF2CC" w:themeFill="accent4" w:themeFillTint="33"/>
            <w:vAlign w:val="bottom"/>
          </w:tcPr>
          <w:p w14:paraId="18EA002C" w14:textId="77D488DA"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76.9%</w:t>
            </w:r>
          </w:p>
        </w:tc>
      </w:tr>
      <w:tr w:rsidR="00042719" w14:paraId="39DD82F7" w14:textId="77777777" w:rsidTr="0049316D">
        <w:trPr>
          <w:cantSplit/>
        </w:trPr>
        <w:tc>
          <w:tcPr>
            <w:tcW w:w="2726" w:type="dxa"/>
            <w:shd w:val="clear" w:color="auto" w:fill="FFF2CC" w:themeFill="accent4" w:themeFillTint="33"/>
            <w:vAlign w:val="bottom"/>
          </w:tcPr>
          <w:p w14:paraId="43B6DAFA" w14:textId="0BD85D52"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Race - </w:t>
            </w:r>
            <w:r w:rsidR="00042719" w:rsidRPr="00D844CF">
              <w:rPr>
                <w:rFonts w:ascii="Arial" w:eastAsia="Times New Roman" w:hAnsi="Arial" w:cs="Arial"/>
                <w:color w:val="000000"/>
                <w:sz w:val="20"/>
                <w:szCs w:val="20"/>
              </w:rPr>
              <w:t>Hispanic/Latino</w:t>
            </w:r>
          </w:p>
        </w:tc>
        <w:tc>
          <w:tcPr>
            <w:tcW w:w="1166" w:type="dxa"/>
            <w:shd w:val="clear" w:color="auto" w:fill="FFF2CC" w:themeFill="accent4" w:themeFillTint="33"/>
            <w:vAlign w:val="bottom"/>
          </w:tcPr>
          <w:p w14:paraId="58FB771F" w14:textId="56554BD8"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w:t>
            </w:r>
          </w:p>
        </w:tc>
        <w:tc>
          <w:tcPr>
            <w:tcW w:w="1139" w:type="dxa"/>
            <w:shd w:val="clear" w:color="auto" w:fill="FFF2CC" w:themeFill="accent4" w:themeFillTint="33"/>
            <w:vAlign w:val="bottom"/>
          </w:tcPr>
          <w:p w14:paraId="4215B2FC" w14:textId="214B77FD"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0.0%</w:t>
            </w:r>
          </w:p>
        </w:tc>
        <w:tc>
          <w:tcPr>
            <w:tcW w:w="1107" w:type="dxa"/>
            <w:shd w:val="clear" w:color="auto" w:fill="FFF2CC" w:themeFill="accent4" w:themeFillTint="33"/>
            <w:vAlign w:val="bottom"/>
          </w:tcPr>
          <w:p w14:paraId="55803567" w14:textId="6746D935"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w:t>
            </w:r>
          </w:p>
        </w:tc>
        <w:tc>
          <w:tcPr>
            <w:tcW w:w="1139" w:type="dxa"/>
            <w:shd w:val="clear" w:color="auto" w:fill="FFF2CC" w:themeFill="accent4" w:themeFillTint="33"/>
            <w:vAlign w:val="bottom"/>
          </w:tcPr>
          <w:p w14:paraId="328D91AD" w14:textId="2407BE37"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0.0%</w:t>
            </w:r>
          </w:p>
        </w:tc>
        <w:tc>
          <w:tcPr>
            <w:tcW w:w="1107" w:type="dxa"/>
            <w:shd w:val="clear" w:color="auto" w:fill="FFF2CC" w:themeFill="accent4" w:themeFillTint="33"/>
            <w:vAlign w:val="bottom"/>
          </w:tcPr>
          <w:p w14:paraId="7C1A6AD8" w14:textId="58191667"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w:t>
            </w:r>
          </w:p>
        </w:tc>
        <w:tc>
          <w:tcPr>
            <w:tcW w:w="966" w:type="dxa"/>
            <w:shd w:val="clear" w:color="auto" w:fill="FFF2CC" w:themeFill="accent4" w:themeFillTint="33"/>
            <w:vAlign w:val="bottom"/>
          </w:tcPr>
          <w:p w14:paraId="1C81C7DF" w14:textId="557D3FC3"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0.0%</w:t>
            </w:r>
          </w:p>
        </w:tc>
      </w:tr>
      <w:tr w:rsidR="00042719" w14:paraId="00A065A8" w14:textId="77777777" w:rsidTr="0049316D">
        <w:trPr>
          <w:cantSplit/>
        </w:trPr>
        <w:tc>
          <w:tcPr>
            <w:tcW w:w="2726" w:type="dxa"/>
            <w:shd w:val="clear" w:color="auto" w:fill="D0CECE" w:themeFill="background2" w:themeFillShade="E6"/>
            <w:vAlign w:val="bottom"/>
          </w:tcPr>
          <w:p w14:paraId="00817F3E" w14:textId="13FB71F8" w:rsidR="00042719" w:rsidRPr="00D844CF" w:rsidRDefault="004F4892" w:rsidP="004F4892">
            <w:pPr>
              <w:rPr>
                <w:rFonts w:ascii="Arial" w:eastAsia="Times New Roman" w:hAnsi="Arial" w:cs="Arial"/>
                <w:b/>
                <w:bCs/>
                <w:color w:val="000000"/>
                <w:sz w:val="20"/>
                <w:szCs w:val="20"/>
              </w:rPr>
            </w:pPr>
            <w:r w:rsidRPr="00D844CF">
              <w:rPr>
                <w:rFonts w:ascii="Arial" w:eastAsia="Times New Roman" w:hAnsi="Arial" w:cs="Arial"/>
                <w:color w:val="000000"/>
                <w:sz w:val="20"/>
                <w:szCs w:val="20"/>
              </w:rPr>
              <w:t xml:space="preserve">Patient Origin - </w:t>
            </w:r>
            <w:r w:rsidR="00042719" w:rsidRPr="00D844CF">
              <w:rPr>
                <w:rFonts w:ascii="Arial" w:eastAsia="Times New Roman" w:hAnsi="Arial" w:cs="Arial"/>
                <w:color w:val="000000"/>
                <w:sz w:val="20"/>
                <w:szCs w:val="20"/>
              </w:rPr>
              <w:t>HSA_1</w:t>
            </w:r>
          </w:p>
        </w:tc>
        <w:tc>
          <w:tcPr>
            <w:tcW w:w="1166" w:type="dxa"/>
            <w:shd w:val="clear" w:color="auto" w:fill="D0CECE" w:themeFill="background2" w:themeFillShade="E6"/>
            <w:vAlign w:val="bottom"/>
          </w:tcPr>
          <w:p w14:paraId="02FB249A" w14:textId="5ABFB89B"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87,940 </w:t>
            </w:r>
          </w:p>
        </w:tc>
        <w:tc>
          <w:tcPr>
            <w:tcW w:w="1139" w:type="dxa"/>
            <w:shd w:val="clear" w:color="auto" w:fill="D0CECE" w:themeFill="background2" w:themeFillShade="E6"/>
            <w:vAlign w:val="bottom"/>
          </w:tcPr>
          <w:p w14:paraId="77B7C876" w14:textId="0819F45B"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92.7%</w:t>
            </w:r>
          </w:p>
        </w:tc>
        <w:tc>
          <w:tcPr>
            <w:tcW w:w="1107" w:type="dxa"/>
            <w:shd w:val="clear" w:color="auto" w:fill="D0CECE" w:themeFill="background2" w:themeFillShade="E6"/>
            <w:vAlign w:val="bottom"/>
          </w:tcPr>
          <w:p w14:paraId="60925C20" w14:textId="66C0015A"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96,967 </w:t>
            </w:r>
          </w:p>
        </w:tc>
        <w:tc>
          <w:tcPr>
            <w:tcW w:w="1139" w:type="dxa"/>
            <w:shd w:val="clear" w:color="auto" w:fill="D0CECE" w:themeFill="background2" w:themeFillShade="E6"/>
            <w:vAlign w:val="bottom"/>
          </w:tcPr>
          <w:p w14:paraId="69E50F83" w14:textId="6F00BFAC"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91.4%</w:t>
            </w:r>
          </w:p>
        </w:tc>
        <w:tc>
          <w:tcPr>
            <w:tcW w:w="1107" w:type="dxa"/>
            <w:shd w:val="clear" w:color="auto" w:fill="D0CECE" w:themeFill="background2" w:themeFillShade="E6"/>
            <w:vAlign w:val="bottom"/>
          </w:tcPr>
          <w:p w14:paraId="13911745" w14:textId="0AC60B7F"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99,866 </w:t>
            </w:r>
          </w:p>
        </w:tc>
        <w:tc>
          <w:tcPr>
            <w:tcW w:w="966" w:type="dxa"/>
            <w:shd w:val="clear" w:color="auto" w:fill="D0CECE" w:themeFill="background2" w:themeFillShade="E6"/>
            <w:vAlign w:val="bottom"/>
          </w:tcPr>
          <w:p w14:paraId="40365D27" w14:textId="6AB3AABA"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91.8%</w:t>
            </w:r>
          </w:p>
        </w:tc>
      </w:tr>
      <w:tr w:rsidR="00042719" w14:paraId="2663B35A" w14:textId="77777777" w:rsidTr="0049316D">
        <w:trPr>
          <w:cantSplit/>
        </w:trPr>
        <w:tc>
          <w:tcPr>
            <w:tcW w:w="2726" w:type="dxa"/>
            <w:shd w:val="clear" w:color="auto" w:fill="D0CECE" w:themeFill="background2" w:themeFillShade="E6"/>
            <w:vAlign w:val="bottom"/>
          </w:tcPr>
          <w:p w14:paraId="652E4C05" w14:textId="2EB83F48"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Patient Origin - </w:t>
            </w:r>
            <w:r w:rsidR="00042719" w:rsidRPr="00D844CF">
              <w:rPr>
                <w:rFonts w:ascii="Arial" w:eastAsia="Times New Roman" w:hAnsi="Arial" w:cs="Arial"/>
                <w:color w:val="000000"/>
                <w:sz w:val="20"/>
                <w:szCs w:val="20"/>
              </w:rPr>
              <w:t>HSA_2</w:t>
            </w:r>
          </w:p>
        </w:tc>
        <w:tc>
          <w:tcPr>
            <w:tcW w:w="1166" w:type="dxa"/>
            <w:shd w:val="clear" w:color="auto" w:fill="D0CECE" w:themeFill="background2" w:themeFillShade="E6"/>
            <w:vAlign w:val="bottom"/>
          </w:tcPr>
          <w:p w14:paraId="3C27568D" w14:textId="25502BB3"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866 </w:t>
            </w:r>
          </w:p>
        </w:tc>
        <w:tc>
          <w:tcPr>
            <w:tcW w:w="1139" w:type="dxa"/>
            <w:shd w:val="clear" w:color="auto" w:fill="D0CECE" w:themeFill="background2" w:themeFillShade="E6"/>
            <w:vAlign w:val="bottom"/>
          </w:tcPr>
          <w:p w14:paraId="4C3026EE" w14:textId="0FA92F52"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0.9%</w:t>
            </w:r>
          </w:p>
        </w:tc>
        <w:tc>
          <w:tcPr>
            <w:tcW w:w="1107" w:type="dxa"/>
            <w:shd w:val="clear" w:color="auto" w:fill="D0CECE" w:themeFill="background2" w:themeFillShade="E6"/>
            <w:vAlign w:val="bottom"/>
          </w:tcPr>
          <w:p w14:paraId="6E524BC7" w14:textId="68892697"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2,148 </w:t>
            </w:r>
          </w:p>
        </w:tc>
        <w:tc>
          <w:tcPr>
            <w:tcW w:w="1139" w:type="dxa"/>
            <w:shd w:val="clear" w:color="auto" w:fill="D0CECE" w:themeFill="background2" w:themeFillShade="E6"/>
            <w:vAlign w:val="bottom"/>
          </w:tcPr>
          <w:p w14:paraId="663210E5" w14:textId="709A6BD5"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2.0%</w:t>
            </w:r>
          </w:p>
        </w:tc>
        <w:tc>
          <w:tcPr>
            <w:tcW w:w="1107" w:type="dxa"/>
            <w:shd w:val="clear" w:color="auto" w:fill="D0CECE" w:themeFill="background2" w:themeFillShade="E6"/>
            <w:vAlign w:val="bottom"/>
          </w:tcPr>
          <w:p w14:paraId="29BF07EB" w14:textId="6F27C9AE"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1,184 </w:t>
            </w:r>
          </w:p>
        </w:tc>
        <w:tc>
          <w:tcPr>
            <w:tcW w:w="966" w:type="dxa"/>
            <w:shd w:val="clear" w:color="auto" w:fill="D0CECE" w:themeFill="background2" w:themeFillShade="E6"/>
            <w:vAlign w:val="bottom"/>
          </w:tcPr>
          <w:p w14:paraId="209F9D56" w14:textId="6471096D"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1.1%</w:t>
            </w:r>
          </w:p>
        </w:tc>
      </w:tr>
      <w:tr w:rsidR="00042719" w14:paraId="33DD01A0" w14:textId="77777777" w:rsidTr="0049316D">
        <w:trPr>
          <w:cantSplit/>
        </w:trPr>
        <w:tc>
          <w:tcPr>
            <w:tcW w:w="2726" w:type="dxa"/>
            <w:shd w:val="clear" w:color="auto" w:fill="D0CECE" w:themeFill="background2" w:themeFillShade="E6"/>
            <w:vAlign w:val="bottom"/>
          </w:tcPr>
          <w:p w14:paraId="1B1AB473" w14:textId="6499B555"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Patient Origin - </w:t>
            </w:r>
            <w:r w:rsidR="00042719" w:rsidRPr="00D844CF">
              <w:rPr>
                <w:rFonts w:ascii="Arial" w:eastAsia="Times New Roman" w:hAnsi="Arial" w:cs="Arial"/>
                <w:color w:val="000000"/>
                <w:sz w:val="20"/>
                <w:szCs w:val="20"/>
              </w:rPr>
              <w:t>HSA_3</w:t>
            </w:r>
          </w:p>
        </w:tc>
        <w:tc>
          <w:tcPr>
            <w:tcW w:w="1166" w:type="dxa"/>
            <w:shd w:val="clear" w:color="auto" w:fill="D0CECE" w:themeFill="background2" w:themeFillShade="E6"/>
            <w:vAlign w:val="bottom"/>
          </w:tcPr>
          <w:p w14:paraId="6A895726" w14:textId="101EA5CB"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255 </w:t>
            </w:r>
          </w:p>
        </w:tc>
        <w:tc>
          <w:tcPr>
            <w:tcW w:w="1139" w:type="dxa"/>
            <w:shd w:val="clear" w:color="auto" w:fill="D0CECE" w:themeFill="background2" w:themeFillShade="E6"/>
            <w:vAlign w:val="bottom"/>
          </w:tcPr>
          <w:p w14:paraId="31E12F90" w14:textId="02CB1C24"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0.3%</w:t>
            </w:r>
          </w:p>
        </w:tc>
        <w:tc>
          <w:tcPr>
            <w:tcW w:w="1107" w:type="dxa"/>
            <w:shd w:val="clear" w:color="auto" w:fill="D0CECE" w:themeFill="background2" w:themeFillShade="E6"/>
            <w:vAlign w:val="bottom"/>
          </w:tcPr>
          <w:p w14:paraId="26EA6A3A" w14:textId="450337D1"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296 </w:t>
            </w:r>
          </w:p>
        </w:tc>
        <w:tc>
          <w:tcPr>
            <w:tcW w:w="1139" w:type="dxa"/>
            <w:shd w:val="clear" w:color="auto" w:fill="D0CECE" w:themeFill="background2" w:themeFillShade="E6"/>
            <w:vAlign w:val="bottom"/>
          </w:tcPr>
          <w:p w14:paraId="09F9EE6B" w14:textId="2781233F"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0.3%</w:t>
            </w:r>
          </w:p>
        </w:tc>
        <w:tc>
          <w:tcPr>
            <w:tcW w:w="1107" w:type="dxa"/>
            <w:shd w:val="clear" w:color="auto" w:fill="D0CECE" w:themeFill="background2" w:themeFillShade="E6"/>
            <w:vAlign w:val="bottom"/>
          </w:tcPr>
          <w:p w14:paraId="543C2CF3" w14:textId="2031FBF5"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373 </w:t>
            </w:r>
          </w:p>
        </w:tc>
        <w:tc>
          <w:tcPr>
            <w:tcW w:w="966" w:type="dxa"/>
            <w:shd w:val="clear" w:color="auto" w:fill="D0CECE" w:themeFill="background2" w:themeFillShade="E6"/>
            <w:vAlign w:val="bottom"/>
          </w:tcPr>
          <w:p w14:paraId="23955B51" w14:textId="389BB833"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0.3%</w:t>
            </w:r>
          </w:p>
        </w:tc>
      </w:tr>
      <w:tr w:rsidR="00042719" w14:paraId="58A410FA" w14:textId="77777777" w:rsidTr="0049316D">
        <w:trPr>
          <w:cantSplit/>
        </w:trPr>
        <w:tc>
          <w:tcPr>
            <w:tcW w:w="2726" w:type="dxa"/>
            <w:shd w:val="clear" w:color="auto" w:fill="D0CECE" w:themeFill="background2" w:themeFillShade="E6"/>
            <w:vAlign w:val="bottom"/>
          </w:tcPr>
          <w:p w14:paraId="16F11C0B" w14:textId="6C70674C"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Patient Origin - </w:t>
            </w:r>
            <w:r w:rsidR="00042719" w:rsidRPr="00D844CF">
              <w:rPr>
                <w:rFonts w:ascii="Arial" w:eastAsia="Times New Roman" w:hAnsi="Arial" w:cs="Arial"/>
                <w:color w:val="000000"/>
                <w:sz w:val="20"/>
                <w:szCs w:val="20"/>
              </w:rPr>
              <w:t>HSA_4</w:t>
            </w:r>
          </w:p>
        </w:tc>
        <w:tc>
          <w:tcPr>
            <w:tcW w:w="1166" w:type="dxa"/>
            <w:shd w:val="clear" w:color="auto" w:fill="D0CECE" w:themeFill="background2" w:themeFillShade="E6"/>
            <w:vAlign w:val="bottom"/>
          </w:tcPr>
          <w:p w14:paraId="3ACD8865" w14:textId="1CC2A702"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1,314 </w:t>
            </w:r>
          </w:p>
        </w:tc>
        <w:tc>
          <w:tcPr>
            <w:tcW w:w="1139" w:type="dxa"/>
            <w:shd w:val="clear" w:color="auto" w:fill="D0CECE" w:themeFill="background2" w:themeFillShade="E6"/>
            <w:vAlign w:val="bottom"/>
          </w:tcPr>
          <w:p w14:paraId="79F65F95" w14:textId="728DC234"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1.4%</w:t>
            </w:r>
          </w:p>
        </w:tc>
        <w:tc>
          <w:tcPr>
            <w:tcW w:w="1107" w:type="dxa"/>
            <w:shd w:val="clear" w:color="auto" w:fill="D0CECE" w:themeFill="background2" w:themeFillShade="E6"/>
            <w:vAlign w:val="bottom"/>
          </w:tcPr>
          <w:p w14:paraId="7BBDCF9C" w14:textId="436033DC"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1,687 </w:t>
            </w:r>
          </w:p>
        </w:tc>
        <w:tc>
          <w:tcPr>
            <w:tcW w:w="1139" w:type="dxa"/>
            <w:shd w:val="clear" w:color="auto" w:fill="D0CECE" w:themeFill="background2" w:themeFillShade="E6"/>
            <w:vAlign w:val="bottom"/>
          </w:tcPr>
          <w:p w14:paraId="3BD296DF" w14:textId="5CB25936"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1.6%</w:t>
            </w:r>
          </w:p>
        </w:tc>
        <w:tc>
          <w:tcPr>
            <w:tcW w:w="1107" w:type="dxa"/>
            <w:shd w:val="clear" w:color="auto" w:fill="D0CECE" w:themeFill="background2" w:themeFillShade="E6"/>
            <w:vAlign w:val="bottom"/>
          </w:tcPr>
          <w:p w14:paraId="18F2C4F4" w14:textId="411541BC"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1,770 </w:t>
            </w:r>
          </w:p>
        </w:tc>
        <w:tc>
          <w:tcPr>
            <w:tcW w:w="966" w:type="dxa"/>
            <w:shd w:val="clear" w:color="auto" w:fill="D0CECE" w:themeFill="background2" w:themeFillShade="E6"/>
            <w:vAlign w:val="bottom"/>
          </w:tcPr>
          <w:p w14:paraId="347A733F" w14:textId="6787B052"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1.6%</w:t>
            </w:r>
          </w:p>
        </w:tc>
      </w:tr>
      <w:tr w:rsidR="00042719" w14:paraId="655CD955" w14:textId="77777777" w:rsidTr="0049316D">
        <w:trPr>
          <w:cantSplit/>
        </w:trPr>
        <w:tc>
          <w:tcPr>
            <w:tcW w:w="2726" w:type="dxa"/>
            <w:shd w:val="clear" w:color="auto" w:fill="D0CECE" w:themeFill="background2" w:themeFillShade="E6"/>
            <w:vAlign w:val="bottom"/>
          </w:tcPr>
          <w:p w14:paraId="3006E1DB" w14:textId="3426670A"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Patient Origin - </w:t>
            </w:r>
            <w:r w:rsidR="00042719" w:rsidRPr="00D844CF">
              <w:rPr>
                <w:rFonts w:ascii="Arial" w:eastAsia="Times New Roman" w:hAnsi="Arial" w:cs="Arial"/>
                <w:color w:val="000000"/>
                <w:sz w:val="20"/>
                <w:szCs w:val="20"/>
              </w:rPr>
              <w:t>HSA_5</w:t>
            </w:r>
          </w:p>
        </w:tc>
        <w:tc>
          <w:tcPr>
            <w:tcW w:w="1166" w:type="dxa"/>
            <w:shd w:val="clear" w:color="auto" w:fill="D0CECE" w:themeFill="background2" w:themeFillShade="E6"/>
            <w:vAlign w:val="bottom"/>
          </w:tcPr>
          <w:p w14:paraId="13135884" w14:textId="49297FA3"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559 </w:t>
            </w:r>
          </w:p>
        </w:tc>
        <w:tc>
          <w:tcPr>
            <w:tcW w:w="1139" w:type="dxa"/>
            <w:shd w:val="clear" w:color="auto" w:fill="D0CECE" w:themeFill="background2" w:themeFillShade="E6"/>
            <w:vAlign w:val="bottom"/>
          </w:tcPr>
          <w:p w14:paraId="68377E24" w14:textId="58126110"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0.6%</w:t>
            </w:r>
          </w:p>
        </w:tc>
        <w:tc>
          <w:tcPr>
            <w:tcW w:w="1107" w:type="dxa"/>
            <w:shd w:val="clear" w:color="auto" w:fill="D0CECE" w:themeFill="background2" w:themeFillShade="E6"/>
            <w:vAlign w:val="bottom"/>
          </w:tcPr>
          <w:p w14:paraId="33EF2224" w14:textId="54227C47"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614 </w:t>
            </w:r>
          </w:p>
        </w:tc>
        <w:tc>
          <w:tcPr>
            <w:tcW w:w="1139" w:type="dxa"/>
            <w:shd w:val="clear" w:color="auto" w:fill="D0CECE" w:themeFill="background2" w:themeFillShade="E6"/>
            <w:vAlign w:val="bottom"/>
          </w:tcPr>
          <w:p w14:paraId="77FD8A9A" w14:textId="4A0684FC"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0.6%</w:t>
            </w:r>
          </w:p>
        </w:tc>
        <w:tc>
          <w:tcPr>
            <w:tcW w:w="1107" w:type="dxa"/>
            <w:shd w:val="clear" w:color="auto" w:fill="D0CECE" w:themeFill="background2" w:themeFillShade="E6"/>
            <w:vAlign w:val="bottom"/>
          </w:tcPr>
          <w:p w14:paraId="54BB39BE" w14:textId="7728A58A"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693 </w:t>
            </w:r>
          </w:p>
        </w:tc>
        <w:tc>
          <w:tcPr>
            <w:tcW w:w="966" w:type="dxa"/>
            <w:shd w:val="clear" w:color="auto" w:fill="D0CECE" w:themeFill="background2" w:themeFillShade="E6"/>
            <w:vAlign w:val="bottom"/>
          </w:tcPr>
          <w:p w14:paraId="2DA31B58" w14:textId="6D6391D8"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0.6%</w:t>
            </w:r>
          </w:p>
        </w:tc>
      </w:tr>
      <w:tr w:rsidR="00042719" w14:paraId="11C2A02F" w14:textId="77777777" w:rsidTr="0049316D">
        <w:trPr>
          <w:cantSplit/>
        </w:trPr>
        <w:tc>
          <w:tcPr>
            <w:tcW w:w="2726" w:type="dxa"/>
            <w:shd w:val="clear" w:color="auto" w:fill="D0CECE" w:themeFill="background2" w:themeFillShade="E6"/>
            <w:vAlign w:val="bottom"/>
          </w:tcPr>
          <w:p w14:paraId="3BDB62FB" w14:textId="10520FA7"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Patient Origin - </w:t>
            </w:r>
            <w:r w:rsidR="00042719" w:rsidRPr="00D844CF">
              <w:rPr>
                <w:rFonts w:ascii="Arial" w:eastAsia="Times New Roman" w:hAnsi="Arial" w:cs="Arial"/>
                <w:color w:val="000000"/>
                <w:sz w:val="20"/>
                <w:szCs w:val="20"/>
              </w:rPr>
              <w:t>HSA_6</w:t>
            </w:r>
          </w:p>
        </w:tc>
        <w:tc>
          <w:tcPr>
            <w:tcW w:w="1166" w:type="dxa"/>
            <w:shd w:val="clear" w:color="auto" w:fill="D0CECE" w:themeFill="background2" w:themeFillShade="E6"/>
            <w:vAlign w:val="bottom"/>
          </w:tcPr>
          <w:p w14:paraId="6A70FEE3" w14:textId="619CB6F4"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279 </w:t>
            </w:r>
          </w:p>
        </w:tc>
        <w:tc>
          <w:tcPr>
            <w:tcW w:w="1139" w:type="dxa"/>
            <w:shd w:val="clear" w:color="auto" w:fill="D0CECE" w:themeFill="background2" w:themeFillShade="E6"/>
            <w:vAlign w:val="bottom"/>
          </w:tcPr>
          <w:p w14:paraId="0BEF4427" w14:textId="54239704"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0.3%</w:t>
            </w:r>
          </w:p>
        </w:tc>
        <w:tc>
          <w:tcPr>
            <w:tcW w:w="1107" w:type="dxa"/>
            <w:shd w:val="clear" w:color="auto" w:fill="D0CECE" w:themeFill="background2" w:themeFillShade="E6"/>
            <w:vAlign w:val="bottom"/>
          </w:tcPr>
          <w:p w14:paraId="75163F0B" w14:textId="74654F43"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342 </w:t>
            </w:r>
          </w:p>
        </w:tc>
        <w:tc>
          <w:tcPr>
            <w:tcW w:w="1139" w:type="dxa"/>
            <w:shd w:val="clear" w:color="auto" w:fill="D0CECE" w:themeFill="background2" w:themeFillShade="E6"/>
            <w:vAlign w:val="bottom"/>
          </w:tcPr>
          <w:p w14:paraId="717D6FA5" w14:textId="6D9EC33C"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0.3%</w:t>
            </w:r>
          </w:p>
        </w:tc>
        <w:tc>
          <w:tcPr>
            <w:tcW w:w="1107" w:type="dxa"/>
            <w:shd w:val="clear" w:color="auto" w:fill="D0CECE" w:themeFill="background2" w:themeFillShade="E6"/>
            <w:vAlign w:val="bottom"/>
          </w:tcPr>
          <w:p w14:paraId="74310772" w14:textId="7EB4C569"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398 </w:t>
            </w:r>
          </w:p>
        </w:tc>
        <w:tc>
          <w:tcPr>
            <w:tcW w:w="966" w:type="dxa"/>
            <w:shd w:val="clear" w:color="auto" w:fill="D0CECE" w:themeFill="background2" w:themeFillShade="E6"/>
            <w:vAlign w:val="bottom"/>
          </w:tcPr>
          <w:p w14:paraId="17F7A005" w14:textId="78064DA5"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0.4%</w:t>
            </w:r>
          </w:p>
        </w:tc>
      </w:tr>
      <w:tr w:rsidR="00042719" w14:paraId="2D0DA04F" w14:textId="77777777" w:rsidTr="0049316D">
        <w:trPr>
          <w:cantSplit/>
        </w:trPr>
        <w:tc>
          <w:tcPr>
            <w:tcW w:w="2726" w:type="dxa"/>
            <w:shd w:val="clear" w:color="auto" w:fill="D0CECE" w:themeFill="background2" w:themeFillShade="E6"/>
            <w:vAlign w:val="bottom"/>
          </w:tcPr>
          <w:p w14:paraId="4C4441D7" w14:textId="33BA1AD6" w:rsidR="00042719" w:rsidRPr="00D844CF" w:rsidRDefault="004F4892" w:rsidP="004F4892">
            <w:pPr>
              <w:rPr>
                <w:rFonts w:ascii="Arial" w:eastAsia="Times New Roman" w:hAnsi="Arial" w:cs="Arial"/>
                <w:color w:val="000000"/>
                <w:sz w:val="18"/>
                <w:szCs w:val="18"/>
              </w:rPr>
            </w:pPr>
            <w:r w:rsidRPr="00D844CF">
              <w:rPr>
                <w:rFonts w:ascii="Arial" w:eastAsia="Times New Roman" w:hAnsi="Arial" w:cs="Arial"/>
                <w:color w:val="000000"/>
                <w:sz w:val="18"/>
                <w:szCs w:val="18"/>
              </w:rPr>
              <w:t xml:space="preserve">Patient Origin - </w:t>
            </w:r>
            <w:r w:rsidR="00042719" w:rsidRPr="00D844CF">
              <w:rPr>
                <w:rFonts w:ascii="Arial" w:eastAsia="Times New Roman" w:hAnsi="Arial" w:cs="Arial"/>
                <w:color w:val="000000"/>
                <w:sz w:val="18"/>
                <w:szCs w:val="18"/>
              </w:rPr>
              <w:t>Outside of MA</w:t>
            </w:r>
          </w:p>
        </w:tc>
        <w:tc>
          <w:tcPr>
            <w:tcW w:w="1166" w:type="dxa"/>
            <w:shd w:val="clear" w:color="auto" w:fill="D0CECE" w:themeFill="background2" w:themeFillShade="E6"/>
            <w:vAlign w:val="bottom"/>
          </w:tcPr>
          <w:p w14:paraId="719EB7C9" w14:textId="69CD29AB"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3,654 </w:t>
            </w:r>
          </w:p>
        </w:tc>
        <w:tc>
          <w:tcPr>
            <w:tcW w:w="1139" w:type="dxa"/>
            <w:shd w:val="clear" w:color="auto" w:fill="D0CECE" w:themeFill="background2" w:themeFillShade="E6"/>
            <w:vAlign w:val="bottom"/>
          </w:tcPr>
          <w:p w14:paraId="70FD7C53" w14:textId="7EC4713D"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3.8%</w:t>
            </w:r>
          </w:p>
        </w:tc>
        <w:tc>
          <w:tcPr>
            <w:tcW w:w="1107" w:type="dxa"/>
            <w:shd w:val="clear" w:color="auto" w:fill="D0CECE" w:themeFill="background2" w:themeFillShade="E6"/>
            <w:vAlign w:val="bottom"/>
          </w:tcPr>
          <w:p w14:paraId="479761FB" w14:textId="5139357C"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3,964 </w:t>
            </w:r>
          </w:p>
        </w:tc>
        <w:tc>
          <w:tcPr>
            <w:tcW w:w="1139" w:type="dxa"/>
            <w:shd w:val="clear" w:color="auto" w:fill="D0CECE" w:themeFill="background2" w:themeFillShade="E6"/>
            <w:vAlign w:val="bottom"/>
          </w:tcPr>
          <w:p w14:paraId="1596AE55" w14:textId="1AC5A77F"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3.7%</w:t>
            </w:r>
          </w:p>
        </w:tc>
        <w:tc>
          <w:tcPr>
            <w:tcW w:w="1107" w:type="dxa"/>
            <w:shd w:val="clear" w:color="auto" w:fill="D0CECE" w:themeFill="background2" w:themeFillShade="E6"/>
            <w:vAlign w:val="bottom"/>
          </w:tcPr>
          <w:p w14:paraId="50AAA5AE" w14:textId="2BB7779F"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4,430 </w:t>
            </w:r>
          </w:p>
        </w:tc>
        <w:tc>
          <w:tcPr>
            <w:tcW w:w="966" w:type="dxa"/>
            <w:shd w:val="clear" w:color="auto" w:fill="D0CECE" w:themeFill="background2" w:themeFillShade="E6"/>
            <w:vAlign w:val="bottom"/>
          </w:tcPr>
          <w:p w14:paraId="3DA2E3E5" w14:textId="3874E95A"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4.1%</w:t>
            </w:r>
          </w:p>
        </w:tc>
      </w:tr>
      <w:tr w:rsidR="00042719" w14:paraId="576C6FB0" w14:textId="77777777" w:rsidTr="0049316D">
        <w:trPr>
          <w:cantSplit/>
        </w:trPr>
        <w:tc>
          <w:tcPr>
            <w:tcW w:w="2726" w:type="dxa"/>
            <w:shd w:val="clear" w:color="auto" w:fill="D0CECE" w:themeFill="background2" w:themeFillShade="E6"/>
            <w:vAlign w:val="bottom"/>
          </w:tcPr>
          <w:p w14:paraId="53643A29" w14:textId="717B9E14" w:rsidR="00042719" w:rsidRPr="00D844CF" w:rsidRDefault="004F4892" w:rsidP="004F4892">
            <w:pPr>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Patient Origin - </w:t>
            </w:r>
            <w:r w:rsidR="00042719" w:rsidRPr="00D844CF">
              <w:rPr>
                <w:rFonts w:ascii="Arial" w:eastAsia="Times New Roman" w:hAnsi="Arial" w:cs="Arial"/>
                <w:color w:val="000000"/>
                <w:sz w:val="20"/>
                <w:szCs w:val="20"/>
              </w:rPr>
              <w:t>Unknown/In MA but not in HSA 1-6</w:t>
            </w:r>
            <w:r w:rsidR="00042719" w:rsidRPr="00D844CF">
              <w:rPr>
                <w:rStyle w:val="FootnoteReference"/>
                <w:rFonts w:ascii="Arial" w:eastAsia="Times New Roman" w:hAnsi="Arial" w:cs="Arial"/>
                <w:color w:val="000000"/>
                <w:sz w:val="20"/>
                <w:szCs w:val="20"/>
              </w:rPr>
              <w:footnoteReference w:id="10"/>
            </w:r>
          </w:p>
        </w:tc>
        <w:tc>
          <w:tcPr>
            <w:tcW w:w="1166" w:type="dxa"/>
            <w:shd w:val="clear" w:color="auto" w:fill="D0CECE" w:themeFill="background2" w:themeFillShade="E6"/>
            <w:vAlign w:val="bottom"/>
          </w:tcPr>
          <w:p w14:paraId="471814EE" w14:textId="7A991785"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45 </w:t>
            </w:r>
          </w:p>
        </w:tc>
        <w:tc>
          <w:tcPr>
            <w:tcW w:w="1139" w:type="dxa"/>
            <w:shd w:val="clear" w:color="auto" w:fill="D0CECE" w:themeFill="background2" w:themeFillShade="E6"/>
            <w:vAlign w:val="bottom"/>
          </w:tcPr>
          <w:p w14:paraId="01E7C6BB" w14:textId="5E284373"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0.0%</w:t>
            </w:r>
          </w:p>
        </w:tc>
        <w:tc>
          <w:tcPr>
            <w:tcW w:w="1107" w:type="dxa"/>
            <w:shd w:val="clear" w:color="auto" w:fill="D0CECE" w:themeFill="background2" w:themeFillShade="E6"/>
            <w:vAlign w:val="bottom"/>
          </w:tcPr>
          <w:p w14:paraId="33BFA65D" w14:textId="49B06F9D"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36 </w:t>
            </w:r>
          </w:p>
        </w:tc>
        <w:tc>
          <w:tcPr>
            <w:tcW w:w="1139" w:type="dxa"/>
            <w:shd w:val="clear" w:color="auto" w:fill="D0CECE" w:themeFill="background2" w:themeFillShade="E6"/>
            <w:vAlign w:val="bottom"/>
          </w:tcPr>
          <w:p w14:paraId="5A5DFAA1" w14:textId="10B6B5E7"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0.0%</w:t>
            </w:r>
          </w:p>
        </w:tc>
        <w:tc>
          <w:tcPr>
            <w:tcW w:w="1107" w:type="dxa"/>
            <w:shd w:val="clear" w:color="auto" w:fill="D0CECE" w:themeFill="background2" w:themeFillShade="E6"/>
            <w:vAlign w:val="bottom"/>
          </w:tcPr>
          <w:p w14:paraId="6264CFD9" w14:textId="4C6D068E"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 xml:space="preserve">64 </w:t>
            </w:r>
          </w:p>
        </w:tc>
        <w:tc>
          <w:tcPr>
            <w:tcW w:w="966" w:type="dxa"/>
            <w:shd w:val="clear" w:color="auto" w:fill="D0CECE" w:themeFill="background2" w:themeFillShade="E6"/>
            <w:vAlign w:val="bottom"/>
          </w:tcPr>
          <w:p w14:paraId="50869E1C" w14:textId="0DA152CD" w:rsidR="00042719" w:rsidRPr="00D844CF" w:rsidRDefault="00042719" w:rsidP="00413B69">
            <w:pPr>
              <w:jc w:val="right"/>
              <w:rPr>
                <w:rFonts w:ascii="Arial" w:eastAsia="Times New Roman" w:hAnsi="Arial" w:cs="Arial"/>
                <w:color w:val="000000"/>
                <w:sz w:val="20"/>
                <w:szCs w:val="20"/>
              </w:rPr>
            </w:pPr>
            <w:r w:rsidRPr="00D844CF">
              <w:rPr>
                <w:rFonts w:ascii="Arial" w:eastAsia="Times New Roman" w:hAnsi="Arial" w:cs="Arial"/>
                <w:color w:val="000000"/>
                <w:sz w:val="20"/>
                <w:szCs w:val="20"/>
              </w:rPr>
              <w:t>0.1%</w:t>
            </w:r>
          </w:p>
        </w:tc>
      </w:tr>
    </w:tbl>
    <w:p w14:paraId="35A4430B" w14:textId="79ACCFDD" w:rsidR="00042719" w:rsidRDefault="00042719" w:rsidP="00042719"/>
    <w:p w14:paraId="06247168" w14:textId="581EA336" w:rsidR="00D46FE6" w:rsidRPr="00010F2F" w:rsidRDefault="00D46FE6" w:rsidP="00734CE6">
      <w:pPr>
        <w:spacing w:after="0"/>
        <w:jc w:val="both"/>
        <w:rPr>
          <w:rFonts w:ascii="Arial" w:eastAsia="Verdana" w:hAnsi="Arial" w:cs="Arial"/>
          <w:sz w:val="20"/>
        </w:rPr>
      </w:pPr>
      <w:r w:rsidRPr="00010F2F">
        <w:rPr>
          <w:rFonts w:ascii="Arial" w:eastAsia="Verdana" w:hAnsi="Arial" w:cs="Arial"/>
          <w:b/>
          <w:bCs/>
          <w:sz w:val="20"/>
        </w:rPr>
        <w:t xml:space="preserve">Age: </w:t>
      </w:r>
      <w:r w:rsidR="00F80EC8" w:rsidRPr="00010F2F">
        <w:rPr>
          <w:rFonts w:ascii="Arial" w:eastAsia="Verdana" w:hAnsi="Arial" w:cs="Arial"/>
          <w:sz w:val="20"/>
        </w:rPr>
        <w:t xml:space="preserve">Similar to MGB’s </w:t>
      </w:r>
      <w:r w:rsidR="008D16C9" w:rsidRPr="00010F2F">
        <w:rPr>
          <w:rFonts w:ascii="Arial" w:eastAsia="Verdana" w:hAnsi="Arial" w:cs="Arial"/>
          <w:sz w:val="20"/>
        </w:rPr>
        <w:t>Patient Panel</w:t>
      </w:r>
      <w:r w:rsidR="00F80EC8" w:rsidRPr="00010F2F">
        <w:rPr>
          <w:rFonts w:ascii="Arial" w:eastAsia="Verdana" w:hAnsi="Arial" w:cs="Arial"/>
          <w:sz w:val="20"/>
        </w:rPr>
        <w:t>, d</w:t>
      </w:r>
      <w:r w:rsidR="008D16C9" w:rsidRPr="00010F2F">
        <w:rPr>
          <w:rFonts w:ascii="Arial" w:eastAsia="Verdana" w:hAnsi="Arial" w:cs="Arial"/>
          <w:sz w:val="20"/>
        </w:rPr>
        <w:t>ata</w:t>
      </w:r>
      <w:r w:rsidRPr="00010F2F">
        <w:rPr>
          <w:rFonts w:ascii="Arial" w:eastAsia="Verdana" w:hAnsi="Arial" w:cs="Arial"/>
          <w:sz w:val="20"/>
        </w:rPr>
        <w:t xml:space="preserve"> for FY20-FY22 show that the majority of </w:t>
      </w:r>
      <w:r w:rsidR="004A4992" w:rsidRPr="00010F2F">
        <w:rPr>
          <w:rFonts w:ascii="Arial" w:eastAsia="Verdana" w:hAnsi="Arial" w:cs="Arial"/>
          <w:sz w:val="20"/>
        </w:rPr>
        <w:t>CDH’s</w:t>
      </w:r>
      <w:r w:rsidRPr="00010F2F">
        <w:rPr>
          <w:rFonts w:ascii="Arial" w:eastAsia="Verdana" w:hAnsi="Arial" w:cs="Arial"/>
          <w:sz w:val="20"/>
        </w:rPr>
        <w:t xml:space="preserve"> </w:t>
      </w:r>
      <w:r w:rsidR="004A4992" w:rsidRPr="00010F2F">
        <w:rPr>
          <w:rFonts w:ascii="Arial" w:eastAsia="Verdana" w:hAnsi="Arial" w:cs="Arial"/>
          <w:sz w:val="20"/>
        </w:rPr>
        <w:t>P</w:t>
      </w:r>
      <w:r w:rsidRPr="00010F2F">
        <w:rPr>
          <w:rFonts w:ascii="Arial" w:eastAsia="Verdana" w:hAnsi="Arial" w:cs="Arial"/>
          <w:sz w:val="20"/>
        </w:rPr>
        <w:t xml:space="preserve">atient </w:t>
      </w:r>
      <w:r w:rsidR="004A4992" w:rsidRPr="00010F2F">
        <w:rPr>
          <w:rFonts w:ascii="Arial" w:eastAsia="Verdana" w:hAnsi="Arial" w:cs="Arial"/>
          <w:sz w:val="20"/>
        </w:rPr>
        <w:t>P</w:t>
      </w:r>
      <w:r w:rsidRPr="00010F2F">
        <w:rPr>
          <w:rFonts w:ascii="Arial" w:eastAsia="Verdana" w:hAnsi="Arial" w:cs="Arial"/>
          <w:sz w:val="20"/>
        </w:rPr>
        <w:t>anel is between the ages of 18-64 (ranging from 5</w:t>
      </w:r>
      <w:r w:rsidR="00D76AE0" w:rsidRPr="00010F2F">
        <w:rPr>
          <w:rFonts w:ascii="Arial" w:eastAsia="Verdana" w:hAnsi="Arial" w:cs="Arial"/>
          <w:sz w:val="20"/>
        </w:rPr>
        <w:t>8.4</w:t>
      </w:r>
      <w:r w:rsidRPr="00010F2F">
        <w:rPr>
          <w:rFonts w:ascii="Arial" w:eastAsia="Verdana" w:hAnsi="Arial" w:cs="Arial"/>
          <w:sz w:val="20"/>
        </w:rPr>
        <w:t xml:space="preserve">%-60.7%), followed by 65+ and 0-17 age cohorts, </w:t>
      </w:r>
      <w:r w:rsidR="008D16C9" w:rsidRPr="00010F2F">
        <w:rPr>
          <w:rFonts w:ascii="Arial" w:eastAsia="Verdana" w:hAnsi="Arial" w:cs="Arial"/>
          <w:sz w:val="20"/>
        </w:rPr>
        <w:t>respectively</w:t>
      </w:r>
      <w:r w:rsidRPr="00010F2F">
        <w:rPr>
          <w:rFonts w:ascii="Arial" w:eastAsia="Verdana" w:hAnsi="Arial" w:cs="Arial"/>
          <w:sz w:val="20"/>
        </w:rPr>
        <w:t xml:space="preserve">.  </w:t>
      </w:r>
    </w:p>
    <w:p w14:paraId="3F1F4686" w14:textId="77777777" w:rsidR="00D46FE6" w:rsidRPr="00010F2F" w:rsidRDefault="00D46FE6" w:rsidP="00D46FE6">
      <w:pPr>
        <w:spacing w:after="0"/>
        <w:ind w:left="-540"/>
        <w:jc w:val="both"/>
        <w:rPr>
          <w:rFonts w:ascii="Arial" w:eastAsia="Verdana" w:hAnsi="Arial" w:cs="Arial"/>
          <w:b/>
          <w:bCs/>
          <w:sz w:val="20"/>
        </w:rPr>
      </w:pPr>
    </w:p>
    <w:p w14:paraId="2DE14ECF" w14:textId="613C2CBB" w:rsidR="00D46FE6" w:rsidRPr="00010F2F" w:rsidRDefault="00D46FE6" w:rsidP="00734CE6">
      <w:pPr>
        <w:spacing w:after="0"/>
        <w:jc w:val="both"/>
        <w:rPr>
          <w:rFonts w:ascii="Arial" w:eastAsia="Verdana" w:hAnsi="Arial" w:cs="Arial"/>
          <w:sz w:val="20"/>
        </w:rPr>
      </w:pPr>
      <w:r w:rsidRPr="00010F2F">
        <w:rPr>
          <w:rFonts w:ascii="Arial" w:eastAsia="Verdana" w:hAnsi="Arial" w:cs="Arial"/>
          <w:b/>
          <w:bCs/>
          <w:sz w:val="20"/>
        </w:rPr>
        <w:t xml:space="preserve">Gender: </w:t>
      </w:r>
      <w:r w:rsidR="004A4992" w:rsidRPr="00010F2F">
        <w:rPr>
          <w:rFonts w:ascii="Arial" w:eastAsia="Verdana" w:hAnsi="Arial" w:cs="Arial"/>
          <w:sz w:val="20"/>
        </w:rPr>
        <w:t>CDH’s</w:t>
      </w:r>
      <w:r w:rsidRPr="00010F2F">
        <w:rPr>
          <w:rFonts w:ascii="Arial" w:eastAsia="Verdana" w:hAnsi="Arial" w:cs="Arial"/>
          <w:sz w:val="20"/>
        </w:rPr>
        <w:t xml:space="preserve"> Patient Panel is approximately 5</w:t>
      </w:r>
      <w:r w:rsidR="00D76AE0" w:rsidRPr="00010F2F">
        <w:rPr>
          <w:rFonts w:ascii="Arial" w:eastAsia="Verdana" w:hAnsi="Arial" w:cs="Arial"/>
          <w:sz w:val="20"/>
        </w:rPr>
        <w:t>8.3</w:t>
      </w:r>
      <w:r w:rsidRPr="00010F2F">
        <w:rPr>
          <w:rFonts w:ascii="Arial" w:eastAsia="Verdana" w:hAnsi="Arial" w:cs="Arial"/>
          <w:sz w:val="20"/>
        </w:rPr>
        <w:t>% female, 4</w:t>
      </w:r>
      <w:r w:rsidR="00D76AE0" w:rsidRPr="00010F2F">
        <w:rPr>
          <w:rFonts w:ascii="Arial" w:eastAsia="Verdana" w:hAnsi="Arial" w:cs="Arial"/>
          <w:sz w:val="20"/>
        </w:rPr>
        <w:t>1.6</w:t>
      </w:r>
      <w:r w:rsidRPr="00010F2F">
        <w:rPr>
          <w:rFonts w:ascii="Arial" w:eastAsia="Verdana" w:hAnsi="Arial" w:cs="Arial"/>
          <w:sz w:val="20"/>
        </w:rPr>
        <w:t xml:space="preserve">% male, and 0% unknown. These percentages remained </w:t>
      </w:r>
      <w:r w:rsidR="00D76AE0" w:rsidRPr="00010F2F">
        <w:rPr>
          <w:rFonts w:ascii="Arial" w:eastAsia="Verdana" w:hAnsi="Arial" w:cs="Arial"/>
          <w:sz w:val="20"/>
        </w:rPr>
        <w:t xml:space="preserve">largely </w:t>
      </w:r>
      <w:r w:rsidRPr="00010F2F">
        <w:rPr>
          <w:rFonts w:ascii="Arial" w:eastAsia="Verdana" w:hAnsi="Arial" w:cs="Arial"/>
          <w:sz w:val="20"/>
        </w:rPr>
        <w:t>unchanged between FY20 and FY22.</w:t>
      </w:r>
    </w:p>
    <w:p w14:paraId="379923A8" w14:textId="77777777" w:rsidR="00D46FE6" w:rsidRPr="00010F2F" w:rsidRDefault="00D46FE6" w:rsidP="00D46FE6">
      <w:pPr>
        <w:spacing w:after="0"/>
        <w:ind w:left="-540"/>
        <w:jc w:val="both"/>
        <w:rPr>
          <w:rFonts w:ascii="Arial" w:eastAsia="Verdana" w:hAnsi="Arial" w:cs="Arial"/>
          <w:b/>
          <w:bCs/>
          <w:sz w:val="20"/>
        </w:rPr>
      </w:pPr>
    </w:p>
    <w:p w14:paraId="08F9B050" w14:textId="2E7EDE93" w:rsidR="00D46FE6" w:rsidRPr="00010F2F" w:rsidRDefault="00D46FE6" w:rsidP="00734CE6">
      <w:pPr>
        <w:spacing w:after="0" w:line="240" w:lineRule="auto"/>
        <w:jc w:val="both"/>
        <w:rPr>
          <w:rFonts w:ascii="Arial" w:eastAsia="Verdana" w:hAnsi="Arial" w:cs="Arial"/>
          <w:sz w:val="20"/>
          <w:szCs w:val="20"/>
        </w:rPr>
      </w:pPr>
      <w:r w:rsidRPr="00010F2F">
        <w:rPr>
          <w:rFonts w:ascii="Arial" w:eastAsia="Verdana" w:hAnsi="Arial" w:cs="Arial"/>
          <w:b/>
          <w:bCs/>
          <w:sz w:val="20"/>
          <w:szCs w:val="20"/>
        </w:rPr>
        <w:t xml:space="preserve">Race and Ethnicity: </w:t>
      </w:r>
      <w:r w:rsidRPr="00010F2F">
        <w:rPr>
          <w:rFonts w:ascii="Arial" w:eastAsia="Verdana" w:hAnsi="Arial" w:cs="Arial"/>
          <w:sz w:val="20"/>
          <w:szCs w:val="20"/>
        </w:rPr>
        <w:t>Data based on self-reporting demonstrate</w:t>
      </w:r>
      <w:r w:rsidR="00D76AE0" w:rsidRPr="00010F2F">
        <w:rPr>
          <w:rFonts w:ascii="Arial" w:eastAsia="Verdana" w:hAnsi="Arial" w:cs="Arial"/>
          <w:sz w:val="20"/>
          <w:szCs w:val="20"/>
        </w:rPr>
        <w:t>s</w:t>
      </w:r>
      <w:r w:rsidRPr="00010F2F">
        <w:rPr>
          <w:rFonts w:ascii="Arial" w:eastAsia="Verdana" w:hAnsi="Arial" w:cs="Arial"/>
          <w:sz w:val="20"/>
          <w:szCs w:val="20"/>
        </w:rPr>
        <w:t xml:space="preserve"> that between FY20 and FY22, the majority of </w:t>
      </w:r>
      <w:r w:rsidR="00D76AE0" w:rsidRPr="00010F2F">
        <w:rPr>
          <w:rFonts w:ascii="Arial" w:eastAsia="Verdana" w:hAnsi="Arial" w:cs="Arial"/>
          <w:sz w:val="20"/>
          <w:szCs w:val="20"/>
        </w:rPr>
        <w:t>C</w:t>
      </w:r>
      <w:r w:rsidR="004A4992" w:rsidRPr="00010F2F">
        <w:rPr>
          <w:rFonts w:ascii="Arial" w:eastAsia="Verdana" w:hAnsi="Arial" w:cs="Arial"/>
          <w:sz w:val="20"/>
          <w:szCs w:val="20"/>
        </w:rPr>
        <w:t>DH’s</w:t>
      </w:r>
      <w:r w:rsidRPr="00010F2F">
        <w:rPr>
          <w:rFonts w:ascii="Arial" w:eastAsia="Verdana" w:hAnsi="Arial" w:cs="Arial"/>
          <w:sz w:val="20"/>
          <w:szCs w:val="20"/>
        </w:rPr>
        <w:t xml:space="preserve"> </w:t>
      </w:r>
      <w:r w:rsidR="008D16C9" w:rsidRPr="00010F2F">
        <w:rPr>
          <w:rFonts w:ascii="Arial" w:eastAsia="Verdana" w:hAnsi="Arial" w:cs="Arial"/>
          <w:sz w:val="20"/>
          <w:szCs w:val="20"/>
        </w:rPr>
        <w:t xml:space="preserve">Patient Panel </w:t>
      </w:r>
      <w:r w:rsidRPr="00010F2F">
        <w:rPr>
          <w:rFonts w:ascii="Arial" w:eastAsia="Verdana" w:hAnsi="Arial" w:cs="Arial"/>
          <w:sz w:val="20"/>
          <w:szCs w:val="20"/>
        </w:rPr>
        <w:t>self-identified as White (7</w:t>
      </w:r>
      <w:r w:rsidR="00D76AE0" w:rsidRPr="00010F2F">
        <w:rPr>
          <w:rFonts w:ascii="Arial" w:eastAsia="Verdana" w:hAnsi="Arial" w:cs="Arial"/>
          <w:sz w:val="20"/>
          <w:szCs w:val="20"/>
        </w:rPr>
        <w:t>7.3</w:t>
      </w:r>
      <w:r w:rsidRPr="00010F2F">
        <w:rPr>
          <w:rFonts w:ascii="Arial" w:eastAsia="Verdana" w:hAnsi="Arial" w:cs="Arial"/>
          <w:sz w:val="20"/>
          <w:szCs w:val="20"/>
        </w:rPr>
        <w:t>%). Patients also self-identified as African American (</w:t>
      </w:r>
      <w:r w:rsidR="003A65BB" w:rsidRPr="00010F2F">
        <w:rPr>
          <w:rFonts w:ascii="Arial" w:eastAsia="Verdana" w:hAnsi="Arial" w:cs="Arial"/>
          <w:sz w:val="20"/>
          <w:szCs w:val="20"/>
        </w:rPr>
        <w:t>2.5</w:t>
      </w:r>
      <w:r w:rsidRPr="00010F2F">
        <w:rPr>
          <w:rFonts w:ascii="Arial" w:eastAsia="Verdana" w:hAnsi="Arial" w:cs="Arial"/>
          <w:sz w:val="20"/>
          <w:szCs w:val="20"/>
        </w:rPr>
        <w:t>%); Asian (</w:t>
      </w:r>
      <w:r w:rsidR="003A65BB" w:rsidRPr="00010F2F">
        <w:rPr>
          <w:rFonts w:ascii="Arial" w:eastAsia="Verdana" w:hAnsi="Arial" w:cs="Arial"/>
          <w:sz w:val="20"/>
          <w:szCs w:val="20"/>
        </w:rPr>
        <w:t>2.4</w:t>
      </w:r>
      <w:r w:rsidRPr="00010F2F">
        <w:rPr>
          <w:rFonts w:ascii="Arial" w:eastAsia="Verdana" w:hAnsi="Arial" w:cs="Arial"/>
          <w:sz w:val="20"/>
          <w:szCs w:val="20"/>
        </w:rPr>
        <w:t xml:space="preserve">%); American Indian or Alaska Native (0.2%); Native/Hawaiian or Other Pacific Island (0.1%); and Hispanic/Latino (0%). </w:t>
      </w:r>
      <w:r w:rsidRPr="00010F2F">
        <w:rPr>
          <w:rFonts w:ascii="Arial" w:hAnsi="Arial" w:cs="Arial"/>
          <w:sz w:val="20"/>
          <w:szCs w:val="20"/>
        </w:rPr>
        <w:t>Since patients were grouped into these categories</w:t>
      </w:r>
      <w:r w:rsidRPr="00010F2F">
        <w:rPr>
          <w:rFonts w:ascii="Arial" w:hAnsi="Arial" w:cs="Arial"/>
          <w:spacing w:val="1"/>
          <w:sz w:val="20"/>
          <w:szCs w:val="20"/>
        </w:rPr>
        <w:t xml:space="preserve"> </w:t>
      </w:r>
      <w:r w:rsidRPr="00010F2F">
        <w:rPr>
          <w:rFonts w:ascii="Arial" w:hAnsi="Arial" w:cs="Arial"/>
          <w:sz w:val="20"/>
          <w:szCs w:val="20"/>
        </w:rPr>
        <w:t>based on how they self-identified,</w:t>
      </w:r>
      <w:r w:rsidRPr="00010F2F">
        <w:rPr>
          <w:rFonts w:ascii="Arial" w:hAnsi="Arial" w:cs="Arial"/>
          <w:spacing w:val="1"/>
          <w:position w:val="7"/>
          <w:sz w:val="20"/>
          <w:szCs w:val="20"/>
        </w:rPr>
        <w:t xml:space="preserve"> </w:t>
      </w:r>
      <w:r w:rsidRPr="00010F2F">
        <w:rPr>
          <w:rFonts w:ascii="Arial" w:hAnsi="Arial" w:cs="Arial"/>
          <w:sz w:val="20"/>
          <w:szCs w:val="20"/>
        </w:rPr>
        <w:t>there is a portion of the patient population (1</w:t>
      </w:r>
      <w:r w:rsidR="003A65BB" w:rsidRPr="00010F2F">
        <w:rPr>
          <w:rFonts w:ascii="Arial" w:hAnsi="Arial" w:cs="Arial"/>
          <w:sz w:val="20"/>
          <w:szCs w:val="20"/>
        </w:rPr>
        <w:t>7</w:t>
      </w:r>
      <w:r w:rsidRPr="00010F2F">
        <w:rPr>
          <w:rFonts w:ascii="Arial" w:hAnsi="Arial" w:cs="Arial"/>
          <w:sz w:val="20"/>
          <w:szCs w:val="20"/>
        </w:rPr>
        <w:t>.</w:t>
      </w:r>
      <w:r w:rsidR="003A65BB" w:rsidRPr="00010F2F">
        <w:rPr>
          <w:rFonts w:ascii="Arial" w:hAnsi="Arial" w:cs="Arial"/>
          <w:sz w:val="20"/>
          <w:szCs w:val="20"/>
        </w:rPr>
        <w:t>53</w:t>
      </w:r>
      <w:r w:rsidRPr="00010F2F">
        <w:rPr>
          <w:rFonts w:ascii="Arial" w:hAnsi="Arial" w:cs="Arial"/>
          <w:sz w:val="20"/>
          <w:szCs w:val="20"/>
        </w:rPr>
        <w:t>% on average</w:t>
      </w:r>
      <w:r w:rsidR="00D76AE0" w:rsidRPr="00010F2F">
        <w:rPr>
          <w:rFonts w:ascii="Arial" w:hAnsi="Arial" w:cs="Arial"/>
          <w:sz w:val="20"/>
          <w:szCs w:val="20"/>
        </w:rPr>
        <w:t xml:space="preserve"> between FY20-FY22)</w:t>
      </w:r>
      <w:r w:rsidRPr="00010F2F">
        <w:rPr>
          <w:rFonts w:ascii="Arial" w:hAnsi="Arial" w:cs="Arial"/>
          <w:spacing w:val="1"/>
          <w:sz w:val="20"/>
          <w:szCs w:val="20"/>
        </w:rPr>
        <w:t xml:space="preserve"> </w:t>
      </w:r>
      <w:r w:rsidRPr="00010F2F">
        <w:rPr>
          <w:rFonts w:ascii="Arial" w:hAnsi="Arial" w:cs="Arial"/>
          <w:sz w:val="20"/>
          <w:szCs w:val="20"/>
        </w:rPr>
        <w:t xml:space="preserve">that either chose not to report their race </w:t>
      </w:r>
      <w:r w:rsidR="00462079" w:rsidRPr="00010F2F">
        <w:rPr>
          <w:rFonts w:ascii="Arial" w:hAnsi="Arial" w:cs="Arial"/>
          <w:sz w:val="20"/>
          <w:szCs w:val="20"/>
        </w:rPr>
        <w:t xml:space="preserve">or ethnicity </w:t>
      </w:r>
      <w:r w:rsidRPr="00010F2F">
        <w:rPr>
          <w:rFonts w:ascii="Arial" w:hAnsi="Arial" w:cs="Arial"/>
          <w:sz w:val="20"/>
          <w:szCs w:val="20"/>
        </w:rPr>
        <w:t>or identified as a race</w:t>
      </w:r>
      <w:r w:rsidR="00462079" w:rsidRPr="00010F2F">
        <w:rPr>
          <w:rFonts w:ascii="Arial" w:hAnsi="Arial" w:cs="Arial"/>
          <w:sz w:val="20"/>
          <w:szCs w:val="20"/>
        </w:rPr>
        <w:t xml:space="preserve"> or ethnicity</w:t>
      </w:r>
      <w:r w:rsidRPr="00010F2F">
        <w:rPr>
          <w:rFonts w:ascii="Arial" w:hAnsi="Arial" w:cs="Arial"/>
          <w:sz w:val="20"/>
          <w:szCs w:val="20"/>
        </w:rPr>
        <w:t xml:space="preserve"> that did not align with the </w:t>
      </w:r>
      <w:r w:rsidRPr="00010F2F">
        <w:rPr>
          <w:rFonts w:ascii="Arial" w:hAnsi="Arial" w:cs="Arial"/>
          <w:sz w:val="20"/>
          <w:szCs w:val="20"/>
        </w:rPr>
        <w:lastRenderedPageBreak/>
        <w:t>above</w:t>
      </w:r>
      <w:r w:rsidRPr="00010F2F">
        <w:rPr>
          <w:rFonts w:ascii="Arial" w:hAnsi="Arial" w:cs="Arial"/>
          <w:spacing w:val="1"/>
          <w:sz w:val="20"/>
          <w:szCs w:val="20"/>
        </w:rPr>
        <w:t xml:space="preserve"> </w:t>
      </w:r>
      <w:r w:rsidRPr="00010F2F">
        <w:rPr>
          <w:rFonts w:ascii="Arial" w:hAnsi="Arial" w:cs="Arial"/>
          <w:sz w:val="20"/>
          <w:szCs w:val="20"/>
        </w:rPr>
        <w:t>categories.</w:t>
      </w:r>
      <w:r w:rsidRPr="00010F2F">
        <w:rPr>
          <w:rFonts w:ascii="Arial" w:eastAsia="Verdana" w:hAnsi="Arial" w:cs="Arial"/>
          <w:sz w:val="20"/>
          <w:szCs w:val="20"/>
        </w:rPr>
        <w:t xml:space="preserve"> </w:t>
      </w:r>
      <w:r w:rsidR="00D76AE0" w:rsidRPr="00010F2F">
        <w:rPr>
          <w:rFonts w:ascii="Arial" w:hAnsi="Arial" w:cs="Arial"/>
          <w:sz w:val="20"/>
          <w:szCs w:val="20"/>
        </w:rPr>
        <w:t>Therefore, it is important to note that the racial</w:t>
      </w:r>
      <w:r w:rsidR="00462079" w:rsidRPr="00010F2F">
        <w:rPr>
          <w:rFonts w:ascii="Arial" w:hAnsi="Arial" w:cs="Arial"/>
          <w:sz w:val="20"/>
          <w:szCs w:val="20"/>
        </w:rPr>
        <w:t>/ethnic</w:t>
      </w:r>
      <w:r w:rsidR="00D76AE0" w:rsidRPr="00010F2F">
        <w:rPr>
          <w:rFonts w:ascii="Arial" w:hAnsi="Arial" w:cs="Arial"/>
          <w:sz w:val="20"/>
          <w:szCs w:val="20"/>
        </w:rPr>
        <w:t xml:space="preserve"> composition of </w:t>
      </w:r>
      <w:r w:rsidR="004A4992" w:rsidRPr="00010F2F">
        <w:rPr>
          <w:rFonts w:ascii="Arial" w:hAnsi="Arial" w:cs="Arial"/>
          <w:sz w:val="20"/>
          <w:szCs w:val="20"/>
        </w:rPr>
        <w:t>CDH’s</w:t>
      </w:r>
      <w:r w:rsidR="00D76AE0" w:rsidRPr="00010F2F">
        <w:rPr>
          <w:rFonts w:ascii="Arial" w:hAnsi="Arial" w:cs="Arial"/>
          <w:sz w:val="20"/>
          <w:szCs w:val="20"/>
        </w:rPr>
        <w:t xml:space="preserve"> patients may be understated. </w:t>
      </w:r>
      <w:r w:rsidRPr="00010F2F">
        <w:rPr>
          <w:rFonts w:ascii="Arial" w:eastAsia="Verdana" w:hAnsi="Arial" w:cs="Arial"/>
          <w:sz w:val="20"/>
          <w:szCs w:val="20"/>
        </w:rPr>
        <w:t>All percentages were largely unchanged between FY20 and FY22.</w:t>
      </w:r>
      <w:r w:rsidR="00F80EC8" w:rsidRPr="00010F2F">
        <w:rPr>
          <w:rFonts w:ascii="Arial" w:eastAsia="Verdana" w:hAnsi="Arial" w:cs="Arial"/>
          <w:sz w:val="20"/>
          <w:szCs w:val="20"/>
        </w:rPr>
        <w:t xml:space="preserve"> MGB’s </w:t>
      </w:r>
      <w:r w:rsidR="008D16C9" w:rsidRPr="00010F2F">
        <w:rPr>
          <w:rFonts w:ascii="Arial" w:eastAsia="Verdana" w:hAnsi="Arial" w:cs="Arial"/>
          <w:sz w:val="20"/>
          <w:szCs w:val="20"/>
        </w:rPr>
        <w:t>Patient Panel</w:t>
      </w:r>
      <w:r w:rsidR="00F80EC8" w:rsidRPr="00010F2F">
        <w:rPr>
          <w:rFonts w:ascii="Arial" w:eastAsia="Verdana" w:hAnsi="Arial" w:cs="Arial"/>
          <w:sz w:val="20"/>
          <w:szCs w:val="20"/>
        </w:rPr>
        <w:t xml:space="preserve"> followed a similar order </w:t>
      </w:r>
      <w:r w:rsidR="004A4992" w:rsidRPr="00010F2F">
        <w:rPr>
          <w:rFonts w:ascii="Arial" w:eastAsia="Verdana" w:hAnsi="Arial" w:cs="Arial"/>
          <w:sz w:val="20"/>
          <w:szCs w:val="20"/>
        </w:rPr>
        <w:t>in</w:t>
      </w:r>
      <w:r w:rsidR="00F80EC8" w:rsidRPr="00010F2F">
        <w:rPr>
          <w:rFonts w:ascii="Arial" w:eastAsia="Verdana" w:hAnsi="Arial" w:cs="Arial"/>
          <w:sz w:val="20"/>
          <w:szCs w:val="20"/>
        </w:rPr>
        <w:t xml:space="preserve"> predominance with respect to race and ethnicity.</w:t>
      </w:r>
    </w:p>
    <w:p w14:paraId="6DED9D17" w14:textId="77777777" w:rsidR="00D46FE6" w:rsidRPr="00010F2F" w:rsidRDefault="00D46FE6" w:rsidP="00D46FE6">
      <w:pPr>
        <w:spacing w:after="0"/>
        <w:jc w:val="both"/>
        <w:rPr>
          <w:rFonts w:ascii="Arial" w:eastAsia="Verdana" w:hAnsi="Arial" w:cs="Arial"/>
          <w:b/>
          <w:bCs/>
          <w:sz w:val="20"/>
        </w:rPr>
      </w:pPr>
    </w:p>
    <w:p w14:paraId="4FB065C1" w14:textId="680F2197" w:rsidR="00D46FE6" w:rsidRDefault="00D46FE6" w:rsidP="00734CE6">
      <w:pPr>
        <w:spacing w:after="0"/>
        <w:jc w:val="both"/>
        <w:rPr>
          <w:rFonts w:ascii="Arial" w:eastAsia="Verdana" w:hAnsi="Arial" w:cs="Arial"/>
          <w:sz w:val="20"/>
        </w:rPr>
      </w:pPr>
      <w:r w:rsidRPr="00010F2F">
        <w:rPr>
          <w:rFonts w:ascii="Arial" w:eastAsia="Verdana" w:hAnsi="Arial" w:cs="Arial"/>
          <w:b/>
          <w:bCs/>
          <w:sz w:val="20"/>
        </w:rPr>
        <w:t>Payer Mix</w:t>
      </w:r>
      <w:r w:rsidRPr="00010F2F">
        <w:rPr>
          <w:rFonts w:ascii="Arial" w:eastAsia="Verdana" w:hAnsi="Arial" w:cs="Arial"/>
          <w:sz w:val="20"/>
        </w:rPr>
        <w:t xml:space="preserve">: </w:t>
      </w:r>
      <w:r w:rsidR="00D45649" w:rsidRPr="00010F2F">
        <w:rPr>
          <w:rFonts w:ascii="Arial" w:eastAsia="Verdana" w:hAnsi="Arial" w:cs="Arial"/>
          <w:sz w:val="20"/>
        </w:rPr>
        <w:t>Between FY20 and FY22, on average</w:t>
      </w:r>
      <w:r w:rsidR="00950308">
        <w:rPr>
          <w:rFonts w:ascii="Arial" w:eastAsia="Verdana" w:hAnsi="Arial" w:cs="Arial"/>
          <w:sz w:val="20"/>
        </w:rPr>
        <w:t>,</w:t>
      </w:r>
      <w:r w:rsidR="00D45649" w:rsidRPr="00010F2F">
        <w:rPr>
          <w:rFonts w:ascii="Arial" w:eastAsia="Verdana" w:hAnsi="Arial" w:cs="Arial"/>
          <w:sz w:val="20"/>
        </w:rPr>
        <w:t xml:space="preserve"> </w:t>
      </w:r>
      <w:r w:rsidR="006F1B5B" w:rsidRPr="00010F2F">
        <w:rPr>
          <w:rFonts w:ascii="Arial" w:eastAsia="Verdana" w:hAnsi="Arial" w:cs="Arial"/>
          <w:sz w:val="20"/>
        </w:rPr>
        <w:t>37.17</w:t>
      </w:r>
      <w:r w:rsidR="00FF3F72" w:rsidRPr="00010F2F">
        <w:rPr>
          <w:rFonts w:ascii="Arial" w:eastAsia="Verdana" w:hAnsi="Arial" w:cs="Arial"/>
          <w:sz w:val="20"/>
        </w:rPr>
        <w:t>%</w:t>
      </w:r>
      <w:r w:rsidR="00D45649" w:rsidRPr="00010F2F">
        <w:rPr>
          <w:rFonts w:ascii="Arial" w:eastAsia="Verdana" w:hAnsi="Arial" w:cs="Arial"/>
          <w:sz w:val="20"/>
        </w:rPr>
        <w:t xml:space="preserve"> of all </w:t>
      </w:r>
      <w:r w:rsidR="006F1B5B" w:rsidRPr="00010F2F">
        <w:rPr>
          <w:rFonts w:ascii="Arial" w:eastAsia="Verdana" w:hAnsi="Arial" w:cs="Arial"/>
          <w:sz w:val="20"/>
        </w:rPr>
        <w:t>CDH</w:t>
      </w:r>
      <w:r w:rsidR="00D45649" w:rsidRPr="00010F2F">
        <w:rPr>
          <w:rFonts w:ascii="Arial" w:eastAsia="Verdana" w:hAnsi="Arial" w:cs="Arial"/>
          <w:sz w:val="20"/>
        </w:rPr>
        <w:t xml:space="preserve"> patients were covered by </w:t>
      </w:r>
      <w:r w:rsidR="006F1B5B" w:rsidRPr="00010F2F">
        <w:rPr>
          <w:rFonts w:ascii="Arial" w:eastAsia="Verdana" w:hAnsi="Arial" w:cs="Arial"/>
          <w:sz w:val="20"/>
        </w:rPr>
        <w:t>Medicare</w:t>
      </w:r>
      <w:r w:rsidR="00D45649" w:rsidRPr="00010F2F">
        <w:rPr>
          <w:rFonts w:ascii="Arial" w:eastAsia="Verdana" w:hAnsi="Arial" w:cs="Arial"/>
          <w:sz w:val="20"/>
        </w:rPr>
        <w:t>; followed by</w:t>
      </w:r>
      <w:r w:rsidR="006F1B5B" w:rsidRPr="00010F2F">
        <w:rPr>
          <w:rFonts w:ascii="Arial" w:eastAsia="Verdana" w:hAnsi="Arial" w:cs="Arial"/>
          <w:sz w:val="20"/>
        </w:rPr>
        <w:t>, on average,</w:t>
      </w:r>
      <w:r w:rsidR="00D45649" w:rsidRPr="00010F2F">
        <w:rPr>
          <w:rFonts w:ascii="Arial" w:eastAsia="Verdana" w:hAnsi="Arial" w:cs="Arial"/>
          <w:sz w:val="20"/>
        </w:rPr>
        <w:t xml:space="preserve"> approximately </w:t>
      </w:r>
      <w:r w:rsidR="00FF3F72" w:rsidRPr="00010F2F">
        <w:rPr>
          <w:rFonts w:ascii="Arial" w:eastAsia="Verdana" w:hAnsi="Arial" w:cs="Arial"/>
          <w:sz w:val="20"/>
        </w:rPr>
        <w:t>17.7</w:t>
      </w:r>
      <w:r w:rsidR="00D45649" w:rsidRPr="00010F2F">
        <w:rPr>
          <w:rFonts w:ascii="Arial" w:eastAsia="Verdana" w:hAnsi="Arial" w:cs="Arial"/>
          <w:sz w:val="20"/>
        </w:rPr>
        <w:t xml:space="preserve">% of patients </w:t>
      </w:r>
      <w:r w:rsidR="00222414">
        <w:rPr>
          <w:rFonts w:ascii="Arial" w:eastAsia="Verdana" w:hAnsi="Arial" w:cs="Arial"/>
          <w:sz w:val="20"/>
        </w:rPr>
        <w:t>covered by</w:t>
      </w:r>
      <w:r w:rsidR="006F1B5B" w:rsidRPr="00010F2F">
        <w:rPr>
          <w:rFonts w:ascii="Arial" w:eastAsia="Verdana" w:hAnsi="Arial" w:cs="Arial"/>
          <w:sz w:val="20"/>
        </w:rPr>
        <w:t xml:space="preserve"> </w:t>
      </w:r>
      <w:r w:rsidR="00D45649" w:rsidRPr="00010F2F">
        <w:rPr>
          <w:rFonts w:ascii="Arial" w:eastAsia="Verdana" w:hAnsi="Arial" w:cs="Arial"/>
          <w:sz w:val="20"/>
        </w:rPr>
        <w:t>Commercial HMO/POS</w:t>
      </w:r>
      <w:r w:rsidR="00701C7A">
        <w:rPr>
          <w:rFonts w:ascii="Arial" w:eastAsia="Verdana" w:hAnsi="Arial" w:cs="Arial"/>
          <w:sz w:val="20"/>
        </w:rPr>
        <w:t>;</w:t>
      </w:r>
      <w:r w:rsidR="00D45649" w:rsidRPr="00010F2F">
        <w:rPr>
          <w:rFonts w:ascii="Arial" w:eastAsia="Verdana" w:hAnsi="Arial" w:cs="Arial"/>
          <w:sz w:val="20"/>
        </w:rPr>
        <w:t xml:space="preserve"> </w:t>
      </w:r>
      <w:r w:rsidR="00FF3F72" w:rsidRPr="00010F2F">
        <w:rPr>
          <w:rFonts w:ascii="Arial" w:eastAsia="Verdana" w:hAnsi="Arial" w:cs="Arial"/>
          <w:sz w:val="20"/>
        </w:rPr>
        <w:t>15.63</w:t>
      </w:r>
      <w:r w:rsidR="006F1B5B" w:rsidRPr="00010F2F">
        <w:rPr>
          <w:rFonts w:ascii="Arial" w:eastAsia="Verdana" w:hAnsi="Arial" w:cs="Arial"/>
          <w:sz w:val="20"/>
        </w:rPr>
        <w:t xml:space="preserve">% of patients </w:t>
      </w:r>
      <w:r w:rsidR="00701C7A">
        <w:rPr>
          <w:rFonts w:ascii="Arial" w:eastAsia="Verdana" w:hAnsi="Arial" w:cs="Arial"/>
          <w:sz w:val="20"/>
        </w:rPr>
        <w:t>covered by</w:t>
      </w:r>
      <w:r w:rsidR="006F1B5B" w:rsidRPr="00010F2F">
        <w:rPr>
          <w:rFonts w:ascii="Arial" w:eastAsia="Verdana" w:hAnsi="Arial" w:cs="Arial"/>
          <w:sz w:val="20"/>
        </w:rPr>
        <w:t xml:space="preserve"> Commercial PPO/Indemnity</w:t>
      </w:r>
      <w:r w:rsidR="00701C7A">
        <w:rPr>
          <w:rFonts w:ascii="Arial" w:eastAsia="Verdana" w:hAnsi="Arial" w:cs="Arial"/>
          <w:sz w:val="20"/>
        </w:rPr>
        <w:t>;</w:t>
      </w:r>
      <w:r w:rsidR="006F1B5B" w:rsidRPr="00010F2F">
        <w:rPr>
          <w:rFonts w:ascii="Arial" w:eastAsia="Verdana" w:hAnsi="Arial" w:cs="Arial"/>
          <w:sz w:val="20"/>
        </w:rPr>
        <w:t xml:space="preserve"> </w:t>
      </w:r>
      <w:r w:rsidR="00FF3F72" w:rsidRPr="00010F2F">
        <w:rPr>
          <w:rFonts w:ascii="Arial" w:eastAsia="Verdana" w:hAnsi="Arial" w:cs="Arial"/>
          <w:sz w:val="20"/>
        </w:rPr>
        <w:t>11.87</w:t>
      </w:r>
      <w:r w:rsidR="00D45649" w:rsidRPr="00010F2F">
        <w:rPr>
          <w:rFonts w:ascii="Arial" w:eastAsia="Verdana" w:hAnsi="Arial" w:cs="Arial"/>
          <w:sz w:val="20"/>
        </w:rPr>
        <w:t xml:space="preserve">% of patients </w:t>
      </w:r>
      <w:r w:rsidR="00701C7A">
        <w:rPr>
          <w:rFonts w:ascii="Arial" w:eastAsia="Verdana" w:hAnsi="Arial" w:cs="Arial"/>
          <w:sz w:val="20"/>
        </w:rPr>
        <w:t>covered by</w:t>
      </w:r>
      <w:r w:rsidR="00D45649" w:rsidRPr="00010F2F">
        <w:rPr>
          <w:rFonts w:ascii="Arial" w:eastAsia="Verdana" w:hAnsi="Arial" w:cs="Arial"/>
          <w:sz w:val="20"/>
        </w:rPr>
        <w:t xml:space="preserve"> Commercial Medicare, </w:t>
      </w:r>
      <w:r w:rsidR="00FF3F72" w:rsidRPr="00010F2F">
        <w:rPr>
          <w:rFonts w:ascii="Arial" w:eastAsia="Verdana" w:hAnsi="Arial" w:cs="Arial"/>
          <w:sz w:val="20"/>
        </w:rPr>
        <w:t>9.4</w:t>
      </w:r>
      <w:r w:rsidR="00D45649" w:rsidRPr="00010F2F">
        <w:rPr>
          <w:rFonts w:ascii="Arial" w:eastAsia="Verdana" w:hAnsi="Arial" w:cs="Arial"/>
          <w:sz w:val="20"/>
        </w:rPr>
        <w:t xml:space="preserve">% of patients </w:t>
      </w:r>
      <w:r w:rsidR="00701C7A">
        <w:rPr>
          <w:rFonts w:ascii="Arial" w:eastAsia="Verdana" w:hAnsi="Arial" w:cs="Arial"/>
          <w:sz w:val="20"/>
        </w:rPr>
        <w:t>covered by</w:t>
      </w:r>
      <w:r w:rsidR="00D45649" w:rsidRPr="00010F2F">
        <w:rPr>
          <w:rFonts w:ascii="Arial" w:eastAsia="Verdana" w:hAnsi="Arial" w:cs="Arial"/>
          <w:sz w:val="20"/>
        </w:rPr>
        <w:t xml:space="preserve"> </w:t>
      </w:r>
      <w:proofErr w:type="spellStart"/>
      <w:r w:rsidR="00FF3F72" w:rsidRPr="00010F2F">
        <w:rPr>
          <w:rFonts w:ascii="Arial" w:eastAsia="Verdana" w:hAnsi="Arial" w:cs="Arial"/>
          <w:sz w:val="20"/>
        </w:rPr>
        <w:t>MassHeatlh</w:t>
      </w:r>
      <w:proofErr w:type="spellEnd"/>
      <w:r w:rsidR="00D45649" w:rsidRPr="00010F2F">
        <w:rPr>
          <w:rFonts w:ascii="Arial" w:eastAsia="Verdana" w:hAnsi="Arial" w:cs="Arial"/>
          <w:sz w:val="20"/>
        </w:rPr>
        <w:t xml:space="preserve">, </w:t>
      </w:r>
      <w:r w:rsidR="00FF3F72" w:rsidRPr="00010F2F">
        <w:rPr>
          <w:rFonts w:ascii="Arial" w:eastAsia="Verdana" w:hAnsi="Arial" w:cs="Arial"/>
          <w:sz w:val="20"/>
        </w:rPr>
        <w:t>5.5</w:t>
      </w:r>
      <w:r w:rsidR="00D45649" w:rsidRPr="00010F2F">
        <w:rPr>
          <w:rFonts w:ascii="Arial" w:eastAsia="Verdana" w:hAnsi="Arial" w:cs="Arial"/>
          <w:sz w:val="20"/>
        </w:rPr>
        <w:t xml:space="preserve">% of patients </w:t>
      </w:r>
      <w:r w:rsidR="000847E5">
        <w:rPr>
          <w:rFonts w:ascii="Arial" w:eastAsia="Verdana" w:hAnsi="Arial" w:cs="Arial"/>
          <w:sz w:val="20"/>
        </w:rPr>
        <w:t>covered by</w:t>
      </w:r>
      <w:r w:rsidR="00D45649" w:rsidRPr="00010F2F">
        <w:rPr>
          <w:rFonts w:ascii="Arial" w:eastAsia="Verdana" w:hAnsi="Arial" w:cs="Arial"/>
          <w:sz w:val="20"/>
        </w:rPr>
        <w:t xml:space="preserve"> </w:t>
      </w:r>
      <w:r w:rsidR="00FF3F72" w:rsidRPr="00010F2F">
        <w:rPr>
          <w:rFonts w:ascii="Arial" w:eastAsia="Verdana" w:hAnsi="Arial" w:cs="Arial"/>
          <w:sz w:val="20"/>
        </w:rPr>
        <w:t>Other</w:t>
      </w:r>
      <w:r w:rsidR="00D45649" w:rsidRPr="00010F2F">
        <w:rPr>
          <w:rFonts w:ascii="Arial" w:eastAsia="Verdana" w:hAnsi="Arial" w:cs="Arial"/>
          <w:sz w:val="20"/>
        </w:rPr>
        <w:t xml:space="preserve">, and then </w:t>
      </w:r>
      <w:r w:rsidR="00FF3F72" w:rsidRPr="00010F2F">
        <w:rPr>
          <w:rFonts w:ascii="Arial" w:eastAsia="Verdana" w:hAnsi="Arial" w:cs="Arial"/>
          <w:sz w:val="20"/>
        </w:rPr>
        <w:t>2.7</w:t>
      </w:r>
      <w:r w:rsidR="00D45649" w:rsidRPr="00010F2F">
        <w:rPr>
          <w:rFonts w:ascii="Arial" w:eastAsia="Verdana" w:hAnsi="Arial" w:cs="Arial"/>
          <w:sz w:val="20"/>
        </w:rPr>
        <w:t xml:space="preserve">% of patients </w:t>
      </w:r>
      <w:r w:rsidR="000847E5">
        <w:rPr>
          <w:rFonts w:ascii="Arial" w:eastAsia="Verdana" w:hAnsi="Arial" w:cs="Arial"/>
          <w:sz w:val="20"/>
        </w:rPr>
        <w:t>covered by</w:t>
      </w:r>
      <w:r w:rsidR="00D45649" w:rsidRPr="00010F2F">
        <w:rPr>
          <w:rFonts w:ascii="Arial" w:eastAsia="Verdana" w:hAnsi="Arial" w:cs="Arial"/>
          <w:sz w:val="20"/>
        </w:rPr>
        <w:t xml:space="preserve"> Managed Medicaid. </w:t>
      </w:r>
      <w:r w:rsidR="00FF3F72" w:rsidRPr="00010F2F">
        <w:rPr>
          <w:rFonts w:ascii="Arial" w:eastAsia="Verdana" w:hAnsi="Arial" w:cs="Arial"/>
          <w:sz w:val="20"/>
        </w:rPr>
        <w:t>Commercial (HMO/POS) percentages decreased by 3.7% from FY20 to FY22, and other payer group p</w:t>
      </w:r>
      <w:r w:rsidR="00D45649" w:rsidRPr="00010F2F">
        <w:rPr>
          <w:rFonts w:ascii="Arial" w:eastAsia="Verdana" w:hAnsi="Arial" w:cs="Arial"/>
          <w:sz w:val="20"/>
        </w:rPr>
        <w:t xml:space="preserve">ercentage were largely unchanged between FY20 and FY22.  Payer mix for </w:t>
      </w:r>
      <w:r w:rsidR="006F1B5B" w:rsidRPr="00010F2F">
        <w:rPr>
          <w:rFonts w:ascii="Arial" w:eastAsia="Verdana" w:hAnsi="Arial" w:cs="Arial"/>
          <w:sz w:val="20"/>
        </w:rPr>
        <w:t>CDH</w:t>
      </w:r>
      <w:r w:rsidR="00D45649" w:rsidRPr="00010F2F">
        <w:rPr>
          <w:rFonts w:ascii="Arial" w:eastAsia="Verdana" w:hAnsi="Arial" w:cs="Arial"/>
          <w:sz w:val="20"/>
        </w:rPr>
        <w:t xml:space="preserve"> is illustrated in the table below.</w:t>
      </w:r>
    </w:p>
    <w:p w14:paraId="27887BAB" w14:textId="39FD127B" w:rsidR="00413B69" w:rsidRDefault="00413B69" w:rsidP="00734CE6">
      <w:pPr>
        <w:spacing w:after="0"/>
        <w:jc w:val="both"/>
        <w:rPr>
          <w:rFonts w:ascii="Arial" w:eastAsia="Verdana" w:hAnsi="Arial" w:cs="Arial"/>
          <w:sz w:val="20"/>
        </w:rPr>
      </w:pPr>
    </w:p>
    <w:tbl>
      <w:tblPr>
        <w:tblStyle w:val="TableGrid"/>
        <w:tblW w:w="0" w:type="auto"/>
        <w:tblLook w:val="04A0" w:firstRow="1" w:lastRow="0" w:firstColumn="1" w:lastColumn="0" w:noHBand="0" w:noVBand="1"/>
      </w:tblPr>
      <w:tblGrid>
        <w:gridCol w:w="2515"/>
        <w:gridCol w:w="1170"/>
        <w:gridCol w:w="1620"/>
        <w:gridCol w:w="1350"/>
      </w:tblGrid>
      <w:tr w:rsidR="00413B69" w14:paraId="7B13E61E" w14:textId="77777777" w:rsidTr="00261EF1">
        <w:trPr>
          <w:cantSplit/>
          <w:tblHeader/>
        </w:trPr>
        <w:tc>
          <w:tcPr>
            <w:tcW w:w="2515" w:type="dxa"/>
            <w:shd w:val="clear" w:color="auto" w:fill="E7E6E6" w:themeFill="background2"/>
            <w:vAlign w:val="bottom"/>
          </w:tcPr>
          <w:p w14:paraId="2420EF92" w14:textId="5CE5CB9A" w:rsidR="00413B69" w:rsidRPr="00413B69" w:rsidRDefault="00413B69" w:rsidP="00413B69">
            <w:pPr>
              <w:jc w:val="center"/>
              <w:rPr>
                <w:rFonts w:ascii="Arial" w:eastAsia="Verdana" w:hAnsi="Arial" w:cs="Arial"/>
                <w:sz w:val="20"/>
              </w:rPr>
            </w:pPr>
            <w:r w:rsidRPr="00413B69">
              <w:rPr>
                <w:rFonts w:ascii="Arial" w:eastAsia="Times New Roman" w:hAnsi="Arial" w:cs="Arial"/>
                <w:color w:val="000000"/>
                <w:sz w:val="20"/>
                <w:szCs w:val="20"/>
              </w:rPr>
              <w:t>Payer Group</w:t>
            </w:r>
          </w:p>
        </w:tc>
        <w:tc>
          <w:tcPr>
            <w:tcW w:w="1170" w:type="dxa"/>
            <w:shd w:val="clear" w:color="auto" w:fill="E7E6E6" w:themeFill="background2"/>
            <w:vAlign w:val="bottom"/>
          </w:tcPr>
          <w:p w14:paraId="1E9380FE" w14:textId="2E3439F1" w:rsidR="00413B69" w:rsidRPr="00413B69" w:rsidRDefault="00413B69" w:rsidP="00413B69">
            <w:pPr>
              <w:jc w:val="center"/>
              <w:rPr>
                <w:rFonts w:ascii="Arial" w:eastAsia="Verdana" w:hAnsi="Arial" w:cs="Arial"/>
                <w:sz w:val="20"/>
              </w:rPr>
            </w:pPr>
            <w:r w:rsidRPr="00413B69">
              <w:rPr>
                <w:rFonts w:ascii="Arial" w:eastAsia="Times New Roman" w:hAnsi="Arial" w:cs="Arial"/>
                <w:color w:val="000000"/>
                <w:sz w:val="20"/>
                <w:szCs w:val="20"/>
              </w:rPr>
              <w:t>FY20</w:t>
            </w:r>
          </w:p>
        </w:tc>
        <w:tc>
          <w:tcPr>
            <w:tcW w:w="1620" w:type="dxa"/>
            <w:shd w:val="clear" w:color="auto" w:fill="E7E6E6" w:themeFill="background2"/>
            <w:vAlign w:val="bottom"/>
          </w:tcPr>
          <w:p w14:paraId="1BC858A8" w14:textId="249FA3B3" w:rsidR="00413B69" w:rsidRPr="00413B69" w:rsidRDefault="00413B69" w:rsidP="00413B69">
            <w:pPr>
              <w:jc w:val="center"/>
              <w:rPr>
                <w:rFonts w:ascii="Arial" w:eastAsia="Verdana" w:hAnsi="Arial" w:cs="Arial"/>
                <w:sz w:val="20"/>
              </w:rPr>
            </w:pPr>
            <w:r w:rsidRPr="00413B69">
              <w:rPr>
                <w:rFonts w:ascii="Arial" w:eastAsia="Times New Roman" w:hAnsi="Arial" w:cs="Arial"/>
                <w:color w:val="000000"/>
                <w:sz w:val="20"/>
                <w:szCs w:val="20"/>
              </w:rPr>
              <w:t>FY21</w:t>
            </w:r>
          </w:p>
        </w:tc>
        <w:tc>
          <w:tcPr>
            <w:tcW w:w="1350" w:type="dxa"/>
            <w:shd w:val="clear" w:color="auto" w:fill="E7E6E6" w:themeFill="background2"/>
            <w:vAlign w:val="bottom"/>
          </w:tcPr>
          <w:p w14:paraId="6FFDEA56" w14:textId="1B57D901" w:rsidR="00413B69" w:rsidRPr="00413B69" w:rsidRDefault="00413B69" w:rsidP="00413B69">
            <w:pPr>
              <w:jc w:val="center"/>
              <w:rPr>
                <w:rFonts w:ascii="Arial" w:eastAsia="Verdana" w:hAnsi="Arial" w:cs="Arial"/>
                <w:sz w:val="20"/>
              </w:rPr>
            </w:pPr>
            <w:r w:rsidRPr="00413B69">
              <w:rPr>
                <w:rFonts w:ascii="Arial" w:eastAsia="Times New Roman" w:hAnsi="Arial" w:cs="Arial"/>
                <w:color w:val="000000"/>
                <w:sz w:val="20"/>
                <w:szCs w:val="20"/>
              </w:rPr>
              <w:t>FY22</w:t>
            </w:r>
          </w:p>
        </w:tc>
      </w:tr>
      <w:tr w:rsidR="00413B69" w14:paraId="5FAD81A5" w14:textId="77777777" w:rsidTr="00261EF1">
        <w:trPr>
          <w:cantSplit/>
        </w:trPr>
        <w:tc>
          <w:tcPr>
            <w:tcW w:w="2515" w:type="dxa"/>
            <w:vAlign w:val="bottom"/>
          </w:tcPr>
          <w:p w14:paraId="456FF6EC" w14:textId="6E12A089"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Commercial (PPO/Indemnity)</w:t>
            </w:r>
            <w:r w:rsidRPr="00413B69">
              <w:rPr>
                <w:rStyle w:val="FootnoteReference"/>
                <w:rFonts w:ascii="Arial" w:eastAsia="Times New Roman" w:hAnsi="Arial" w:cs="Arial"/>
                <w:color w:val="000000"/>
                <w:sz w:val="20"/>
                <w:szCs w:val="20"/>
              </w:rPr>
              <w:footnoteReference w:id="11"/>
            </w:r>
          </w:p>
        </w:tc>
        <w:tc>
          <w:tcPr>
            <w:tcW w:w="1170" w:type="dxa"/>
            <w:vAlign w:val="bottom"/>
          </w:tcPr>
          <w:p w14:paraId="73609678" w14:textId="7994D661"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15.2%</w:t>
            </w:r>
          </w:p>
        </w:tc>
        <w:tc>
          <w:tcPr>
            <w:tcW w:w="1620" w:type="dxa"/>
            <w:vAlign w:val="bottom"/>
          </w:tcPr>
          <w:p w14:paraId="5B797885" w14:textId="5DF15141"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15.7%</w:t>
            </w:r>
          </w:p>
        </w:tc>
        <w:tc>
          <w:tcPr>
            <w:tcW w:w="1350" w:type="dxa"/>
            <w:vAlign w:val="bottom"/>
          </w:tcPr>
          <w:p w14:paraId="5E117B21" w14:textId="0DC71AEF"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16.0%</w:t>
            </w:r>
          </w:p>
        </w:tc>
      </w:tr>
      <w:tr w:rsidR="00413B69" w14:paraId="639C23C1" w14:textId="77777777" w:rsidTr="00261EF1">
        <w:trPr>
          <w:cantSplit/>
        </w:trPr>
        <w:tc>
          <w:tcPr>
            <w:tcW w:w="2515" w:type="dxa"/>
            <w:vAlign w:val="bottom"/>
          </w:tcPr>
          <w:p w14:paraId="1E537CEC" w14:textId="2A610104"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Commercial (HMO/POS)</w:t>
            </w:r>
            <w:r w:rsidRPr="00413B69">
              <w:rPr>
                <w:rStyle w:val="FootnoteReference"/>
                <w:rFonts w:ascii="Arial" w:eastAsia="Times New Roman" w:hAnsi="Arial" w:cs="Arial"/>
                <w:color w:val="000000"/>
                <w:sz w:val="20"/>
                <w:szCs w:val="20"/>
              </w:rPr>
              <w:t xml:space="preserve"> </w:t>
            </w:r>
            <w:r w:rsidRPr="00413B69">
              <w:rPr>
                <w:rStyle w:val="FootnoteReference"/>
                <w:rFonts w:ascii="Arial" w:eastAsia="Times New Roman" w:hAnsi="Arial" w:cs="Arial"/>
                <w:color w:val="000000"/>
                <w:sz w:val="20"/>
                <w:szCs w:val="20"/>
              </w:rPr>
              <w:footnoteReference w:id="12"/>
            </w:r>
          </w:p>
        </w:tc>
        <w:tc>
          <w:tcPr>
            <w:tcW w:w="1170" w:type="dxa"/>
            <w:vAlign w:val="bottom"/>
          </w:tcPr>
          <w:p w14:paraId="03EC2562" w14:textId="0F94EEB3"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19.7%</w:t>
            </w:r>
          </w:p>
        </w:tc>
        <w:tc>
          <w:tcPr>
            <w:tcW w:w="1620" w:type="dxa"/>
            <w:vAlign w:val="bottom"/>
          </w:tcPr>
          <w:p w14:paraId="1562C432" w14:textId="5F960019"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17.4%</w:t>
            </w:r>
          </w:p>
        </w:tc>
        <w:tc>
          <w:tcPr>
            <w:tcW w:w="1350" w:type="dxa"/>
            <w:vAlign w:val="bottom"/>
          </w:tcPr>
          <w:p w14:paraId="090D705C" w14:textId="188EAC55"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16.0%</w:t>
            </w:r>
          </w:p>
        </w:tc>
      </w:tr>
      <w:tr w:rsidR="00413B69" w14:paraId="3EA2D945" w14:textId="77777777" w:rsidTr="00261EF1">
        <w:trPr>
          <w:cantSplit/>
        </w:trPr>
        <w:tc>
          <w:tcPr>
            <w:tcW w:w="2515" w:type="dxa"/>
            <w:vAlign w:val="bottom"/>
          </w:tcPr>
          <w:p w14:paraId="7F7885E2" w14:textId="3475E5E9"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Medicare</w:t>
            </w:r>
            <w:r w:rsidRPr="00413B69">
              <w:rPr>
                <w:rStyle w:val="FootnoteReference"/>
                <w:rFonts w:ascii="Arial" w:eastAsia="Times New Roman" w:hAnsi="Arial" w:cs="Arial"/>
                <w:color w:val="000000"/>
                <w:sz w:val="20"/>
                <w:szCs w:val="20"/>
              </w:rPr>
              <w:footnoteReference w:id="13"/>
            </w:r>
          </w:p>
        </w:tc>
        <w:tc>
          <w:tcPr>
            <w:tcW w:w="1170" w:type="dxa"/>
            <w:vAlign w:val="bottom"/>
          </w:tcPr>
          <w:p w14:paraId="4DB52E54" w14:textId="2927BCBA"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37.8%</w:t>
            </w:r>
          </w:p>
        </w:tc>
        <w:tc>
          <w:tcPr>
            <w:tcW w:w="1620" w:type="dxa"/>
            <w:vAlign w:val="bottom"/>
          </w:tcPr>
          <w:p w14:paraId="3ABF36D7" w14:textId="747FFFF0"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37.0%</w:t>
            </w:r>
          </w:p>
        </w:tc>
        <w:tc>
          <w:tcPr>
            <w:tcW w:w="1350" w:type="dxa"/>
            <w:vAlign w:val="bottom"/>
          </w:tcPr>
          <w:p w14:paraId="54A7A647" w14:textId="6D8A8841"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36.7%</w:t>
            </w:r>
          </w:p>
        </w:tc>
      </w:tr>
      <w:tr w:rsidR="00413B69" w14:paraId="7643110A" w14:textId="77777777" w:rsidTr="00261EF1">
        <w:trPr>
          <w:cantSplit/>
        </w:trPr>
        <w:tc>
          <w:tcPr>
            <w:tcW w:w="2515" w:type="dxa"/>
            <w:vAlign w:val="bottom"/>
          </w:tcPr>
          <w:p w14:paraId="6A6D02F3" w14:textId="769A1F5E"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Commercial Medicare</w:t>
            </w:r>
          </w:p>
        </w:tc>
        <w:tc>
          <w:tcPr>
            <w:tcW w:w="1170" w:type="dxa"/>
            <w:vAlign w:val="bottom"/>
          </w:tcPr>
          <w:p w14:paraId="7317272D" w14:textId="11B25FCC"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10.0%</w:t>
            </w:r>
          </w:p>
        </w:tc>
        <w:tc>
          <w:tcPr>
            <w:tcW w:w="1620" w:type="dxa"/>
            <w:vAlign w:val="bottom"/>
          </w:tcPr>
          <w:p w14:paraId="5A46CFB3" w14:textId="0311D853"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12.1%</w:t>
            </w:r>
          </w:p>
        </w:tc>
        <w:tc>
          <w:tcPr>
            <w:tcW w:w="1350" w:type="dxa"/>
            <w:vAlign w:val="bottom"/>
          </w:tcPr>
          <w:p w14:paraId="699AE4A9" w14:textId="5EA49901"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13.5%</w:t>
            </w:r>
          </w:p>
        </w:tc>
      </w:tr>
      <w:tr w:rsidR="00413B69" w14:paraId="6BF7649C" w14:textId="77777777" w:rsidTr="00261EF1">
        <w:trPr>
          <w:cantSplit/>
        </w:trPr>
        <w:tc>
          <w:tcPr>
            <w:tcW w:w="2515" w:type="dxa"/>
            <w:vAlign w:val="bottom"/>
          </w:tcPr>
          <w:p w14:paraId="50A99F03" w14:textId="6B8EA5B0"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MassHealth</w:t>
            </w:r>
          </w:p>
        </w:tc>
        <w:tc>
          <w:tcPr>
            <w:tcW w:w="1170" w:type="dxa"/>
            <w:vAlign w:val="bottom"/>
          </w:tcPr>
          <w:p w14:paraId="16461F38" w14:textId="5A77381D"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9.1%</w:t>
            </w:r>
          </w:p>
        </w:tc>
        <w:tc>
          <w:tcPr>
            <w:tcW w:w="1620" w:type="dxa"/>
            <w:vAlign w:val="bottom"/>
          </w:tcPr>
          <w:p w14:paraId="1B2854C1" w14:textId="2AB08F05"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9.7%</w:t>
            </w:r>
          </w:p>
        </w:tc>
        <w:tc>
          <w:tcPr>
            <w:tcW w:w="1350" w:type="dxa"/>
            <w:vAlign w:val="bottom"/>
          </w:tcPr>
          <w:p w14:paraId="7548266F" w14:textId="526B8E87"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9.4%</w:t>
            </w:r>
          </w:p>
        </w:tc>
      </w:tr>
      <w:tr w:rsidR="00413B69" w14:paraId="20591BEE" w14:textId="77777777" w:rsidTr="00261EF1">
        <w:trPr>
          <w:cantSplit/>
        </w:trPr>
        <w:tc>
          <w:tcPr>
            <w:tcW w:w="2515" w:type="dxa"/>
            <w:vAlign w:val="bottom"/>
          </w:tcPr>
          <w:p w14:paraId="569D0810" w14:textId="0347B779"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Managed Medicaid</w:t>
            </w:r>
          </w:p>
        </w:tc>
        <w:tc>
          <w:tcPr>
            <w:tcW w:w="1170" w:type="dxa"/>
            <w:vAlign w:val="bottom"/>
          </w:tcPr>
          <w:p w14:paraId="614B343D" w14:textId="71565C0B"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2.5%</w:t>
            </w:r>
          </w:p>
        </w:tc>
        <w:tc>
          <w:tcPr>
            <w:tcW w:w="1620" w:type="dxa"/>
            <w:vAlign w:val="bottom"/>
          </w:tcPr>
          <w:p w14:paraId="1D1FED9E" w14:textId="19160FF5"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2.7%</w:t>
            </w:r>
          </w:p>
        </w:tc>
        <w:tc>
          <w:tcPr>
            <w:tcW w:w="1350" w:type="dxa"/>
            <w:vAlign w:val="bottom"/>
          </w:tcPr>
          <w:p w14:paraId="6CEB77A0" w14:textId="7E6EDB14"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2.9%</w:t>
            </w:r>
          </w:p>
        </w:tc>
      </w:tr>
      <w:tr w:rsidR="00413B69" w14:paraId="3B49BC6F" w14:textId="77777777" w:rsidTr="00261EF1">
        <w:trPr>
          <w:cantSplit/>
        </w:trPr>
        <w:tc>
          <w:tcPr>
            <w:tcW w:w="2515" w:type="dxa"/>
            <w:vAlign w:val="bottom"/>
          </w:tcPr>
          <w:p w14:paraId="06CC4A5D" w14:textId="7DD78D7E" w:rsidR="00413B69" w:rsidRPr="00413B69" w:rsidRDefault="00413B69" w:rsidP="00413B69">
            <w:pPr>
              <w:jc w:val="both"/>
              <w:rPr>
                <w:rFonts w:ascii="Arial" w:eastAsia="Verdana" w:hAnsi="Arial" w:cs="Arial"/>
                <w:sz w:val="20"/>
              </w:rPr>
            </w:pPr>
            <w:r w:rsidRPr="00413B69">
              <w:rPr>
                <w:rFonts w:ascii="Arial" w:eastAsia="Times New Roman" w:hAnsi="Arial" w:cs="Arial"/>
                <w:color w:val="000000"/>
                <w:sz w:val="20"/>
                <w:szCs w:val="20"/>
              </w:rPr>
              <w:t>Other</w:t>
            </w:r>
            <w:r w:rsidRPr="00413B69">
              <w:rPr>
                <w:rStyle w:val="FootnoteReference"/>
                <w:rFonts w:ascii="Arial" w:eastAsia="Times New Roman" w:hAnsi="Arial" w:cs="Arial"/>
                <w:color w:val="000000"/>
                <w:sz w:val="20"/>
                <w:szCs w:val="20"/>
              </w:rPr>
              <w:footnoteReference w:id="14"/>
            </w:r>
          </w:p>
        </w:tc>
        <w:tc>
          <w:tcPr>
            <w:tcW w:w="1170" w:type="dxa"/>
            <w:vAlign w:val="bottom"/>
          </w:tcPr>
          <w:p w14:paraId="664D72FA" w14:textId="523C6054"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5.6%</w:t>
            </w:r>
          </w:p>
        </w:tc>
        <w:tc>
          <w:tcPr>
            <w:tcW w:w="1620" w:type="dxa"/>
            <w:vAlign w:val="bottom"/>
          </w:tcPr>
          <w:p w14:paraId="4440CC91" w14:textId="714864F5"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5.4%</w:t>
            </w:r>
          </w:p>
        </w:tc>
        <w:tc>
          <w:tcPr>
            <w:tcW w:w="1350" w:type="dxa"/>
            <w:vAlign w:val="bottom"/>
          </w:tcPr>
          <w:p w14:paraId="04F4B829" w14:textId="0156012C" w:rsidR="00413B69" w:rsidRPr="00413B69" w:rsidRDefault="00413B69" w:rsidP="00413B69">
            <w:pPr>
              <w:jc w:val="right"/>
              <w:rPr>
                <w:rFonts w:ascii="Arial" w:eastAsia="Verdana" w:hAnsi="Arial" w:cs="Arial"/>
                <w:sz w:val="20"/>
              </w:rPr>
            </w:pPr>
            <w:r w:rsidRPr="00413B69">
              <w:rPr>
                <w:rFonts w:ascii="Arial" w:eastAsia="Times New Roman" w:hAnsi="Arial" w:cs="Arial"/>
                <w:color w:val="000000"/>
                <w:sz w:val="20"/>
                <w:szCs w:val="20"/>
              </w:rPr>
              <w:t>5.5%</w:t>
            </w:r>
          </w:p>
        </w:tc>
      </w:tr>
      <w:tr w:rsidR="00413B69" w14:paraId="74AEC3CE" w14:textId="77777777" w:rsidTr="00261EF1">
        <w:trPr>
          <w:cantSplit/>
        </w:trPr>
        <w:tc>
          <w:tcPr>
            <w:tcW w:w="2515" w:type="dxa"/>
            <w:vAlign w:val="bottom"/>
          </w:tcPr>
          <w:p w14:paraId="65FC14E4" w14:textId="5B779354" w:rsidR="00413B69" w:rsidRPr="00413B69" w:rsidRDefault="00413B69" w:rsidP="00413B69">
            <w:pPr>
              <w:jc w:val="both"/>
              <w:rPr>
                <w:rFonts w:ascii="Arial" w:eastAsia="Verdana" w:hAnsi="Arial" w:cs="Arial"/>
                <w:sz w:val="20"/>
              </w:rPr>
            </w:pPr>
            <w:r w:rsidRPr="00413B69">
              <w:rPr>
                <w:rFonts w:ascii="Arial" w:eastAsia="Times New Roman" w:hAnsi="Arial" w:cs="Arial"/>
                <w:b/>
                <w:bCs/>
                <w:color w:val="000000"/>
                <w:sz w:val="20"/>
                <w:szCs w:val="20"/>
              </w:rPr>
              <w:t>Total</w:t>
            </w:r>
          </w:p>
        </w:tc>
        <w:tc>
          <w:tcPr>
            <w:tcW w:w="1170" w:type="dxa"/>
            <w:vAlign w:val="bottom"/>
          </w:tcPr>
          <w:p w14:paraId="12BA4A78" w14:textId="155BED03" w:rsidR="00413B69" w:rsidRPr="00413B69" w:rsidRDefault="00413B69" w:rsidP="00413B69">
            <w:pPr>
              <w:jc w:val="right"/>
              <w:rPr>
                <w:rFonts w:ascii="Arial" w:eastAsia="Verdana" w:hAnsi="Arial" w:cs="Arial"/>
                <w:sz w:val="20"/>
              </w:rPr>
            </w:pPr>
            <w:r w:rsidRPr="00413B69">
              <w:rPr>
                <w:rFonts w:ascii="Arial" w:eastAsia="Times New Roman" w:hAnsi="Arial" w:cs="Arial"/>
                <w:b/>
                <w:bCs/>
                <w:color w:val="000000"/>
                <w:sz w:val="20"/>
                <w:szCs w:val="20"/>
              </w:rPr>
              <w:t>100.00%</w:t>
            </w:r>
          </w:p>
        </w:tc>
        <w:tc>
          <w:tcPr>
            <w:tcW w:w="1620" w:type="dxa"/>
            <w:vAlign w:val="bottom"/>
          </w:tcPr>
          <w:p w14:paraId="0FC796B1" w14:textId="02A055D3" w:rsidR="00413B69" w:rsidRPr="00413B69" w:rsidRDefault="00413B69" w:rsidP="00413B69">
            <w:pPr>
              <w:jc w:val="right"/>
              <w:rPr>
                <w:rFonts w:ascii="Arial" w:eastAsia="Verdana" w:hAnsi="Arial" w:cs="Arial"/>
                <w:sz w:val="20"/>
              </w:rPr>
            </w:pPr>
            <w:r w:rsidRPr="00413B69">
              <w:rPr>
                <w:rFonts w:ascii="Arial" w:eastAsia="Times New Roman" w:hAnsi="Arial" w:cs="Arial"/>
                <w:b/>
                <w:bCs/>
                <w:color w:val="000000"/>
                <w:sz w:val="20"/>
                <w:szCs w:val="20"/>
              </w:rPr>
              <w:t>100.00%</w:t>
            </w:r>
          </w:p>
        </w:tc>
        <w:tc>
          <w:tcPr>
            <w:tcW w:w="1350" w:type="dxa"/>
            <w:vAlign w:val="bottom"/>
          </w:tcPr>
          <w:p w14:paraId="76ECC782" w14:textId="5C0928F0" w:rsidR="00413B69" w:rsidRPr="00413B69" w:rsidRDefault="00413B69" w:rsidP="00413B69">
            <w:pPr>
              <w:jc w:val="right"/>
              <w:rPr>
                <w:rFonts w:ascii="Arial" w:eastAsia="Verdana" w:hAnsi="Arial" w:cs="Arial"/>
                <w:sz w:val="20"/>
              </w:rPr>
            </w:pPr>
            <w:r w:rsidRPr="00413B69">
              <w:rPr>
                <w:rFonts w:ascii="Arial" w:eastAsia="Times New Roman" w:hAnsi="Arial" w:cs="Arial"/>
                <w:b/>
                <w:bCs/>
                <w:color w:val="000000"/>
                <w:sz w:val="20"/>
                <w:szCs w:val="20"/>
              </w:rPr>
              <w:t>100.00%</w:t>
            </w:r>
          </w:p>
        </w:tc>
      </w:tr>
    </w:tbl>
    <w:p w14:paraId="3CBADDD6" w14:textId="77777777" w:rsidR="00413B69" w:rsidRPr="00010F2F" w:rsidRDefault="00413B69" w:rsidP="00734CE6">
      <w:pPr>
        <w:spacing w:after="0"/>
        <w:jc w:val="both"/>
        <w:rPr>
          <w:rFonts w:ascii="Arial" w:eastAsia="Verdana" w:hAnsi="Arial" w:cs="Arial"/>
          <w:sz w:val="20"/>
        </w:rPr>
      </w:pPr>
    </w:p>
    <w:p w14:paraId="56B20CB3" w14:textId="2F14E9FC" w:rsidR="00D46FE6" w:rsidRPr="00010F2F" w:rsidRDefault="00734CE6" w:rsidP="00D46FE6">
      <w:pPr>
        <w:spacing w:after="0" w:line="240" w:lineRule="auto"/>
        <w:jc w:val="both"/>
        <w:rPr>
          <w:rFonts w:ascii="Arial" w:eastAsia="Times New Roman" w:hAnsi="Arial" w:cs="Arial"/>
          <w:color w:val="000000" w:themeColor="text1"/>
          <w:kern w:val="2"/>
          <w:sz w:val="20"/>
          <w:szCs w:val="20"/>
        </w:rPr>
      </w:pPr>
      <w:r w:rsidRPr="00010F2F">
        <w:rPr>
          <w:rFonts w:ascii="Arial" w:eastAsia="Times New Roman" w:hAnsi="Arial" w:cs="Arial"/>
          <w:color w:val="000000" w:themeColor="text1"/>
          <w:kern w:val="2"/>
          <w:sz w:val="20"/>
          <w:szCs w:val="20"/>
        </w:rPr>
        <w:t>C</w:t>
      </w:r>
      <w:r w:rsidR="004A4992" w:rsidRPr="00010F2F">
        <w:rPr>
          <w:rFonts w:ascii="Arial" w:eastAsia="Times New Roman" w:hAnsi="Arial" w:cs="Arial"/>
          <w:color w:val="000000" w:themeColor="text1"/>
          <w:kern w:val="2"/>
          <w:sz w:val="20"/>
          <w:szCs w:val="20"/>
        </w:rPr>
        <w:t xml:space="preserve">DH’s </w:t>
      </w:r>
      <w:r w:rsidR="00462079" w:rsidRPr="00010F2F">
        <w:rPr>
          <w:rFonts w:ascii="Arial" w:eastAsia="Times New Roman" w:hAnsi="Arial" w:cs="Arial"/>
          <w:color w:val="000000" w:themeColor="text1"/>
          <w:kern w:val="2"/>
          <w:sz w:val="20"/>
          <w:szCs w:val="20"/>
        </w:rPr>
        <w:t>Patient Panel</w:t>
      </w:r>
      <w:r w:rsidR="00D46FE6" w:rsidRPr="00010F2F">
        <w:rPr>
          <w:rFonts w:ascii="Arial" w:eastAsia="Times New Roman" w:hAnsi="Arial" w:cs="Arial"/>
          <w:color w:val="000000" w:themeColor="text1"/>
          <w:kern w:val="2"/>
          <w:sz w:val="20"/>
          <w:szCs w:val="20"/>
        </w:rPr>
        <w:t xml:space="preserve"> </w:t>
      </w:r>
      <w:r w:rsidR="004A4992" w:rsidRPr="00010F2F">
        <w:rPr>
          <w:rFonts w:ascii="Arial" w:eastAsia="Times New Roman" w:hAnsi="Arial" w:cs="Arial"/>
          <w:color w:val="000000" w:themeColor="text1"/>
          <w:kern w:val="2"/>
          <w:sz w:val="20"/>
          <w:szCs w:val="20"/>
        </w:rPr>
        <w:t xml:space="preserve">mainly </w:t>
      </w:r>
      <w:r w:rsidR="00D46FE6" w:rsidRPr="00010F2F">
        <w:rPr>
          <w:rFonts w:ascii="Arial" w:eastAsia="Times New Roman" w:hAnsi="Arial" w:cs="Arial"/>
          <w:color w:val="000000" w:themeColor="text1"/>
          <w:kern w:val="2"/>
          <w:sz w:val="20"/>
          <w:szCs w:val="20"/>
        </w:rPr>
        <w:t>reside</w:t>
      </w:r>
      <w:r w:rsidR="00B520BC">
        <w:rPr>
          <w:rFonts w:ascii="Arial" w:eastAsia="Times New Roman" w:hAnsi="Arial" w:cs="Arial"/>
          <w:color w:val="000000" w:themeColor="text1"/>
          <w:kern w:val="2"/>
          <w:sz w:val="20"/>
          <w:szCs w:val="20"/>
        </w:rPr>
        <w:t>s</w:t>
      </w:r>
      <w:r w:rsidR="00D46FE6" w:rsidRPr="00010F2F">
        <w:rPr>
          <w:rFonts w:ascii="Arial" w:eastAsia="Times New Roman" w:hAnsi="Arial" w:cs="Arial"/>
          <w:color w:val="000000" w:themeColor="text1"/>
          <w:kern w:val="2"/>
          <w:sz w:val="20"/>
          <w:szCs w:val="20"/>
        </w:rPr>
        <w:t xml:space="preserve"> in </w:t>
      </w:r>
      <w:r w:rsidR="00B520BC">
        <w:rPr>
          <w:rFonts w:ascii="Arial" w:eastAsia="Times New Roman" w:hAnsi="Arial" w:cs="Arial"/>
          <w:color w:val="000000" w:themeColor="text1"/>
          <w:kern w:val="2"/>
          <w:sz w:val="20"/>
          <w:szCs w:val="20"/>
        </w:rPr>
        <w:t>W</w:t>
      </w:r>
      <w:r w:rsidRPr="00010F2F">
        <w:rPr>
          <w:rFonts w:ascii="Arial" w:eastAsia="Times New Roman" w:hAnsi="Arial" w:cs="Arial"/>
          <w:color w:val="000000" w:themeColor="text1"/>
          <w:kern w:val="2"/>
          <w:sz w:val="20"/>
          <w:szCs w:val="20"/>
        </w:rPr>
        <w:t>estern</w:t>
      </w:r>
      <w:r w:rsidR="00D46FE6" w:rsidRPr="00010F2F">
        <w:rPr>
          <w:rFonts w:ascii="Arial" w:eastAsia="Times New Roman" w:hAnsi="Arial" w:cs="Arial"/>
          <w:color w:val="000000" w:themeColor="text1"/>
          <w:kern w:val="2"/>
          <w:sz w:val="20"/>
          <w:szCs w:val="20"/>
        </w:rPr>
        <w:t xml:space="preserve"> Massachusetts</w:t>
      </w:r>
      <w:r w:rsidR="00B4746D" w:rsidRPr="00010F2F">
        <w:rPr>
          <w:rFonts w:ascii="Arial" w:eastAsia="Times New Roman" w:hAnsi="Arial" w:cs="Arial"/>
          <w:color w:val="000000" w:themeColor="text1"/>
          <w:kern w:val="2"/>
          <w:sz w:val="20"/>
          <w:szCs w:val="20"/>
        </w:rPr>
        <w:t>. However,</w:t>
      </w:r>
      <w:r w:rsidR="00D46FE6" w:rsidRPr="00010F2F">
        <w:rPr>
          <w:rFonts w:ascii="Arial" w:eastAsia="Times New Roman" w:hAnsi="Arial" w:cs="Arial"/>
          <w:color w:val="000000" w:themeColor="text1"/>
          <w:kern w:val="2"/>
          <w:sz w:val="20"/>
          <w:szCs w:val="20"/>
        </w:rPr>
        <w:t xml:space="preserve"> there is a </w:t>
      </w:r>
      <w:r w:rsidR="00B4746D" w:rsidRPr="00010F2F">
        <w:rPr>
          <w:rFonts w:ascii="Arial" w:eastAsia="Times New Roman" w:hAnsi="Arial" w:cs="Arial"/>
          <w:color w:val="000000" w:themeColor="text1"/>
          <w:kern w:val="2"/>
          <w:sz w:val="20"/>
          <w:szCs w:val="20"/>
        </w:rPr>
        <w:t>small</w:t>
      </w:r>
      <w:r w:rsidR="00D46FE6" w:rsidRPr="00010F2F">
        <w:rPr>
          <w:rFonts w:ascii="Arial" w:eastAsia="Times New Roman" w:hAnsi="Arial" w:cs="Arial"/>
          <w:color w:val="000000" w:themeColor="text1"/>
          <w:kern w:val="2"/>
          <w:sz w:val="20"/>
          <w:szCs w:val="20"/>
        </w:rPr>
        <w:t xml:space="preserve"> portion of its </w:t>
      </w:r>
      <w:r w:rsidR="004A4992" w:rsidRPr="00010F2F">
        <w:rPr>
          <w:rFonts w:ascii="Arial" w:eastAsia="Times New Roman" w:hAnsi="Arial" w:cs="Arial"/>
          <w:color w:val="000000" w:themeColor="text1"/>
          <w:kern w:val="2"/>
          <w:sz w:val="20"/>
          <w:szCs w:val="20"/>
        </w:rPr>
        <w:t>P</w:t>
      </w:r>
      <w:r w:rsidR="00D46FE6" w:rsidRPr="00010F2F">
        <w:rPr>
          <w:rFonts w:ascii="Arial" w:eastAsia="Times New Roman" w:hAnsi="Arial" w:cs="Arial"/>
          <w:color w:val="000000" w:themeColor="text1"/>
          <w:kern w:val="2"/>
          <w:sz w:val="20"/>
          <w:szCs w:val="20"/>
        </w:rPr>
        <w:t xml:space="preserve">atient </w:t>
      </w:r>
      <w:r w:rsidR="004A4992" w:rsidRPr="00010F2F">
        <w:rPr>
          <w:rFonts w:ascii="Arial" w:eastAsia="Times New Roman" w:hAnsi="Arial" w:cs="Arial"/>
          <w:color w:val="000000" w:themeColor="text1"/>
          <w:kern w:val="2"/>
          <w:sz w:val="20"/>
          <w:szCs w:val="20"/>
        </w:rPr>
        <w:t>P</w:t>
      </w:r>
      <w:r w:rsidR="00D46FE6" w:rsidRPr="00010F2F">
        <w:rPr>
          <w:rFonts w:ascii="Arial" w:eastAsia="Times New Roman" w:hAnsi="Arial" w:cs="Arial"/>
          <w:color w:val="000000" w:themeColor="text1"/>
          <w:kern w:val="2"/>
          <w:sz w:val="20"/>
          <w:szCs w:val="20"/>
        </w:rPr>
        <w:t xml:space="preserve">anel who reside outside of Massachusetts. On average, between FY20 and FY22, </w:t>
      </w:r>
      <w:r w:rsidR="008944FD" w:rsidRPr="00010F2F">
        <w:rPr>
          <w:rFonts w:ascii="Arial" w:eastAsia="Times New Roman" w:hAnsi="Arial" w:cs="Arial"/>
          <w:color w:val="000000" w:themeColor="text1"/>
          <w:kern w:val="2"/>
          <w:sz w:val="20"/>
          <w:szCs w:val="20"/>
        </w:rPr>
        <w:t>4,016</w:t>
      </w:r>
      <w:r w:rsidR="00D46FE6" w:rsidRPr="00010F2F">
        <w:rPr>
          <w:rFonts w:ascii="Arial" w:eastAsia="Times New Roman" w:hAnsi="Arial" w:cs="Arial"/>
          <w:color w:val="000000" w:themeColor="text1"/>
          <w:kern w:val="2"/>
          <w:sz w:val="20"/>
          <w:szCs w:val="20"/>
        </w:rPr>
        <w:t xml:space="preserve"> patients or </w:t>
      </w:r>
      <w:r w:rsidR="00B4746D" w:rsidRPr="00010F2F">
        <w:rPr>
          <w:rFonts w:ascii="Arial" w:eastAsia="Times New Roman" w:hAnsi="Arial" w:cs="Arial"/>
          <w:color w:val="000000" w:themeColor="text1"/>
          <w:kern w:val="2"/>
          <w:sz w:val="20"/>
          <w:szCs w:val="20"/>
        </w:rPr>
        <w:t>3.9</w:t>
      </w:r>
      <w:r w:rsidR="00D46FE6" w:rsidRPr="00010F2F">
        <w:rPr>
          <w:rFonts w:ascii="Arial" w:eastAsia="Times New Roman" w:hAnsi="Arial" w:cs="Arial"/>
          <w:color w:val="000000" w:themeColor="text1"/>
          <w:kern w:val="2"/>
          <w:sz w:val="20"/>
          <w:szCs w:val="20"/>
        </w:rPr>
        <w:t xml:space="preserve">% of patients were not residents of Massachusetts. Applying </w:t>
      </w:r>
      <w:r w:rsidR="00B4746D" w:rsidRPr="00010F2F">
        <w:rPr>
          <w:rFonts w:ascii="Arial" w:eastAsia="Times New Roman" w:hAnsi="Arial" w:cs="Arial"/>
          <w:color w:val="000000" w:themeColor="text1"/>
          <w:kern w:val="2"/>
          <w:sz w:val="20"/>
          <w:szCs w:val="20"/>
        </w:rPr>
        <w:t>DPH’s</w:t>
      </w:r>
      <w:r w:rsidR="00D46FE6" w:rsidRPr="00010F2F">
        <w:rPr>
          <w:rFonts w:ascii="Arial" w:eastAsia="Times New Roman" w:hAnsi="Arial" w:cs="Arial"/>
          <w:color w:val="000000" w:themeColor="text1"/>
          <w:kern w:val="2"/>
          <w:sz w:val="20"/>
          <w:szCs w:val="20"/>
        </w:rPr>
        <w:t xml:space="preserve"> </w:t>
      </w:r>
      <w:r w:rsidR="00B4746D" w:rsidRPr="00010F2F">
        <w:rPr>
          <w:rFonts w:ascii="Arial" w:eastAsia="Times New Roman" w:hAnsi="Arial" w:cs="Arial"/>
          <w:color w:val="000000" w:themeColor="text1"/>
          <w:kern w:val="2"/>
          <w:sz w:val="20"/>
          <w:szCs w:val="20"/>
        </w:rPr>
        <w:t>HSA</w:t>
      </w:r>
      <w:r w:rsidR="00D46FE6" w:rsidRPr="00010F2F">
        <w:rPr>
          <w:rFonts w:ascii="Arial" w:eastAsia="Times New Roman" w:hAnsi="Arial" w:cs="Arial"/>
          <w:color w:val="000000" w:themeColor="text1"/>
          <w:kern w:val="2"/>
          <w:sz w:val="20"/>
          <w:szCs w:val="20"/>
        </w:rPr>
        <w:t xml:space="preserve"> categories to FY20-FY22 data, approximately </w:t>
      </w:r>
      <w:r w:rsidR="00B4746D" w:rsidRPr="00010F2F">
        <w:rPr>
          <w:rFonts w:ascii="Arial" w:eastAsia="Times New Roman" w:hAnsi="Arial" w:cs="Arial"/>
          <w:color w:val="000000" w:themeColor="text1"/>
          <w:kern w:val="2"/>
          <w:sz w:val="20"/>
          <w:szCs w:val="20"/>
        </w:rPr>
        <w:t>91.97%</w:t>
      </w:r>
      <w:r w:rsidR="00D46FE6" w:rsidRPr="00010F2F">
        <w:rPr>
          <w:rFonts w:ascii="Arial" w:eastAsia="Times New Roman" w:hAnsi="Arial" w:cs="Arial"/>
          <w:color w:val="000000" w:themeColor="text1"/>
          <w:kern w:val="2"/>
          <w:sz w:val="20"/>
          <w:szCs w:val="20"/>
        </w:rPr>
        <w:t xml:space="preserve">% of </w:t>
      </w:r>
      <w:r w:rsidR="00E54903" w:rsidRPr="00010F2F">
        <w:rPr>
          <w:rFonts w:ascii="Arial" w:eastAsia="Times New Roman" w:hAnsi="Arial" w:cs="Arial"/>
          <w:color w:val="000000" w:themeColor="text1"/>
          <w:kern w:val="2"/>
          <w:sz w:val="20"/>
          <w:szCs w:val="20"/>
        </w:rPr>
        <w:t>CDH’s</w:t>
      </w:r>
      <w:r w:rsidR="00D46FE6" w:rsidRPr="00010F2F">
        <w:rPr>
          <w:rFonts w:ascii="Arial" w:eastAsia="Times New Roman" w:hAnsi="Arial" w:cs="Arial"/>
          <w:color w:val="000000" w:themeColor="text1"/>
          <w:kern w:val="2"/>
          <w:sz w:val="20"/>
          <w:szCs w:val="20"/>
        </w:rPr>
        <w:t xml:space="preserve"> patients reside in HSA </w:t>
      </w:r>
      <w:r w:rsidR="00B4746D" w:rsidRPr="00010F2F">
        <w:rPr>
          <w:rFonts w:ascii="Arial" w:eastAsia="Times New Roman" w:hAnsi="Arial" w:cs="Arial"/>
          <w:color w:val="000000" w:themeColor="text1"/>
          <w:kern w:val="2"/>
          <w:sz w:val="20"/>
          <w:szCs w:val="20"/>
        </w:rPr>
        <w:t>1</w:t>
      </w:r>
      <w:r w:rsidR="00D46FE6" w:rsidRPr="00010F2F">
        <w:rPr>
          <w:rFonts w:ascii="Arial" w:eastAsia="Times New Roman" w:hAnsi="Arial" w:cs="Arial"/>
          <w:color w:val="000000" w:themeColor="text1"/>
          <w:kern w:val="2"/>
          <w:sz w:val="20"/>
          <w:szCs w:val="20"/>
        </w:rPr>
        <w:t xml:space="preserve"> (</w:t>
      </w:r>
      <w:r w:rsidR="00B4746D" w:rsidRPr="00010F2F">
        <w:rPr>
          <w:rFonts w:ascii="Arial" w:eastAsia="Times New Roman" w:hAnsi="Arial" w:cs="Arial"/>
          <w:color w:val="000000" w:themeColor="text1"/>
          <w:kern w:val="2"/>
          <w:sz w:val="20"/>
          <w:szCs w:val="20"/>
        </w:rPr>
        <w:t>94,924</w:t>
      </w:r>
      <w:r w:rsidR="00D46FE6" w:rsidRPr="00010F2F">
        <w:rPr>
          <w:rFonts w:ascii="Arial" w:eastAsia="Times New Roman" w:hAnsi="Arial" w:cs="Arial"/>
          <w:color w:val="000000" w:themeColor="text1"/>
          <w:kern w:val="2"/>
          <w:sz w:val="20"/>
          <w:szCs w:val="20"/>
        </w:rPr>
        <w:t xml:space="preserve">patients); </w:t>
      </w:r>
      <w:r w:rsidR="00B4746D" w:rsidRPr="00010F2F">
        <w:rPr>
          <w:rFonts w:ascii="Arial" w:eastAsia="Times New Roman" w:hAnsi="Arial" w:cs="Arial"/>
          <w:color w:val="000000" w:themeColor="text1"/>
          <w:kern w:val="2"/>
          <w:sz w:val="20"/>
          <w:szCs w:val="20"/>
        </w:rPr>
        <w:t>1.5</w:t>
      </w:r>
      <w:r w:rsidR="00D46FE6" w:rsidRPr="00010F2F">
        <w:rPr>
          <w:rFonts w:ascii="Arial" w:eastAsia="Times New Roman" w:hAnsi="Arial" w:cs="Arial"/>
          <w:color w:val="000000" w:themeColor="text1"/>
          <w:kern w:val="2"/>
          <w:sz w:val="20"/>
          <w:szCs w:val="20"/>
        </w:rPr>
        <w:t xml:space="preserve">% reside in HSA </w:t>
      </w:r>
      <w:r w:rsidR="00B4746D" w:rsidRPr="00010F2F">
        <w:rPr>
          <w:rFonts w:ascii="Arial" w:eastAsia="Times New Roman" w:hAnsi="Arial" w:cs="Arial"/>
          <w:color w:val="000000" w:themeColor="text1"/>
          <w:kern w:val="2"/>
          <w:sz w:val="20"/>
          <w:szCs w:val="20"/>
        </w:rPr>
        <w:t>4</w:t>
      </w:r>
      <w:r w:rsidR="00D46FE6" w:rsidRPr="00010F2F">
        <w:rPr>
          <w:rFonts w:ascii="Arial" w:eastAsia="Times New Roman" w:hAnsi="Arial" w:cs="Arial"/>
          <w:color w:val="000000" w:themeColor="text1"/>
          <w:kern w:val="2"/>
          <w:sz w:val="20"/>
          <w:szCs w:val="20"/>
        </w:rPr>
        <w:t xml:space="preserve"> (</w:t>
      </w:r>
      <w:r w:rsidR="00B4746D" w:rsidRPr="00010F2F">
        <w:rPr>
          <w:rFonts w:ascii="Arial" w:eastAsia="Times New Roman" w:hAnsi="Arial" w:cs="Arial"/>
          <w:color w:val="000000" w:themeColor="text1"/>
          <w:kern w:val="2"/>
          <w:sz w:val="20"/>
          <w:szCs w:val="20"/>
        </w:rPr>
        <w:t>1,590)</w:t>
      </w:r>
      <w:r w:rsidR="00D46FE6" w:rsidRPr="00010F2F">
        <w:rPr>
          <w:rFonts w:ascii="Arial" w:eastAsia="Times New Roman" w:hAnsi="Arial" w:cs="Arial"/>
          <w:color w:val="000000" w:themeColor="text1"/>
          <w:kern w:val="2"/>
          <w:sz w:val="20"/>
          <w:szCs w:val="20"/>
        </w:rPr>
        <w:t xml:space="preserve"> patients); 1</w:t>
      </w:r>
      <w:r w:rsidR="00B4746D" w:rsidRPr="00010F2F">
        <w:rPr>
          <w:rFonts w:ascii="Arial" w:eastAsia="Times New Roman" w:hAnsi="Arial" w:cs="Arial"/>
          <w:color w:val="000000" w:themeColor="text1"/>
          <w:kern w:val="2"/>
          <w:sz w:val="20"/>
          <w:szCs w:val="20"/>
        </w:rPr>
        <w:t>.3</w:t>
      </w:r>
      <w:r w:rsidR="00D46FE6" w:rsidRPr="00010F2F">
        <w:rPr>
          <w:rFonts w:ascii="Arial" w:eastAsia="Times New Roman" w:hAnsi="Arial" w:cs="Arial"/>
          <w:color w:val="000000" w:themeColor="text1"/>
          <w:kern w:val="2"/>
          <w:sz w:val="20"/>
          <w:szCs w:val="20"/>
        </w:rPr>
        <w:t xml:space="preserve">% reside in HSA </w:t>
      </w:r>
      <w:r w:rsidR="00B4746D" w:rsidRPr="00010F2F">
        <w:rPr>
          <w:rFonts w:ascii="Arial" w:eastAsia="Times New Roman" w:hAnsi="Arial" w:cs="Arial"/>
          <w:color w:val="000000" w:themeColor="text1"/>
          <w:kern w:val="2"/>
          <w:sz w:val="20"/>
          <w:szCs w:val="20"/>
        </w:rPr>
        <w:t>2</w:t>
      </w:r>
      <w:r w:rsidR="00D46FE6" w:rsidRPr="00010F2F">
        <w:rPr>
          <w:rFonts w:ascii="Arial" w:eastAsia="Times New Roman" w:hAnsi="Arial" w:cs="Arial"/>
          <w:color w:val="000000" w:themeColor="text1"/>
          <w:kern w:val="2"/>
          <w:sz w:val="20"/>
          <w:szCs w:val="20"/>
        </w:rPr>
        <w:t xml:space="preserve"> (</w:t>
      </w:r>
      <w:r w:rsidR="00B4746D" w:rsidRPr="00010F2F">
        <w:rPr>
          <w:rFonts w:ascii="Arial" w:eastAsia="Times New Roman" w:hAnsi="Arial" w:cs="Arial"/>
          <w:color w:val="000000" w:themeColor="text1"/>
          <w:kern w:val="2"/>
          <w:sz w:val="20"/>
          <w:szCs w:val="20"/>
        </w:rPr>
        <w:t>1,399</w:t>
      </w:r>
      <w:r w:rsidR="00D46FE6" w:rsidRPr="00010F2F">
        <w:rPr>
          <w:rFonts w:ascii="Arial" w:eastAsia="Times New Roman" w:hAnsi="Arial" w:cs="Arial"/>
          <w:color w:val="000000" w:themeColor="text1"/>
          <w:kern w:val="2"/>
          <w:sz w:val="20"/>
          <w:szCs w:val="20"/>
        </w:rPr>
        <w:t xml:space="preserve"> patients); </w:t>
      </w:r>
      <w:r w:rsidR="00B4746D" w:rsidRPr="00010F2F">
        <w:rPr>
          <w:rFonts w:ascii="Arial" w:eastAsia="Times New Roman" w:hAnsi="Arial" w:cs="Arial"/>
          <w:color w:val="000000" w:themeColor="text1"/>
          <w:kern w:val="2"/>
          <w:sz w:val="20"/>
          <w:szCs w:val="20"/>
        </w:rPr>
        <w:t>0.6</w:t>
      </w:r>
      <w:r w:rsidR="00D46FE6" w:rsidRPr="00010F2F">
        <w:rPr>
          <w:rFonts w:ascii="Arial" w:eastAsia="Times New Roman" w:hAnsi="Arial" w:cs="Arial"/>
          <w:color w:val="000000" w:themeColor="text1"/>
          <w:kern w:val="2"/>
          <w:sz w:val="20"/>
          <w:szCs w:val="20"/>
        </w:rPr>
        <w:t xml:space="preserve">% reside in HSA </w:t>
      </w:r>
      <w:r w:rsidR="00B4746D" w:rsidRPr="00010F2F">
        <w:rPr>
          <w:rFonts w:ascii="Arial" w:eastAsia="Times New Roman" w:hAnsi="Arial" w:cs="Arial"/>
          <w:color w:val="000000" w:themeColor="text1"/>
          <w:kern w:val="2"/>
          <w:sz w:val="20"/>
          <w:szCs w:val="20"/>
        </w:rPr>
        <w:t>5</w:t>
      </w:r>
      <w:r w:rsidR="00D46FE6" w:rsidRPr="00010F2F">
        <w:rPr>
          <w:rFonts w:ascii="Arial" w:eastAsia="Times New Roman" w:hAnsi="Arial" w:cs="Arial"/>
          <w:color w:val="000000" w:themeColor="text1"/>
          <w:kern w:val="2"/>
          <w:sz w:val="20"/>
          <w:szCs w:val="20"/>
        </w:rPr>
        <w:t xml:space="preserve"> (</w:t>
      </w:r>
      <w:r w:rsidR="00B4746D" w:rsidRPr="00010F2F">
        <w:rPr>
          <w:rFonts w:ascii="Arial" w:eastAsia="Times New Roman" w:hAnsi="Arial" w:cs="Arial"/>
          <w:color w:val="000000" w:themeColor="text1"/>
          <w:kern w:val="2"/>
          <w:sz w:val="20"/>
          <w:szCs w:val="20"/>
        </w:rPr>
        <w:t>622</w:t>
      </w:r>
      <w:r w:rsidR="00D46FE6" w:rsidRPr="00010F2F">
        <w:rPr>
          <w:rFonts w:ascii="Arial" w:eastAsia="Times New Roman" w:hAnsi="Arial" w:cs="Arial"/>
          <w:color w:val="000000" w:themeColor="text1"/>
          <w:kern w:val="2"/>
          <w:sz w:val="20"/>
          <w:szCs w:val="20"/>
        </w:rPr>
        <w:t xml:space="preserve"> patients); </w:t>
      </w:r>
      <w:r w:rsidR="001D47CA" w:rsidRPr="00010F2F">
        <w:rPr>
          <w:rFonts w:ascii="Arial" w:eastAsia="Times New Roman" w:hAnsi="Arial" w:cs="Arial"/>
          <w:color w:val="000000" w:themeColor="text1"/>
          <w:kern w:val="2"/>
          <w:sz w:val="20"/>
          <w:szCs w:val="20"/>
        </w:rPr>
        <w:t>0.3</w:t>
      </w:r>
      <w:r w:rsidR="00D46FE6" w:rsidRPr="00010F2F">
        <w:rPr>
          <w:rFonts w:ascii="Arial" w:eastAsia="Times New Roman" w:hAnsi="Arial" w:cs="Arial"/>
          <w:color w:val="000000" w:themeColor="text1"/>
          <w:kern w:val="2"/>
          <w:sz w:val="20"/>
          <w:szCs w:val="20"/>
        </w:rPr>
        <w:t xml:space="preserve">% reside in HSA </w:t>
      </w:r>
      <w:r w:rsidR="001D47CA" w:rsidRPr="00010F2F">
        <w:rPr>
          <w:rFonts w:ascii="Arial" w:eastAsia="Times New Roman" w:hAnsi="Arial" w:cs="Arial"/>
          <w:color w:val="000000" w:themeColor="text1"/>
          <w:kern w:val="2"/>
          <w:sz w:val="20"/>
          <w:szCs w:val="20"/>
        </w:rPr>
        <w:t>6</w:t>
      </w:r>
      <w:r w:rsidR="00D46FE6" w:rsidRPr="00010F2F">
        <w:rPr>
          <w:rFonts w:ascii="Arial" w:eastAsia="Times New Roman" w:hAnsi="Arial" w:cs="Arial"/>
          <w:color w:val="000000" w:themeColor="text1"/>
          <w:kern w:val="2"/>
          <w:sz w:val="20"/>
          <w:szCs w:val="20"/>
        </w:rPr>
        <w:t xml:space="preserve"> (</w:t>
      </w:r>
      <w:r w:rsidR="001D47CA" w:rsidRPr="00010F2F">
        <w:rPr>
          <w:rFonts w:ascii="Arial" w:eastAsia="Times New Roman" w:hAnsi="Arial" w:cs="Arial"/>
          <w:color w:val="000000" w:themeColor="text1"/>
          <w:kern w:val="2"/>
          <w:sz w:val="20"/>
          <w:szCs w:val="20"/>
        </w:rPr>
        <w:t>339</w:t>
      </w:r>
      <w:r w:rsidR="00D46FE6" w:rsidRPr="00010F2F">
        <w:rPr>
          <w:rFonts w:ascii="Arial" w:eastAsia="Times New Roman" w:hAnsi="Arial" w:cs="Arial"/>
          <w:color w:val="000000" w:themeColor="text1"/>
          <w:kern w:val="2"/>
          <w:sz w:val="20"/>
          <w:szCs w:val="20"/>
        </w:rPr>
        <w:t xml:space="preserve"> patients); </w:t>
      </w:r>
      <w:r w:rsidR="008944FD" w:rsidRPr="00010F2F">
        <w:rPr>
          <w:rFonts w:ascii="Arial" w:eastAsia="Times New Roman" w:hAnsi="Arial" w:cs="Arial"/>
          <w:color w:val="000000" w:themeColor="text1"/>
          <w:kern w:val="2"/>
          <w:sz w:val="20"/>
          <w:szCs w:val="20"/>
        </w:rPr>
        <w:t xml:space="preserve">and </w:t>
      </w:r>
      <w:r w:rsidR="001D47CA" w:rsidRPr="00010F2F">
        <w:rPr>
          <w:rFonts w:ascii="Arial" w:eastAsia="Times New Roman" w:hAnsi="Arial" w:cs="Arial"/>
          <w:color w:val="000000" w:themeColor="text1"/>
          <w:kern w:val="2"/>
          <w:sz w:val="20"/>
          <w:szCs w:val="20"/>
        </w:rPr>
        <w:t>0.3</w:t>
      </w:r>
      <w:r w:rsidR="00D46FE6" w:rsidRPr="00010F2F">
        <w:rPr>
          <w:rFonts w:ascii="Arial" w:eastAsia="Times New Roman" w:hAnsi="Arial" w:cs="Arial"/>
          <w:color w:val="000000" w:themeColor="text1"/>
          <w:kern w:val="2"/>
          <w:sz w:val="20"/>
          <w:szCs w:val="20"/>
        </w:rPr>
        <w:t xml:space="preserve">% reside in HSA </w:t>
      </w:r>
      <w:r w:rsidR="001D47CA" w:rsidRPr="00010F2F">
        <w:rPr>
          <w:rFonts w:ascii="Arial" w:eastAsia="Times New Roman" w:hAnsi="Arial" w:cs="Arial"/>
          <w:color w:val="000000" w:themeColor="text1"/>
          <w:kern w:val="2"/>
          <w:sz w:val="20"/>
          <w:szCs w:val="20"/>
        </w:rPr>
        <w:t>3</w:t>
      </w:r>
      <w:r w:rsidR="00D46FE6" w:rsidRPr="00010F2F">
        <w:rPr>
          <w:rFonts w:ascii="Arial" w:eastAsia="Times New Roman" w:hAnsi="Arial" w:cs="Arial"/>
          <w:color w:val="000000" w:themeColor="text1"/>
          <w:kern w:val="2"/>
          <w:sz w:val="20"/>
          <w:szCs w:val="20"/>
        </w:rPr>
        <w:t xml:space="preserve"> (</w:t>
      </w:r>
      <w:r w:rsidR="001D47CA" w:rsidRPr="00010F2F">
        <w:rPr>
          <w:rFonts w:ascii="Arial" w:eastAsia="Times New Roman" w:hAnsi="Arial" w:cs="Arial"/>
          <w:color w:val="000000" w:themeColor="text1"/>
          <w:kern w:val="2"/>
          <w:sz w:val="20"/>
          <w:szCs w:val="20"/>
        </w:rPr>
        <w:t>308</w:t>
      </w:r>
      <w:r w:rsidR="00D46FE6" w:rsidRPr="00010F2F">
        <w:rPr>
          <w:rFonts w:ascii="Arial" w:eastAsia="Times New Roman" w:hAnsi="Arial" w:cs="Arial"/>
          <w:color w:val="000000" w:themeColor="text1"/>
          <w:kern w:val="2"/>
          <w:sz w:val="20"/>
          <w:szCs w:val="20"/>
        </w:rPr>
        <w:t xml:space="preserve"> patients)</w:t>
      </w:r>
      <w:r w:rsidR="008944FD" w:rsidRPr="00010F2F">
        <w:rPr>
          <w:rFonts w:ascii="Arial" w:eastAsia="Times New Roman" w:hAnsi="Arial" w:cs="Arial"/>
          <w:color w:val="000000" w:themeColor="text1"/>
          <w:kern w:val="2"/>
          <w:sz w:val="20"/>
          <w:szCs w:val="20"/>
        </w:rPr>
        <w:t>.</w:t>
      </w:r>
      <w:r w:rsidR="00D46FE6" w:rsidRPr="00010F2F">
        <w:rPr>
          <w:rFonts w:ascii="Arial" w:hAnsi="Arial" w:cs="Arial"/>
          <w:sz w:val="20"/>
          <w:szCs w:val="20"/>
        </w:rPr>
        <w:t>The remaining approximately 0.</w:t>
      </w:r>
      <w:r w:rsidR="001D47CA" w:rsidRPr="00010F2F">
        <w:rPr>
          <w:rFonts w:ascii="Arial" w:hAnsi="Arial" w:cs="Arial"/>
          <w:sz w:val="20"/>
          <w:szCs w:val="20"/>
        </w:rPr>
        <w:t>03</w:t>
      </w:r>
      <w:r w:rsidR="00D46FE6" w:rsidRPr="00010F2F">
        <w:rPr>
          <w:rFonts w:ascii="Arial" w:hAnsi="Arial" w:cs="Arial"/>
          <w:sz w:val="20"/>
          <w:szCs w:val="20"/>
        </w:rPr>
        <w:t xml:space="preserve">% of </w:t>
      </w:r>
      <w:r w:rsidR="004A4992" w:rsidRPr="00010F2F">
        <w:rPr>
          <w:rFonts w:ascii="Arial" w:hAnsi="Arial" w:cs="Arial"/>
          <w:sz w:val="20"/>
          <w:szCs w:val="20"/>
        </w:rPr>
        <w:t>CDH’s</w:t>
      </w:r>
      <w:r w:rsidR="00D46FE6" w:rsidRPr="00010F2F">
        <w:rPr>
          <w:rFonts w:ascii="Arial" w:hAnsi="Arial" w:cs="Arial"/>
          <w:sz w:val="20"/>
          <w:szCs w:val="20"/>
        </w:rPr>
        <w:t xml:space="preserve"> patients (</w:t>
      </w:r>
      <w:r w:rsidR="001D47CA" w:rsidRPr="00010F2F">
        <w:rPr>
          <w:rFonts w:ascii="Arial" w:hAnsi="Arial" w:cs="Arial"/>
          <w:sz w:val="20"/>
          <w:szCs w:val="20"/>
        </w:rPr>
        <w:t>48</w:t>
      </w:r>
      <w:r w:rsidR="00D46FE6" w:rsidRPr="00010F2F">
        <w:rPr>
          <w:rFonts w:ascii="Arial" w:hAnsi="Arial" w:cs="Arial"/>
          <w:sz w:val="20"/>
          <w:szCs w:val="20"/>
        </w:rPr>
        <w:t xml:space="preserve"> patients) </w:t>
      </w:r>
      <w:r w:rsidR="001D47CA" w:rsidRPr="00010F2F">
        <w:rPr>
          <w:rFonts w:ascii="Arial" w:hAnsi="Arial" w:cs="Arial"/>
          <w:sz w:val="20"/>
          <w:szCs w:val="20"/>
        </w:rPr>
        <w:t xml:space="preserve">either </w:t>
      </w:r>
      <w:r w:rsidR="001D47CA" w:rsidRPr="00010F2F">
        <w:rPr>
          <w:rFonts w:ascii="Arial" w:eastAsia="Times New Roman" w:hAnsi="Arial" w:cs="Arial"/>
          <w:color w:val="000000" w:themeColor="text1"/>
          <w:kern w:val="2"/>
          <w:sz w:val="20"/>
          <w:szCs w:val="20"/>
        </w:rPr>
        <w:t xml:space="preserve">reside in Massachusetts but outside of HSAs 1-6 or </w:t>
      </w:r>
      <w:r w:rsidR="001D47CA" w:rsidRPr="00010F2F">
        <w:rPr>
          <w:rFonts w:ascii="Arial" w:hAnsi="Arial" w:cs="Arial"/>
          <w:sz w:val="20"/>
          <w:szCs w:val="20"/>
        </w:rPr>
        <w:t>their</w:t>
      </w:r>
      <w:r w:rsidR="00D46FE6" w:rsidRPr="00010F2F">
        <w:rPr>
          <w:rFonts w:ascii="Arial" w:hAnsi="Arial" w:cs="Arial"/>
          <w:sz w:val="20"/>
          <w:szCs w:val="20"/>
        </w:rPr>
        <w:t xml:space="preserve"> origin</w:t>
      </w:r>
      <w:r w:rsidR="001D47CA" w:rsidRPr="00010F2F">
        <w:rPr>
          <w:rFonts w:ascii="Arial" w:hAnsi="Arial" w:cs="Arial"/>
          <w:sz w:val="20"/>
          <w:szCs w:val="20"/>
        </w:rPr>
        <w:t xml:space="preserve"> is unknown</w:t>
      </w:r>
      <w:r w:rsidR="00D46FE6" w:rsidRPr="00010F2F">
        <w:rPr>
          <w:rFonts w:ascii="Arial" w:hAnsi="Arial" w:cs="Arial"/>
          <w:sz w:val="20"/>
          <w:szCs w:val="20"/>
        </w:rPr>
        <w:t xml:space="preserve">. </w:t>
      </w:r>
    </w:p>
    <w:p w14:paraId="0A6EACC2" w14:textId="77777777" w:rsidR="00114250" w:rsidRPr="00010F2F" w:rsidRDefault="00114250" w:rsidP="006C7671">
      <w:pPr>
        <w:spacing w:after="0" w:line="240" w:lineRule="auto"/>
        <w:jc w:val="both"/>
        <w:rPr>
          <w:rFonts w:ascii="Arial" w:eastAsia="Calibri" w:hAnsi="Arial" w:cs="Arial"/>
          <w:b/>
          <w:kern w:val="2"/>
        </w:rPr>
      </w:pPr>
    </w:p>
    <w:p w14:paraId="38519970" w14:textId="48932353" w:rsidR="006C7671" w:rsidRPr="00413B69" w:rsidRDefault="006C7671" w:rsidP="006C7671">
      <w:pPr>
        <w:spacing w:after="0" w:line="240" w:lineRule="auto"/>
        <w:jc w:val="both"/>
        <w:rPr>
          <w:rFonts w:ascii="Arial" w:eastAsia="Arial" w:hAnsi="Arial" w:cs="Arial"/>
          <w:kern w:val="2"/>
          <w:sz w:val="20"/>
          <w:szCs w:val="20"/>
          <w:u w:val="single"/>
        </w:rPr>
      </w:pPr>
      <w:r w:rsidRPr="00413B69">
        <w:rPr>
          <w:rFonts w:ascii="Arial" w:eastAsia="Calibri" w:hAnsi="Arial" w:cs="Arial"/>
          <w:b/>
          <w:kern w:val="2"/>
          <w:sz w:val="20"/>
          <w:szCs w:val="20"/>
        </w:rPr>
        <w:t>F1.a.ii</w:t>
      </w:r>
      <w:r w:rsidRPr="00413B69">
        <w:rPr>
          <w:rFonts w:ascii="Arial" w:eastAsia="Calibri" w:hAnsi="Arial" w:cs="Arial"/>
          <w:b/>
          <w:kern w:val="2"/>
          <w:sz w:val="20"/>
          <w:szCs w:val="20"/>
        </w:rPr>
        <w:tab/>
      </w:r>
      <w:r w:rsidRPr="00413B69">
        <w:rPr>
          <w:rFonts w:ascii="Arial" w:eastAsia="Calibri" w:hAnsi="Arial" w:cs="Arial"/>
          <w:kern w:val="2"/>
          <w:sz w:val="20"/>
          <w:szCs w:val="20"/>
        </w:rPr>
        <w:tab/>
      </w:r>
      <w:r w:rsidRPr="00413B69">
        <w:rPr>
          <w:rFonts w:ascii="Arial" w:eastAsia="Calibri" w:hAnsi="Arial" w:cs="Arial"/>
          <w:b/>
          <w:kern w:val="2"/>
          <w:sz w:val="20"/>
          <w:szCs w:val="20"/>
          <w:u w:val="single"/>
        </w:rPr>
        <w:t>Need by Patient Panel:</w:t>
      </w:r>
    </w:p>
    <w:p w14:paraId="72F36301" w14:textId="5175EF86" w:rsidR="00097257" w:rsidRPr="00413B69" w:rsidRDefault="006C7671" w:rsidP="00C86FF2">
      <w:pPr>
        <w:spacing w:after="0" w:line="240" w:lineRule="auto"/>
        <w:ind w:left="1440"/>
        <w:jc w:val="both"/>
        <w:rPr>
          <w:rFonts w:ascii="Arial" w:eastAsia="Times New Roman" w:hAnsi="Arial" w:cs="Arial"/>
          <w:b/>
          <w:kern w:val="2"/>
          <w:sz w:val="20"/>
          <w:szCs w:val="20"/>
        </w:rPr>
      </w:pPr>
      <w:r w:rsidRPr="00413B69">
        <w:rPr>
          <w:rFonts w:ascii="Arial" w:eastAsia="Times New Roman" w:hAnsi="Arial" w:cs="Arial"/>
          <w:b/>
          <w:kern w:val="2"/>
          <w:sz w:val="20"/>
          <w:szCs w:val="20"/>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100734A" w14:textId="77777777" w:rsidR="0008446F" w:rsidRPr="00413B69" w:rsidRDefault="0008446F" w:rsidP="008625A0">
      <w:pPr>
        <w:spacing w:after="0" w:line="240" w:lineRule="auto"/>
        <w:jc w:val="both"/>
        <w:rPr>
          <w:rFonts w:ascii="Arial" w:eastAsia="Times New Roman" w:hAnsi="Arial" w:cs="Arial"/>
          <w:b/>
          <w:kern w:val="2"/>
          <w:sz w:val="20"/>
          <w:szCs w:val="20"/>
        </w:rPr>
      </w:pPr>
      <w:bookmarkStart w:id="0" w:name="_Hlk94011725"/>
    </w:p>
    <w:p w14:paraId="6F5C8451" w14:textId="1580447F" w:rsidR="00C56D3C" w:rsidRPr="00010F2F" w:rsidRDefault="00C56D3C" w:rsidP="008625A0">
      <w:pPr>
        <w:spacing w:after="0" w:line="240" w:lineRule="auto"/>
        <w:jc w:val="both"/>
        <w:rPr>
          <w:rFonts w:ascii="Arial" w:eastAsia="Times New Roman" w:hAnsi="Arial" w:cs="Arial"/>
          <w:bCs/>
          <w:kern w:val="2"/>
          <w:sz w:val="20"/>
          <w:szCs w:val="20"/>
        </w:rPr>
      </w:pPr>
      <w:r w:rsidRPr="00010F2F">
        <w:rPr>
          <w:rFonts w:ascii="Arial" w:eastAsia="Times New Roman" w:hAnsi="Arial" w:cs="Arial"/>
          <w:bCs/>
          <w:kern w:val="2"/>
          <w:sz w:val="20"/>
          <w:szCs w:val="20"/>
        </w:rPr>
        <w:t>Applicant seeks to add a third CT unit</w:t>
      </w:r>
      <w:r w:rsidR="00E4493B">
        <w:rPr>
          <w:rFonts w:ascii="Arial" w:eastAsia="Times New Roman" w:hAnsi="Arial" w:cs="Arial"/>
          <w:bCs/>
          <w:kern w:val="2"/>
          <w:sz w:val="20"/>
          <w:szCs w:val="20"/>
        </w:rPr>
        <w:t xml:space="preserve"> at CDH</w:t>
      </w:r>
      <w:r w:rsidR="00B2567B" w:rsidRPr="00010F2F">
        <w:rPr>
          <w:rFonts w:ascii="Arial" w:eastAsia="Times New Roman" w:hAnsi="Arial" w:cs="Arial"/>
          <w:bCs/>
          <w:kern w:val="2"/>
          <w:sz w:val="20"/>
          <w:szCs w:val="20"/>
        </w:rPr>
        <w:t xml:space="preserve"> </w:t>
      </w:r>
      <w:r w:rsidR="00783B07" w:rsidRPr="00010F2F">
        <w:rPr>
          <w:rFonts w:ascii="Arial" w:eastAsia="Times New Roman" w:hAnsi="Arial" w:cs="Arial"/>
          <w:bCs/>
          <w:kern w:val="2"/>
          <w:sz w:val="20"/>
          <w:szCs w:val="20"/>
        </w:rPr>
        <w:t>to</w:t>
      </w:r>
      <w:r w:rsidRPr="00010F2F">
        <w:rPr>
          <w:rFonts w:ascii="Arial" w:eastAsia="Times New Roman" w:hAnsi="Arial" w:cs="Arial"/>
          <w:bCs/>
          <w:kern w:val="2"/>
          <w:sz w:val="20"/>
          <w:szCs w:val="20"/>
        </w:rPr>
        <w:t xml:space="preserve"> meet growing demand for CT imaging </w:t>
      </w:r>
      <w:r w:rsidR="00953118" w:rsidRPr="00010F2F">
        <w:rPr>
          <w:rFonts w:ascii="Arial" w:eastAsia="Times New Roman" w:hAnsi="Arial" w:cs="Arial"/>
          <w:bCs/>
          <w:kern w:val="2"/>
          <w:sz w:val="20"/>
          <w:szCs w:val="20"/>
        </w:rPr>
        <w:t xml:space="preserve">by </w:t>
      </w:r>
      <w:r w:rsidR="00682CE5" w:rsidRPr="00010F2F">
        <w:rPr>
          <w:rFonts w:ascii="Arial" w:eastAsia="Times New Roman" w:hAnsi="Arial" w:cs="Arial"/>
          <w:bCs/>
          <w:kern w:val="2"/>
          <w:sz w:val="20"/>
          <w:szCs w:val="20"/>
        </w:rPr>
        <w:t>CDH’s</w:t>
      </w:r>
      <w:r w:rsidR="00783B07" w:rsidRPr="00010F2F">
        <w:rPr>
          <w:rFonts w:ascii="Arial" w:eastAsia="Times New Roman" w:hAnsi="Arial" w:cs="Arial"/>
          <w:bCs/>
          <w:kern w:val="2"/>
          <w:sz w:val="20"/>
          <w:szCs w:val="20"/>
        </w:rPr>
        <w:t xml:space="preserve"> Patient Panel. </w:t>
      </w:r>
      <w:r w:rsidR="00E4493B" w:rsidRPr="00010F2F">
        <w:rPr>
          <w:rFonts w:ascii="Arial" w:eastAsia="Times New Roman" w:hAnsi="Arial" w:cs="Arial"/>
          <w:bCs/>
          <w:kern w:val="2"/>
          <w:sz w:val="20"/>
          <w:szCs w:val="20"/>
        </w:rPr>
        <w:t>CDH currently operates two CT units in the</w:t>
      </w:r>
      <w:r w:rsidR="00E4493B">
        <w:rPr>
          <w:rFonts w:ascii="Arial" w:eastAsia="Times New Roman" w:hAnsi="Arial" w:cs="Arial"/>
          <w:bCs/>
          <w:kern w:val="2"/>
          <w:sz w:val="20"/>
          <w:szCs w:val="20"/>
        </w:rPr>
        <w:t xml:space="preserve"> Hospital’s</w:t>
      </w:r>
      <w:r w:rsidR="00E4493B" w:rsidRPr="00010F2F">
        <w:rPr>
          <w:rFonts w:ascii="Arial" w:eastAsia="Times New Roman" w:hAnsi="Arial" w:cs="Arial"/>
          <w:bCs/>
          <w:kern w:val="2"/>
          <w:sz w:val="20"/>
          <w:szCs w:val="20"/>
        </w:rPr>
        <w:t xml:space="preserve"> radiology suite.</w:t>
      </w:r>
      <w:r w:rsidR="00A94A83">
        <w:rPr>
          <w:rFonts w:ascii="Arial" w:eastAsia="Times New Roman" w:hAnsi="Arial" w:cs="Arial"/>
          <w:bCs/>
          <w:kern w:val="2"/>
          <w:sz w:val="20"/>
          <w:szCs w:val="20"/>
        </w:rPr>
        <w:t xml:space="preserve"> For the past three years</w:t>
      </w:r>
      <w:r w:rsidR="003A1468" w:rsidRPr="00010F2F">
        <w:rPr>
          <w:rFonts w:ascii="Arial" w:eastAsia="Times New Roman" w:hAnsi="Arial" w:cs="Arial"/>
          <w:bCs/>
          <w:kern w:val="2"/>
          <w:sz w:val="20"/>
          <w:szCs w:val="20"/>
        </w:rPr>
        <w:t>, CT utilization</w:t>
      </w:r>
      <w:r w:rsidR="00A94A83">
        <w:rPr>
          <w:rFonts w:ascii="Arial" w:eastAsia="Times New Roman" w:hAnsi="Arial" w:cs="Arial"/>
          <w:bCs/>
          <w:kern w:val="2"/>
          <w:sz w:val="20"/>
          <w:szCs w:val="20"/>
        </w:rPr>
        <w:t xml:space="preserve"> at CDH increased significantly and</w:t>
      </w:r>
      <w:r w:rsidR="003A1468" w:rsidRPr="00010F2F">
        <w:rPr>
          <w:rFonts w:ascii="Arial" w:eastAsia="Times New Roman" w:hAnsi="Arial" w:cs="Arial"/>
          <w:bCs/>
          <w:kern w:val="2"/>
          <w:sz w:val="20"/>
          <w:szCs w:val="20"/>
        </w:rPr>
        <w:t xml:space="preserve"> </w:t>
      </w:r>
      <w:r w:rsidR="00682CE5" w:rsidRPr="00010F2F">
        <w:rPr>
          <w:rFonts w:ascii="Arial" w:eastAsia="Times New Roman" w:hAnsi="Arial" w:cs="Arial"/>
          <w:bCs/>
          <w:kern w:val="2"/>
          <w:sz w:val="20"/>
          <w:szCs w:val="20"/>
        </w:rPr>
        <w:t>CDH projects</w:t>
      </w:r>
      <w:r w:rsidR="003A1468" w:rsidRPr="00010F2F">
        <w:rPr>
          <w:rFonts w:ascii="Arial" w:eastAsia="Times New Roman" w:hAnsi="Arial" w:cs="Arial"/>
          <w:bCs/>
          <w:kern w:val="2"/>
          <w:sz w:val="20"/>
          <w:szCs w:val="20"/>
        </w:rPr>
        <w:t xml:space="preserve"> that the need for CT services will</w:t>
      </w:r>
      <w:r w:rsidR="00682CE5" w:rsidRPr="00010F2F">
        <w:rPr>
          <w:rFonts w:ascii="Arial" w:eastAsia="Times New Roman" w:hAnsi="Arial" w:cs="Arial"/>
          <w:bCs/>
          <w:kern w:val="2"/>
          <w:sz w:val="20"/>
          <w:szCs w:val="20"/>
        </w:rPr>
        <w:t xml:space="preserve"> continue to</w:t>
      </w:r>
      <w:r w:rsidR="003A1468" w:rsidRPr="00010F2F">
        <w:rPr>
          <w:rFonts w:ascii="Arial" w:eastAsia="Times New Roman" w:hAnsi="Arial" w:cs="Arial"/>
          <w:bCs/>
          <w:kern w:val="2"/>
          <w:sz w:val="20"/>
          <w:szCs w:val="20"/>
        </w:rPr>
        <w:t xml:space="preserve"> increase into the future</w:t>
      </w:r>
      <w:r w:rsidR="00A94A83">
        <w:rPr>
          <w:rFonts w:ascii="Arial" w:eastAsia="Times New Roman" w:hAnsi="Arial" w:cs="Arial"/>
          <w:bCs/>
          <w:kern w:val="2"/>
          <w:sz w:val="20"/>
          <w:szCs w:val="20"/>
        </w:rPr>
        <w:t>.</w:t>
      </w:r>
      <w:r w:rsidR="003A1468" w:rsidRPr="00010F2F">
        <w:rPr>
          <w:rFonts w:ascii="Arial" w:eastAsia="Times New Roman" w:hAnsi="Arial" w:cs="Arial"/>
          <w:bCs/>
          <w:kern w:val="2"/>
          <w:sz w:val="20"/>
          <w:szCs w:val="20"/>
        </w:rPr>
        <w:t xml:space="preserve"> </w:t>
      </w:r>
      <w:r w:rsidR="00A94A83">
        <w:rPr>
          <w:rFonts w:ascii="Arial" w:eastAsia="Times New Roman" w:hAnsi="Arial" w:cs="Arial"/>
          <w:bCs/>
          <w:kern w:val="2"/>
          <w:sz w:val="20"/>
          <w:szCs w:val="20"/>
        </w:rPr>
        <w:t>The addition of a third CT unit within the ED will ensure continued and timely access to CT for the Patient Panel.</w:t>
      </w:r>
    </w:p>
    <w:p w14:paraId="57EB7E65" w14:textId="77777777" w:rsidR="00436E04" w:rsidRPr="00010F2F" w:rsidRDefault="00436E04" w:rsidP="008625A0">
      <w:pPr>
        <w:spacing w:after="0" w:line="240" w:lineRule="auto"/>
        <w:jc w:val="both"/>
        <w:rPr>
          <w:rFonts w:ascii="Arial" w:eastAsia="Times New Roman" w:hAnsi="Arial" w:cs="Arial"/>
          <w:b/>
          <w:kern w:val="2"/>
          <w:sz w:val="20"/>
          <w:szCs w:val="20"/>
        </w:rPr>
      </w:pPr>
    </w:p>
    <w:p w14:paraId="10EEDF82" w14:textId="6DED6079" w:rsidR="00436E04" w:rsidRPr="00010F2F" w:rsidRDefault="00BD1224" w:rsidP="006F6754">
      <w:pPr>
        <w:pStyle w:val="ListParagraph"/>
        <w:numPr>
          <w:ilvl w:val="0"/>
          <w:numId w:val="3"/>
        </w:numPr>
        <w:spacing w:after="0" w:line="240" w:lineRule="auto"/>
        <w:ind w:left="360"/>
        <w:jc w:val="both"/>
        <w:rPr>
          <w:rFonts w:ascii="Arial" w:eastAsia="Times New Roman" w:hAnsi="Arial" w:cs="Arial"/>
          <w:bCs/>
          <w:kern w:val="2"/>
          <w:sz w:val="20"/>
          <w:szCs w:val="20"/>
          <w:u w:val="single"/>
        </w:rPr>
      </w:pPr>
      <w:r w:rsidRPr="00010F2F">
        <w:rPr>
          <w:rFonts w:ascii="Arial" w:eastAsia="Times New Roman" w:hAnsi="Arial" w:cs="Arial"/>
          <w:bCs/>
          <w:kern w:val="2"/>
          <w:sz w:val="20"/>
          <w:szCs w:val="20"/>
          <w:u w:val="single"/>
        </w:rPr>
        <w:lastRenderedPageBreak/>
        <w:t>Historical Utilization</w:t>
      </w:r>
    </w:p>
    <w:p w14:paraId="5EC1A1CF" w14:textId="3632C2B3" w:rsidR="00BD1224" w:rsidRPr="00010F2F" w:rsidRDefault="00A10A48" w:rsidP="00A10A48">
      <w:pPr>
        <w:spacing w:after="0" w:line="240" w:lineRule="auto"/>
        <w:jc w:val="both"/>
        <w:rPr>
          <w:rFonts w:ascii="Arial" w:eastAsia="Times New Roman" w:hAnsi="Arial" w:cs="Arial"/>
          <w:bCs/>
          <w:i/>
          <w:iCs/>
          <w:kern w:val="2"/>
          <w:sz w:val="20"/>
          <w:szCs w:val="20"/>
        </w:rPr>
      </w:pPr>
      <w:r w:rsidRPr="00010F2F">
        <w:rPr>
          <w:rFonts w:ascii="Arial" w:eastAsia="Times New Roman" w:hAnsi="Arial" w:cs="Arial"/>
          <w:bCs/>
          <w:i/>
          <w:iCs/>
          <w:kern w:val="2"/>
          <w:sz w:val="20"/>
          <w:szCs w:val="20"/>
        </w:rPr>
        <w:t xml:space="preserve"> </w:t>
      </w:r>
    </w:p>
    <w:p w14:paraId="6AC68F1B" w14:textId="57CA0408" w:rsidR="002C783A" w:rsidRDefault="00CF70ED" w:rsidP="002C783A">
      <w:pPr>
        <w:spacing w:after="0" w:line="240" w:lineRule="auto"/>
        <w:jc w:val="both"/>
        <w:rPr>
          <w:rFonts w:ascii="Arial" w:hAnsi="Arial" w:cs="Arial"/>
          <w:sz w:val="20"/>
          <w:szCs w:val="20"/>
        </w:rPr>
      </w:pPr>
      <w:r>
        <w:rPr>
          <w:rFonts w:ascii="Arial" w:eastAsia="Times New Roman" w:hAnsi="Arial" w:cs="Arial"/>
          <w:bCs/>
          <w:kern w:val="2"/>
          <w:sz w:val="20"/>
          <w:szCs w:val="20"/>
        </w:rPr>
        <w:t xml:space="preserve">Since FY20, </w:t>
      </w:r>
      <w:r w:rsidR="00633518">
        <w:rPr>
          <w:rFonts w:ascii="Arial" w:eastAsia="Times New Roman" w:hAnsi="Arial" w:cs="Arial"/>
          <w:bCs/>
          <w:kern w:val="2"/>
          <w:sz w:val="20"/>
          <w:szCs w:val="20"/>
        </w:rPr>
        <w:t xml:space="preserve">CT volume </w:t>
      </w:r>
      <w:r w:rsidR="00793441">
        <w:rPr>
          <w:rFonts w:ascii="Arial" w:eastAsia="Times New Roman" w:hAnsi="Arial" w:cs="Arial"/>
          <w:bCs/>
          <w:kern w:val="2"/>
          <w:sz w:val="20"/>
          <w:szCs w:val="20"/>
        </w:rPr>
        <w:t>at CDH</w:t>
      </w:r>
      <w:r w:rsidR="00A94A83">
        <w:rPr>
          <w:rFonts w:ascii="Arial" w:eastAsia="Times New Roman" w:hAnsi="Arial" w:cs="Arial"/>
          <w:bCs/>
          <w:kern w:val="2"/>
          <w:sz w:val="20"/>
          <w:szCs w:val="20"/>
        </w:rPr>
        <w:t xml:space="preserve"> has increased each year</w:t>
      </w:r>
      <w:r w:rsidR="00793441">
        <w:rPr>
          <w:rFonts w:ascii="Arial" w:eastAsia="Times New Roman" w:hAnsi="Arial" w:cs="Arial"/>
          <w:bCs/>
          <w:kern w:val="2"/>
          <w:sz w:val="20"/>
          <w:szCs w:val="20"/>
        </w:rPr>
        <w:t xml:space="preserve">. </w:t>
      </w:r>
      <w:r w:rsidR="00BB5B88" w:rsidRPr="00010F2F">
        <w:rPr>
          <w:rFonts w:ascii="Arial" w:eastAsia="Times New Roman" w:hAnsi="Arial" w:cs="Arial"/>
          <w:bCs/>
          <w:kern w:val="2"/>
          <w:sz w:val="20"/>
          <w:szCs w:val="20"/>
        </w:rPr>
        <w:t>As illustrated in the table below, f</w:t>
      </w:r>
      <w:r w:rsidR="00CC694E" w:rsidRPr="00010F2F">
        <w:rPr>
          <w:rFonts w:ascii="Arial" w:eastAsia="Times New Roman" w:hAnsi="Arial" w:cs="Arial"/>
          <w:bCs/>
          <w:kern w:val="2"/>
          <w:sz w:val="20"/>
          <w:szCs w:val="20"/>
        </w:rPr>
        <w:t xml:space="preserve">rom FY20 to FY22 there was a </w:t>
      </w:r>
      <w:r w:rsidR="00772B6C">
        <w:rPr>
          <w:rFonts w:ascii="Arial" w:eastAsia="Times New Roman" w:hAnsi="Arial" w:cs="Arial"/>
          <w:bCs/>
          <w:kern w:val="2"/>
          <w:sz w:val="20"/>
          <w:szCs w:val="20"/>
        </w:rPr>
        <w:t>43.34</w:t>
      </w:r>
      <w:r w:rsidR="00CC694E" w:rsidRPr="00010F2F">
        <w:rPr>
          <w:rFonts w:ascii="Arial" w:eastAsia="Times New Roman" w:hAnsi="Arial" w:cs="Arial"/>
          <w:bCs/>
          <w:kern w:val="2"/>
          <w:sz w:val="20"/>
          <w:szCs w:val="20"/>
        </w:rPr>
        <w:t>% increase in total CT scan volume; a 63.58% increase in ED CT volume</w:t>
      </w:r>
      <w:r w:rsidR="00A94A83">
        <w:rPr>
          <w:rFonts w:ascii="Arial" w:eastAsia="Times New Roman" w:hAnsi="Arial" w:cs="Arial"/>
          <w:bCs/>
          <w:kern w:val="2"/>
          <w:sz w:val="20"/>
          <w:szCs w:val="20"/>
        </w:rPr>
        <w:t xml:space="preserve">; </w:t>
      </w:r>
      <w:r w:rsidR="00CC694E" w:rsidRPr="00010F2F">
        <w:rPr>
          <w:rFonts w:ascii="Arial" w:eastAsia="Times New Roman" w:hAnsi="Arial" w:cs="Arial"/>
          <w:bCs/>
          <w:kern w:val="2"/>
          <w:sz w:val="20"/>
          <w:szCs w:val="20"/>
        </w:rPr>
        <w:t xml:space="preserve">and a </w:t>
      </w:r>
      <w:r w:rsidR="00772B6C">
        <w:rPr>
          <w:rFonts w:ascii="Arial" w:eastAsia="Times New Roman" w:hAnsi="Arial" w:cs="Arial"/>
          <w:bCs/>
          <w:kern w:val="2"/>
          <w:sz w:val="20"/>
          <w:szCs w:val="20"/>
        </w:rPr>
        <w:t>32.77</w:t>
      </w:r>
      <w:r w:rsidR="00CC694E" w:rsidRPr="00010F2F">
        <w:rPr>
          <w:rFonts w:ascii="Arial" w:eastAsia="Times New Roman" w:hAnsi="Arial" w:cs="Arial"/>
          <w:bCs/>
          <w:kern w:val="2"/>
          <w:sz w:val="20"/>
          <w:szCs w:val="20"/>
        </w:rPr>
        <w:t>% increase in all other CT scans volume.</w:t>
      </w:r>
      <w:r w:rsidR="007B008E">
        <w:rPr>
          <w:rFonts w:ascii="Arial" w:eastAsia="Times New Roman" w:hAnsi="Arial" w:cs="Arial"/>
          <w:bCs/>
          <w:kern w:val="2"/>
          <w:sz w:val="20"/>
          <w:szCs w:val="20"/>
        </w:rPr>
        <w:t xml:space="preserve"> </w:t>
      </w:r>
      <w:r w:rsidR="00A94A83">
        <w:rPr>
          <w:rFonts w:ascii="Arial" w:eastAsia="Times New Roman" w:hAnsi="Arial" w:cs="Arial"/>
          <w:bCs/>
          <w:kern w:val="2"/>
          <w:sz w:val="20"/>
          <w:szCs w:val="20"/>
        </w:rPr>
        <w:t>Further, i</w:t>
      </w:r>
      <w:r w:rsidR="00BB5B88" w:rsidRPr="00010F2F">
        <w:rPr>
          <w:rFonts w:ascii="Arial" w:hAnsi="Arial" w:cs="Arial"/>
          <w:sz w:val="20"/>
          <w:szCs w:val="20"/>
        </w:rPr>
        <w:t xml:space="preserve">n FY22, ED CT scan volume accounted for approximately </w:t>
      </w:r>
      <w:r w:rsidR="00772B6C">
        <w:rPr>
          <w:rFonts w:ascii="Arial" w:hAnsi="Arial" w:cs="Arial"/>
          <w:sz w:val="20"/>
          <w:szCs w:val="20"/>
        </w:rPr>
        <w:t>60</w:t>
      </w:r>
      <w:r w:rsidR="00BB5B88" w:rsidRPr="00010F2F">
        <w:rPr>
          <w:rFonts w:ascii="Arial" w:hAnsi="Arial" w:cs="Arial"/>
          <w:sz w:val="20"/>
          <w:szCs w:val="20"/>
        </w:rPr>
        <w:t>% of CDH’s CT volume.</w:t>
      </w:r>
      <w:r w:rsidR="00857F5D">
        <w:rPr>
          <w:rFonts w:ascii="Arial" w:hAnsi="Arial" w:cs="Arial"/>
          <w:sz w:val="20"/>
          <w:szCs w:val="20"/>
        </w:rPr>
        <w:t xml:space="preserve"> </w:t>
      </w:r>
    </w:p>
    <w:p w14:paraId="0E63DC18" w14:textId="27FF4A41" w:rsidR="00A94A83" w:rsidRDefault="00A94A83" w:rsidP="002C783A">
      <w:pPr>
        <w:spacing w:after="0" w:line="240" w:lineRule="auto"/>
        <w:jc w:val="both"/>
        <w:rPr>
          <w:rFonts w:ascii="Arial" w:hAnsi="Arial" w:cs="Arial"/>
          <w:sz w:val="20"/>
          <w:szCs w:val="20"/>
        </w:rPr>
      </w:pPr>
    </w:p>
    <w:p w14:paraId="614C45C8" w14:textId="77777777" w:rsidR="00A94A83" w:rsidRPr="00010F2F" w:rsidRDefault="00A94A83" w:rsidP="00A94A83">
      <w:pPr>
        <w:pStyle w:val="Heading2"/>
      </w:pPr>
      <w:r w:rsidRPr="00010F2F">
        <w:t xml:space="preserve">Table 3: Historical CT Volume </w:t>
      </w:r>
    </w:p>
    <w:tbl>
      <w:tblPr>
        <w:tblStyle w:val="TableGrid"/>
        <w:tblW w:w="9033" w:type="dxa"/>
        <w:tblLayout w:type="fixed"/>
        <w:tblLook w:val="04A0" w:firstRow="1" w:lastRow="0" w:firstColumn="1" w:lastColumn="0" w:noHBand="0" w:noVBand="1"/>
      </w:tblPr>
      <w:tblGrid>
        <w:gridCol w:w="2704"/>
        <w:gridCol w:w="939"/>
        <w:gridCol w:w="914"/>
        <w:gridCol w:w="914"/>
        <w:gridCol w:w="1012"/>
        <w:gridCol w:w="1012"/>
        <w:gridCol w:w="1538"/>
      </w:tblGrid>
      <w:tr w:rsidR="00A94A83" w:rsidRPr="00010F2F" w14:paraId="58C2814A" w14:textId="77777777" w:rsidTr="003053A4">
        <w:trPr>
          <w:cantSplit/>
          <w:trHeight w:val="629"/>
          <w:tblHeader/>
        </w:trPr>
        <w:tc>
          <w:tcPr>
            <w:tcW w:w="2704" w:type="dxa"/>
            <w:shd w:val="clear" w:color="auto" w:fill="D9E2F3" w:themeFill="accent1" w:themeFillTint="33"/>
            <w:vAlign w:val="bottom"/>
          </w:tcPr>
          <w:p w14:paraId="461DE572" w14:textId="01ED4DEB" w:rsidR="00A94A83" w:rsidRPr="00F57939" w:rsidRDefault="00F57939" w:rsidP="00F57939">
            <w:pPr>
              <w:pStyle w:val="BodyText2"/>
              <w:jc w:val="center"/>
              <w:rPr>
                <w:b/>
                <w:bCs/>
                <w:sz w:val="18"/>
                <w:szCs w:val="18"/>
              </w:rPr>
            </w:pPr>
            <w:r>
              <w:rPr>
                <w:b/>
                <w:bCs/>
                <w:sz w:val="18"/>
                <w:szCs w:val="18"/>
              </w:rPr>
              <w:t>CT Volume</w:t>
            </w:r>
          </w:p>
        </w:tc>
        <w:tc>
          <w:tcPr>
            <w:tcW w:w="939" w:type="dxa"/>
            <w:shd w:val="clear" w:color="auto" w:fill="D9E2F3" w:themeFill="accent1" w:themeFillTint="33"/>
            <w:vAlign w:val="center"/>
          </w:tcPr>
          <w:p w14:paraId="03F80D73" w14:textId="77777777" w:rsidR="00A94A83" w:rsidRPr="00413B69" w:rsidRDefault="00A94A83" w:rsidP="00110E3C">
            <w:pPr>
              <w:pStyle w:val="BodyText2"/>
              <w:jc w:val="center"/>
              <w:rPr>
                <w:b/>
                <w:bCs/>
                <w:color w:val="000000"/>
                <w:sz w:val="18"/>
                <w:szCs w:val="18"/>
              </w:rPr>
            </w:pPr>
            <w:r w:rsidRPr="00413B69">
              <w:rPr>
                <w:b/>
                <w:bCs/>
                <w:color w:val="000000"/>
                <w:sz w:val="18"/>
                <w:szCs w:val="18"/>
              </w:rPr>
              <w:t>FY20</w:t>
            </w:r>
          </w:p>
        </w:tc>
        <w:tc>
          <w:tcPr>
            <w:tcW w:w="914" w:type="dxa"/>
            <w:shd w:val="clear" w:color="auto" w:fill="D9E2F3" w:themeFill="accent1" w:themeFillTint="33"/>
          </w:tcPr>
          <w:p w14:paraId="5E28AFBF" w14:textId="77777777" w:rsidR="00A94A83" w:rsidRPr="00413B69" w:rsidRDefault="00A94A83" w:rsidP="00110E3C">
            <w:pPr>
              <w:pStyle w:val="BodyText2"/>
              <w:jc w:val="center"/>
              <w:rPr>
                <w:b/>
                <w:bCs/>
                <w:color w:val="000000"/>
                <w:sz w:val="18"/>
                <w:szCs w:val="18"/>
              </w:rPr>
            </w:pPr>
          </w:p>
          <w:p w14:paraId="59EB0A5A" w14:textId="77777777" w:rsidR="00A94A83" w:rsidRPr="00413B69" w:rsidRDefault="00A94A83" w:rsidP="00110E3C">
            <w:pPr>
              <w:pStyle w:val="BodyText2"/>
              <w:jc w:val="center"/>
              <w:rPr>
                <w:b/>
                <w:bCs/>
                <w:color w:val="000000"/>
                <w:sz w:val="18"/>
                <w:szCs w:val="18"/>
              </w:rPr>
            </w:pPr>
            <w:r w:rsidRPr="00413B69">
              <w:rPr>
                <w:b/>
                <w:bCs/>
                <w:color w:val="000000"/>
                <w:sz w:val="18"/>
                <w:szCs w:val="18"/>
              </w:rPr>
              <w:t>Percent  Change</w:t>
            </w:r>
          </w:p>
        </w:tc>
        <w:tc>
          <w:tcPr>
            <w:tcW w:w="914" w:type="dxa"/>
            <w:shd w:val="clear" w:color="auto" w:fill="D9E2F3" w:themeFill="accent1" w:themeFillTint="33"/>
            <w:vAlign w:val="center"/>
          </w:tcPr>
          <w:p w14:paraId="28F901FA" w14:textId="77777777" w:rsidR="00A94A83" w:rsidRPr="00413B69" w:rsidRDefault="00A94A83" w:rsidP="00110E3C">
            <w:pPr>
              <w:pStyle w:val="BodyText2"/>
              <w:jc w:val="center"/>
              <w:rPr>
                <w:b/>
                <w:bCs/>
                <w:color w:val="000000"/>
                <w:sz w:val="18"/>
                <w:szCs w:val="18"/>
              </w:rPr>
            </w:pPr>
            <w:r w:rsidRPr="00413B69">
              <w:rPr>
                <w:b/>
                <w:bCs/>
                <w:color w:val="000000"/>
                <w:sz w:val="18"/>
                <w:szCs w:val="18"/>
              </w:rPr>
              <w:t>FY21</w:t>
            </w:r>
          </w:p>
        </w:tc>
        <w:tc>
          <w:tcPr>
            <w:tcW w:w="1012" w:type="dxa"/>
            <w:shd w:val="clear" w:color="auto" w:fill="D9E2F3" w:themeFill="accent1" w:themeFillTint="33"/>
          </w:tcPr>
          <w:p w14:paraId="73CDA125" w14:textId="77777777" w:rsidR="00A94A83" w:rsidRPr="00413B69" w:rsidRDefault="00A94A83" w:rsidP="00110E3C">
            <w:pPr>
              <w:pStyle w:val="BodyText2"/>
              <w:jc w:val="center"/>
              <w:rPr>
                <w:b/>
                <w:bCs/>
                <w:color w:val="000000"/>
                <w:sz w:val="18"/>
                <w:szCs w:val="18"/>
              </w:rPr>
            </w:pPr>
          </w:p>
          <w:p w14:paraId="32ABF3AA" w14:textId="77777777" w:rsidR="00A94A83" w:rsidRPr="00413B69" w:rsidRDefault="00A94A83" w:rsidP="00110E3C">
            <w:pPr>
              <w:pStyle w:val="BodyText2"/>
              <w:jc w:val="center"/>
              <w:rPr>
                <w:b/>
                <w:bCs/>
                <w:color w:val="000000"/>
                <w:sz w:val="18"/>
                <w:szCs w:val="18"/>
              </w:rPr>
            </w:pPr>
            <w:r w:rsidRPr="00413B69">
              <w:rPr>
                <w:b/>
                <w:bCs/>
                <w:color w:val="000000"/>
                <w:sz w:val="18"/>
                <w:szCs w:val="18"/>
              </w:rPr>
              <w:t>Percent  Change</w:t>
            </w:r>
          </w:p>
        </w:tc>
        <w:tc>
          <w:tcPr>
            <w:tcW w:w="1012" w:type="dxa"/>
            <w:shd w:val="clear" w:color="auto" w:fill="D9E2F3" w:themeFill="accent1" w:themeFillTint="33"/>
            <w:vAlign w:val="center"/>
          </w:tcPr>
          <w:p w14:paraId="09AF97E7" w14:textId="77777777" w:rsidR="00A94A83" w:rsidRPr="00413B69" w:rsidRDefault="00A94A83" w:rsidP="00110E3C">
            <w:pPr>
              <w:pStyle w:val="BodyText2"/>
              <w:jc w:val="center"/>
              <w:rPr>
                <w:b/>
                <w:bCs/>
                <w:color w:val="000000"/>
                <w:sz w:val="18"/>
                <w:szCs w:val="18"/>
              </w:rPr>
            </w:pPr>
            <w:r w:rsidRPr="00413B69">
              <w:rPr>
                <w:b/>
                <w:bCs/>
                <w:color w:val="000000"/>
                <w:sz w:val="18"/>
                <w:szCs w:val="18"/>
              </w:rPr>
              <w:t>FY22</w:t>
            </w:r>
          </w:p>
        </w:tc>
        <w:tc>
          <w:tcPr>
            <w:tcW w:w="1538" w:type="dxa"/>
            <w:shd w:val="clear" w:color="auto" w:fill="D9E2F3" w:themeFill="accent1" w:themeFillTint="33"/>
            <w:vAlign w:val="bottom"/>
          </w:tcPr>
          <w:p w14:paraId="306335E9" w14:textId="77777777" w:rsidR="00A94A83" w:rsidRPr="00413B69" w:rsidRDefault="00A94A83" w:rsidP="00110E3C">
            <w:pPr>
              <w:pStyle w:val="BodyText2"/>
              <w:jc w:val="center"/>
              <w:rPr>
                <w:b/>
                <w:bCs/>
                <w:sz w:val="18"/>
                <w:szCs w:val="18"/>
              </w:rPr>
            </w:pPr>
            <w:r w:rsidRPr="00413B69">
              <w:rPr>
                <w:b/>
                <w:bCs/>
                <w:sz w:val="18"/>
                <w:szCs w:val="18"/>
              </w:rPr>
              <w:t>Percent Change from FY20 to FY22</w:t>
            </w:r>
          </w:p>
          <w:p w14:paraId="6917FFF0" w14:textId="77777777" w:rsidR="00A94A83" w:rsidRPr="00413B69" w:rsidRDefault="00A94A83" w:rsidP="00110E3C">
            <w:pPr>
              <w:pStyle w:val="BodyText2"/>
              <w:jc w:val="center"/>
              <w:rPr>
                <w:sz w:val="18"/>
                <w:szCs w:val="18"/>
              </w:rPr>
            </w:pPr>
          </w:p>
        </w:tc>
      </w:tr>
      <w:tr w:rsidR="00A94A83" w:rsidRPr="00010F2F" w14:paraId="59E5870B" w14:textId="77777777" w:rsidTr="003053A4">
        <w:trPr>
          <w:cantSplit/>
          <w:trHeight w:val="272"/>
        </w:trPr>
        <w:tc>
          <w:tcPr>
            <w:tcW w:w="2704" w:type="dxa"/>
            <w:vAlign w:val="center"/>
          </w:tcPr>
          <w:p w14:paraId="38E6CB53" w14:textId="77777777" w:rsidR="00A94A83" w:rsidRPr="00413B69" w:rsidRDefault="00A94A83" w:rsidP="009405FD">
            <w:pPr>
              <w:pStyle w:val="BodyText2"/>
              <w:jc w:val="center"/>
              <w:rPr>
                <w:sz w:val="18"/>
                <w:szCs w:val="18"/>
              </w:rPr>
            </w:pPr>
            <w:r w:rsidRPr="00413B69">
              <w:rPr>
                <w:b/>
                <w:bCs/>
                <w:color w:val="000000"/>
                <w:sz w:val="18"/>
                <w:szCs w:val="18"/>
              </w:rPr>
              <w:t>Emergency Department</w:t>
            </w:r>
          </w:p>
        </w:tc>
        <w:tc>
          <w:tcPr>
            <w:tcW w:w="939" w:type="dxa"/>
            <w:vAlign w:val="center"/>
          </w:tcPr>
          <w:p w14:paraId="09130805" w14:textId="77777777" w:rsidR="00A94A83" w:rsidRPr="00413B69" w:rsidRDefault="00A94A83" w:rsidP="009405FD">
            <w:pPr>
              <w:pStyle w:val="BodyText2"/>
              <w:spacing w:line="720" w:lineRule="auto"/>
              <w:jc w:val="center"/>
              <w:rPr>
                <w:color w:val="000000"/>
                <w:sz w:val="18"/>
                <w:szCs w:val="18"/>
              </w:rPr>
            </w:pPr>
            <w:r w:rsidRPr="00413B69">
              <w:rPr>
                <w:color w:val="000000"/>
                <w:sz w:val="18"/>
                <w:szCs w:val="18"/>
              </w:rPr>
              <w:t>5,005</w:t>
            </w:r>
          </w:p>
        </w:tc>
        <w:tc>
          <w:tcPr>
            <w:tcW w:w="914" w:type="dxa"/>
            <w:vAlign w:val="center"/>
          </w:tcPr>
          <w:p w14:paraId="3A276BA1" w14:textId="77777777" w:rsidR="00A94A83" w:rsidRPr="00413B69" w:rsidRDefault="00A94A83" w:rsidP="009405FD">
            <w:pPr>
              <w:pStyle w:val="BodyText2"/>
              <w:spacing w:line="720" w:lineRule="auto"/>
              <w:jc w:val="center"/>
              <w:rPr>
                <w:sz w:val="18"/>
                <w:szCs w:val="18"/>
              </w:rPr>
            </w:pPr>
            <w:r w:rsidRPr="00413B69">
              <w:rPr>
                <w:sz w:val="18"/>
                <w:szCs w:val="18"/>
              </w:rPr>
              <w:t>25.45%</w:t>
            </w:r>
          </w:p>
        </w:tc>
        <w:tc>
          <w:tcPr>
            <w:tcW w:w="914" w:type="dxa"/>
            <w:vAlign w:val="center"/>
          </w:tcPr>
          <w:p w14:paraId="1558C1BA" w14:textId="77777777" w:rsidR="00A94A83" w:rsidRPr="00413B69" w:rsidRDefault="00A94A83" w:rsidP="009405FD">
            <w:pPr>
              <w:pStyle w:val="BodyText2"/>
              <w:spacing w:line="720" w:lineRule="auto"/>
              <w:jc w:val="center"/>
              <w:rPr>
                <w:sz w:val="18"/>
                <w:szCs w:val="18"/>
              </w:rPr>
            </w:pPr>
            <w:r w:rsidRPr="00413B69">
              <w:rPr>
                <w:sz w:val="18"/>
                <w:szCs w:val="18"/>
              </w:rPr>
              <w:t>6,279</w:t>
            </w:r>
          </w:p>
        </w:tc>
        <w:tc>
          <w:tcPr>
            <w:tcW w:w="1012" w:type="dxa"/>
            <w:vAlign w:val="center"/>
          </w:tcPr>
          <w:p w14:paraId="090CC5EE" w14:textId="77777777" w:rsidR="00A94A83" w:rsidRPr="00413B69" w:rsidRDefault="00A94A83" w:rsidP="009405FD">
            <w:pPr>
              <w:pStyle w:val="BodyText2"/>
              <w:spacing w:line="720" w:lineRule="auto"/>
              <w:jc w:val="center"/>
              <w:rPr>
                <w:color w:val="000000"/>
                <w:sz w:val="18"/>
                <w:szCs w:val="18"/>
              </w:rPr>
            </w:pPr>
            <w:r w:rsidRPr="00413B69">
              <w:rPr>
                <w:color w:val="000000"/>
                <w:sz w:val="18"/>
                <w:szCs w:val="18"/>
              </w:rPr>
              <w:t>30.39%</w:t>
            </w:r>
          </w:p>
        </w:tc>
        <w:tc>
          <w:tcPr>
            <w:tcW w:w="1012" w:type="dxa"/>
            <w:vAlign w:val="center"/>
          </w:tcPr>
          <w:p w14:paraId="4A11E845" w14:textId="77777777" w:rsidR="00A94A83" w:rsidRPr="00413B69" w:rsidRDefault="00A94A83" w:rsidP="009405FD">
            <w:pPr>
              <w:pStyle w:val="BodyText2"/>
              <w:spacing w:line="720" w:lineRule="auto"/>
              <w:jc w:val="center"/>
              <w:rPr>
                <w:color w:val="000000"/>
                <w:sz w:val="18"/>
                <w:szCs w:val="18"/>
              </w:rPr>
            </w:pPr>
            <w:r w:rsidRPr="00413B69">
              <w:rPr>
                <w:color w:val="000000"/>
                <w:sz w:val="18"/>
                <w:szCs w:val="18"/>
              </w:rPr>
              <w:t>8,187</w:t>
            </w:r>
          </w:p>
        </w:tc>
        <w:tc>
          <w:tcPr>
            <w:tcW w:w="1538" w:type="dxa"/>
            <w:vAlign w:val="center"/>
          </w:tcPr>
          <w:p w14:paraId="2C086A5F" w14:textId="77777777" w:rsidR="00A94A83" w:rsidRPr="00413B69" w:rsidRDefault="00A94A83" w:rsidP="009405FD">
            <w:pPr>
              <w:pStyle w:val="BodyText2"/>
              <w:spacing w:line="720" w:lineRule="auto"/>
              <w:jc w:val="center"/>
              <w:rPr>
                <w:sz w:val="18"/>
                <w:szCs w:val="18"/>
              </w:rPr>
            </w:pPr>
            <w:r w:rsidRPr="00413B69">
              <w:rPr>
                <w:color w:val="000000"/>
                <w:sz w:val="18"/>
                <w:szCs w:val="18"/>
              </w:rPr>
              <w:t>63.58%</w:t>
            </w:r>
          </w:p>
        </w:tc>
      </w:tr>
      <w:tr w:rsidR="00A94A83" w:rsidRPr="00010F2F" w14:paraId="117229BB" w14:textId="77777777" w:rsidTr="003053A4">
        <w:trPr>
          <w:cantSplit/>
          <w:trHeight w:val="265"/>
        </w:trPr>
        <w:tc>
          <w:tcPr>
            <w:tcW w:w="2704" w:type="dxa"/>
            <w:vAlign w:val="center"/>
          </w:tcPr>
          <w:p w14:paraId="557A843E" w14:textId="77777777" w:rsidR="00A94A83" w:rsidRPr="00413B69" w:rsidRDefault="00A94A83" w:rsidP="009405FD">
            <w:pPr>
              <w:pStyle w:val="BodyText2"/>
              <w:jc w:val="center"/>
              <w:rPr>
                <w:sz w:val="18"/>
                <w:szCs w:val="18"/>
              </w:rPr>
            </w:pPr>
            <w:r w:rsidRPr="00413B69">
              <w:rPr>
                <w:b/>
                <w:bCs/>
                <w:color w:val="000000"/>
                <w:sz w:val="18"/>
                <w:szCs w:val="18"/>
              </w:rPr>
              <w:t>Total CT Volume (Excluding ED)</w:t>
            </w:r>
          </w:p>
        </w:tc>
        <w:tc>
          <w:tcPr>
            <w:tcW w:w="939" w:type="dxa"/>
            <w:vAlign w:val="center"/>
          </w:tcPr>
          <w:p w14:paraId="583010CB" w14:textId="4CDD8040" w:rsidR="00A94A83" w:rsidRPr="00413B69" w:rsidRDefault="00A94A83" w:rsidP="009405FD">
            <w:pPr>
              <w:pStyle w:val="BodyText2"/>
              <w:spacing w:line="720" w:lineRule="auto"/>
              <w:jc w:val="center"/>
              <w:rPr>
                <w:color w:val="000000"/>
                <w:sz w:val="18"/>
                <w:szCs w:val="18"/>
              </w:rPr>
            </w:pPr>
            <w:r w:rsidRPr="00413B69">
              <w:rPr>
                <w:color w:val="000000"/>
                <w:sz w:val="18"/>
                <w:szCs w:val="18"/>
              </w:rPr>
              <w:t>9,</w:t>
            </w:r>
            <w:r w:rsidR="00772B6C" w:rsidRPr="00413B69">
              <w:rPr>
                <w:color w:val="000000"/>
                <w:sz w:val="18"/>
                <w:szCs w:val="18"/>
              </w:rPr>
              <w:t>584</w:t>
            </w:r>
          </w:p>
        </w:tc>
        <w:tc>
          <w:tcPr>
            <w:tcW w:w="914" w:type="dxa"/>
            <w:vAlign w:val="center"/>
          </w:tcPr>
          <w:p w14:paraId="47012685" w14:textId="11FD0318" w:rsidR="00A94A83" w:rsidRPr="00413B69" w:rsidRDefault="00772B6C" w:rsidP="009405FD">
            <w:pPr>
              <w:pStyle w:val="BodyText2"/>
              <w:spacing w:line="720" w:lineRule="auto"/>
              <w:jc w:val="center"/>
              <w:rPr>
                <w:color w:val="000000"/>
                <w:sz w:val="18"/>
                <w:szCs w:val="18"/>
              </w:rPr>
            </w:pPr>
            <w:r w:rsidRPr="00413B69">
              <w:rPr>
                <w:color w:val="000000"/>
                <w:sz w:val="18"/>
                <w:szCs w:val="18"/>
              </w:rPr>
              <w:t>22.20</w:t>
            </w:r>
            <w:r w:rsidR="00A94A83" w:rsidRPr="00413B69">
              <w:rPr>
                <w:color w:val="000000"/>
                <w:sz w:val="18"/>
                <w:szCs w:val="18"/>
              </w:rPr>
              <w:t>%</w:t>
            </w:r>
          </w:p>
        </w:tc>
        <w:tc>
          <w:tcPr>
            <w:tcW w:w="914" w:type="dxa"/>
            <w:vAlign w:val="center"/>
          </w:tcPr>
          <w:p w14:paraId="122F8FF1" w14:textId="2E0B7681" w:rsidR="00A94A83" w:rsidRPr="00413B69" w:rsidRDefault="00A94A83" w:rsidP="009405FD">
            <w:pPr>
              <w:pStyle w:val="BodyText2"/>
              <w:spacing w:line="720" w:lineRule="auto"/>
              <w:jc w:val="center"/>
              <w:rPr>
                <w:color w:val="000000"/>
                <w:sz w:val="18"/>
                <w:szCs w:val="18"/>
              </w:rPr>
            </w:pPr>
            <w:r w:rsidRPr="00413B69">
              <w:rPr>
                <w:color w:val="000000"/>
                <w:sz w:val="18"/>
                <w:szCs w:val="18"/>
              </w:rPr>
              <w:t>11,</w:t>
            </w:r>
            <w:r w:rsidR="00772B6C" w:rsidRPr="00413B69">
              <w:rPr>
                <w:color w:val="000000"/>
                <w:sz w:val="18"/>
                <w:szCs w:val="18"/>
              </w:rPr>
              <w:t>712</w:t>
            </w:r>
          </w:p>
        </w:tc>
        <w:tc>
          <w:tcPr>
            <w:tcW w:w="1012" w:type="dxa"/>
            <w:vAlign w:val="center"/>
          </w:tcPr>
          <w:p w14:paraId="45B1B8F0" w14:textId="521E4C08" w:rsidR="00A94A83" w:rsidRPr="00413B69" w:rsidRDefault="00A94A83" w:rsidP="009405FD">
            <w:pPr>
              <w:pStyle w:val="BodyText2"/>
              <w:spacing w:line="720" w:lineRule="auto"/>
              <w:jc w:val="center"/>
              <w:rPr>
                <w:color w:val="000000"/>
                <w:sz w:val="18"/>
                <w:szCs w:val="18"/>
              </w:rPr>
            </w:pPr>
            <w:r w:rsidRPr="00413B69">
              <w:rPr>
                <w:color w:val="000000"/>
                <w:sz w:val="18"/>
                <w:szCs w:val="18"/>
              </w:rPr>
              <w:t>8.</w:t>
            </w:r>
            <w:r w:rsidR="00772B6C" w:rsidRPr="00413B69">
              <w:rPr>
                <w:color w:val="000000"/>
                <w:sz w:val="18"/>
                <w:szCs w:val="18"/>
              </w:rPr>
              <w:t>65</w:t>
            </w:r>
            <w:r w:rsidRPr="00413B69">
              <w:rPr>
                <w:color w:val="000000"/>
                <w:sz w:val="18"/>
                <w:szCs w:val="18"/>
              </w:rPr>
              <w:t>%</w:t>
            </w:r>
          </w:p>
        </w:tc>
        <w:tc>
          <w:tcPr>
            <w:tcW w:w="1012" w:type="dxa"/>
            <w:vAlign w:val="center"/>
          </w:tcPr>
          <w:p w14:paraId="4E10A55B" w14:textId="1EAA5BC9" w:rsidR="00A94A83" w:rsidRPr="00413B69" w:rsidRDefault="00A94A83" w:rsidP="009405FD">
            <w:pPr>
              <w:pStyle w:val="BodyText2"/>
              <w:spacing w:line="720" w:lineRule="auto"/>
              <w:jc w:val="center"/>
              <w:rPr>
                <w:color w:val="000000"/>
                <w:sz w:val="18"/>
                <w:szCs w:val="18"/>
              </w:rPr>
            </w:pPr>
            <w:r w:rsidRPr="00413B69">
              <w:rPr>
                <w:color w:val="000000"/>
                <w:sz w:val="18"/>
                <w:szCs w:val="18"/>
              </w:rPr>
              <w:t>12,</w:t>
            </w:r>
            <w:r w:rsidR="00772B6C" w:rsidRPr="00413B69">
              <w:rPr>
                <w:color w:val="000000"/>
                <w:sz w:val="18"/>
                <w:szCs w:val="18"/>
              </w:rPr>
              <w:t>725</w:t>
            </w:r>
          </w:p>
        </w:tc>
        <w:tc>
          <w:tcPr>
            <w:tcW w:w="1538" w:type="dxa"/>
            <w:vAlign w:val="center"/>
          </w:tcPr>
          <w:p w14:paraId="6FA4698D" w14:textId="51DDC725" w:rsidR="00A94A83" w:rsidRPr="00413B69" w:rsidRDefault="00772B6C" w:rsidP="009405FD">
            <w:pPr>
              <w:pStyle w:val="BodyText2"/>
              <w:spacing w:line="720" w:lineRule="auto"/>
              <w:jc w:val="center"/>
              <w:rPr>
                <w:sz w:val="18"/>
                <w:szCs w:val="18"/>
              </w:rPr>
            </w:pPr>
            <w:r w:rsidRPr="00413B69">
              <w:rPr>
                <w:color w:val="000000"/>
                <w:sz w:val="18"/>
                <w:szCs w:val="18"/>
              </w:rPr>
              <w:t>32.77</w:t>
            </w:r>
            <w:r w:rsidR="00A94A83" w:rsidRPr="00413B69">
              <w:rPr>
                <w:color w:val="000000"/>
                <w:sz w:val="18"/>
                <w:szCs w:val="18"/>
              </w:rPr>
              <w:t>%</w:t>
            </w:r>
          </w:p>
        </w:tc>
      </w:tr>
      <w:tr w:rsidR="00A94A83" w:rsidRPr="00010F2F" w14:paraId="0E3E3A69" w14:textId="77777777" w:rsidTr="003053A4">
        <w:trPr>
          <w:cantSplit/>
          <w:trHeight w:val="217"/>
        </w:trPr>
        <w:tc>
          <w:tcPr>
            <w:tcW w:w="2704" w:type="dxa"/>
            <w:shd w:val="clear" w:color="auto" w:fill="E2EFD9" w:themeFill="accent6" w:themeFillTint="33"/>
            <w:vAlign w:val="center"/>
          </w:tcPr>
          <w:p w14:paraId="63B7A6CD" w14:textId="77777777" w:rsidR="00A94A83" w:rsidRPr="00413B69" w:rsidRDefault="00A94A83" w:rsidP="009405FD">
            <w:pPr>
              <w:pStyle w:val="BodyText2"/>
              <w:jc w:val="center"/>
              <w:rPr>
                <w:sz w:val="18"/>
                <w:szCs w:val="18"/>
              </w:rPr>
            </w:pPr>
            <w:r w:rsidRPr="00413B69">
              <w:rPr>
                <w:b/>
                <w:bCs/>
                <w:color w:val="000000"/>
                <w:sz w:val="18"/>
                <w:szCs w:val="18"/>
              </w:rPr>
              <w:t>Total</w:t>
            </w:r>
          </w:p>
        </w:tc>
        <w:tc>
          <w:tcPr>
            <w:tcW w:w="939" w:type="dxa"/>
            <w:shd w:val="clear" w:color="auto" w:fill="E2EFD9" w:themeFill="accent6" w:themeFillTint="33"/>
            <w:vAlign w:val="center"/>
          </w:tcPr>
          <w:p w14:paraId="1786E556" w14:textId="73B9E31C" w:rsidR="00A94A83" w:rsidRPr="00413B69" w:rsidRDefault="00A94A83" w:rsidP="009405FD">
            <w:pPr>
              <w:pStyle w:val="BodyText2"/>
              <w:spacing w:line="600" w:lineRule="auto"/>
              <w:jc w:val="center"/>
              <w:rPr>
                <w:b/>
                <w:bCs/>
                <w:color w:val="000000"/>
                <w:sz w:val="18"/>
                <w:szCs w:val="18"/>
              </w:rPr>
            </w:pPr>
            <w:r w:rsidRPr="00413B69">
              <w:rPr>
                <w:b/>
                <w:bCs/>
                <w:color w:val="000000"/>
                <w:sz w:val="18"/>
                <w:szCs w:val="18"/>
              </w:rPr>
              <w:t>14</w:t>
            </w:r>
            <w:r w:rsidR="00772B6C" w:rsidRPr="00413B69">
              <w:rPr>
                <w:b/>
                <w:bCs/>
                <w:color w:val="000000"/>
                <w:sz w:val="18"/>
                <w:szCs w:val="18"/>
              </w:rPr>
              <w:t>,589</w:t>
            </w:r>
          </w:p>
        </w:tc>
        <w:tc>
          <w:tcPr>
            <w:tcW w:w="914" w:type="dxa"/>
            <w:shd w:val="clear" w:color="auto" w:fill="E2EFD9" w:themeFill="accent6" w:themeFillTint="33"/>
            <w:vAlign w:val="center"/>
          </w:tcPr>
          <w:p w14:paraId="2D18C612" w14:textId="54332AEF" w:rsidR="00A94A83" w:rsidRPr="00413B69" w:rsidRDefault="00A94A83" w:rsidP="009405FD">
            <w:pPr>
              <w:pStyle w:val="BodyText2"/>
              <w:spacing w:line="600" w:lineRule="auto"/>
              <w:jc w:val="center"/>
              <w:rPr>
                <w:b/>
                <w:bCs/>
                <w:color w:val="000000"/>
                <w:sz w:val="18"/>
                <w:szCs w:val="18"/>
              </w:rPr>
            </w:pPr>
            <w:r w:rsidRPr="00413B69">
              <w:rPr>
                <w:b/>
                <w:bCs/>
                <w:color w:val="000000"/>
                <w:sz w:val="18"/>
                <w:szCs w:val="18"/>
              </w:rPr>
              <w:t>2</w:t>
            </w:r>
            <w:r w:rsidR="00772B6C" w:rsidRPr="00413B69">
              <w:rPr>
                <w:b/>
                <w:bCs/>
                <w:color w:val="000000"/>
                <w:sz w:val="18"/>
                <w:szCs w:val="18"/>
              </w:rPr>
              <w:t>3</w:t>
            </w:r>
            <w:r w:rsidRPr="00413B69">
              <w:rPr>
                <w:b/>
                <w:bCs/>
                <w:color w:val="000000"/>
                <w:sz w:val="18"/>
                <w:szCs w:val="18"/>
              </w:rPr>
              <w:t>.</w:t>
            </w:r>
            <w:r w:rsidR="00772B6C" w:rsidRPr="00413B69">
              <w:rPr>
                <w:b/>
                <w:bCs/>
                <w:color w:val="000000"/>
                <w:sz w:val="18"/>
                <w:szCs w:val="18"/>
              </w:rPr>
              <w:t>32</w:t>
            </w:r>
            <w:r w:rsidRPr="00413B69">
              <w:rPr>
                <w:b/>
                <w:bCs/>
                <w:color w:val="000000"/>
                <w:sz w:val="18"/>
                <w:szCs w:val="18"/>
              </w:rPr>
              <w:t>%</w:t>
            </w:r>
          </w:p>
        </w:tc>
        <w:tc>
          <w:tcPr>
            <w:tcW w:w="914" w:type="dxa"/>
            <w:shd w:val="clear" w:color="auto" w:fill="E2EFD9" w:themeFill="accent6" w:themeFillTint="33"/>
            <w:vAlign w:val="center"/>
          </w:tcPr>
          <w:p w14:paraId="2A73725D" w14:textId="000DE68E" w:rsidR="00A94A83" w:rsidRPr="00413B69" w:rsidRDefault="00A94A83" w:rsidP="009405FD">
            <w:pPr>
              <w:pStyle w:val="BodyText2"/>
              <w:spacing w:line="600" w:lineRule="auto"/>
              <w:jc w:val="center"/>
              <w:rPr>
                <w:b/>
                <w:bCs/>
                <w:color w:val="000000"/>
                <w:sz w:val="18"/>
                <w:szCs w:val="18"/>
              </w:rPr>
            </w:pPr>
            <w:r w:rsidRPr="00413B69">
              <w:rPr>
                <w:b/>
                <w:bCs/>
                <w:color w:val="000000"/>
                <w:sz w:val="18"/>
                <w:szCs w:val="18"/>
              </w:rPr>
              <w:t>17,</w:t>
            </w:r>
            <w:r w:rsidR="00772B6C" w:rsidRPr="00413B69">
              <w:rPr>
                <w:b/>
                <w:bCs/>
                <w:color w:val="000000"/>
                <w:sz w:val="18"/>
                <w:szCs w:val="18"/>
              </w:rPr>
              <w:t>991</w:t>
            </w:r>
          </w:p>
        </w:tc>
        <w:tc>
          <w:tcPr>
            <w:tcW w:w="1012" w:type="dxa"/>
            <w:shd w:val="clear" w:color="auto" w:fill="E2EFD9" w:themeFill="accent6" w:themeFillTint="33"/>
            <w:vAlign w:val="center"/>
          </w:tcPr>
          <w:p w14:paraId="29F71AC0" w14:textId="3DFA9E47" w:rsidR="00A94A83" w:rsidRPr="00413B69" w:rsidRDefault="00A94A83" w:rsidP="009405FD">
            <w:pPr>
              <w:pStyle w:val="BodyText2"/>
              <w:spacing w:line="600" w:lineRule="auto"/>
              <w:jc w:val="center"/>
              <w:rPr>
                <w:b/>
                <w:bCs/>
                <w:color w:val="000000"/>
                <w:sz w:val="18"/>
                <w:szCs w:val="18"/>
              </w:rPr>
            </w:pPr>
            <w:r w:rsidRPr="00413B69">
              <w:rPr>
                <w:b/>
                <w:bCs/>
                <w:color w:val="000000"/>
                <w:sz w:val="18"/>
                <w:szCs w:val="18"/>
              </w:rPr>
              <w:t>16.</w:t>
            </w:r>
            <w:r w:rsidR="00772B6C" w:rsidRPr="00413B69">
              <w:rPr>
                <w:b/>
                <w:bCs/>
                <w:color w:val="000000"/>
                <w:sz w:val="18"/>
                <w:szCs w:val="18"/>
              </w:rPr>
              <w:t>24</w:t>
            </w:r>
            <w:r w:rsidRPr="00413B69">
              <w:rPr>
                <w:b/>
                <w:bCs/>
                <w:color w:val="000000"/>
                <w:sz w:val="18"/>
                <w:szCs w:val="18"/>
              </w:rPr>
              <w:t>%</w:t>
            </w:r>
          </w:p>
        </w:tc>
        <w:tc>
          <w:tcPr>
            <w:tcW w:w="1012" w:type="dxa"/>
            <w:shd w:val="clear" w:color="auto" w:fill="E2EFD9" w:themeFill="accent6" w:themeFillTint="33"/>
            <w:vAlign w:val="center"/>
          </w:tcPr>
          <w:p w14:paraId="07C9FDBD" w14:textId="1BB9C1EF" w:rsidR="00A94A83" w:rsidRPr="00413B69" w:rsidRDefault="00A94A83" w:rsidP="009405FD">
            <w:pPr>
              <w:pStyle w:val="BodyText2"/>
              <w:spacing w:line="600" w:lineRule="auto"/>
              <w:jc w:val="center"/>
              <w:rPr>
                <w:b/>
                <w:bCs/>
                <w:color w:val="000000"/>
                <w:sz w:val="18"/>
                <w:szCs w:val="18"/>
              </w:rPr>
            </w:pPr>
            <w:r w:rsidRPr="00413B69">
              <w:rPr>
                <w:b/>
                <w:bCs/>
                <w:color w:val="000000"/>
                <w:sz w:val="18"/>
                <w:szCs w:val="18"/>
              </w:rPr>
              <w:t>20,</w:t>
            </w:r>
            <w:r w:rsidR="00772B6C" w:rsidRPr="00413B69">
              <w:rPr>
                <w:b/>
                <w:bCs/>
                <w:color w:val="000000"/>
                <w:sz w:val="18"/>
                <w:szCs w:val="18"/>
              </w:rPr>
              <w:t>912</w:t>
            </w:r>
          </w:p>
        </w:tc>
        <w:tc>
          <w:tcPr>
            <w:tcW w:w="1538" w:type="dxa"/>
            <w:shd w:val="clear" w:color="auto" w:fill="E2EFD9" w:themeFill="accent6" w:themeFillTint="33"/>
            <w:vAlign w:val="center"/>
          </w:tcPr>
          <w:p w14:paraId="6B17E1CC" w14:textId="704D1B1D" w:rsidR="00A94A83" w:rsidRPr="00413B69" w:rsidRDefault="00A94A83" w:rsidP="009405FD">
            <w:pPr>
              <w:pStyle w:val="BodyText2"/>
              <w:spacing w:line="600" w:lineRule="auto"/>
              <w:jc w:val="center"/>
              <w:rPr>
                <w:b/>
                <w:bCs/>
                <w:sz w:val="18"/>
                <w:szCs w:val="18"/>
              </w:rPr>
            </w:pPr>
            <w:r w:rsidRPr="00413B69">
              <w:rPr>
                <w:b/>
                <w:bCs/>
                <w:color w:val="000000"/>
                <w:sz w:val="18"/>
                <w:szCs w:val="18"/>
              </w:rPr>
              <w:t>4</w:t>
            </w:r>
            <w:r w:rsidR="00772B6C" w:rsidRPr="00413B69">
              <w:rPr>
                <w:b/>
                <w:bCs/>
                <w:color w:val="000000"/>
                <w:sz w:val="18"/>
                <w:szCs w:val="18"/>
              </w:rPr>
              <w:t>3.34</w:t>
            </w:r>
            <w:r w:rsidRPr="00413B69">
              <w:rPr>
                <w:b/>
                <w:bCs/>
                <w:color w:val="000000"/>
                <w:sz w:val="18"/>
                <w:szCs w:val="18"/>
              </w:rPr>
              <w:t>%</w:t>
            </w:r>
          </w:p>
        </w:tc>
      </w:tr>
    </w:tbl>
    <w:p w14:paraId="07D068AC" w14:textId="77777777" w:rsidR="00A94A83" w:rsidRDefault="00A94A83" w:rsidP="002C783A">
      <w:pPr>
        <w:spacing w:after="0" w:line="240" w:lineRule="auto"/>
        <w:jc w:val="both"/>
        <w:rPr>
          <w:rFonts w:ascii="Arial" w:hAnsi="Arial" w:cs="Arial"/>
          <w:sz w:val="20"/>
          <w:szCs w:val="20"/>
        </w:rPr>
      </w:pPr>
    </w:p>
    <w:p w14:paraId="13B9E7B5" w14:textId="77777777" w:rsidR="002C783A" w:rsidRDefault="002C783A" w:rsidP="002C783A">
      <w:pPr>
        <w:spacing w:after="0" w:line="240" w:lineRule="auto"/>
        <w:jc w:val="both"/>
        <w:rPr>
          <w:rFonts w:ascii="Arial" w:hAnsi="Arial" w:cs="Arial"/>
          <w:sz w:val="20"/>
          <w:szCs w:val="20"/>
        </w:rPr>
      </w:pPr>
    </w:p>
    <w:p w14:paraId="3EDB6137" w14:textId="0F3100A8" w:rsidR="00A10A48" w:rsidRDefault="00A94A83" w:rsidP="00A10A48">
      <w:pPr>
        <w:spacing w:after="0" w:line="240" w:lineRule="auto"/>
        <w:jc w:val="both"/>
        <w:rPr>
          <w:rFonts w:ascii="Arial" w:hAnsi="Arial" w:cs="Arial"/>
          <w:sz w:val="20"/>
          <w:szCs w:val="20"/>
        </w:rPr>
      </w:pPr>
      <w:r>
        <w:rPr>
          <w:rFonts w:ascii="Arial" w:hAnsi="Arial" w:cs="Arial"/>
          <w:sz w:val="20"/>
          <w:szCs w:val="20"/>
        </w:rPr>
        <w:t>As detailed in F1.a.i., f</w:t>
      </w:r>
      <w:r w:rsidR="002C783A" w:rsidRPr="00C43512">
        <w:rPr>
          <w:rFonts w:ascii="Arial" w:hAnsi="Arial" w:cs="Arial"/>
          <w:sz w:val="20"/>
          <w:szCs w:val="20"/>
        </w:rPr>
        <w:t xml:space="preserve">rom FY20 to FY22, </w:t>
      </w:r>
      <w:r w:rsidR="00FD30F9">
        <w:rPr>
          <w:rFonts w:ascii="Arial" w:hAnsi="Arial" w:cs="Arial"/>
          <w:sz w:val="20"/>
          <w:szCs w:val="20"/>
        </w:rPr>
        <w:t xml:space="preserve">the CDH’s Patient Panel </w:t>
      </w:r>
      <w:r w:rsidR="002C783A" w:rsidRPr="00C43512">
        <w:rPr>
          <w:rFonts w:ascii="Arial" w:hAnsi="Arial" w:cs="Arial"/>
          <w:sz w:val="20"/>
          <w:szCs w:val="20"/>
        </w:rPr>
        <w:t>65 and older age cohort grew by 3.29%</w:t>
      </w:r>
      <w:r w:rsidR="00FD30F9">
        <w:rPr>
          <w:rFonts w:ascii="Arial" w:hAnsi="Arial" w:cs="Arial"/>
          <w:sz w:val="20"/>
          <w:szCs w:val="20"/>
        </w:rPr>
        <w:t xml:space="preserve">. Notably, the number of </w:t>
      </w:r>
      <w:r w:rsidR="002C783A" w:rsidRPr="00C43512">
        <w:rPr>
          <w:rFonts w:ascii="Arial" w:hAnsi="Arial" w:cs="Arial"/>
          <w:sz w:val="20"/>
          <w:szCs w:val="20"/>
        </w:rPr>
        <w:t>patients 65 and older that received a CT scan</w:t>
      </w:r>
      <w:r w:rsidR="002C783A">
        <w:rPr>
          <w:rFonts w:ascii="Arial" w:hAnsi="Arial" w:cs="Arial"/>
          <w:sz w:val="20"/>
          <w:szCs w:val="20"/>
        </w:rPr>
        <w:t xml:space="preserve"> (from 4,655 unique patients in FY20 to 6,358 unique patients in FY22)</w:t>
      </w:r>
      <w:r w:rsidR="00FD30F9">
        <w:rPr>
          <w:rFonts w:ascii="Arial" w:hAnsi="Arial" w:cs="Arial"/>
          <w:sz w:val="20"/>
          <w:szCs w:val="20"/>
        </w:rPr>
        <w:t xml:space="preserve"> increased by 36.5%</w:t>
      </w:r>
      <w:r w:rsidR="002C783A">
        <w:rPr>
          <w:rFonts w:ascii="Arial" w:hAnsi="Arial" w:cs="Arial"/>
          <w:sz w:val="20"/>
          <w:szCs w:val="20"/>
        </w:rPr>
        <w:t>.</w:t>
      </w:r>
      <w:r w:rsidR="00FD30F9">
        <w:rPr>
          <w:rFonts w:ascii="Arial" w:hAnsi="Arial" w:cs="Arial"/>
          <w:sz w:val="20"/>
          <w:szCs w:val="20"/>
        </w:rPr>
        <w:t xml:space="preserve"> I</w:t>
      </w:r>
      <w:r w:rsidR="00787C98">
        <w:rPr>
          <w:rFonts w:ascii="Arial" w:hAnsi="Arial" w:cs="Arial"/>
          <w:sz w:val="20"/>
          <w:szCs w:val="20"/>
        </w:rPr>
        <w:t>n FY21 and FY22, over half of patients receiving CT scans</w:t>
      </w:r>
      <w:r w:rsidR="00FD30F9">
        <w:rPr>
          <w:rFonts w:ascii="Arial" w:hAnsi="Arial" w:cs="Arial"/>
          <w:sz w:val="20"/>
          <w:szCs w:val="20"/>
        </w:rPr>
        <w:t xml:space="preserve"> were age 65 and older</w:t>
      </w:r>
      <w:r w:rsidR="00787C98">
        <w:rPr>
          <w:rFonts w:ascii="Arial" w:hAnsi="Arial" w:cs="Arial"/>
          <w:sz w:val="20"/>
          <w:szCs w:val="20"/>
        </w:rPr>
        <w:t xml:space="preserve">: 51.53%, </w:t>
      </w:r>
      <w:r w:rsidR="002C783A" w:rsidRPr="00C43512">
        <w:rPr>
          <w:rFonts w:ascii="Arial" w:hAnsi="Arial" w:cs="Arial"/>
          <w:sz w:val="20"/>
          <w:szCs w:val="20"/>
        </w:rPr>
        <w:t>51.95%</w:t>
      </w:r>
      <w:r w:rsidR="00787C98">
        <w:rPr>
          <w:rFonts w:ascii="Arial" w:hAnsi="Arial" w:cs="Arial"/>
          <w:sz w:val="20"/>
          <w:szCs w:val="20"/>
        </w:rPr>
        <w:t xml:space="preserve">, respectively. </w:t>
      </w:r>
    </w:p>
    <w:p w14:paraId="65F2E6A6" w14:textId="77777777" w:rsidR="000B11F8" w:rsidRPr="000B11F8" w:rsidRDefault="000B11F8" w:rsidP="00A10A48">
      <w:pPr>
        <w:spacing w:after="0" w:line="240" w:lineRule="auto"/>
        <w:jc w:val="both"/>
        <w:rPr>
          <w:rFonts w:ascii="Arial" w:hAnsi="Arial" w:cs="Arial"/>
          <w:sz w:val="20"/>
          <w:szCs w:val="20"/>
        </w:rPr>
      </w:pPr>
    </w:p>
    <w:p w14:paraId="5917DBC6" w14:textId="3287624B" w:rsidR="001024FB" w:rsidRDefault="000B11F8" w:rsidP="000B11F8">
      <w:pPr>
        <w:pStyle w:val="ListParagraph"/>
        <w:numPr>
          <w:ilvl w:val="0"/>
          <w:numId w:val="3"/>
        </w:numPr>
        <w:spacing w:after="0" w:line="240" w:lineRule="auto"/>
        <w:ind w:left="360"/>
        <w:jc w:val="both"/>
        <w:rPr>
          <w:rFonts w:ascii="Arial" w:eastAsia="Times New Roman" w:hAnsi="Arial" w:cs="Arial"/>
          <w:bCs/>
          <w:kern w:val="2"/>
          <w:sz w:val="20"/>
          <w:szCs w:val="20"/>
          <w:u w:val="single"/>
        </w:rPr>
      </w:pPr>
      <w:r w:rsidRPr="000B11F8">
        <w:rPr>
          <w:rFonts w:ascii="Arial" w:eastAsia="Times New Roman" w:hAnsi="Arial" w:cs="Arial"/>
          <w:bCs/>
          <w:kern w:val="2"/>
          <w:sz w:val="20"/>
          <w:szCs w:val="20"/>
          <w:u w:val="single"/>
        </w:rPr>
        <w:t>Impact of Demand on Access</w:t>
      </w:r>
    </w:p>
    <w:p w14:paraId="0ED2B7FB" w14:textId="77777777" w:rsidR="000B11F8" w:rsidRPr="000B11F8" w:rsidRDefault="000B11F8" w:rsidP="000B11F8">
      <w:pPr>
        <w:pStyle w:val="ListParagraph"/>
        <w:spacing w:after="0" w:line="240" w:lineRule="auto"/>
        <w:ind w:left="360"/>
        <w:jc w:val="both"/>
        <w:rPr>
          <w:rFonts w:ascii="Arial" w:eastAsia="Times New Roman" w:hAnsi="Arial" w:cs="Arial"/>
          <w:bCs/>
          <w:kern w:val="2"/>
          <w:sz w:val="20"/>
          <w:szCs w:val="20"/>
          <w:u w:val="single"/>
        </w:rPr>
      </w:pPr>
    </w:p>
    <w:p w14:paraId="659ACB49" w14:textId="61B6E4DB" w:rsidR="000B11F8" w:rsidRDefault="000B11F8" w:rsidP="00EC16D2">
      <w:pPr>
        <w:spacing w:after="0" w:line="240" w:lineRule="auto"/>
        <w:jc w:val="both"/>
        <w:rPr>
          <w:rFonts w:ascii="Arial" w:hAnsi="Arial" w:cs="Arial"/>
          <w:sz w:val="20"/>
          <w:szCs w:val="20"/>
        </w:rPr>
      </w:pPr>
      <w:r>
        <w:rPr>
          <w:rFonts w:ascii="Arial" w:hAnsi="Arial" w:cs="Arial"/>
          <w:sz w:val="20"/>
          <w:szCs w:val="20"/>
        </w:rPr>
        <w:t xml:space="preserve">The high utilization of CDH’s existing CT service impacts CDH’s ability to provide timely care. This impacts not only patients requiring CT for emergent conditions, but also scheduled outpatients. </w:t>
      </w:r>
      <w:r>
        <w:rPr>
          <w:rFonts w:ascii="Arial" w:eastAsia="Times New Roman" w:hAnsi="Arial" w:cs="Arial"/>
          <w:bCs/>
          <w:kern w:val="2"/>
          <w:sz w:val="20"/>
          <w:szCs w:val="20"/>
        </w:rPr>
        <w:t>The Hospital’s two CT units operated at 86% capacity in FY22. This high utilization indicates the need for an additional unit to support project</w:t>
      </w:r>
      <w:r w:rsidR="00C308AF">
        <w:rPr>
          <w:rFonts w:ascii="Arial" w:eastAsia="Times New Roman" w:hAnsi="Arial" w:cs="Arial"/>
          <w:bCs/>
          <w:kern w:val="2"/>
          <w:sz w:val="20"/>
          <w:szCs w:val="20"/>
        </w:rPr>
        <w:t>ed</w:t>
      </w:r>
      <w:r>
        <w:rPr>
          <w:rFonts w:ascii="Arial" w:eastAsia="Times New Roman" w:hAnsi="Arial" w:cs="Arial"/>
          <w:bCs/>
          <w:kern w:val="2"/>
          <w:sz w:val="20"/>
          <w:szCs w:val="20"/>
        </w:rPr>
        <w:t xml:space="preserve"> demand. The addition of a CT unit embedded in the ED will improve access and operational efficiencies for all patients in need of CT imaging.</w:t>
      </w:r>
      <w:r>
        <w:rPr>
          <w:rFonts w:ascii="Arial" w:hAnsi="Arial" w:cs="Arial"/>
          <w:sz w:val="20"/>
          <w:szCs w:val="20"/>
        </w:rPr>
        <w:t xml:space="preserve"> </w:t>
      </w:r>
    </w:p>
    <w:p w14:paraId="45D2DEBA" w14:textId="77777777" w:rsidR="000B11F8" w:rsidRDefault="000B11F8" w:rsidP="00EC16D2">
      <w:pPr>
        <w:spacing w:after="0" w:line="240" w:lineRule="auto"/>
        <w:jc w:val="both"/>
        <w:rPr>
          <w:rFonts w:ascii="Arial" w:hAnsi="Arial" w:cs="Arial"/>
          <w:sz w:val="20"/>
          <w:szCs w:val="20"/>
        </w:rPr>
      </w:pPr>
    </w:p>
    <w:p w14:paraId="4065969A" w14:textId="2FEC6CBC" w:rsidR="00EC16D2" w:rsidRPr="00010F2F" w:rsidRDefault="000B11F8" w:rsidP="00EC16D2">
      <w:pPr>
        <w:spacing w:after="0" w:line="240" w:lineRule="auto"/>
        <w:jc w:val="both"/>
        <w:rPr>
          <w:rFonts w:ascii="Arial" w:hAnsi="Arial" w:cs="Arial"/>
          <w:sz w:val="20"/>
          <w:szCs w:val="20"/>
        </w:rPr>
      </w:pPr>
      <w:r>
        <w:rPr>
          <w:rFonts w:ascii="Arial" w:hAnsi="Arial" w:cs="Arial"/>
          <w:sz w:val="20"/>
          <w:szCs w:val="20"/>
        </w:rPr>
        <w:t xml:space="preserve">CT is widely used to diagnose stroke. </w:t>
      </w:r>
      <w:r w:rsidRPr="00010F2F">
        <w:rPr>
          <w:rFonts w:ascii="Arial" w:hAnsi="Arial" w:cs="Arial"/>
          <w:sz w:val="20"/>
          <w:szCs w:val="20"/>
        </w:rPr>
        <w:t>As a Primary Stroke Services</w:t>
      </w:r>
      <w:r>
        <w:rPr>
          <w:rFonts w:ascii="Arial" w:hAnsi="Arial" w:cs="Arial"/>
          <w:sz w:val="20"/>
          <w:szCs w:val="20"/>
        </w:rPr>
        <w:t xml:space="preserve"> </w:t>
      </w:r>
      <w:r w:rsidRPr="00010F2F">
        <w:rPr>
          <w:rFonts w:ascii="Arial" w:hAnsi="Arial" w:cs="Arial"/>
          <w:sz w:val="20"/>
          <w:szCs w:val="20"/>
        </w:rPr>
        <w:t>Hospital</w:t>
      </w:r>
      <w:r w:rsidRPr="00010F2F">
        <w:rPr>
          <w:rStyle w:val="FootnoteReference"/>
          <w:rFonts w:ascii="Arial" w:hAnsi="Arial" w:cs="Arial"/>
          <w:sz w:val="20"/>
          <w:szCs w:val="20"/>
        </w:rPr>
        <w:footnoteReference w:id="15"/>
      </w:r>
      <w:r w:rsidRPr="00010F2F">
        <w:rPr>
          <w:rFonts w:ascii="Arial" w:hAnsi="Arial" w:cs="Arial"/>
          <w:sz w:val="20"/>
          <w:szCs w:val="20"/>
        </w:rPr>
        <w:t xml:space="preserve">, the Emergency Medical Services system sends patients experiencing symptoms of a stroke to the CDH ED. </w:t>
      </w:r>
      <w:r w:rsidR="00EC16D2" w:rsidRPr="00010F2F">
        <w:rPr>
          <w:rFonts w:ascii="Arial" w:hAnsi="Arial" w:cs="Arial"/>
          <w:sz w:val="20"/>
          <w:szCs w:val="20"/>
        </w:rPr>
        <w:t xml:space="preserve">Clinical guidelines for stroke recommend that </w:t>
      </w:r>
      <w:r w:rsidR="0007530A">
        <w:rPr>
          <w:rFonts w:ascii="Arial" w:hAnsi="Arial" w:cs="Arial"/>
          <w:sz w:val="20"/>
          <w:szCs w:val="20"/>
        </w:rPr>
        <w:t xml:space="preserve">stroke </w:t>
      </w:r>
      <w:r w:rsidR="00EC16D2" w:rsidRPr="00010F2F">
        <w:rPr>
          <w:rFonts w:ascii="Arial" w:hAnsi="Arial" w:cs="Arial"/>
          <w:sz w:val="20"/>
          <w:szCs w:val="20"/>
        </w:rPr>
        <w:t>patients receive CT imaging within 25 minutes of arrival at the ED.</w:t>
      </w:r>
      <w:r w:rsidR="00EC16D2" w:rsidRPr="00010F2F">
        <w:rPr>
          <w:rStyle w:val="FootnoteReference"/>
          <w:rFonts w:ascii="Arial" w:hAnsi="Arial" w:cs="Arial"/>
          <w:sz w:val="20"/>
          <w:szCs w:val="20"/>
        </w:rPr>
        <w:footnoteReference w:id="16"/>
      </w:r>
      <w:r w:rsidR="00EC16D2" w:rsidRPr="00010F2F">
        <w:rPr>
          <w:rFonts w:ascii="Arial" w:hAnsi="Arial" w:cs="Arial"/>
          <w:sz w:val="20"/>
          <w:szCs w:val="20"/>
        </w:rPr>
        <w:t xml:space="preserve"> CDH</w:t>
      </w:r>
      <w:r w:rsidR="00DB305D">
        <w:rPr>
          <w:rFonts w:ascii="Arial" w:hAnsi="Arial" w:cs="Arial"/>
          <w:sz w:val="20"/>
          <w:szCs w:val="20"/>
        </w:rPr>
        <w:t xml:space="preserve"> is able to achieve the recommended 25 minute door to CT scan time</w:t>
      </w:r>
      <w:r w:rsidR="00EC16D2" w:rsidRPr="00010F2F">
        <w:rPr>
          <w:rFonts w:ascii="Arial" w:hAnsi="Arial" w:cs="Arial"/>
          <w:sz w:val="20"/>
          <w:szCs w:val="20"/>
        </w:rPr>
        <w:t xml:space="preserve"> 81.2% of the time (the Massachusetts average is 70.7%). </w:t>
      </w:r>
      <w:r w:rsidR="00DB305D">
        <w:rPr>
          <w:rFonts w:ascii="Arial" w:hAnsi="Arial" w:cs="Arial"/>
          <w:sz w:val="20"/>
          <w:szCs w:val="20"/>
        </w:rPr>
        <w:t xml:space="preserve">Although CDH performs better than many hospitals, </w:t>
      </w:r>
      <w:r w:rsidR="00EC16D2" w:rsidRPr="00010F2F">
        <w:rPr>
          <w:rFonts w:ascii="Arial" w:hAnsi="Arial" w:cs="Arial"/>
          <w:sz w:val="20"/>
          <w:szCs w:val="20"/>
        </w:rPr>
        <w:t>CDH continues to work to improve door to CT scan time</w:t>
      </w:r>
      <w:r w:rsidR="009156D5">
        <w:rPr>
          <w:rFonts w:ascii="Arial" w:hAnsi="Arial" w:cs="Arial"/>
          <w:sz w:val="20"/>
          <w:szCs w:val="20"/>
        </w:rPr>
        <w:t xml:space="preserve"> for all </w:t>
      </w:r>
      <w:r w:rsidR="00AF1957">
        <w:rPr>
          <w:rFonts w:ascii="Arial" w:hAnsi="Arial" w:cs="Arial"/>
          <w:sz w:val="20"/>
          <w:szCs w:val="20"/>
        </w:rPr>
        <w:t xml:space="preserve">cases. </w:t>
      </w:r>
      <w:r w:rsidR="00EC16D2" w:rsidRPr="00010F2F">
        <w:rPr>
          <w:rFonts w:ascii="Arial" w:hAnsi="Arial" w:cs="Arial"/>
          <w:sz w:val="20"/>
          <w:szCs w:val="20"/>
        </w:rPr>
        <w:t xml:space="preserve">Additionally, </w:t>
      </w:r>
      <w:r w:rsidR="00EC16D2" w:rsidRPr="00010F2F">
        <w:rPr>
          <w:rFonts w:ascii="Arial" w:eastAsia="Times New Roman" w:hAnsi="Arial" w:cs="Arial"/>
          <w:kern w:val="2"/>
          <w:sz w:val="20"/>
          <w:szCs w:val="20"/>
        </w:rPr>
        <w:t>as a Stroke Center of Excellence, CDH is required to meet time requirements for patients eligible to receive tissue plasminogen activator (“TPA”)</w:t>
      </w:r>
      <w:r w:rsidR="00DB305D">
        <w:rPr>
          <w:rFonts w:ascii="Arial" w:eastAsia="Times New Roman" w:hAnsi="Arial" w:cs="Arial"/>
          <w:kern w:val="2"/>
          <w:sz w:val="20"/>
          <w:szCs w:val="20"/>
        </w:rPr>
        <w:t>,</w:t>
      </w:r>
      <w:r w:rsidR="00EC16D2" w:rsidRPr="00010F2F">
        <w:rPr>
          <w:rFonts w:ascii="Arial" w:eastAsia="Times New Roman" w:hAnsi="Arial" w:cs="Arial"/>
          <w:kern w:val="2"/>
          <w:sz w:val="20"/>
          <w:szCs w:val="20"/>
        </w:rPr>
        <w:t xml:space="preserve"> which is the gold standard treatment for ischemic stroke. Timely access to CT imaging is imperative to make a diagnosis and timely administer TPA.</w:t>
      </w:r>
      <w:r w:rsidR="00251D80" w:rsidRPr="00010F2F">
        <w:rPr>
          <w:rFonts w:ascii="Arial" w:eastAsia="Times New Roman" w:hAnsi="Arial" w:cs="Arial"/>
          <w:kern w:val="2"/>
          <w:sz w:val="20"/>
          <w:szCs w:val="20"/>
        </w:rPr>
        <w:t xml:space="preserve"> </w:t>
      </w:r>
      <w:r w:rsidR="00DB305D">
        <w:rPr>
          <w:rFonts w:ascii="Arial" w:eastAsia="Times New Roman" w:hAnsi="Arial" w:cs="Arial"/>
          <w:kern w:val="2"/>
          <w:sz w:val="20"/>
          <w:szCs w:val="20"/>
        </w:rPr>
        <w:t>With additional capacity created by</w:t>
      </w:r>
      <w:r w:rsidR="007F7007" w:rsidRPr="00010F2F">
        <w:rPr>
          <w:rFonts w:ascii="Arial" w:eastAsia="Times New Roman" w:hAnsi="Arial" w:cs="Arial"/>
          <w:kern w:val="2"/>
          <w:sz w:val="20"/>
          <w:szCs w:val="20"/>
        </w:rPr>
        <w:t xml:space="preserve"> a third CT unit </w:t>
      </w:r>
      <w:r w:rsidR="00447E30">
        <w:rPr>
          <w:rFonts w:ascii="Arial" w:eastAsia="Times New Roman" w:hAnsi="Arial" w:cs="Arial"/>
          <w:kern w:val="2"/>
          <w:sz w:val="20"/>
          <w:szCs w:val="20"/>
        </w:rPr>
        <w:t>located in the ED</w:t>
      </w:r>
      <w:r w:rsidR="00DB305D">
        <w:rPr>
          <w:rFonts w:ascii="Arial" w:eastAsia="Times New Roman" w:hAnsi="Arial" w:cs="Arial"/>
          <w:kern w:val="2"/>
          <w:sz w:val="20"/>
          <w:szCs w:val="20"/>
        </w:rPr>
        <w:t>, CDH will ensure</w:t>
      </w:r>
      <w:r w:rsidR="00447E30">
        <w:rPr>
          <w:rFonts w:ascii="Arial" w:eastAsia="Times New Roman" w:hAnsi="Arial" w:cs="Arial"/>
          <w:kern w:val="2"/>
          <w:sz w:val="20"/>
          <w:szCs w:val="20"/>
        </w:rPr>
        <w:t xml:space="preserve"> </w:t>
      </w:r>
      <w:r w:rsidR="007F7007" w:rsidRPr="00010F2F">
        <w:rPr>
          <w:rFonts w:ascii="Arial" w:eastAsia="Times New Roman" w:hAnsi="Arial" w:cs="Arial"/>
          <w:kern w:val="2"/>
          <w:sz w:val="20"/>
          <w:szCs w:val="20"/>
        </w:rPr>
        <w:t>timely access to CT for stroke patients.</w:t>
      </w:r>
    </w:p>
    <w:p w14:paraId="2842A91C" w14:textId="77777777" w:rsidR="001024FB" w:rsidRPr="00010F2F" w:rsidRDefault="001024FB" w:rsidP="001024FB">
      <w:pPr>
        <w:spacing w:after="0" w:line="240" w:lineRule="auto"/>
        <w:jc w:val="both"/>
        <w:rPr>
          <w:rFonts w:ascii="Arial" w:eastAsia="Times New Roman" w:hAnsi="Arial" w:cs="Arial"/>
          <w:kern w:val="2"/>
          <w:sz w:val="20"/>
          <w:szCs w:val="20"/>
        </w:rPr>
      </w:pPr>
    </w:p>
    <w:p w14:paraId="4D7D759E" w14:textId="4D470252" w:rsidR="00AC07DD" w:rsidRPr="00010F2F" w:rsidRDefault="00DB305D" w:rsidP="00AC07DD">
      <w:pPr>
        <w:spacing w:after="0" w:line="240" w:lineRule="auto"/>
        <w:jc w:val="both"/>
        <w:rPr>
          <w:rFonts w:ascii="Arial" w:eastAsia="Times New Roman" w:hAnsi="Arial" w:cs="Arial"/>
          <w:bCs/>
          <w:kern w:val="2"/>
          <w:sz w:val="20"/>
          <w:szCs w:val="20"/>
        </w:rPr>
      </w:pPr>
      <w:r>
        <w:rPr>
          <w:rFonts w:ascii="Arial" w:hAnsi="Arial" w:cs="Arial"/>
          <w:sz w:val="20"/>
          <w:szCs w:val="20"/>
        </w:rPr>
        <w:t xml:space="preserve">Similar to </w:t>
      </w:r>
      <w:r w:rsidR="005B4C0E" w:rsidRPr="00010F2F">
        <w:rPr>
          <w:rFonts w:ascii="Arial" w:hAnsi="Arial" w:cs="Arial"/>
          <w:sz w:val="20"/>
          <w:szCs w:val="20"/>
        </w:rPr>
        <w:t>stroke patients,</w:t>
      </w:r>
      <w:r>
        <w:rPr>
          <w:rFonts w:ascii="Arial" w:hAnsi="Arial" w:cs="Arial"/>
          <w:sz w:val="20"/>
          <w:szCs w:val="20"/>
        </w:rPr>
        <w:t xml:space="preserve"> </w:t>
      </w:r>
      <w:r w:rsidR="005B4C0E" w:rsidRPr="00010F2F">
        <w:rPr>
          <w:rFonts w:ascii="Arial" w:hAnsi="Arial" w:cs="Arial"/>
          <w:sz w:val="20"/>
          <w:szCs w:val="20"/>
        </w:rPr>
        <w:t xml:space="preserve">other patients requiring an emergent CT scan are prioritized over less urgent exams. </w:t>
      </w:r>
      <w:r w:rsidR="005B4C0E">
        <w:rPr>
          <w:rFonts w:ascii="Arial" w:eastAsia="Times New Roman" w:hAnsi="Arial" w:cs="Arial"/>
          <w:bCs/>
          <w:kern w:val="2"/>
          <w:sz w:val="20"/>
          <w:szCs w:val="20"/>
        </w:rPr>
        <w:t>W</w:t>
      </w:r>
      <w:r w:rsidR="00AC07DD" w:rsidRPr="00010F2F">
        <w:rPr>
          <w:rFonts w:ascii="Arial" w:eastAsia="Times New Roman" w:hAnsi="Arial" w:cs="Arial"/>
          <w:bCs/>
          <w:kern w:val="2"/>
          <w:sz w:val="20"/>
          <w:szCs w:val="20"/>
        </w:rPr>
        <w:t xml:space="preserve">ith only two CT units, scheduled outpatient CT scans are often delayed </w:t>
      </w:r>
      <w:proofErr w:type="gramStart"/>
      <w:r w:rsidR="00AC07DD" w:rsidRPr="00010F2F">
        <w:rPr>
          <w:rFonts w:ascii="Arial" w:eastAsia="Times New Roman" w:hAnsi="Arial" w:cs="Arial"/>
          <w:bCs/>
          <w:kern w:val="2"/>
          <w:sz w:val="20"/>
          <w:szCs w:val="20"/>
        </w:rPr>
        <w:t>to accommodate</w:t>
      </w:r>
      <w:proofErr w:type="gramEnd"/>
      <w:r w:rsidR="00AC07DD" w:rsidRPr="00010F2F">
        <w:rPr>
          <w:rFonts w:ascii="Arial" w:eastAsia="Times New Roman" w:hAnsi="Arial" w:cs="Arial"/>
          <w:bCs/>
          <w:kern w:val="2"/>
          <w:sz w:val="20"/>
          <w:szCs w:val="20"/>
        </w:rPr>
        <w:t xml:space="preserve"> ED patients. </w:t>
      </w:r>
      <w:r w:rsidR="001D7C93">
        <w:rPr>
          <w:rFonts w:ascii="Arial" w:eastAsia="Times New Roman" w:hAnsi="Arial" w:cs="Arial"/>
          <w:bCs/>
          <w:kern w:val="2"/>
          <w:sz w:val="20"/>
          <w:szCs w:val="20"/>
        </w:rPr>
        <w:t>With ED CT volume increasing</w:t>
      </w:r>
      <w:r w:rsidR="00C308AF">
        <w:rPr>
          <w:rFonts w:ascii="Arial" w:eastAsia="Times New Roman" w:hAnsi="Arial" w:cs="Arial"/>
          <w:bCs/>
          <w:kern w:val="2"/>
          <w:sz w:val="20"/>
          <w:szCs w:val="20"/>
        </w:rPr>
        <w:t>,</w:t>
      </w:r>
      <w:r w:rsidR="001D7C93">
        <w:rPr>
          <w:rFonts w:ascii="Arial" w:eastAsia="Times New Roman" w:hAnsi="Arial" w:cs="Arial"/>
          <w:bCs/>
          <w:kern w:val="2"/>
          <w:sz w:val="20"/>
          <w:szCs w:val="20"/>
        </w:rPr>
        <w:t xml:space="preserve"> the impact to scheduled CT patients increases. </w:t>
      </w:r>
      <w:r w:rsidR="00AC07DD" w:rsidRPr="00010F2F">
        <w:rPr>
          <w:rFonts w:ascii="Arial" w:eastAsia="Times New Roman" w:hAnsi="Arial" w:cs="Arial"/>
          <w:bCs/>
          <w:kern w:val="2"/>
          <w:sz w:val="20"/>
          <w:szCs w:val="20"/>
        </w:rPr>
        <w:t xml:space="preserve">The average wait time for a CT from time ordered to CT scan is </w:t>
      </w:r>
      <w:r w:rsidR="00805BD1">
        <w:rPr>
          <w:rFonts w:ascii="Arial" w:eastAsia="Times New Roman" w:hAnsi="Arial" w:cs="Arial"/>
          <w:bCs/>
          <w:kern w:val="2"/>
          <w:sz w:val="20"/>
          <w:szCs w:val="20"/>
        </w:rPr>
        <w:t>14</w:t>
      </w:r>
      <w:r w:rsidR="00AC07DD" w:rsidRPr="00010F2F">
        <w:rPr>
          <w:rFonts w:ascii="Arial" w:eastAsia="Times New Roman" w:hAnsi="Arial" w:cs="Arial"/>
          <w:bCs/>
          <w:kern w:val="2"/>
          <w:sz w:val="20"/>
          <w:szCs w:val="20"/>
        </w:rPr>
        <w:t xml:space="preserve"> days</w:t>
      </w:r>
      <w:r w:rsidR="001D7C93">
        <w:rPr>
          <w:rFonts w:ascii="Arial" w:eastAsia="Times New Roman" w:hAnsi="Arial" w:cs="Arial"/>
          <w:bCs/>
          <w:kern w:val="2"/>
          <w:sz w:val="20"/>
          <w:szCs w:val="20"/>
        </w:rPr>
        <w:t xml:space="preserve"> for outpatient imaging.</w:t>
      </w:r>
      <w:r w:rsidR="00AC07DD" w:rsidRPr="00010F2F">
        <w:rPr>
          <w:rStyle w:val="FootnoteReference"/>
          <w:rFonts w:ascii="Arial" w:eastAsia="Times New Roman" w:hAnsi="Arial" w:cs="Arial"/>
          <w:bCs/>
          <w:kern w:val="2"/>
          <w:sz w:val="20"/>
          <w:szCs w:val="20"/>
        </w:rPr>
        <w:footnoteReference w:id="17"/>
      </w:r>
      <w:r w:rsidR="00AC07DD" w:rsidRPr="00010F2F">
        <w:rPr>
          <w:rFonts w:ascii="Arial" w:eastAsia="Times New Roman" w:hAnsi="Arial" w:cs="Arial"/>
          <w:bCs/>
          <w:kern w:val="2"/>
          <w:sz w:val="20"/>
          <w:szCs w:val="20"/>
        </w:rPr>
        <w:t xml:space="preserve"> </w:t>
      </w:r>
      <w:r w:rsidR="00C308AF">
        <w:rPr>
          <w:rFonts w:ascii="Arial" w:eastAsia="Times New Roman" w:hAnsi="Arial" w:cs="Arial"/>
          <w:bCs/>
          <w:kern w:val="2"/>
          <w:sz w:val="20"/>
          <w:szCs w:val="20"/>
        </w:rPr>
        <w:t>With</w:t>
      </w:r>
      <w:r w:rsidR="001D7C93">
        <w:rPr>
          <w:rFonts w:ascii="Arial" w:eastAsia="Times New Roman" w:hAnsi="Arial" w:cs="Arial"/>
          <w:bCs/>
          <w:kern w:val="2"/>
          <w:sz w:val="20"/>
          <w:szCs w:val="20"/>
        </w:rPr>
        <w:t xml:space="preserve"> the proposed unit in the ED, outpatients will have full access to the existing two units, reducing wait times and delays currently experienced to accommodate emergent patients. </w:t>
      </w:r>
    </w:p>
    <w:p w14:paraId="57D254C5" w14:textId="61160C0F" w:rsidR="007E0C24" w:rsidRPr="00010F2F" w:rsidRDefault="007E0C24" w:rsidP="00B2567B">
      <w:pPr>
        <w:pStyle w:val="xmsonormal"/>
        <w:rPr>
          <w:rFonts w:ascii="Arial" w:hAnsi="Arial" w:cs="Arial"/>
          <w:sz w:val="20"/>
          <w:szCs w:val="20"/>
        </w:rPr>
      </w:pPr>
    </w:p>
    <w:p w14:paraId="51E070EC" w14:textId="7841C9F9" w:rsidR="00AC07DD" w:rsidRDefault="007E0C24" w:rsidP="00AC07DD">
      <w:pPr>
        <w:spacing w:after="0" w:line="240" w:lineRule="auto"/>
        <w:jc w:val="both"/>
        <w:rPr>
          <w:rFonts w:ascii="Arial" w:hAnsi="Arial" w:cs="Arial"/>
          <w:bCs/>
          <w:kern w:val="2"/>
          <w:sz w:val="20"/>
          <w:szCs w:val="20"/>
        </w:rPr>
      </w:pPr>
      <w:r w:rsidRPr="00010F2F">
        <w:rPr>
          <w:rFonts w:ascii="Arial" w:hAnsi="Arial" w:cs="Arial"/>
          <w:bCs/>
          <w:kern w:val="2"/>
          <w:sz w:val="20"/>
          <w:szCs w:val="20"/>
        </w:rPr>
        <w:t xml:space="preserve">CT </w:t>
      </w:r>
      <w:r w:rsidR="001D7C93">
        <w:rPr>
          <w:rFonts w:ascii="Arial" w:hAnsi="Arial" w:cs="Arial"/>
          <w:bCs/>
          <w:kern w:val="2"/>
          <w:sz w:val="20"/>
          <w:szCs w:val="20"/>
        </w:rPr>
        <w:t xml:space="preserve">also </w:t>
      </w:r>
      <w:r w:rsidRPr="00010F2F">
        <w:rPr>
          <w:rFonts w:ascii="Arial" w:hAnsi="Arial" w:cs="Arial"/>
          <w:bCs/>
          <w:kern w:val="2"/>
          <w:sz w:val="20"/>
          <w:szCs w:val="20"/>
        </w:rPr>
        <w:t xml:space="preserve">is used for CT-guided interventional radiology </w:t>
      </w:r>
      <w:r w:rsidR="00251D80" w:rsidRPr="00010F2F">
        <w:rPr>
          <w:rFonts w:ascii="Arial" w:hAnsi="Arial" w:cs="Arial"/>
          <w:bCs/>
          <w:kern w:val="2"/>
          <w:sz w:val="20"/>
          <w:szCs w:val="20"/>
        </w:rPr>
        <w:t xml:space="preserve">procedures. </w:t>
      </w:r>
      <w:r w:rsidR="00BF7344" w:rsidRPr="00010F2F">
        <w:rPr>
          <w:rFonts w:ascii="Arial" w:hAnsi="Arial" w:cs="Arial"/>
          <w:bCs/>
          <w:kern w:val="2"/>
          <w:sz w:val="20"/>
          <w:szCs w:val="20"/>
        </w:rPr>
        <w:t xml:space="preserve">Currently, </w:t>
      </w:r>
      <w:r w:rsidR="001D7C93">
        <w:rPr>
          <w:rFonts w:ascii="Arial" w:hAnsi="Arial" w:cs="Arial"/>
          <w:bCs/>
          <w:kern w:val="2"/>
          <w:sz w:val="20"/>
          <w:szCs w:val="20"/>
        </w:rPr>
        <w:t>CDH has</w:t>
      </w:r>
      <w:r w:rsidR="00645A38" w:rsidRPr="00010F2F">
        <w:rPr>
          <w:rFonts w:ascii="Arial" w:hAnsi="Arial" w:cs="Arial"/>
          <w:bCs/>
          <w:kern w:val="2"/>
          <w:sz w:val="20"/>
          <w:szCs w:val="20"/>
        </w:rPr>
        <w:t xml:space="preserve"> limit</w:t>
      </w:r>
      <w:r w:rsidR="00BF7344" w:rsidRPr="00010F2F">
        <w:rPr>
          <w:rFonts w:ascii="Arial" w:hAnsi="Arial" w:cs="Arial"/>
          <w:bCs/>
          <w:kern w:val="2"/>
          <w:sz w:val="20"/>
          <w:szCs w:val="20"/>
        </w:rPr>
        <w:t>ed</w:t>
      </w:r>
      <w:r w:rsidR="00645A38" w:rsidRPr="00010F2F">
        <w:rPr>
          <w:rFonts w:ascii="Arial" w:hAnsi="Arial" w:cs="Arial"/>
          <w:bCs/>
          <w:kern w:val="2"/>
          <w:sz w:val="20"/>
          <w:szCs w:val="20"/>
        </w:rPr>
        <w:t xml:space="preserve"> </w:t>
      </w:r>
      <w:r w:rsidR="00BF7344" w:rsidRPr="00010F2F">
        <w:rPr>
          <w:rFonts w:ascii="Arial" w:hAnsi="Arial" w:cs="Arial"/>
          <w:sz w:val="20"/>
          <w:szCs w:val="20"/>
        </w:rPr>
        <w:t>i</w:t>
      </w:r>
      <w:r w:rsidR="004563A3" w:rsidRPr="00010F2F">
        <w:rPr>
          <w:rFonts w:ascii="Arial" w:hAnsi="Arial" w:cs="Arial"/>
          <w:sz w:val="20"/>
          <w:szCs w:val="20"/>
        </w:rPr>
        <w:t xml:space="preserve">nterventional CT </w:t>
      </w:r>
      <w:r w:rsidR="00645A38" w:rsidRPr="00010F2F">
        <w:rPr>
          <w:rFonts w:ascii="Arial" w:hAnsi="Arial" w:cs="Arial"/>
          <w:sz w:val="20"/>
          <w:szCs w:val="20"/>
        </w:rPr>
        <w:t>b</w:t>
      </w:r>
      <w:r w:rsidR="004563A3" w:rsidRPr="00010F2F">
        <w:rPr>
          <w:rFonts w:ascii="Arial" w:hAnsi="Arial" w:cs="Arial"/>
          <w:sz w:val="20"/>
          <w:szCs w:val="20"/>
        </w:rPr>
        <w:t xml:space="preserve">lock times due to lack of flexibility in </w:t>
      </w:r>
      <w:r w:rsidR="00645A38" w:rsidRPr="00010F2F">
        <w:rPr>
          <w:rFonts w:ascii="Arial" w:hAnsi="Arial" w:cs="Arial"/>
          <w:sz w:val="20"/>
          <w:szCs w:val="20"/>
        </w:rPr>
        <w:t xml:space="preserve">the </w:t>
      </w:r>
      <w:r w:rsidR="004563A3" w:rsidRPr="00010F2F">
        <w:rPr>
          <w:rFonts w:ascii="Arial" w:hAnsi="Arial" w:cs="Arial"/>
          <w:sz w:val="20"/>
          <w:szCs w:val="20"/>
        </w:rPr>
        <w:t>schedule.</w:t>
      </w:r>
      <w:r w:rsidR="003F39E9" w:rsidRPr="00010F2F">
        <w:rPr>
          <w:rFonts w:ascii="Arial" w:hAnsi="Arial" w:cs="Arial"/>
          <w:sz w:val="20"/>
          <w:szCs w:val="20"/>
        </w:rPr>
        <w:t xml:space="preserve"> </w:t>
      </w:r>
      <w:r w:rsidR="001D7C93">
        <w:rPr>
          <w:rFonts w:ascii="Arial" w:hAnsi="Arial" w:cs="Arial"/>
          <w:sz w:val="20"/>
          <w:szCs w:val="20"/>
        </w:rPr>
        <w:t xml:space="preserve">Once </w:t>
      </w:r>
      <w:r w:rsidR="00600265">
        <w:rPr>
          <w:rFonts w:ascii="Arial" w:hAnsi="Arial" w:cs="Arial"/>
          <w:sz w:val="20"/>
          <w:szCs w:val="20"/>
        </w:rPr>
        <w:t>an</w:t>
      </w:r>
      <w:r w:rsidR="007F7007" w:rsidRPr="00010F2F">
        <w:rPr>
          <w:rFonts w:ascii="Arial" w:hAnsi="Arial" w:cs="Arial"/>
          <w:sz w:val="20"/>
          <w:szCs w:val="20"/>
        </w:rPr>
        <w:t xml:space="preserve"> interventional procedure begin</w:t>
      </w:r>
      <w:r w:rsidR="0011045F">
        <w:rPr>
          <w:rFonts w:ascii="Arial" w:hAnsi="Arial" w:cs="Arial"/>
          <w:sz w:val="20"/>
          <w:szCs w:val="20"/>
        </w:rPr>
        <w:t>s</w:t>
      </w:r>
      <w:r w:rsidR="007F7007" w:rsidRPr="00010F2F">
        <w:rPr>
          <w:rFonts w:ascii="Arial" w:hAnsi="Arial" w:cs="Arial"/>
          <w:sz w:val="20"/>
          <w:szCs w:val="20"/>
        </w:rPr>
        <w:t xml:space="preserve">, </w:t>
      </w:r>
      <w:r w:rsidR="0011045F">
        <w:rPr>
          <w:rFonts w:ascii="Arial" w:hAnsi="Arial" w:cs="Arial"/>
          <w:sz w:val="20"/>
          <w:szCs w:val="20"/>
        </w:rPr>
        <w:t>it</w:t>
      </w:r>
      <w:r w:rsidR="007F7007" w:rsidRPr="00010F2F">
        <w:rPr>
          <w:rFonts w:ascii="Arial" w:hAnsi="Arial" w:cs="Arial"/>
          <w:sz w:val="20"/>
          <w:szCs w:val="20"/>
        </w:rPr>
        <w:t xml:space="preserve"> cannot be interrupted.</w:t>
      </w:r>
      <w:r w:rsidR="00BF7344" w:rsidRPr="00010F2F">
        <w:rPr>
          <w:rFonts w:ascii="Arial" w:hAnsi="Arial" w:cs="Arial"/>
          <w:sz w:val="20"/>
          <w:szCs w:val="20"/>
        </w:rPr>
        <w:t xml:space="preserve"> </w:t>
      </w:r>
      <w:r w:rsidR="001D7C93">
        <w:rPr>
          <w:rFonts w:ascii="Arial" w:hAnsi="Arial" w:cs="Arial"/>
          <w:sz w:val="20"/>
          <w:szCs w:val="20"/>
        </w:rPr>
        <w:t xml:space="preserve">Due to the need for access for emergent </w:t>
      </w:r>
      <w:r w:rsidR="00534EA5">
        <w:rPr>
          <w:rFonts w:ascii="Arial" w:hAnsi="Arial" w:cs="Arial"/>
          <w:sz w:val="20"/>
          <w:szCs w:val="20"/>
        </w:rPr>
        <w:t xml:space="preserve">and inpatient </w:t>
      </w:r>
      <w:r w:rsidR="001D7C93">
        <w:rPr>
          <w:rFonts w:ascii="Arial" w:hAnsi="Arial" w:cs="Arial"/>
          <w:sz w:val="20"/>
          <w:szCs w:val="20"/>
        </w:rPr>
        <w:t>cases and a full outpatient schedule, interventional</w:t>
      </w:r>
      <w:r w:rsidR="00534EA5">
        <w:rPr>
          <w:rFonts w:ascii="Arial" w:hAnsi="Arial" w:cs="Arial"/>
          <w:sz w:val="20"/>
          <w:szCs w:val="20"/>
        </w:rPr>
        <w:t xml:space="preserve"> procedures can only be scheduled on a limited basis.</w:t>
      </w:r>
      <w:r w:rsidR="001D7C93">
        <w:rPr>
          <w:rFonts w:ascii="Arial" w:hAnsi="Arial" w:cs="Arial"/>
          <w:sz w:val="20"/>
          <w:szCs w:val="20"/>
        </w:rPr>
        <w:t xml:space="preserve"> </w:t>
      </w:r>
      <w:r w:rsidR="00BF7344" w:rsidRPr="00010F2F">
        <w:rPr>
          <w:rFonts w:ascii="Arial" w:hAnsi="Arial" w:cs="Arial"/>
          <w:bCs/>
          <w:kern w:val="2"/>
          <w:sz w:val="20"/>
          <w:szCs w:val="20"/>
        </w:rPr>
        <w:t>The addition of a third CT unit</w:t>
      </w:r>
      <w:r w:rsidR="005C11D0">
        <w:rPr>
          <w:rFonts w:ascii="Arial" w:hAnsi="Arial" w:cs="Arial"/>
          <w:bCs/>
          <w:kern w:val="2"/>
          <w:sz w:val="20"/>
          <w:szCs w:val="20"/>
        </w:rPr>
        <w:t xml:space="preserve"> </w:t>
      </w:r>
      <w:r w:rsidR="00BF7344" w:rsidRPr="00010F2F">
        <w:rPr>
          <w:rFonts w:ascii="Arial" w:hAnsi="Arial" w:cs="Arial"/>
          <w:bCs/>
          <w:kern w:val="2"/>
          <w:sz w:val="20"/>
          <w:szCs w:val="20"/>
        </w:rPr>
        <w:t xml:space="preserve">will </w:t>
      </w:r>
      <w:r w:rsidR="0088567D">
        <w:rPr>
          <w:rFonts w:ascii="Arial" w:hAnsi="Arial" w:cs="Arial"/>
          <w:bCs/>
          <w:kern w:val="2"/>
          <w:sz w:val="20"/>
          <w:szCs w:val="20"/>
        </w:rPr>
        <w:t xml:space="preserve">allow the Hospital to increase the number of </w:t>
      </w:r>
      <w:r w:rsidR="00BF7344" w:rsidRPr="00010F2F">
        <w:rPr>
          <w:rFonts w:ascii="Arial" w:hAnsi="Arial" w:cs="Arial"/>
          <w:bCs/>
          <w:kern w:val="2"/>
          <w:sz w:val="20"/>
          <w:szCs w:val="20"/>
        </w:rPr>
        <w:t xml:space="preserve">time slots </w:t>
      </w:r>
      <w:r w:rsidR="0088567D">
        <w:rPr>
          <w:rFonts w:ascii="Arial" w:hAnsi="Arial" w:cs="Arial"/>
          <w:bCs/>
          <w:kern w:val="2"/>
          <w:sz w:val="20"/>
          <w:szCs w:val="20"/>
        </w:rPr>
        <w:t>for interventional radiology</w:t>
      </w:r>
      <w:r w:rsidR="00BF7344" w:rsidRPr="00010F2F">
        <w:rPr>
          <w:rFonts w:ascii="Arial" w:hAnsi="Arial" w:cs="Arial"/>
          <w:bCs/>
          <w:kern w:val="2"/>
          <w:sz w:val="20"/>
          <w:szCs w:val="20"/>
        </w:rPr>
        <w:t xml:space="preserve"> and thereby </w:t>
      </w:r>
      <w:r w:rsidR="00BF7344" w:rsidRPr="00010F2F">
        <w:rPr>
          <w:rFonts w:ascii="Arial" w:hAnsi="Arial" w:cs="Arial"/>
          <w:sz w:val="20"/>
          <w:szCs w:val="20"/>
        </w:rPr>
        <w:t xml:space="preserve">increase interventional CT </w:t>
      </w:r>
      <w:r w:rsidR="005C11D0">
        <w:rPr>
          <w:rFonts w:ascii="Arial" w:hAnsi="Arial" w:cs="Arial"/>
          <w:sz w:val="20"/>
          <w:szCs w:val="20"/>
        </w:rPr>
        <w:t>access</w:t>
      </w:r>
      <w:r w:rsidR="005B305C">
        <w:rPr>
          <w:rFonts w:ascii="Arial" w:hAnsi="Arial" w:cs="Arial"/>
          <w:sz w:val="20"/>
          <w:szCs w:val="20"/>
        </w:rPr>
        <w:t xml:space="preserve"> for patients</w:t>
      </w:r>
      <w:r w:rsidR="00BF7344" w:rsidRPr="00010F2F">
        <w:rPr>
          <w:rFonts w:ascii="Arial" w:hAnsi="Arial" w:cs="Arial"/>
          <w:sz w:val="20"/>
          <w:szCs w:val="20"/>
        </w:rPr>
        <w:t xml:space="preserve">. </w:t>
      </w:r>
      <w:r w:rsidR="00AC07DD" w:rsidRPr="0072753B">
        <w:rPr>
          <w:rFonts w:ascii="Arial" w:hAnsi="Arial" w:cs="Arial"/>
          <w:bCs/>
          <w:kern w:val="2"/>
          <w:sz w:val="20"/>
          <w:szCs w:val="20"/>
        </w:rPr>
        <w:t xml:space="preserve">Ultimately, the addition of a third CT unit </w:t>
      </w:r>
      <w:r w:rsidR="00BD2019" w:rsidRPr="0072753B">
        <w:rPr>
          <w:rFonts w:ascii="Arial" w:hAnsi="Arial" w:cs="Arial"/>
          <w:bCs/>
          <w:kern w:val="2"/>
          <w:sz w:val="20"/>
          <w:szCs w:val="20"/>
        </w:rPr>
        <w:t xml:space="preserve">in the ED </w:t>
      </w:r>
      <w:r w:rsidR="00AC07DD" w:rsidRPr="0072753B">
        <w:rPr>
          <w:rFonts w:ascii="Arial" w:hAnsi="Arial" w:cs="Arial"/>
          <w:bCs/>
          <w:kern w:val="2"/>
          <w:sz w:val="20"/>
          <w:szCs w:val="20"/>
        </w:rPr>
        <w:t>will allow CDH to address the high demand for CT services and ensure timely access to imaging services.</w:t>
      </w:r>
      <w:r w:rsidR="00AC07DD" w:rsidRPr="00010F2F">
        <w:rPr>
          <w:rFonts w:ascii="Arial" w:hAnsi="Arial" w:cs="Arial"/>
          <w:bCs/>
          <w:kern w:val="2"/>
          <w:sz w:val="20"/>
          <w:szCs w:val="20"/>
        </w:rPr>
        <w:t xml:space="preserve"> </w:t>
      </w:r>
    </w:p>
    <w:p w14:paraId="0EEE4734" w14:textId="662E3F2D" w:rsidR="00805BD1" w:rsidRDefault="00805BD1" w:rsidP="00AC07DD">
      <w:pPr>
        <w:spacing w:after="0" w:line="240" w:lineRule="auto"/>
        <w:jc w:val="both"/>
        <w:rPr>
          <w:rFonts w:ascii="Arial" w:hAnsi="Arial" w:cs="Arial"/>
          <w:bCs/>
          <w:kern w:val="2"/>
          <w:sz w:val="20"/>
          <w:szCs w:val="20"/>
        </w:rPr>
      </w:pPr>
    </w:p>
    <w:p w14:paraId="173A7E69" w14:textId="759B1331" w:rsidR="00805BD1" w:rsidRDefault="000B50C3" w:rsidP="00AC07DD">
      <w:pPr>
        <w:spacing w:after="0" w:line="240" w:lineRule="auto"/>
        <w:jc w:val="both"/>
        <w:rPr>
          <w:rFonts w:ascii="Arial" w:hAnsi="Arial" w:cs="Arial"/>
          <w:sz w:val="20"/>
          <w:szCs w:val="20"/>
        </w:rPr>
      </w:pPr>
      <w:r>
        <w:rPr>
          <w:rFonts w:ascii="Arial" w:hAnsi="Arial" w:cs="Arial"/>
          <w:bCs/>
          <w:kern w:val="2"/>
          <w:sz w:val="20"/>
          <w:szCs w:val="20"/>
        </w:rPr>
        <w:t xml:space="preserve">A </w:t>
      </w:r>
      <w:r w:rsidR="00805BD1">
        <w:rPr>
          <w:rFonts w:ascii="Arial" w:eastAsia="Times New Roman" w:hAnsi="Arial" w:cs="Arial"/>
          <w:kern w:val="2"/>
          <w:sz w:val="20"/>
          <w:szCs w:val="20"/>
        </w:rPr>
        <w:t xml:space="preserve">third </w:t>
      </w:r>
      <w:r w:rsidR="00805BD1" w:rsidRPr="00624B2C">
        <w:rPr>
          <w:rFonts w:ascii="Arial" w:eastAsia="Times New Roman" w:hAnsi="Arial" w:cs="Arial"/>
          <w:kern w:val="2"/>
          <w:sz w:val="20"/>
          <w:szCs w:val="20"/>
        </w:rPr>
        <w:t xml:space="preserve">CT unit will </w:t>
      </w:r>
      <w:r>
        <w:rPr>
          <w:rFonts w:ascii="Arial" w:eastAsia="Times New Roman" w:hAnsi="Arial" w:cs="Arial"/>
          <w:kern w:val="2"/>
          <w:sz w:val="20"/>
          <w:szCs w:val="20"/>
        </w:rPr>
        <w:t xml:space="preserve">also </w:t>
      </w:r>
      <w:r w:rsidR="00805BD1" w:rsidRPr="00624B2C">
        <w:rPr>
          <w:rFonts w:ascii="Arial" w:eastAsia="Times New Roman" w:hAnsi="Arial" w:cs="Arial"/>
          <w:kern w:val="2"/>
          <w:sz w:val="20"/>
          <w:szCs w:val="20"/>
        </w:rPr>
        <w:t>allow the Hospital to expand its lung cancer screening program</w:t>
      </w:r>
      <w:r w:rsidR="00805BD1">
        <w:rPr>
          <w:rFonts w:ascii="Arial" w:eastAsia="Times New Roman" w:hAnsi="Arial" w:cs="Arial"/>
          <w:kern w:val="2"/>
          <w:sz w:val="20"/>
          <w:szCs w:val="20"/>
        </w:rPr>
        <w:t>. On</w:t>
      </w:r>
      <w:r w:rsidR="00805BD1" w:rsidRPr="00E273E3">
        <w:rPr>
          <w:rFonts w:ascii="Arial" w:hAnsi="Arial" w:cs="Arial"/>
          <w:color w:val="FF0000"/>
          <w:sz w:val="20"/>
          <w:szCs w:val="20"/>
        </w:rPr>
        <w:t xml:space="preserve"> </w:t>
      </w:r>
      <w:r w:rsidR="00805BD1" w:rsidRPr="00BE1F12">
        <w:rPr>
          <w:rFonts w:ascii="Arial" w:hAnsi="Arial" w:cs="Arial"/>
          <w:sz w:val="20"/>
          <w:szCs w:val="20"/>
        </w:rPr>
        <w:t>February 10, 2022, the Centers for Medicare &amp; Medicaid Services announced that it would expand eligibility coverage for low dose computed tomography (“LDCT”) by lowering the starting age for screening from 55 to 50 years and reducing history of tobacco smoking from at least 30 packs per year to at least 20 pack per year.</w:t>
      </w:r>
      <w:r w:rsidR="00805BD1">
        <w:rPr>
          <w:rFonts w:ascii="Arial" w:hAnsi="Arial" w:cs="Arial"/>
          <w:sz w:val="20"/>
          <w:szCs w:val="20"/>
        </w:rPr>
        <w:t xml:space="preserve"> </w:t>
      </w:r>
      <w:r w:rsidR="00805BD1" w:rsidRPr="00BE1F12">
        <w:rPr>
          <w:rFonts w:ascii="Arial" w:hAnsi="Arial" w:cs="Arial"/>
          <w:sz w:val="20"/>
          <w:szCs w:val="20"/>
        </w:rPr>
        <w:t>The expanded eligibility is expected to result in increased CT volume</w:t>
      </w:r>
      <w:r w:rsidR="00805BD1">
        <w:rPr>
          <w:rFonts w:ascii="Arial" w:hAnsi="Arial" w:cs="Arial"/>
          <w:sz w:val="20"/>
          <w:szCs w:val="20"/>
        </w:rPr>
        <w:t>.</w:t>
      </w:r>
    </w:p>
    <w:p w14:paraId="593C3F27" w14:textId="774F9AD9" w:rsidR="000B50C3" w:rsidRDefault="000B50C3" w:rsidP="00AC07DD">
      <w:pPr>
        <w:spacing w:after="0" w:line="240" w:lineRule="auto"/>
        <w:jc w:val="both"/>
        <w:rPr>
          <w:rFonts w:ascii="Arial" w:hAnsi="Arial" w:cs="Arial"/>
          <w:sz w:val="20"/>
          <w:szCs w:val="20"/>
        </w:rPr>
      </w:pPr>
    </w:p>
    <w:p w14:paraId="1E09C5A0" w14:textId="77777777" w:rsidR="004D1992" w:rsidRDefault="004D1992" w:rsidP="004D1992">
      <w:pPr>
        <w:jc w:val="both"/>
        <w:rPr>
          <w:rFonts w:ascii="Arial" w:hAnsi="Arial" w:cs="Arial"/>
          <w:sz w:val="20"/>
          <w:szCs w:val="20"/>
        </w:rPr>
      </w:pPr>
      <w:r w:rsidRPr="004D1992">
        <w:rPr>
          <w:rFonts w:ascii="Arial" w:hAnsi="Arial" w:cs="Arial"/>
          <w:sz w:val="20"/>
          <w:szCs w:val="20"/>
        </w:rPr>
        <w:t>Finally, having a CT unit embedded in the ED will allow the hospital to shift ED volume to the new unit. ED patients will no longer need to be transported to the radiology department for CT, providing efficiencies and timely access to imaging. This also will allow the existing units to be utilized for scheduled outpatients, including increased interventional procedures.</w:t>
      </w:r>
    </w:p>
    <w:p w14:paraId="47A0E82F" w14:textId="77777777" w:rsidR="00CD2611" w:rsidRPr="00010F2F" w:rsidRDefault="00CD2611" w:rsidP="00CD2611">
      <w:pPr>
        <w:spacing w:after="0" w:line="240" w:lineRule="auto"/>
        <w:jc w:val="both"/>
        <w:rPr>
          <w:rFonts w:ascii="Arial" w:eastAsia="Times New Roman" w:hAnsi="Arial" w:cs="Arial"/>
          <w:kern w:val="2"/>
          <w:sz w:val="20"/>
          <w:szCs w:val="20"/>
        </w:rPr>
      </w:pPr>
    </w:p>
    <w:p w14:paraId="02F82D38" w14:textId="531AFB31" w:rsidR="00CD2611" w:rsidRPr="00010F2F" w:rsidRDefault="007F7007" w:rsidP="007F7007">
      <w:pPr>
        <w:pStyle w:val="ListParagraph"/>
        <w:numPr>
          <w:ilvl w:val="0"/>
          <w:numId w:val="3"/>
        </w:numPr>
        <w:spacing w:after="0" w:line="240" w:lineRule="auto"/>
        <w:ind w:left="360"/>
        <w:jc w:val="both"/>
        <w:rPr>
          <w:rFonts w:ascii="Arial" w:eastAsia="Times New Roman" w:hAnsi="Arial" w:cs="Arial"/>
          <w:bCs/>
          <w:kern w:val="2"/>
          <w:sz w:val="20"/>
          <w:szCs w:val="20"/>
          <w:u w:val="single"/>
        </w:rPr>
      </w:pPr>
      <w:r w:rsidRPr="00010F2F">
        <w:rPr>
          <w:rFonts w:ascii="Arial" w:eastAsia="Times New Roman" w:hAnsi="Arial" w:cs="Arial"/>
          <w:bCs/>
          <w:kern w:val="2"/>
          <w:sz w:val="20"/>
          <w:szCs w:val="20"/>
          <w:u w:val="single"/>
        </w:rPr>
        <w:t>Project</w:t>
      </w:r>
      <w:r w:rsidR="00594752" w:rsidRPr="00010F2F">
        <w:rPr>
          <w:rFonts w:ascii="Arial" w:eastAsia="Times New Roman" w:hAnsi="Arial" w:cs="Arial"/>
          <w:bCs/>
          <w:kern w:val="2"/>
          <w:sz w:val="20"/>
          <w:szCs w:val="20"/>
          <w:u w:val="single"/>
        </w:rPr>
        <w:t>ed Growth and Future Demand</w:t>
      </w:r>
    </w:p>
    <w:p w14:paraId="48DF65D3" w14:textId="51CA3E32" w:rsidR="007F7007" w:rsidRPr="00010F2F" w:rsidRDefault="007F7007" w:rsidP="007F7007">
      <w:pPr>
        <w:spacing w:after="0" w:line="240" w:lineRule="auto"/>
        <w:jc w:val="both"/>
        <w:rPr>
          <w:rFonts w:ascii="Arial" w:eastAsia="Times New Roman" w:hAnsi="Arial" w:cs="Arial"/>
          <w:bCs/>
          <w:kern w:val="2"/>
          <w:sz w:val="20"/>
          <w:szCs w:val="20"/>
          <w:u w:val="single"/>
        </w:rPr>
      </w:pPr>
    </w:p>
    <w:p w14:paraId="2C52DEBE" w14:textId="5184BFCB" w:rsidR="004D1992" w:rsidRDefault="00594752" w:rsidP="00FE7D12">
      <w:pPr>
        <w:spacing w:after="0" w:line="240" w:lineRule="auto"/>
        <w:jc w:val="both"/>
        <w:rPr>
          <w:rFonts w:ascii="Arial" w:eastAsia="Times New Roman" w:hAnsi="Arial" w:cs="Arial"/>
          <w:bCs/>
          <w:kern w:val="2"/>
          <w:sz w:val="20"/>
          <w:szCs w:val="20"/>
        </w:rPr>
      </w:pPr>
      <w:bookmarkStart w:id="1" w:name="_Hlk134463846"/>
      <w:r w:rsidRPr="00010F2F">
        <w:rPr>
          <w:rFonts w:ascii="Arial" w:eastAsia="Times New Roman" w:hAnsi="Arial" w:cs="Arial"/>
          <w:bCs/>
          <w:kern w:val="2"/>
          <w:sz w:val="20"/>
          <w:szCs w:val="20"/>
        </w:rPr>
        <w:t>Based on historical volume</w:t>
      </w:r>
      <w:r w:rsidR="005B305C">
        <w:rPr>
          <w:rFonts w:ascii="Arial" w:eastAsia="Times New Roman" w:hAnsi="Arial" w:cs="Arial"/>
          <w:bCs/>
          <w:kern w:val="2"/>
          <w:sz w:val="20"/>
          <w:szCs w:val="20"/>
        </w:rPr>
        <w:t xml:space="preserve"> trends that support</w:t>
      </w:r>
      <w:r w:rsidRPr="00010F2F">
        <w:rPr>
          <w:rFonts w:ascii="Arial" w:eastAsia="Times New Roman" w:hAnsi="Arial" w:cs="Arial"/>
          <w:bCs/>
          <w:kern w:val="2"/>
          <w:sz w:val="20"/>
          <w:szCs w:val="20"/>
        </w:rPr>
        <w:t xml:space="preserve"> projections for future demand, CDH expects CT volume will </w:t>
      </w:r>
      <w:r w:rsidRPr="004D1992">
        <w:rPr>
          <w:rFonts w:ascii="Arial" w:eastAsia="Times New Roman" w:hAnsi="Arial" w:cs="Arial"/>
          <w:bCs/>
          <w:kern w:val="2"/>
          <w:sz w:val="20"/>
          <w:szCs w:val="20"/>
        </w:rPr>
        <w:t>continue to grow</w:t>
      </w:r>
      <w:r w:rsidR="005B305C" w:rsidRPr="004D1992">
        <w:rPr>
          <w:rFonts w:ascii="Arial" w:eastAsia="Times New Roman" w:hAnsi="Arial" w:cs="Arial"/>
          <w:bCs/>
          <w:kern w:val="2"/>
          <w:sz w:val="20"/>
          <w:szCs w:val="20"/>
        </w:rPr>
        <w:t>.</w:t>
      </w:r>
      <w:r w:rsidR="004D1992" w:rsidRPr="004D1992">
        <w:rPr>
          <w:rFonts w:ascii="Arial" w:eastAsia="Times New Roman" w:hAnsi="Arial" w:cs="Arial"/>
          <w:bCs/>
          <w:kern w:val="2"/>
          <w:sz w:val="20"/>
          <w:szCs w:val="20"/>
        </w:rPr>
        <w:t xml:space="preserve"> </w:t>
      </w:r>
      <w:r w:rsidR="004D1992" w:rsidRPr="004D1992">
        <w:rPr>
          <w:rFonts w:ascii="Arial" w:hAnsi="Arial" w:cs="Arial"/>
          <w:sz w:val="20"/>
          <w:szCs w:val="20"/>
        </w:rPr>
        <w:t>The projected volume increase is largely due to the opportunity the third unit will bring to allow the Hospital to meet unmet demand on its existing CT units for interventional radiology procedures and LDCT screening, as well as expected demand from an aging population. Following the first year, CT volume is projected to level off with approximately a 1% increase in volume for each fiscal year through 2027.</w:t>
      </w:r>
    </w:p>
    <w:bookmarkEnd w:id="1"/>
    <w:p w14:paraId="1BA09EDC" w14:textId="77777777" w:rsidR="000B50C3" w:rsidRDefault="000B50C3" w:rsidP="00FE7D12">
      <w:pPr>
        <w:spacing w:after="0" w:line="240" w:lineRule="auto"/>
        <w:jc w:val="both"/>
        <w:rPr>
          <w:rFonts w:ascii="Arial" w:eastAsia="Times New Roman" w:hAnsi="Arial" w:cs="Arial"/>
          <w:bCs/>
          <w:kern w:val="2"/>
          <w:sz w:val="20"/>
          <w:szCs w:val="20"/>
        </w:rPr>
      </w:pPr>
    </w:p>
    <w:p w14:paraId="238E17F9" w14:textId="1F9764FB" w:rsidR="00FE7D12" w:rsidRPr="000B50C3" w:rsidRDefault="00A66E9A" w:rsidP="00FE7D12">
      <w:pPr>
        <w:spacing w:after="0" w:line="240" w:lineRule="auto"/>
        <w:jc w:val="both"/>
        <w:rPr>
          <w:rFonts w:ascii="Arial" w:eastAsia="Times New Roman" w:hAnsi="Arial" w:cs="Arial"/>
          <w:kern w:val="2"/>
          <w:sz w:val="20"/>
          <w:szCs w:val="20"/>
        </w:rPr>
      </w:pPr>
      <w:r>
        <w:rPr>
          <w:rFonts w:ascii="Arial" w:eastAsia="Times New Roman" w:hAnsi="Arial" w:cs="Arial"/>
          <w:bCs/>
          <w:kern w:val="2"/>
          <w:sz w:val="20"/>
          <w:szCs w:val="20"/>
        </w:rPr>
        <w:t>Further, t</w:t>
      </w:r>
      <w:r w:rsidR="005B305C">
        <w:rPr>
          <w:rFonts w:ascii="Arial" w:eastAsia="Times New Roman" w:hAnsi="Arial" w:cs="Arial"/>
          <w:bCs/>
          <w:kern w:val="2"/>
          <w:sz w:val="20"/>
          <w:szCs w:val="20"/>
        </w:rPr>
        <w:t xml:space="preserve">he population of </w:t>
      </w:r>
      <w:r w:rsidR="00E54903" w:rsidRPr="00010F2F">
        <w:rPr>
          <w:rFonts w:ascii="Arial" w:eastAsia="Times New Roman" w:hAnsi="Arial" w:cs="Arial"/>
          <w:bCs/>
          <w:kern w:val="2"/>
          <w:sz w:val="20"/>
          <w:szCs w:val="20"/>
        </w:rPr>
        <w:t xml:space="preserve">CDH’s </w:t>
      </w:r>
      <w:r w:rsidR="0036298E" w:rsidRPr="00010F2F">
        <w:rPr>
          <w:rFonts w:ascii="Arial" w:eastAsia="Times New Roman" w:hAnsi="Arial" w:cs="Arial"/>
          <w:bCs/>
          <w:kern w:val="2"/>
          <w:sz w:val="20"/>
          <w:szCs w:val="20"/>
        </w:rPr>
        <w:t xml:space="preserve">primary </w:t>
      </w:r>
      <w:r w:rsidR="00E54903" w:rsidRPr="00010F2F">
        <w:rPr>
          <w:rFonts w:ascii="Arial" w:eastAsia="Times New Roman" w:hAnsi="Arial" w:cs="Arial"/>
          <w:bCs/>
          <w:kern w:val="2"/>
          <w:sz w:val="20"/>
          <w:szCs w:val="20"/>
        </w:rPr>
        <w:t xml:space="preserve">service area </w:t>
      </w:r>
      <w:r w:rsidR="00FE7D12" w:rsidRPr="00010F2F">
        <w:rPr>
          <w:rFonts w:ascii="Arial" w:eastAsia="Times New Roman" w:hAnsi="Arial" w:cs="Arial"/>
          <w:bCs/>
          <w:kern w:val="2"/>
          <w:sz w:val="20"/>
          <w:szCs w:val="20"/>
        </w:rPr>
        <w:t xml:space="preserve">is </w:t>
      </w:r>
      <w:r w:rsidR="00534EA5">
        <w:rPr>
          <w:rFonts w:ascii="Arial" w:eastAsia="Times New Roman" w:hAnsi="Arial" w:cs="Arial"/>
          <w:bCs/>
          <w:kern w:val="2"/>
          <w:sz w:val="20"/>
          <w:szCs w:val="20"/>
        </w:rPr>
        <w:t>projected to increase</w:t>
      </w:r>
      <w:r w:rsidR="00FE7D12" w:rsidRPr="00010F2F">
        <w:rPr>
          <w:rFonts w:ascii="Arial" w:eastAsia="Times New Roman" w:hAnsi="Arial" w:cs="Arial"/>
          <w:bCs/>
          <w:kern w:val="2"/>
          <w:sz w:val="20"/>
          <w:szCs w:val="20"/>
        </w:rPr>
        <w:t xml:space="preserve"> by</w:t>
      </w:r>
      <w:r w:rsidR="0036298E" w:rsidRPr="00010F2F">
        <w:rPr>
          <w:rFonts w:ascii="Arial" w:eastAsia="Times New Roman" w:hAnsi="Arial" w:cs="Arial"/>
          <w:bCs/>
          <w:kern w:val="2"/>
          <w:sz w:val="20"/>
          <w:szCs w:val="20"/>
        </w:rPr>
        <w:t xml:space="preserve"> approximately </w:t>
      </w:r>
      <w:r w:rsidR="00D22243" w:rsidRPr="00010F2F">
        <w:rPr>
          <w:rFonts w:ascii="Arial" w:eastAsia="Times New Roman" w:hAnsi="Arial" w:cs="Arial"/>
          <w:bCs/>
          <w:kern w:val="2"/>
          <w:sz w:val="20"/>
          <w:szCs w:val="20"/>
        </w:rPr>
        <w:t>2.68</w:t>
      </w:r>
      <w:r w:rsidR="00FE7D12" w:rsidRPr="00010F2F">
        <w:rPr>
          <w:rFonts w:ascii="Arial" w:eastAsia="Times New Roman" w:hAnsi="Arial" w:cs="Arial"/>
          <w:bCs/>
          <w:kern w:val="2"/>
          <w:sz w:val="20"/>
          <w:szCs w:val="20"/>
        </w:rPr>
        <w:t>% from 2020 to 2035.</w:t>
      </w:r>
      <w:r w:rsidR="00FE7D12" w:rsidRPr="00010F2F">
        <w:rPr>
          <w:rStyle w:val="FootnoteReference"/>
          <w:rFonts w:ascii="Arial" w:eastAsia="Times New Roman" w:hAnsi="Arial" w:cs="Arial"/>
          <w:bCs/>
          <w:kern w:val="2"/>
          <w:sz w:val="20"/>
          <w:szCs w:val="20"/>
        </w:rPr>
        <w:footnoteReference w:id="18"/>
      </w:r>
      <w:r w:rsidR="00FE7D12" w:rsidRPr="00010F2F">
        <w:rPr>
          <w:rFonts w:ascii="Arial" w:eastAsia="Times New Roman" w:hAnsi="Arial" w:cs="Arial"/>
          <w:bCs/>
          <w:kern w:val="2"/>
          <w:sz w:val="20"/>
          <w:szCs w:val="20"/>
        </w:rPr>
        <w:t xml:space="preserve"> In particular, the age 65 and older </w:t>
      </w:r>
      <w:r w:rsidR="00EB1544">
        <w:rPr>
          <w:rFonts w:ascii="Arial" w:eastAsia="Times New Roman" w:hAnsi="Arial" w:cs="Arial"/>
          <w:bCs/>
          <w:kern w:val="2"/>
          <w:sz w:val="20"/>
          <w:szCs w:val="20"/>
        </w:rPr>
        <w:t xml:space="preserve">cohort </w:t>
      </w:r>
      <w:r w:rsidR="00FE7D12" w:rsidRPr="00010F2F">
        <w:rPr>
          <w:rFonts w:ascii="Arial" w:eastAsia="Times New Roman" w:hAnsi="Arial" w:cs="Arial"/>
          <w:bCs/>
          <w:kern w:val="2"/>
          <w:sz w:val="20"/>
          <w:szCs w:val="20"/>
        </w:rPr>
        <w:t xml:space="preserve">is expected to grow by </w:t>
      </w:r>
      <w:r w:rsidR="0036298E" w:rsidRPr="00010F2F">
        <w:rPr>
          <w:rFonts w:ascii="Arial" w:eastAsia="Times New Roman" w:hAnsi="Arial" w:cs="Arial"/>
          <w:bCs/>
          <w:kern w:val="2"/>
          <w:sz w:val="20"/>
          <w:szCs w:val="20"/>
        </w:rPr>
        <w:t>approximately 40.45</w:t>
      </w:r>
      <w:r w:rsidR="00FE7D12" w:rsidRPr="00010F2F">
        <w:rPr>
          <w:rFonts w:ascii="Arial" w:eastAsia="Times New Roman" w:hAnsi="Arial" w:cs="Arial"/>
          <w:bCs/>
          <w:kern w:val="2"/>
          <w:sz w:val="20"/>
          <w:szCs w:val="20"/>
        </w:rPr>
        <w:t>% from 2020 to 2035.</w:t>
      </w:r>
      <w:r w:rsidR="0036298E" w:rsidRPr="00010F2F">
        <w:rPr>
          <w:rStyle w:val="FootnoteReference"/>
          <w:rFonts w:ascii="Arial" w:eastAsia="Times New Roman" w:hAnsi="Arial" w:cs="Arial"/>
          <w:bCs/>
          <w:kern w:val="2"/>
          <w:sz w:val="20"/>
          <w:szCs w:val="20"/>
        </w:rPr>
        <w:footnoteReference w:id="19"/>
      </w:r>
      <w:r w:rsidR="00FE7D12" w:rsidRPr="00010F2F">
        <w:rPr>
          <w:rFonts w:ascii="Arial" w:eastAsia="Times New Roman" w:hAnsi="Arial" w:cs="Arial"/>
          <w:bCs/>
          <w:kern w:val="2"/>
          <w:sz w:val="20"/>
          <w:szCs w:val="20"/>
        </w:rPr>
        <w:t xml:space="preserve"> </w:t>
      </w:r>
      <w:r w:rsidR="00FE7D12" w:rsidRPr="00010F2F">
        <w:rPr>
          <w:rFonts w:ascii="Arial" w:eastAsia="Times New Roman" w:hAnsi="Arial" w:cs="Arial"/>
          <w:kern w:val="2"/>
          <w:sz w:val="20"/>
          <w:szCs w:val="20"/>
        </w:rPr>
        <w:t xml:space="preserve">As the Patient Panel ages, CDH patients will present with higher acuity and more frequently require advanced diagnostic imaging, including CT. </w:t>
      </w:r>
      <w:r w:rsidR="0000532B">
        <w:rPr>
          <w:rFonts w:ascii="Arial" w:eastAsia="Times New Roman" w:hAnsi="Arial" w:cs="Arial"/>
          <w:kern w:val="2"/>
          <w:sz w:val="20"/>
          <w:szCs w:val="20"/>
        </w:rPr>
        <w:t>Table 4 below</w:t>
      </w:r>
      <w:r w:rsidR="00805BD1" w:rsidRPr="00624B2C">
        <w:rPr>
          <w:rFonts w:ascii="Arial" w:eastAsia="Times New Roman" w:hAnsi="Arial" w:cs="Arial"/>
          <w:kern w:val="2"/>
          <w:sz w:val="20"/>
          <w:szCs w:val="20"/>
        </w:rPr>
        <w:t xml:space="preserve"> details the Hospital’s CT volume projections following implementation of the Proposed Project.</w:t>
      </w:r>
    </w:p>
    <w:p w14:paraId="5CE42EA8" w14:textId="5D963C85" w:rsidR="001D6258" w:rsidRDefault="001D6258">
      <w:pPr>
        <w:rPr>
          <w:rFonts w:ascii="Arial" w:eastAsia="Times New Roman" w:hAnsi="Arial" w:cs="Arial"/>
          <w:bCs/>
          <w:kern w:val="2"/>
          <w:sz w:val="20"/>
          <w:szCs w:val="20"/>
          <w:u w:val="single"/>
        </w:rPr>
      </w:pPr>
      <w:r>
        <w:rPr>
          <w:rFonts w:ascii="Arial" w:eastAsia="Times New Roman" w:hAnsi="Arial" w:cs="Arial"/>
          <w:bCs/>
          <w:kern w:val="2"/>
          <w:sz w:val="20"/>
          <w:szCs w:val="20"/>
          <w:u w:val="single"/>
        </w:rPr>
        <w:br w:type="page"/>
      </w:r>
    </w:p>
    <w:p w14:paraId="05EB5E2B" w14:textId="77777777" w:rsidR="00CD2611" w:rsidRPr="00010F2F" w:rsidRDefault="00CD2611" w:rsidP="00CD2611">
      <w:pPr>
        <w:spacing w:after="0" w:line="240" w:lineRule="auto"/>
        <w:jc w:val="both"/>
        <w:rPr>
          <w:rFonts w:ascii="Arial" w:eastAsia="Times New Roman" w:hAnsi="Arial" w:cs="Arial"/>
          <w:b/>
          <w:kern w:val="2"/>
          <w:sz w:val="20"/>
          <w:szCs w:val="20"/>
        </w:rPr>
      </w:pPr>
      <w:r w:rsidRPr="00010F2F">
        <w:rPr>
          <w:rFonts w:ascii="Arial" w:eastAsia="Times New Roman" w:hAnsi="Arial" w:cs="Arial"/>
          <w:b/>
          <w:kern w:val="2"/>
          <w:sz w:val="20"/>
          <w:szCs w:val="20"/>
        </w:rPr>
        <w:lastRenderedPageBreak/>
        <w:t>Table 4: Projected CT Volume</w:t>
      </w:r>
    </w:p>
    <w:tbl>
      <w:tblPr>
        <w:tblStyle w:val="TableGrid"/>
        <w:tblW w:w="10137" w:type="dxa"/>
        <w:tblInd w:w="-5" w:type="dxa"/>
        <w:tblLayout w:type="fixed"/>
        <w:tblLook w:val="04A0" w:firstRow="1" w:lastRow="0" w:firstColumn="1" w:lastColumn="0" w:noHBand="0" w:noVBand="1"/>
      </w:tblPr>
      <w:tblGrid>
        <w:gridCol w:w="1622"/>
        <w:gridCol w:w="811"/>
        <w:gridCol w:w="897"/>
        <w:gridCol w:w="725"/>
        <w:gridCol w:w="895"/>
        <w:gridCol w:w="727"/>
        <w:gridCol w:w="893"/>
        <w:gridCol w:w="729"/>
        <w:gridCol w:w="891"/>
        <w:gridCol w:w="731"/>
        <w:gridCol w:w="1216"/>
      </w:tblGrid>
      <w:tr w:rsidR="00594752" w:rsidRPr="00010F2F" w14:paraId="39D17048" w14:textId="77777777" w:rsidTr="00222818">
        <w:trPr>
          <w:cantSplit/>
          <w:trHeight w:val="271"/>
          <w:tblHeader/>
        </w:trPr>
        <w:tc>
          <w:tcPr>
            <w:tcW w:w="1622" w:type="dxa"/>
            <w:shd w:val="clear" w:color="auto" w:fill="D9E2F3" w:themeFill="accent1" w:themeFillTint="33"/>
            <w:vAlign w:val="bottom"/>
          </w:tcPr>
          <w:p w14:paraId="31883A2B" w14:textId="3788D41B" w:rsidR="00594752" w:rsidRPr="00F57939" w:rsidRDefault="00F57939" w:rsidP="00F57939">
            <w:pPr>
              <w:pStyle w:val="BodyText2"/>
              <w:jc w:val="center"/>
              <w:rPr>
                <w:rFonts w:asciiTheme="majorHAnsi" w:hAnsiTheme="majorHAnsi" w:cstheme="majorHAnsi"/>
                <w:b/>
                <w:bCs/>
                <w:sz w:val="18"/>
                <w:szCs w:val="18"/>
              </w:rPr>
            </w:pPr>
            <w:r w:rsidRPr="00F57939">
              <w:rPr>
                <w:rFonts w:asciiTheme="majorHAnsi" w:hAnsiTheme="majorHAnsi" w:cstheme="majorHAnsi"/>
                <w:b/>
                <w:bCs/>
                <w:sz w:val="18"/>
                <w:szCs w:val="18"/>
              </w:rPr>
              <w:t>CT Volume</w:t>
            </w:r>
          </w:p>
        </w:tc>
        <w:tc>
          <w:tcPr>
            <w:tcW w:w="811" w:type="dxa"/>
            <w:shd w:val="clear" w:color="auto" w:fill="D9E2F3" w:themeFill="accent1" w:themeFillTint="33"/>
            <w:vAlign w:val="bottom"/>
          </w:tcPr>
          <w:p w14:paraId="522C43F9" w14:textId="77777777" w:rsidR="00594752" w:rsidRPr="00010F2F" w:rsidRDefault="00594752" w:rsidP="00ED2D03">
            <w:pPr>
              <w:pStyle w:val="BodyText2"/>
              <w:rPr>
                <w:rFonts w:asciiTheme="majorHAnsi" w:hAnsiTheme="majorHAnsi" w:cstheme="majorHAnsi"/>
                <w:b/>
                <w:bCs/>
                <w:color w:val="000000"/>
                <w:sz w:val="18"/>
                <w:szCs w:val="18"/>
              </w:rPr>
            </w:pPr>
            <w:r w:rsidRPr="00010F2F">
              <w:rPr>
                <w:rFonts w:asciiTheme="majorHAnsi" w:hAnsiTheme="majorHAnsi" w:cstheme="majorHAnsi"/>
                <w:b/>
                <w:bCs/>
                <w:color w:val="000000"/>
                <w:sz w:val="18"/>
                <w:szCs w:val="18"/>
              </w:rPr>
              <w:t>FY23</w:t>
            </w:r>
          </w:p>
        </w:tc>
        <w:tc>
          <w:tcPr>
            <w:tcW w:w="897" w:type="dxa"/>
            <w:shd w:val="clear" w:color="auto" w:fill="D9E2F3" w:themeFill="accent1" w:themeFillTint="33"/>
          </w:tcPr>
          <w:p w14:paraId="78C2D435" w14:textId="77777777" w:rsidR="00594752" w:rsidRPr="00010F2F" w:rsidRDefault="00594752" w:rsidP="00ED2D03">
            <w:pPr>
              <w:pStyle w:val="BodyText2"/>
              <w:rPr>
                <w:rFonts w:asciiTheme="majorHAnsi" w:hAnsiTheme="majorHAnsi" w:cstheme="majorHAnsi"/>
                <w:b/>
                <w:bCs/>
                <w:color w:val="000000"/>
                <w:sz w:val="18"/>
                <w:szCs w:val="18"/>
              </w:rPr>
            </w:pPr>
          </w:p>
          <w:p w14:paraId="4AB5D5D5" w14:textId="50FC43D3" w:rsidR="00594752" w:rsidRPr="00010F2F" w:rsidRDefault="00594752" w:rsidP="00ED2D03">
            <w:pPr>
              <w:pStyle w:val="BodyText2"/>
              <w:rPr>
                <w:rFonts w:asciiTheme="majorHAnsi" w:hAnsiTheme="majorHAnsi" w:cstheme="majorHAnsi"/>
                <w:b/>
                <w:bCs/>
                <w:color w:val="000000"/>
                <w:sz w:val="18"/>
                <w:szCs w:val="18"/>
              </w:rPr>
            </w:pPr>
            <w:r w:rsidRPr="00010F2F">
              <w:rPr>
                <w:rFonts w:asciiTheme="majorHAnsi" w:hAnsiTheme="majorHAnsi" w:cstheme="majorHAnsi"/>
                <w:b/>
                <w:bCs/>
                <w:color w:val="000000"/>
                <w:sz w:val="18"/>
                <w:szCs w:val="18"/>
              </w:rPr>
              <w:t>Percent Increase</w:t>
            </w:r>
          </w:p>
        </w:tc>
        <w:tc>
          <w:tcPr>
            <w:tcW w:w="725" w:type="dxa"/>
            <w:shd w:val="clear" w:color="auto" w:fill="D9E2F3" w:themeFill="accent1" w:themeFillTint="33"/>
            <w:vAlign w:val="bottom"/>
          </w:tcPr>
          <w:p w14:paraId="0738998A" w14:textId="595FC92E" w:rsidR="00594752" w:rsidRPr="00010F2F" w:rsidRDefault="00594752" w:rsidP="00ED2D03">
            <w:pPr>
              <w:pStyle w:val="BodyText2"/>
              <w:rPr>
                <w:rFonts w:asciiTheme="majorHAnsi" w:hAnsiTheme="majorHAnsi" w:cstheme="majorHAnsi"/>
                <w:b/>
                <w:bCs/>
                <w:color w:val="000000"/>
                <w:sz w:val="18"/>
                <w:szCs w:val="18"/>
              </w:rPr>
            </w:pPr>
            <w:r w:rsidRPr="00010F2F">
              <w:rPr>
                <w:rFonts w:asciiTheme="majorHAnsi" w:hAnsiTheme="majorHAnsi" w:cstheme="majorHAnsi"/>
                <w:b/>
                <w:bCs/>
                <w:color w:val="000000"/>
                <w:sz w:val="18"/>
                <w:szCs w:val="18"/>
              </w:rPr>
              <w:t>FY24</w:t>
            </w:r>
          </w:p>
        </w:tc>
        <w:tc>
          <w:tcPr>
            <w:tcW w:w="895" w:type="dxa"/>
            <w:shd w:val="clear" w:color="auto" w:fill="D9E2F3" w:themeFill="accent1" w:themeFillTint="33"/>
          </w:tcPr>
          <w:p w14:paraId="19A7565F" w14:textId="77777777" w:rsidR="00594752" w:rsidRPr="00010F2F" w:rsidRDefault="00594752" w:rsidP="00ED2D03">
            <w:pPr>
              <w:pStyle w:val="BodyText2"/>
              <w:rPr>
                <w:rFonts w:asciiTheme="majorHAnsi" w:hAnsiTheme="majorHAnsi" w:cstheme="majorHAnsi"/>
                <w:b/>
                <w:bCs/>
                <w:color w:val="000000"/>
                <w:sz w:val="18"/>
                <w:szCs w:val="18"/>
              </w:rPr>
            </w:pPr>
          </w:p>
          <w:p w14:paraId="061AD652" w14:textId="3623E224" w:rsidR="00594752" w:rsidRPr="00010F2F" w:rsidRDefault="00594752" w:rsidP="00ED2D03">
            <w:pPr>
              <w:pStyle w:val="BodyText2"/>
              <w:rPr>
                <w:rFonts w:asciiTheme="majorHAnsi" w:hAnsiTheme="majorHAnsi" w:cstheme="majorHAnsi"/>
                <w:b/>
                <w:bCs/>
                <w:color w:val="000000"/>
                <w:sz w:val="18"/>
                <w:szCs w:val="18"/>
              </w:rPr>
            </w:pPr>
            <w:r w:rsidRPr="00010F2F">
              <w:rPr>
                <w:rFonts w:asciiTheme="majorHAnsi" w:hAnsiTheme="majorHAnsi" w:cstheme="majorHAnsi"/>
                <w:b/>
                <w:bCs/>
                <w:color w:val="000000"/>
                <w:sz w:val="18"/>
                <w:szCs w:val="18"/>
              </w:rPr>
              <w:t>Percent Increase</w:t>
            </w:r>
          </w:p>
        </w:tc>
        <w:tc>
          <w:tcPr>
            <w:tcW w:w="727" w:type="dxa"/>
            <w:shd w:val="clear" w:color="auto" w:fill="D9E2F3" w:themeFill="accent1" w:themeFillTint="33"/>
            <w:vAlign w:val="bottom"/>
          </w:tcPr>
          <w:p w14:paraId="2166F87C" w14:textId="65B2595B" w:rsidR="00594752" w:rsidRPr="00010F2F" w:rsidRDefault="00594752" w:rsidP="00ED2D03">
            <w:pPr>
              <w:pStyle w:val="BodyText2"/>
              <w:rPr>
                <w:rFonts w:asciiTheme="majorHAnsi" w:hAnsiTheme="majorHAnsi" w:cstheme="majorHAnsi"/>
                <w:sz w:val="18"/>
                <w:szCs w:val="18"/>
              </w:rPr>
            </w:pPr>
            <w:r w:rsidRPr="00010F2F">
              <w:rPr>
                <w:rFonts w:asciiTheme="majorHAnsi" w:hAnsiTheme="majorHAnsi" w:cstheme="majorHAnsi"/>
                <w:b/>
                <w:bCs/>
                <w:color w:val="000000"/>
                <w:sz w:val="18"/>
                <w:szCs w:val="18"/>
              </w:rPr>
              <w:t>FY25</w:t>
            </w:r>
          </w:p>
        </w:tc>
        <w:tc>
          <w:tcPr>
            <w:tcW w:w="893" w:type="dxa"/>
            <w:shd w:val="clear" w:color="auto" w:fill="D9E2F3" w:themeFill="accent1" w:themeFillTint="33"/>
          </w:tcPr>
          <w:p w14:paraId="5F2C00B4" w14:textId="77777777" w:rsidR="00594752" w:rsidRPr="00010F2F" w:rsidRDefault="00594752" w:rsidP="00ED2D03">
            <w:pPr>
              <w:pStyle w:val="BodyText2"/>
              <w:rPr>
                <w:rFonts w:asciiTheme="majorHAnsi" w:hAnsiTheme="majorHAnsi" w:cstheme="majorHAnsi"/>
                <w:b/>
                <w:bCs/>
                <w:color w:val="000000"/>
                <w:sz w:val="18"/>
                <w:szCs w:val="18"/>
              </w:rPr>
            </w:pPr>
          </w:p>
          <w:p w14:paraId="0B213C92" w14:textId="340FDA07" w:rsidR="00594752" w:rsidRPr="00010F2F" w:rsidRDefault="00594752" w:rsidP="00ED2D03">
            <w:pPr>
              <w:pStyle w:val="BodyText2"/>
              <w:rPr>
                <w:rFonts w:asciiTheme="majorHAnsi" w:hAnsiTheme="majorHAnsi" w:cstheme="majorHAnsi"/>
                <w:b/>
                <w:bCs/>
                <w:color w:val="000000"/>
                <w:sz w:val="18"/>
                <w:szCs w:val="18"/>
              </w:rPr>
            </w:pPr>
            <w:r w:rsidRPr="00010F2F">
              <w:rPr>
                <w:rFonts w:asciiTheme="majorHAnsi" w:hAnsiTheme="majorHAnsi" w:cstheme="majorHAnsi"/>
                <w:b/>
                <w:bCs/>
                <w:color w:val="000000"/>
                <w:sz w:val="18"/>
                <w:szCs w:val="18"/>
              </w:rPr>
              <w:t>Percent Increase</w:t>
            </w:r>
          </w:p>
        </w:tc>
        <w:tc>
          <w:tcPr>
            <w:tcW w:w="729" w:type="dxa"/>
            <w:shd w:val="clear" w:color="auto" w:fill="D9E2F3" w:themeFill="accent1" w:themeFillTint="33"/>
            <w:vAlign w:val="bottom"/>
          </w:tcPr>
          <w:p w14:paraId="06576D1D" w14:textId="02337522" w:rsidR="00594752" w:rsidRPr="00010F2F" w:rsidRDefault="00594752" w:rsidP="00ED2D03">
            <w:pPr>
              <w:pStyle w:val="BodyText2"/>
              <w:rPr>
                <w:rFonts w:asciiTheme="majorHAnsi" w:hAnsiTheme="majorHAnsi" w:cstheme="majorHAnsi"/>
                <w:sz w:val="18"/>
                <w:szCs w:val="18"/>
              </w:rPr>
            </w:pPr>
            <w:r w:rsidRPr="00010F2F">
              <w:rPr>
                <w:rFonts w:asciiTheme="majorHAnsi" w:hAnsiTheme="majorHAnsi" w:cstheme="majorHAnsi"/>
                <w:b/>
                <w:bCs/>
                <w:color w:val="000000"/>
                <w:sz w:val="18"/>
                <w:szCs w:val="18"/>
              </w:rPr>
              <w:t>FY26</w:t>
            </w:r>
          </w:p>
        </w:tc>
        <w:tc>
          <w:tcPr>
            <w:tcW w:w="891" w:type="dxa"/>
            <w:shd w:val="clear" w:color="auto" w:fill="D9E2F3" w:themeFill="accent1" w:themeFillTint="33"/>
          </w:tcPr>
          <w:p w14:paraId="4FD9CC1A" w14:textId="77777777" w:rsidR="00594752" w:rsidRPr="00010F2F" w:rsidRDefault="00594752" w:rsidP="00ED2D03">
            <w:pPr>
              <w:pStyle w:val="BodyText2"/>
              <w:rPr>
                <w:rFonts w:asciiTheme="majorHAnsi" w:hAnsiTheme="majorHAnsi" w:cstheme="majorHAnsi"/>
                <w:b/>
                <w:bCs/>
                <w:color w:val="000000"/>
                <w:sz w:val="18"/>
                <w:szCs w:val="18"/>
              </w:rPr>
            </w:pPr>
          </w:p>
          <w:p w14:paraId="7B71197B" w14:textId="43A94571" w:rsidR="00594752" w:rsidRPr="00010F2F" w:rsidRDefault="00594752" w:rsidP="00ED2D03">
            <w:pPr>
              <w:pStyle w:val="BodyText2"/>
              <w:rPr>
                <w:rFonts w:asciiTheme="majorHAnsi" w:hAnsiTheme="majorHAnsi" w:cstheme="majorHAnsi"/>
                <w:b/>
                <w:bCs/>
                <w:color w:val="000000"/>
                <w:sz w:val="18"/>
                <w:szCs w:val="18"/>
              </w:rPr>
            </w:pPr>
            <w:r w:rsidRPr="00010F2F">
              <w:rPr>
                <w:rFonts w:asciiTheme="majorHAnsi" w:hAnsiTheme="majorHAnsi" w:cstheme="majorHAnsi"/>
                <w:b/>
                <w:bCs/>
                <w:color w:val="000000"/>
                <w:sz w:val="18"/>
                <w:szCs w:val="18"/>
              </w:rPr>
              <w:t>Percent Increase</w:t>
            </w:r>
          </w:p>
        </w:tc>
        <w:tc>
          <w:tcPr>
            <w:tcW w:w="731" w:type="dxa"/>
            <w:shd w:val="clear" w:color="auto" w:fill="D9E2F3" w:themeFill="accent1" w:themeFillTint="33"/>
            <w:vAlign w:val="bottom"/>
          </w:tcPr>
          <w:p w14:paraId="6301B09F" w14:textId="5D4000F2" w:rsidR="00594752" w:rsidRPr="00010F2F" w:rsidRDefault="00594752" w:rsidP="00ED2D03">
            <w:pPr>
              <w:pStyle w:val="BodyText2"/>
              <w:rPr>
                <w:rFonts w:asciiTheme="majorHAnsi" w:hAnsiTheme="majorHAnsi" w:cstheme="majorHAnsi"/>
                <w:sz w:val="18"/>
                <w:szCs w:val="18"/>
              </w:rPr>
            </w:pPr>
            <w:r w:rsidRPr="00010F2F">
              <w:rPr>
                <w:rFonts w:asciiTheme="majorHAnsi" w:hAnsiTheme="majorHAnsi" w:cstheme="majorHAnsi"/>
                <w:b/>
                <w:bCs/>
                <w:color w:val="000000"/>
                <w:sz w:val="18"/>
                <w:szCs w:val="18"/>
              </w:rPr>
              <w:t>FY27</w:t>
            </w:r>
          </w:p>
        </w:tc>
        <w:tc>
          <w:tcPr>
            <w:tcW w:w="1216" w:type="dxa"/>
            <w:shd w:val="clear" w:color="auto" w:fill="D9E2F3" w:themeFill="accent1" w:themeFillTint="33"/>
          </w:tcPr>
          <w:p w14:paraId="52E1C1B7" w14:textId="77777777" w:rsidR="00594752" w:rsidRPr="00010F2F" w:rsidRDefault="00594752" w:rsidP="00ED2D03">
            <w:pPr>
              <w:pStyle w:val="BodyText2"/>
              <w:rPr>
                <w:rFonts w:asciiTheme="majorHAnsi" w:hAnsiTheme="majorHAnsi" w:cstheme="majorHAnsi"/>
                <w:b/>
                <w:bCs/>
                <w:sz w:val="18"/>
                <w:szCs w:val="18"/>
              </w:rPr>
            </w:pPr>
            <w:r w:rsidRPr="00010F2F">
              <w:rPr>
                <w:rFonts w:asciiTheme="majorHAnsi" w:hAnsiTheme="majorHAnsi" w:cstheme="majorHAnsi"/>
                <w:b/>
                <w:bCs/>
                <w:sz w:val="18"/>
                <w:szCs w:val="18"/>
              </w:rPr>
              <w:t>Percent Change from FY23 – FY27</w:t>
            </w:r>
          </w:p>
        </w:tc>
      </w:tr>
      <w:tr w:rsidR="00B77C53" w:rsidRPr="00010F2F" w14:paraId="62D0B604" w14:textId="77777777" w:rsidTr="00222818">
        <w:trPr>
          <w:cantSplit/>
          <w:trHeight w:val="271"/>
        </w:trPr>
        <w:tc>
          <w:tcPr>
            <w:tcW w:w="1622" w:type="dxa"/>
          </w:tcPr>
          <w:p w14:paraId="32CD5C17" w14:textId="77777777" w:rsidR="00B77C53" w:rsidRPr="00010F2F" w:rsidRDefault="00B77C53" w:rsidP="00B77C53">
            <w:pPr>
              <w:pStyle w:val="BodyText2"/>
              <w:rPr>
                <w:rFonts w:asciiTheme="majorHAnsi" w:hAnsiTheme="majorHAnsi" w:cstheme="majorHAnsi"/>
                <w:sz w:val="18"/>
                <w:szCs w:val="18"/>
              </w:rPr>
            </w:pPr>
            <w:r w:rsidRPr="00010F2F">
              <w:rPr>
                <w:rFonts w:asciiTheme="majorHAnsi" w:hAnsiTheme="majorHAnsi" w:cstheme="majorHAnsi"/>
                <w:b/>
                <w:bCs/>
                <w:color w:val="000000"/>
                <w:sz w:val="18"/>
                <w:szCs w:val="18"/>
              </w:rPr>
              <w:t>Emergency Department</w:t>
            </w:r>
          </w:p>
        </w:tc>
        <w:tc>
          <w:tcPr>
            <w:tcW w:w="811" w:type="dxa"/>
          </w:tcPr>
          <w:p w14:paraId="0B52A158" w14:textId="3169082E"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 xml:space="preserve">   8,701</w:t>
            </w:r>
          </w:p>
        </w:tc>
        <w:tc>
          <w:tcPr>
            <w:tcW w:w="897" w:type="dxa"/>
          </w:tcPr>
          <w:p w14:paraId="723A1CE6" w14:textId="256BA26E" w:rsidR="00B77C53" w:rsidRPr="00010F2F" w:rsidRDefault="00B77C53" w:rsidP="00B77C53">
            <w:pPr>
              <w:pStyle w:val="BodyText2"/>
              <w:rPr>
                <w:rFonts w:asciiTheme="majorHAnsi" w:hAnsiTheme="majorHAnsi" w:cstheme="majorHAnsi"/>
                <w:color w:val="000000"/>
                <w:sz w:val="18"/>
                <w:szCs w:val="18"/>
              </w:rPr>
            </w:pPr>
            <w:r>
              <w:rPr>
                <w:rFonts w:asciiTheme="majorHAnsi" w:hAnsiTheme="majorHAnsi" w:cstheme="majorHAnsi"/>
                <w:color w:val="000000"/>
                <w:sz w:val="18"/>
                <w:szCs w:val="18"/>
              </w:rPr>
              <w:t>0.00%</w:t>
            </w:r>
          </w:p>
        </w:tc>
        <w:tc>
          <w:tcPr>
            <w:tcW w:w="725" w:type="dxa"/>
          </w:tcPr>
          <w:p w14:paraId="7C046F47" w14:textId="2D432802" w:rsidR="00B77C53" w:rsidRPr="00010F2F" w:rsidRDefault="00B77C53" w:rsidP="00B77C53">
            <w:pPr>
              <w:pStyle w:val="BodyText2"/>
              <w:rPr>
                <w:rFonts w:asciiTheme="majorHAnsi" w:hAnsiTheme="majorHAnsi" w:cstheme="majorHAnsi"/>
                <w:color w:val="000000"/>
                <w:sz w:val="18"/>
                <w:szCs w:val="18"/>
              </w:rPr>
            </w:pPr>
            <w:r>
              <w:rPr>
                <w:rFonts w:asciiTheme="majorHAnsi" w:hAnsiTheme="majorHAnsi" w:cstheme="majorHAnsi"/>
                <w:color w:val="000000"/>
                <w:sz w:val="18"/>
                <w:szCs w:val="18"/>
              </w:rPr>
              <w:t xml:space="preserve">  8,701</w:t>
            </w:r>
          </w:p>
        </w:tc>
        <w:tc>
          <w:tcPr>
            <w:tcW w:w="895" w:type="dxa"/>
          </w:tcPr>
          <w:p w14:paraId="70AE9002" w14:textId="0462AA99"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1.00%</w:t>
            </w:r>
          </w:p>
        </w:tc>
        <w:tc>
          <w:tcPr>
            <w:tcW w:w="727" w:type="dxa"/>
          </w:tcPr>
          <w:p w14:paraId="512DED7B" w14:textId="58376933"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 xml:space="preserve">  8,788</w:t>
            </w:r>
          </w:p>
        </w:tc>
        <w:tc>
          <w:tcPr>
            <w:tcW w:w="893" w:type="dxa"/>
          </w:tcPr>
          <w:p w14:paraId="252EB80C" w14:textId="60CBBD84"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2.00%</w:t>
            </w:r>
          </w:p>
        </w:tc>
        <w:tc>
          <w:tcPr>
            <w:tcW w:w="729" w:type="dxa"/>
          </w:tcPr>
          <w:p w14:paraId="69FC56BB" w14:textId="033251B1"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 xml:space="preserve">  8,963</w:t>
            </w:r>
          </w:p>
        </w:tc>
        <w:tc>
          <w:tcPr>
            <w:tcW w:w="891" w:type="dxa"/>
          </w:tcPr>
          <w:p w14:paraId="2EEDD2B8" w14:textId="3C749385"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2.00%</w:t>
            </w:r>
          </w:p>
        </w:tc>
        <w:tc>
          <w:tcPr>
            <w:tcW w:w="731" w:type="dxa"/>
          </w:tcPr>
          <w:p w14:paraId="109835FA" w14:textId="5F4C3334"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 xml:space="preserve">  9,143</w:t>
            </w:r>
          </w:p>
        </w:tc>
        <w:tc>
          <w:tcPr>
            <w:tcW w:w="1216" w:type="dxa"/>
          </w:tcPr>
          <w:p w14:paraId="3A5B7CD4" w14:textId="0955333A"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5.08%</w:t>
            </w:r>
          </w:p>
        </w:tc>
      </w:tr>
      <w:tr w:rsidR="00B77C53" w:rsidRPr="00010F2F" w14:paraId="3BB6AFBC" w14:textId="77777777" w:rsidTr="00222818">
        <w:trPr>
          <w:cantSplit/>
          <w:trHeight w:val="271"/>
        </w:trPr>
        <w:tc>
          <w:tcPr>
            <w:tcW w:w="1622" w:type="dxa"/>
          </w:tcPr>
          <w:p w14:paraId="7BE3B1F5" w14:textId="77777777" w:rsidR="00B77C53" w:rsidRPr="00010F2F" w:rsidRDefault="00B77C53" w:rsidP="00B77C53">
            <w:pPr>
              <w:pStyle w:val="BodyText2"/>
              <w:rPr>
                <w:rFonts w:asciiTheme="majorHAnsi" w:hAnsiTheme="majorHAnsi" w:cstheme="majorHAnsi"/>
                <w:sz w:val="18"/>
                <w:szCs w:val="18"/>
              </w:rPr>
            </w:pPr>
            <w:r w:rsidRPr="00010F2F">
              <w:rPr>
                <w:rFonts w:asciiTheme="majorHAnsi" w:hAnsiTheme="majorHAnsi" w:cstheme="majorHAnsi"/>
                <w:b/>
                <w:bCs/>
                <w:color w:val="000000"/>
                <w:sz w:val="18"/>
                <w:szCs w:val="18"/>
              </w:rPr>
              <w:t>Total CT Volume (Excluding ED)</w:t>
            </w:r>
          </w:p>
        </w:tc>
        <w:tc>
          <w:tcPr>
            <w:tcW w:w="811" w:type="dxa"/>
          </w:tcPr>
          <w:p w14:paraId="692F0388" w14:textId="249AE9AD"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15,293</w:t>
            </w:r>
          </w:p>
        </w:tc>
        <w:tc>
          <w:tcPr>
            <w:tcW w:w="897" w:type="dxa"/>
          </w:tcPr>
          <w:p w14:paraId="01D3F5DA" w14:textId="66034EC3" w:rsidR="00B77C53" w:rsidRPr="00010F2F" w:rsidRDefault="00B77C53" w:rsidP="00B77C53">
            <w:pPr>
              <w:pStyle w:val="BodyText2"/>
              <w:rPr>
                <w:rFonts w:asciiTheme="majorHAnsi" w:hAnsiTheme="majorHAnsi" w:cstheme="majorHAnsi"/>
                <w:color w:val="000000"/>
                <w:sz w:val="18"/>
                <w:szCs w:val="18"/>
              </w:rPr>
            </w:pPr>
            <w:r>
              <w:rPr>
                <w:rFonts w:asciiTheme="majorHAnsi" w:hAnsiTheme="majorHAnsi" w:cstheme="majorHAnsi"/>
                <w:color w:val="000000"/>
                <w:sz w:val="18"/>
                <w:szCs w:val="18"/>
              </w:rPr>
              <w:t>29.08%</w:t>
            </w:r>
          </w:p>
        </w:tc>
        <w:tc>
          <w:tcPr>
            <w:tcW w:w="725" w:type="dxa"/>
          </w:tcPr>
          <w:p w14:paraId="4BA7583D" w14:textId="27F18288" w:rsidR="00B77C53" w:rsidRPr="00010F2F" w:rsidRDefault="00B77C53" w:rsidP="00B77C53">
            <w:pPr>
              <w:pStyle w:val="BodyText2"/>
              <w:rPr>
                <w:rFonts w:asciiTheme="majorHAnsi" w:hAnsiTheme="majorHAnsi" w:cstheme="majorHAnsi"/>
                <w:color w:val="000000"/>
                <w:sz w:val="18"/>
                <w:szCs w:val="18"/>
              </w:rPr>
            </w:pPr>
            <w:r>
              <w:rPr>
                <w:rFonts w:asciiTheme="majorHAnsi" w:hAnsiTheme="majorHAnsi" w:cstheme="majorHAnsi"/>
                <w:color w:val="000000"/>
                <w:sz w:val="18"/>
                <w:szCs w:val="18"/>
              </w:rPr>
              <w:t>19,740</w:t>
            </w:r>
          </w:p>
        </w:tc>
        <w:tc>
          <w:tcPr>
            <w:tcW w:w="895" w:type="dxa"/>
          </w:tcPr>
          <w:p w14:paraId="2D7ED852" w14:textId="77296043"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1.06%</w:t>
            </w:r>
          </w:p>
        </w:tc>
        <w:tc>
          <w:tcPr>
            <w:tcW w:w="727" w:type="dxa"/>
          </w:tcPr>
          <w:p w14:paraId="6DF10236" w14:textId="095EE7C6"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19,950</w:t>
            </w:r>
          </w:p>
        </w:tc>
        <w:tc>
          <w:tcPr>
            <w:tcW w:w="893" w:type="dxa"/>
          </w:tcPr>
          <w:p w14:paraId="133F4FE3" w14:textId="18EE4D1B"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0.61%</w:t>
            </w:r>
          </w:p>
        </w:tc>
        <w:tc>
          <w:tcPr>
            <w:tcW w:w="729" w:type="dxa"/>
          </w:tcPr>
          <w:p w14:paraId="51EEBA97" w14:textId="0910C4CD"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20,070</w:t>
            </w:r>
          </w:p>
        </w:tc>
        <w:tc>
          <w:tcPr>
            <w:tcW w:w="891" w:type="dxa"/>
          </w:tcPr>
          <w:p w14:paraId="0FBCB620" w14:textId="635AA498"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0.58%</w:t>
            </w:r>
          </w:p>
        </w:tc>
        <w:tc>
          <w:tcPr>
            <w:tcW w:w="731" w:type="dxa"/>
          </w:tcPr>
          <w:p w14:paraId="4E791F20" w14:textId="276936EF"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20,187</w:t>
            </w:r>
          </w:p>
        </w:tc>
        <w:tc>
          <w:tcPr>
            <w:tcW w:w="1216" w:type="dxa"/>
          </w:tcPr>
          <w:p w14:paraId="17ABFA86" w14:textId="0A6D2EE4" w:rsidR="00B77C53" w:rsidRPr="00010F2F" w:rsidRDefault="00B77C53" w:rsidP="00B77C53">
            <w:pPr>
              <w:pStyle w:val="BodyText2"/>
              <w:rPr>
                <w:rFonts w:asciiTheme="majorHAnsi" w:hAnsiTheme="majorHAnsi" w:cstheme="majorHAnsi"/>
                <w:sz w:val="18"/>
                <w:szCs w:val="18"/>
              </w:rPr>
            </w:pPr>
            <w:r>
              <w:rPr>
                <w:rFonts w:asciiTheme="majorHAnsi" w:hAnsiTheme="majorHAnsi" w:cstheme="majorHAnsi"/>
                <w:sz w:val="18"/>
                <w:szCs w:val="18"/>
              </w:rPr>
              <w:t>32.00%</w:t>
            </w:r>
          </w:p>
        </w:tc>
      </w:tr>
      <w:tr w:rsidR="00B77C53" w:rsidRPr="00010F2F" w14:paraId="665DFD5A" w14:textId="77777777" w:rsidTr="00222818">
        <w:trPr>
          <w:cantSplit/>
          <w:trHeight w:val="271"/>
        </w:trPr>
        <w:tc>
          <w:tcPr>
            <w:tcW w:w="1622" w:type="dxa"/>
            <w:shd w:val="clear" w:color="auto" w:fill="E2EFD9" w:themeFill="accent6" w:themeFillTint="33"/>
          </w:tcPr>
          <w:p w14:paraId="6A809CF4" w14:textId="77777777" w:rsidR="00B77C53" w:rsidRPr="00010F2F" w:rsidRDefault="00B77C53" w:rsidP="00B77C53">
            <w:pPr>
              <w:pStyle w:val="BodyText2"/>
              <w:rPr>
                <w:rFonts w:asciiTheme="majorHAnsi" w:hAnsiTheme="majorHAnsi" w:cstheme="majorHAnsi"/>
                <w:sz w:val="18"/>
                <w:szCs w:val="18"/>
              </w:rPr>
            </w:pPr>
            <w:r w:rsidRPr="00010F2F">
              <w:rPr>
                <w:rFonts w:asciiTheme="majorHAnsi" w:hAnsiTheme="majorHAnsi" w:cstheme="majorHAnsi"/>
                <w:b/>
                <w:bCs/>
                <w:color w:val="000000"/>
                <w:sz w:val="18"/>
                <w:szCs w:val="18"/>
              </w:rPr>
              <w:t xml:space="preserve">Total </w:t>
            </w:r>
          </w:p>
        </w:tc>
        <w:tc>
          <w:tcPr>
            <w:tcW w:w="811" w:type="dxa"/>
            <w:shd w:val="clear" w:color="auto" w:fill="E2EFD9" w:themeFill="accent6" w:themeFillTint="33"/>
          </w:tcPr>
          <w:p w14:paraId="63123ECA" w14:textId="19AC9FEC" w:rsidR="00B77C53" w:rsidRPr="00B77C53" w:rsidRDefault="00B77C53" w:rsidP="00B77C53">
            <w:pPr>
              <w:pStyle w:val="BodyText2"/>
              <w:rPr>
                <w:rFonts w:asciiTheme="majorHAnsi" w:hAnsiTheme="majorHAnsi" w:cstheme="majorHAnsi"/>
                <w:b/>
                <w:bCs/>
                <w:sz w:val="18"/>
                <w:szCs w:val="18"/>
              </w:rPr>
            </w:pPr>
            <w:r w:rsidRPr="00B77C53">
              <w:rPr>
                <w:rFonts w:asciiTheme="majorHAnsi" w:hAnsiTheme="majorHAnsi" w:cstheme="majorHAnsi"/>
                <w:b/>
                <w:bCs/>
                <w:sz w:val="18"/>
                <w:szCs w:val="18"/>
              </w:rPr>
              <w:t>23,994</w:t>
            </w:r>
          </w:p>
        </w:tc>
        <w:tc>
          <w:tcPr>
            <w:tcW w:w="897" w:type="dxa"/>
            <w:shd w:val="clear" w:color="auto" w:fill="E2EFD9" w:themeFill="accent6" w:themeFillTint="33"/>
          </w:tcPr>
          <w:p w14:paraId="6A7DD6B4" w14:textId="0E7FD1F7" w:rsidR="00B77C53" w:rsidRPr="00B77C53" w:rsidRDefault="00B77C53" w:rsidP="00B77C53">
            <w:pPr>
              <w:pStyle w:val="BodyText2"/>
              <w:rPr>
                <w:rFonts w:asciiTheme="majorHAnsi" w:hAnsiTheme="majorHAnsi" w:cstheme="majorHAnsi"/>
                <w:b/>
                <w:bCs/>
                <w:color w:val="000000"/>
                <w:sz w:val="18"/>
                <w:szCs w:val="18"/>
              </w:rPr>
            </w:pPr>
            <w:r w:rsidRPr="00B77C53">
              <w:rPr>
                <w:rFonts w:asciiTheme="majorHAnsi" w:hAnsiTheme="majorHAnsi" w:cstheme="majorHAnsi"/>
                <w:b/>
                <w:bCs/>
                <w:color w:val="000000"/>
                <w:sz w:val="18"/>
                <w:szCs w:val="18"/>
              </w:rPr>
              <w:t>18.53%</w:t>
            </w:r>
          </w:p>
        </w:tc>
        <w:tc>
          <w:tcPr>
            <w:tcW w:w="725" w:type="dxa"/>
            <w:shd w:val="clear" w:color="auto" w:fill="E2EFD9" w:themeFill="accent6" w:themeFillTint="33"/>
          </w:tcPr>
          <w:p w14:paraId="4DFFB8C7" w14:textId="58A6B12B" w:rsidR="00B77C53" w:rsidRPr="00B77C53" w:rsidRDefault="00B77C53" w:rsidP="00B77C53">
            <w:pPr>
              <w:pStyle w:val="BodyText2"/>
              <w:rPr>
                <w:rFonts w:asciiTheme="majorHAnsi" w:hAnsiTheme="majorHAnsi" w:cstheme="majorHAnsi"/>
                <w:b/>
                <w:bCs/>
                <w:color w:val="000000"/>
                <w:sz w:val="18"/>
                <w:szCs w:val="18"/>
              </w:rPr>
            </w:pPr>
            <w:r w:rsidRPr="00B77C53">
              <w:rPr>
                <w:rFonts w:asciiTheme="majorHAnsi" w:hAnsiTheme="majorHAnsi" w:cstheme="majorHAnsi"/>
                <w:b/>
                <w:bCs/>
                <w:color w:val="000000"/>
                <w:sz w:val="18"/>
                <w:szCs w:val="18"/>
              </w:rPr>
              <w:t>28,441</w:t>
            </w:r>
          </w:p>
        </w:tc>
        <w:tc>
          <w:tcPr>
            <w:tcW w:w="895" w:type="dxa"/>
            <w:shd w:val="clear" w:color="auto" w:fill="E2EFD9" w:themeFill="accent6" w:themeFillTint="33"/>
          </w:tcPr>
          <w:p w14:paraId="2F8BFA95" w14:textId="0DE7A08E" w:rsidR="00B77C53" w:rsidRPr="00B77C53" w:rsidRDefault="00B77C53" w:rsidP="00B77C53">
            <w:pPr>
              <w:pStyle w:val="BodyText2"/>
              <w:rPr>
                <w:rFonts w:asciiTheme="majorHAnsi" w:hAnsiTheme="majorHAnsi" w:cstheme="majorHAnsi"/>
                <w:b/>
                <w:bCs/>
                <w:sz w:val="18"/>
                <w:szCs w:val="18"/>
              </w:rPr>
            </w:pPr>
            <w:r w:rsidRPr="00B77C53">
              <w:rPr>
                <w:rFonts w:asciiTheme="majorHAnsi" w:hAnsiTheme="majorHAnsi" w:cstheme="majorHAnsi"/>
                <w:b/>
                <w:bCs/>
                <w:sz w:val="18"/>
                <w:szCs w:val="18"/>
              </w:rPr>
              <w:t>1.04%</w:t>
            </w:r>
          </w:p>
        </w:tc>
        <w:tc>
          <w:tcPr>
            <w:tcW w:w="727" w:type="dxa"/>
            <w:shd w:val="clear" w:color="auto" w:fill="E2EFD9" w:themeFill="accent6" w:themeFillTint="33"/>
          </w:tcPr>
          <w:p w14:paraId="66608B9F" w14:textId="0A072A93" w:rsidR="00B77C53" w:rsidRPr="00B77C53" w:rsidRDefault="00B77C53" w:rsidP="00B77C53">
            <w:pPr>
              <w:pStyle w:val="BodyText2"/>
              <w:rPr>
                <w:rFonts w:asciiTheme="majorHAnsi" w:hAnsiTheme="majorHAnsi" w:cstheme="majorHAnsi"/>
                <w:b/>
                <w:bCs/>
                <w:sz w:val="18"/>
                <w:szCs w:val="18"/>
              </w:rPr>
            </w:pPr>
            <w:r w:rsidRPr="00B77C53">
              <w:rPr>
                <w:rFonts w:asciiTheme="majorHAnsi" w:hAnsiTheme="majorHAnsi" w:cstheme="majorHAnsi"/>
                <w:b/>
                <w:bCs/>
                <w:sz w:val="18"/>
                <w:szCs w:val="18"/>
              </w:rPr>
              <w:t>28,737</w:t>
            </w:r>
          </w:p>
        </w:tc>
        <w:tc>
          <w:tcPr>
            <w:tcW w:w="893" w:type="dxa"/>
            <w:shd w:val="clear" w:color="auto" w:fill="E2EFD9" w:themeFill="accent6" w:themeFillTint="33"/>
          </w:tcPr>
          <w:p w14:paraId="38849CD1" w14:textId="4FF90BB7" w:rsidR="00B77C53" w:rsidRPr="00B77C53" w:rsidRDefault="00B77C53" w:rsidP="00B77C53">
            <w:pPr>
              <w:pStyle w:val="BodyText2"/>
              <w:rPr>
                <w:rFonts w:asciiTheme="majorHAnsi" w:hAnsiTheme="majorHAnsi" w:cstheme="majorHAnsi"/>
                <w:b/>
                <w:bCs/>
                <w:sz w:val="18"/>
                <w:szCs w:val="18"/>
              </w:rPr>
            </w:pPr>
            <w:r w:rsidRPr="00B77C53">
              <w:rPr>
                <w:rFonts w:asciiTheme="majorHAnsi" w:hAnsiTheme="majorHAnsi" w:cstheme="majorHAnsi"/>
                <w:b/>
                <w:bCs/>
                <w:sz w:val="18"/>
                <w:szCs w:val="18"/>
              </w:rPr>
              <w:t>1.03%</w:t>
            </w:r>
          </w:p>
        </w:tc>
        <w:tc>
          <w:tcPr>
            <w:tcW w:w="729" w:type="dxa"/>
            <w:shd w:val="clear" w:color="auto" w:fill="E2EFD9" w:themeFill="accent6" w:themeFillTint="33"/>
          </w:tcPr>
          <w:p w14:paraId="20D95118" w14:textId="20433BCE" w:rsidR="00B77C53" w:rsidRPr="00B77C53" w:rsidRDefault="00B77C53" w:rsidP="00B77C53">
            <w:pPr>
              <w:pStyle w:val="BodyText2"/>
              <w:rPr>
                <w:rFonts w:asciiTheme="majorHAnsi" w:hAnsiTheme="majorHAnsi" w:cstheme="majorHAnsi"/>
                <w:b/>
                <w:bCs/>
                <w:sz w:val="18"/>
                <w:szCs w:val="18"/>
              </w:rPr>
            </w:pPr>
            <w:r w:rsidRPr="00B77C53">
              <w:rPr>
                <w:rFonts w:asciiTheme="majorHAnsi" w:hAnsiTheme="majorHAnsi" w:cstheme="majorHAnsi"/>
                <w:b/>
                <w:bCs/>
                <w:sz w:val="18"/>
                <w:szCs w:val="18"/>
              </w:rPr>
              <w:t>29,033</w:t>
            </w:r>
          </w:p>
        </w:tc>
        <w:tc>
          <w:tcPr>
            <w:tcW w:w="891" w:type="dxa"/>
            <w:shd w:val="clear" w:color="auto" w:fill="E2EFD9" w:themeFill="accent6" w:themeFillTint="33"/>
          </w:tcPr>
          <w:p w14:paraId="0255AE88" w14:textId="4E5A1CE2" w:rsidR="00B77C53" w:rsidRPr="00B77C53" w:rsidRDefault="00B77C53" w:rsidP="00B77C53">
            <w:pPr>
              <w:pStyle w:val="BodyText2"/>
              <w:rPr>
                <w:rFonts w:asciiTheme="majorHAnsi" w:hAnsiTheme="majorHAnsi" w:cstheme="majorHAnsi"/>
                <w:b/>
                <w:bCs/>
                <w:sz w:val="18"/>
                <w:szCs w:val="18"/>
              </w:rPr>
            </w:pPr>
            <w:r w:rsidRPr="00B77C53">
              <w:rPr>
                <w:rFonts w:asciiTheme="majorHAnsi" w:hAnsiTheme="majorHAnsi" w:cstheme="majorHAnsi"/>
                <w:b/>
                <w:bCs/>
                <w:sz w:val="18"/>
                <w:szCs w:val="18"/>
              </w:rPr>
              <w:t>1.02%</w:t>
            </w:r>
          </w:p>
        </w:tc>
        <w:tc>
          <w:tcPr>
            <w:tcW w:w="731" w:type="dxa"/>
            <w:shd w:val="clear" w:color="auto" w:fill="E2EFD9" w:themeFill="accent6" w:themeFillTint="33"/>
          </w:tcPr>
          <w:p w14:paraId="4C08C2A3" w14:textId="7212FC24" w:rsidR="00B77C53" w:rsidRPr="00B77C53" w:rsidRDefault="00B77C53" w:rsidP="00B77C53">
            <w:pPr>
              <w:pStyle w:val="BodyText2"/>
              <w:rPr>
                <w:rFonts w:asciiTheme="majorHAnsi" w:hAnsiTheme="majorHAnsi" w:cstheme="majorHAnsi"/>
                <w:b/>
                <w:bCs/>
                <w:sz w:val="18"/>
                <w:szCs w:val="18"/>
              </w:rPr>
            </w:pPr>
            <w:r w:rsidRPr="00B77C53">
              <w:rPr>
                <w:rFonts w:asciiTheme="majorHAnsi" w:hAnsiTheme="majorHAnsi" w:cstheme="majorHAnsi"/>
                <w:b/>
                <w:bCs/>
                <w:sz w:val="18"/>
                <w:szCs w:val="18"/>
              </w:rPr>
              <w:t>29,330</w:t>
            </w:r>
          </w:p>
        </w:tc>
        <w:tc>
          <w:tcPr>
            <w:tcW w:w="1216" w:type="dxa"/>
            <w:shd w:val="clear" w:color="auto" w:fill="E2EFD9" w:themeFill="accent6" w:themeFillTint="33"/>
          </w:tcPr>
          <w:p w14:paraId="071FB48B" w14:textId="5D5FDC73" w:rsidR="00B77C53" w:rsidRPr="00B77C53" w:rsidRDefault="00B77C53" w:rsidP="00B77C53">
            <w:pPr>
              <w:pStyle w:val="BodyText2"/>
              <w:rPr>
                <w:rFonts w:asciiTheme="majorHAnsi" w:hAnsiTheme="majorHAnsi" w:cstheme="majorHAnsi"/>
                <w:b/>
                <w:bCs/>
                <w:sz w:val="18"/>
                <w:szCs w:val="18"/>
              </w:rPr>
            </w:pPr>
            <w:r w:rsidRPr="00B77C53">
              <w:rPr>
                <w:rFonts w:asciiTheme="majorHAnsi" w:hAnsiTheme="majorHAnsi" w:cstheme="majorHAnsi"/>
                <w:b/>
                <w:bCs/>
                <w:sz w:val="18"/>
                <w:szCs w:val="18"/>
              </w:rPr>
              <w:t>22.24%</w:t>
            </w:r>
          </w:p>
        </w:tc>
      </w:tr>
    </w:tbl>
    <w:p w14:paraId="70311482" w14:textId="4379A5B2" w:rsidR="005A580E" w:rsidRPr="00010F2F" w:rsidRDefault="005A580E" w:rsidP="00645A38">
      <w:pPr>
        <w:spacing w:after="0" w:line="240" w:lineRule="auto"/>
        <w:jc w:val="both"/>
        <w:rPr>
          <w:rFonts w:ascii="Arial" w:eastAsia="Times New Roman" w:hAnsi="Arial" w:cs="Arial"/>
          <w:bCs/>
          <w:kern w:val="2"/>
          <w:sz w:val="20"/>
          <w:szCs w:val="20"/>
        </w:rPr>
      </w:pPr>
      <w:r w:rsidRPr="00010F2F">
        <w:rPr>
          <w:rFonts w:ascii="Arial" w:hAnsi="Arial" w:cs="Arial"/>
          <w:sz w:val="20"/>
          <w:szCs w:val="20"/>
        </w:rPr>
        <w:t xml:space="preserve">        </w:t>
      </w:r>
    </w:p>
    <w:p w14:paraId="5317C0A8" w14:textId="4C911E9C" w:rsidR="00896A32" w:rsidRPr="00010F2F" w:rsidRDefault="00896A32" w:rsidP="00896A32">
      <w:pPr>
        <w:pStyle w:val="BodyText2"/>
      </w:pPr>
      <w:r w:rsidRPr="00010F2F">
        <w:t>As described throughout this section, the Proposed Project will address current and future needs of the Patient Panel</w:t>
      </w:r>
      <w:r w:rsidR="0088610E">
        <w:t xml:space="preserve"> for access to incre</w:t>
      </w:r>
      <w:r w:rsidR="001A6B0F">
        <w:t>ased CT capacity at CDH</w:t>
      </w:r>
      <w:r w:rsidRPr="00010F2F">
        <w:t xml:space="preserve">. </w:t>
      </w:r>
      <w:r w:rsidR="001A6B0F">
        <w:t xml:space="preserve"> </w:t>
      </w:r>
      <w:r w:rsidRPr="00010F2F">
        <w:t>A third unit will provide capacity to accommodate emergent patients without disrupting timely access to CT for inpatients and outpatients</w:t>
      </w:r>
      <w:r w:rsidR="00DD6E59">
        <w:t xml:space="preserve">. </w:t>
      </w:r>
      <w:r w:rsidRPr="00010F2F">
        <w:t>Acquiring a third CT unit will also improve door to CT time for stroke patients and create scheduling capacity for interventional radiology procedures</w:t>
      </w:r>
      <w:r w:rsidR="00805BD1">
        <w:t xml:space="preserve"> and LDCT. </w:t>
      </w:r>
      <w:r w:rsidRPr="00010F2F">
        <w:t>Therefore, the Proposed Project will improve access to care, health outcomes and patient experience.</w:t>
      </w:r>
    </w:p>
    <w:p w14:paraId="1A15A53C" w14:textId="4B70AC50" w:rsidR="000F6938" w:rsidRPr="00010F2F" w:rsidRDefault="000F6938" w:rsidP="008625A0">
      <w:pPr>
        <w:spacing w:after="0" w:line="240" w:lineRule="auto"/>
        <w:jc w:val="both"/>
        <w:rPr>
          <w:rFonts w:ascii="Arial" w:hAnsi="Arial" w:cs="Arial"/>
          <w:sz w:val="20"/>
          <w:szCs w:val="20"/>
        </w:rPr>
      </w:pPr>
    </w:p>
    <w:p w14:paraId="3C8F57C6" w14:textId="77777777" w:rsidR="000F6938" w:rsidRPr="00010F2F" w:rsidRDefault="000F6938" w:rsidP="008625A0">
      <w:pPr>
        <w:spacing w:after="0" w:line="240" w:lineRule="auto"/>
        <w:jc w:val="both"/>
        <w:rPr>
          <w:rFonts w:ascii="Arial" w:hAnsi="Arial" w:cs="Arial"/>
          <w:sz w:val="20"/>
          <w:szCs w:val="20"/>
        </w:rPr>
      </w:pPr>
    </w:p>
    <w:bookmarkEnd w:id="0"/>
    <w:p w14:paraId="6DE2BD30" w14:textId="04C0F61D" w:rsidR="002953C7" w:rsidRPr="009405FD" w:rsidRDefault="002953C7" w:rsidP="00CB02FE">
      <w:pPr>
        <w:spacing w:after="0" w:line="240" w:lineRule="auto"/>
        <w:jc w:val="both"/>
        <w:rPr>
          <w:rFonts w:ascii="Arial" w:eastAsia="Arial" w:hAnsi="Arial" w:cs="Arial"/>
          <w:kern w:val="2"/>
          <w:sz w:val="20"/>
          <w:szCs w:val="20"/>
        </w:rPr>
      </w:pPr>
      <w:r w:rsidRPr="009405FD">
        <w:rPr>
          <w:rFonts w:ascii="Arial" w:hAnsi="Arial" w:cs="Arial"/>
          <w:b/>
          <w:kern w:val="2"/>
          <w:sz w:val="20"/>
          <w:szCs w:val="20"/>
        </w:rPr>
        <w:t>F1.a.iii</w:t>
      </w:r>
      <w:r w:rsidRPr="009405FD">
        <w:rPr>
          <w:rFonts w:ascii="Arial" w:hAnsi="Arial" w:cs="Arial"/>
          <w:b/>
          <w:kern w:val="2"/>
          <w:sz w:val="20"/>
          <w:szCs w:val="20"/>
        </w:rPr>
        <w:tab/>
      </w:r>
      <w:r w:rsidRPr="009405FD">
        <w:rPr>
          <w:rFonts w:ascii="Arial" w:hAnsi="Arial" w:cs="Arial"/>
          <w:kern w:val="2"/>
          <w:sz w:val="20"/>
          <w:szCs w:val="20"/>
        </w:rPr>
        <w:tab/>
      </w:r>
      <w:r w:rsidRPr="009405FD">
        <w:rPr>
          <w:rFonts w:ascii="Arial" w:hAnsi="Arial" w:cs="Arial"/>
          <w:b/>
          <w:kern w:val="2"/>
          <w:sz w:val="20"/>
          <w:szCs w:val="20"/>
          <w:u w:val="single"/>
        </w:rPr>
        <w:t>Competition:</w:t>
      </w:r>
    </w:p>
    <w:p w14:paraId="2E80D579" w14:textId="77777777" w:rsidR="002953C7" w:rsidRPr="009405FD" w:rsidRDefault="002953C7" w:rsidP="002953C7">
      <w:pPr>
        <w:pStyle w:val="BodyText"/>
        <w:widowControl/>
        <w:spacing w:before="0"/>
        <w:ind w:left="1440"/>
        <w:jc w:val="both"/>
        <w:rPr>
          <w:rFonts w:ascii="Arial" w:hAnsi="Arial" w:cs="Arial"/>
          <w:b/>
          <w:kern w:val="2"/>
          <w:sz w:val="20"/>
          <w:szCs w:val="20"/>
        </w:rPr>
      </w:pPr>
      <w:bookmarkStart w:id="2" w:name="_Hlk484602333"/>
      <w:r w:rsidRPr="009405FD">
        <w:rPr>
          <w:rFonts w:ascii="Arial" w:hAnsi="Arial" w:cs="Arial"/>
          <w:b/>
          <w:kern w:val="2"/>
          <w:sz w:val="20"/>
          <w:szCs w:val="20"/>
        </w:rPr>
        <w:t xml:space="preserve">Provide evidence that the Proposed Project will compete on the basis of price, total medical expenses, provider costs, and other recognized measures of health care spending. </w:t>
      </w:r>
      <w:bookmarkEnd w:id="2"/>
      <w:r w:rsidRPr="009405FD">
        <w:rPr>
          <w:rFonts w:ascii="Arial" w:hAnsi="Arial" w:cs="Arial"/>
          <w:b/>
          <w:kern w:val="2"/>
          <w:sz w:val="20"/>
          <w:szCs w:val="20"/>
        </w:rPr>
        <w:t>When responding to this question, please consider Factor 4, Financial Feasibility and Reasonableness of Costs.</w:t>
      </w:r>
    </w:p>
    <w:p w14:paraId="1F8A4053" w14:textId="77777777" w:rsidR="002953C7" w:rsidRPr="009405FD" w:rsidRDefault="002953C7" w:rsidP="002953C7">
      <w:pPr>
        <w:spacing w:after="0" w:line="240" w:lineRule="auto"/>
        <w:jc w:val="both"/>
        <w:rPr>
          <w:rFonts w:ascii="Arial" w:hAnsi="Arial" w:cs="Arial"/>
          <w:sz w:val="20"/>
          <w:szCs w:val="20"/>
          <w:u w:val="single"/>
        </w:rPr>
      </w:pPr>
    </w:p>
    <w:p w14:paraId="1B7BDEBD" w14:textId="4AAC9E56" w:rsidR="00B2567B" w:rsidRPr="00010F2F" w:rsidRDefault="00AC1C41" w:rsidP="00D7248F">
      <w:pPr>
        <w:widowControl w:val="0"/>
        <w:spacing w:after="0" w:line="240" w:lineRule="auto"/>
        <w:jc w:val="both"/>
        <w:rPr>
          <w:rFonts w:ascii="Arial" w:eastAsia="Calibri" w:hAnsi="Arial" w:cs="Arial"/>
          <w:sz w:val="20"/>
          <w:szCs w:val="20"/>
        </w:rPr>
      </w:pPr>
      <w:r w:rsidRPr="00010F2F">
        <w:rPr>
          <w:rFonts w:ascii="Arial" w:eastAsia="Calibri" w:hAnsi="Arial" w:cs="Arial"/>
          <w:sz w:val="20"/>
          <w:szCs w:val="20"/>
        </w:rPr>
        <w:t xml:space="preserve">The Proposed Project will not have an adverse effect on competition in the Massachusetts Health Market </w:t>
      </w:r>
      <w:r w:rsidR="00423922" w:rsidRPr="00010F2F">
        <w:rPr>
          <w:rFonts w:ascii="Arial" w:eastAsia="Calibri" w:hAnsi="Arial" w:cs="Arial"/>
          <w:sz w:val="20"/>
          <w:szCs w:val="20"/>
        </w:rPr>
        <w:t>based on price, total medical expenses</w:t>
      </w:r>
      <w:r w:rsidR="00734F7D">
        <w:rPr>
          <w:rFonts w:ascii="Arial" w:eastAsia="Calibri" w:hAnsi="Arial" w:cs="Arial"/>
          <w:sz w:val="20"/>
          <w:szCs w:val="20"/>
        </w:rPr>
        <w:t xml:space="preserve">, </w:t>
      </w:r>
      <w:r w:rsidR="00423922" w:rsidRPr="00010F2F">
        <w:rPr>
          <w:rFonts w:ascii="Arial" w:eastAsia="Calibri" w:hAnsi="Arial" w:cs="Arial"/>
          <w:sz w:val="20"/>
          <w:szCs w:val="20"/>
        </w:rPr>
        <w:t>provider costs or other recognized measures of health care spending</w:t>
      </w:r>
      <w:r w:rsidR="00B2567B" w:rsidRPr="00010F2F">
        <w:rPr>
          <w:rFonts w:ascii="Arial" w:eastAsia="Calibri" w:hAnsi="Arial" w:cs="Arial"/>
          <w:sz w:val="20"/>
          <w:szCs w:val="20"/>
        </w:rPr>
        <w:t>.</w:t>
      </w:r>
      <w:r w:rsidR="00423922" w:rsidRPr="00010F2F">
        <w:rPr>
          <w:rFonts w:ascii="Arial" w:eastAsia="Calibri" w:hAnsi="Arial" w:cs="Arial"/>
          <w:sz w:val="20"/>
          <w:szCs w:val="20"/>
        </w:rPr>
        <w:t xml:space="preserve"> </w:t>
      </w:r>
      <w:r w:rsidR="00D05DDB" w:rsidRPr="00010F2F">
        <w:rPr>
          <w:rFonts w:ascii="Arial" w:eastAsia="Calibri" w:hAnsi="Arial" w:cs="Arial"/>
          <w:sz w:val="20"/>
          <w:szCs w:val="20"/>
        </w:rPr>
        <w:t xml:space="preserve">To deliver quality, timely care, improve health outcomes, and contain overall medical costs, hospitals must have the ability to provide access to CT imaging. As discussed in Factors F1.a.i and F1.a.ii, CDH’s existing CT </w:t>
      </w:r>
      <w:r w:rsidR="00884A8B">
        <w:rPr>
          <w:rFonts w:ascii="Arial" w:eastAsia="Calibri" w:hAnsi="Arial" w:cs="Arial"/>
          <w:sz w:val="20"/>
          <w:szCs w:val="20"/>
        </w:rPr>
        <w:t xml:space="preserve">service </w:t>
      </w:r>
      <w:r w:rsidR="00D05DDB" w:rsidRPr="00010F2F">
        <w:rPr>
          <w:rFonts w:ascii="Arial" w:eastAsia="Calibri" w:hAnsi="Arial" w:cs="Arial"/>
          <w:sz w:val="20"/>
          <w:szCs w:val="20"/>
        </w:rPr>
        <w:t>is</w:t>
      </w:r>
      <w:r w:rsidR="00A42003">
        <w:rPr>
          <w:rFonts w:ascii="Arial" w:eastAsia="Calibri" w:hAnsi="Arial" w:cs="Arial"/>
          <w:sz w:val="20"/>
          <w:szCs w:val="20"/>
        </w:rPr>
        <w:t xml:space="preserve"> operating</w:t>
      </w:r>
      <w:r w:rsidR="00D05DDB" w:rsidRPr="00010F2F">
        <w:rPr>
          <w:rFonts w:ascii="Arial" w:eastAsia="Calibri" w:hAnsi="Arial" w:cs="Arial"/>
          <w:sz w:val="20"/>
          <w:szCs w:val="20"/>
        </w:rPr>
        <w:t xml:space="preserve"> </w:t>
      </w:r>
      <w:r w:rsidR="00B2567B" w:rsidRPr="00010F2F">
        <w:rPr>
          <w:rFonts w:ascii="Arial" w:eastAsia="Calibri" w:hAnsi="Arial" w:cs="Arial"/>
          <w:sz w:val="20"/>
          <w:szCs w:val="20"/>
        </w:rPr>
        <w:t>near</w:t>
      </w:r>
      <w:r w:rsidR="00D05DDB" w:rsidRPr="00010F2F">
        <w:rPr>
          <w:rFonts w:ascii="Arial" w:eastAsia="Calibri" w:hAnsi="Arial" w:cs="Arial"/>
          <w:sz w:val="20"/>
          <w:szCs w:val="20"/>
        </w:rPr>
        <w:t xml:space="preserve"> </w:t>
      </w:r>
      <w:r w:rsidR="00A42003">
        <w:rPr>
          <w:rFonts w:ascii="Arial" w:eastAsia="Calibri" w:hAnsi="Arial" w:cs="Arial"/>
          <w:sz w:val="20"/>
          <w:szCs w:val="20"/>
        </w:rPr>
        <w:t xml:space="preserve">full </w:t>
      </w:r>
      <w:r w:rsidR="00D05DDB" w:rsidRPr="00010F2F">
        <w:rPr>
          <w:rFonts w:ascii="Arial" w:eastAsia="Calibri" w:hAnsi="Arial" w:cs="Arial"/>
          <w:sz w:val="20"/>
          <w:szCs w:val="20"/>
        </w:rPr>
        <w:t>capacity</w:t>
      </w:r>
      <w:r w:rsidR="00B2567B" w:rsidRPr="00010F2F">
        <w:rPr>
          <w:rFonts w:ascii="Arial" w:eastAsia="Calibri" w:hAnsi="Arial" w:cs="Arial"/>
          <w:sz w:val="20"/>
          <w:szCs w:val="20"/>
        </w:rPr>
        <w:t xml:space="preserve">, which </w:t>
      </w:r>
      <w:r w:rsidR="007107F2">
        <w:rPr>
          <w:rFonts w:ascii="Arial" w:eastAsia="Calibri" w:hAnsi="Arial" w:cs="Arial"/>
          <w:sz w:val="20"/>
          <w:szCs w:val="20"/>
        </w:rPr>
        <w:t xml:space="preserve">can </w:t>
      </w:r>
      <w:r w:rsidR="00EC41AA" w:rsidRPr="00010F2F">
        <w:rPr>
          <w:rFonts w:ascii="Arial" w:eastAsia="Calibri" w:hAnsi="Arial" w:cs="Arial"/>
          <w:sz w:val="20"/>
          <w:szCs w:val="20"/>
        </w:rPr>
        <w:t>cause</w:t>
      </w:r>
      <w:r w:rsidR="00E4107C" w:rsidRPr="00010F2F">
        <w:rPr>
          <w:rFonts w:ascii="Arial" w:eastAsia="Calibri" w:hAnsi="Arial" w:cs="Arial"/>
          <w:sz w:val="20"/>
          <w:szCs w:val="20"/>
        </w:rPr>
        <w:t xml:space="preserve"> delay</w:t>
      </w:r>
      <w:r w:rsidR="00B2567B" w:rsidRPr="00010F2F">
        <w:rPr>
          <w:rFonts w:ascii="Arial" w:eastAsia="Calibri" w:hAnsi="Arial" w:cs="Arial"/>
          <w:sz w:val="20"/>
          <w:szCs w:val="20"/>
        </w:rPr>
        <w:t xml:space="preserve">ed access </w:t>
      </w:r>
      <w:r w:rsidR="00EC41AA" w:rsidRPr="00010F2F">
        <w:rPr>
          <w:rFonts w:ascii="Arial" w:eastAsia="Calibri" w:hAnsi="Arial" w:cs="Arial"/>
          <w:sz w:val="20"/>
          <w:szCs w:val="20"/>
        </w:rPr>
        <w:t>to CT imaging</w:t>
      </w:r>
      <w:r w:rsidR="00A42003">
        <w:rPr>
          <w:rFonts w:ascii="Arial" w:eastAsia="Calibri" w:hAnsi="Arial" w:cs="Arial"/>
          <w:sz w:val="20"/>
          <w:szCs w:val="20"/>
        </w:rPr>
        <w:t xml:space="preserve"> particularly for outpatients and patients requiring interventional CT</w:t>
      </w:r>
      <w:r w:rsidR="00B2567B" w:rsidRPr="00010F2F">
        <w:rPr>
          <w:rFonts w:ascii="Arial" w:eastAsia="Calibri" w:hAnsi="Arial" w:cs="Arial"/>
          <w:sz w:val="20"/>
          <w:szCs w:val="20"/>
        </w:rPr>
        <w:t xml:space="preserve">. Delayed </w:t>
      </w:r>
      <w:r w:rsidR="00A42003">
        <w:rPr>
          <w:rFonts w:ascii="Arial" w:eastAsia="Calibri" w:hAnsi="Arial" w:cs="Arial"/>
          <w:sz w:val="20"/>
          <w:szCs w:val="20"/>
        </w:rPr>
        <w:t>diagnosis through</w:t>
      </w:r>
      <w:r w:rsidR="00EC41AA" w:rsidRPr="00010F2F">
        <w:rPr>
          <w:rFonts w:ascii="Arial" w:eastAsia="Calibri" w:hAnsi="Arial" w:cs="Arial"/>
          <w:sz w:val="20"/>
          <w:szCs w:val="20"/>
        </w:rPr>
        <w:t xml:space="preserve"> CT imaging can delay treatment</w:t>
      </w:r>
      <w:r w:rsidR="00E211D9">
        <w:rPr>
          <w:rFonts w:ascii="Arial" w:eastAsia="Calibri" w:hAnsi="Arial" w:cs="Arial"/>
          <w:sz w:val="20"/>
          <w:szCs w:val="20"/>
        </w:rPr>
        <w:t>,</w:t>
      </w:r>
      <w:r w:rsidR="00B703E8">
        <w:rPr>
          <w:rFonts w:ascii="Arial" w:eastAsia="Calibri" w:hAnsi="Arial" w:cs="Arial"/>
          <w:sz w:val="20"/>
          <w:szCs w:val="20"/>
        </w:rPr>
        <w:t xml:space="preserve"> increasing the overall cost of care</w:t>
      </w:r>
      <w:r w:rsidR="00EC41AA" w:rsidRPr="00010F2F">
        <w:rPr>
          <w:rFonts w:ascii="Arial" w:eastAsia="Calibri" w:hAnsi="Arial" w:cs="Arial"/>
          <w:sz w:val="20"/>
          <w:szCs w:val="20"/>
        </w:rPr>
        <w:t xml:space="preserve"> </w:t>
      </w:r>
      <w:r w:rsidR="00B2567B" w:rsidRPr="00010F2F">
        <w:rPr>
          <w:rFonts w:ascii="Arial" w:eastAsia="Calibri" w:hAnsi="Arial" w:cs="Arial"/>
          <w:sz w:val="20"/>
          <w:szCs w:val="20"/>
        </w:rPr>
        <w:t xml:space="preserve">as the patient’s medical </w:t>
      </w:r>
      <w:r w:rsidR="000B13A8">
        <w:rPr>
          <w:rFonts w:ascii="Arial" w:eastAsia="Calibri" w:hAnsi="Arial" w:cs="Arial"/>
          <w:sz w:val="20"/>
          <w:szCs w:val="20"/>
        </w:rPr>
        <w:t xml:space="preserve">condition worsens. </w:t>
      </w:r>
      <w:r w:rsidR="003F72F0" w:rsidRPr="00010F2F">
        <w:rPr>
          <w:rFonts w:ascii="Arial" w:hAnsi="Arial" w:cs="Arial"/>
          <w:sz w:val="20"/>
          <w:szCs w:val="20"/>
        </w:rPr>
        <w:t xml:space="preserve">The third CT </w:t>
      </w:r>
      <w:r w:rsidR="007107F2">
        <w:rPr>
          <w:rFonts w:ascii="Arial" w:hAnsi="Arial" w:cs="Arial"/>
          <w:sz w:val="20"/>
          <w:szCs w:val="20"/>
        </w:rPr>
        <w:t>unit</w:t>
      </w:r>
      <w:r w:rsidR="003F72F0" w:rsidRPr="00010F2F">
        <w:rPr>
          <w:rFonts w:ascii="Arial" w:hAnsi="Arial" w:cs="Arial"/>
          <w:sz w:val="20"/>
          <w:szCs w:val="20"/>
        </w:rPr>
        <w:t xml:space="preserve"> will </w:t>
      </w:r>
      <w:r w:rsidR="0041242A">
        <w:rPr>
          <w:rFonts w:ascii="Arial" w:hAnsi="Arial" w:cs="Arial"/>
          <w:sz w:val="20"/>
          <w:szCs w:val="20"/>
        </w:rPr>
        <w:t xml:space="preserve">allow </w:t>
      </w:r>
      <w:r w:rsidR="006762AB">
        <w:rPr>
          <w:rFonts w:ascii="Arial" w:hAnsi="Arial" w:cs="Arial"/>
          <w:sz w:val="20"/>
          <w:szCs w:val="20"/>
        </w:rPr>
        <w:t xml:space="preserve">CDH to </w:t>
      </w:r>
      <w:r w:rsidR="00964EF2">
        <w:rPr>
          <w:rFonts w:ascii="Arial" w:hAnsi="Arial" w:cs="Arial"/>
          <w:sz w:val="20"/>
          <w:szCs w:val="20"/>
        </w:rPr>
        <w:t>improve</w:t>
      </w:r>
      <w:r w:rsidR="003F72F0" w:rsidRPr="00010F2F">
        <w:rPr>
          <w:rFonts w:ascii="Arial" w:hAnsi="Arial" w:cs="Arial"/>
          <w:sz w:val="20"/>
          <w:szCs w:val="20"/>
        </w:rPr>
        <w:t xml:space="preserve"> access to CT interventional procedures that expedit</w:t>
      </w:r>
      <w:r w:rsidR="006762AB">
        <w:rPr>
          <w:rFonts w:ascii="Arial" w:hAnsi="Arial" w:cs="Arial"/>
          <w:sz w:val="20"/>
          <w:szCs w:val="20"/>
        </w:rPr>
        <w:t>e</w:t>
      </w:r>
      <w:r w:rsidR="00A42003">
        <w:rPr>
          <w:rFonts w:ascii="Arial" w:hAnsi="Arial" w:cs="Arial"/>
          <w:sz w:val="20"/>
          <w:szCs w:val="20"/>
        </w:rPr>
        <w:t xml:space="preserve"> diagnosis and ultimately</w:t>
      </w:r>
      <w:r w:rsidR="003F72F0" w:rsidRPr="00010F2F">
        <w:rPr>
          <w:rFonts w:ascii="Arial" w:hAnsi="Arial" w:cs="Arial"/>
          <w:sz w:val="20"/>
          <w:szCs w:val="20"/>
        </w:rPr>
        <w:t xml:space="preserve"> treatment</w:t>
      </w:r>
      <w:r w:rsidR="00A42003">
        <w:rPr>
          <w:rFonts w:ascii="Arial" w:hAnsi="Arial" w:cs="Arial"/>
          <w:sz w:val="20"/>
          <w:szCs w:val="20"/>
        </w:rPr>
        <w:t xml:space="preserve"> thereby initiating care when the acuity of a patient’s medical condition is less costly </w:t>
      </w:r>
      <w:proofErr w:type="spellStart"/>
      <w:r w:rsidR="00A42003">
        <w:rPr>
          <w:rFonts w:ascii="Arial" w:hAnsi="Arial" w:cs="Arial"/>
          <w:sz w:val="20"/>
          <w:szCs w:val="20"/>
        </w:rPr>
        <w:t>yo</w:t>
      </w:r>
      <w:proofErr w:type="spellEnd"/>
      <w:r w:rsidR="00A42003">
        <w:rPr>
          <w:rFonts w:ascii="Arial" w:hAnsi="Arial" w:cs="Arial"/>
          <w:sz w:val="20"/>
          <w:szCs w:val="20"/>
        </w:rPr>
        <w:t xml:space="preserve"> treat. </w:t>
      </w:r>
    </w:p>
    <w:p w14:paraId="437AF0E9" w14:textId="77777777" w:rsidR="00B2567B" w:rsidRPr="00010F2F" w:rsidRDefault="00B2567B" w:rsidP="00D7248F">
      <w:pPr>
        <w:widowControl w:val="0"/>
        <w:spacing w:after="0" w:line="240" w:lineRule="auto"/>
        <w:jc w:val="both"/>
        <w:rPr>
          <w:rFonts w:ascii="Arial" w:hAnsi="Arial" w:cs="Arial"/>
          <w:sz w:val="20"/>
          <w:szCs w:val="20"/>
        </w:rPr>
      </w:pPr>
    </w:p>
    <w:p w14:paraId="6994151D" w14:textId="6F646BC6" w:rsidR="003F72F0" w:rsidRPr="00010F2F" w:rsidRDefault="00E4107C" w:rsidP="00D7248F">
      <w:pPr>
        <w:pStyle w:val="BodyText2"/>
        <w:spacing w:after="160"/>
        <w:rPr>
          <w:rFonts w:eastAsiaTheme="minorHAnsi"/>
          <w:kern w:val="0"/>
        </w:rPr>
      </w:pPr>
      <w:r w:rsidRPr="00010F2F">
        <w:rPr>
          <w:rFonts w:eastAsiaTheme="minorHAnsi"/>
          <w:kern w:val="0"/>
        </w:rPr>
        <w:t xml:space="preserve">The </w:t>
      </w:r>
      <w:r w:rsidR="00B2567B" w:rsidRPr="00010F2F">
        <w:rPr>
          <w:rFonts w:eastAsiaTheme="minorHAnsi"/>
          <w:kern w:val="0"/>
        </w:rPr>
        <w:t xml:space="preserve">third </w:t>
      </w:r>
      <w:r w:rsidRPr="00010F2F">
        <w:rPr>
          <w:rFonts w:eastAsiaTheme="minorHAnsi"/>
          <w:kern w:val="0"/>
        </w:rPr>
        <w:t xml:space="preserve">CT </w:t>
      </w:r>
      <w:r w:rsidR="00B2567B" w:rsidRPr="00010F2F">
        <w:rPr>
          <w:rFonts w:eastAsiaTheme="minorHAnsi"/>
          <w:kern w:val="0"/>
        </w:rPr>
        <w:t xml:space="preserve">unit </w:t>
      </w:r>
      <w:r w:rsidRPr="00010F2F">
        <w:rPr>
          <w:rFonts w:eastAsiaTheme="minorHAnsi"/>
          <w:kern w:val="0"/>
        </w:rPr>
        <w:t xml:space="preserve">will be </w:t>
      </w:r>
      <w:r w:rsidR="00B2567B" w:rsidRPr="00010F2F">
        <w:rPr>
          <w:rFonts w:eastAsiaTheme="minorHAnsi"/>
          <w:kern w:val="0"/>
        </w:rPr>
        <w:t>in the</w:t>
      </w:r>
      <w:r w:rsidRPr="00010F2F">
        <w:rPr>
          <w:rFonts w:eastAsiaTheme="minorHAnsi"/>
          <w:kern w:val="0"/>
        </w:rPr>
        <w:t xml:space="preserve"> Emergency Department</w:t>
      </w:r>
      <w:r w:rsidR="00B2567B" w:rsidRPr="00010F2F">
        <w:rPr>
          <w:rFonts w:eastAsiaTheme="minorHAnsi"/>
          <w:kern w:val="0"/>
        </w:rPr>
        <w:t>.</w:t>
      </w:r>
      <w:r w:rsidRPr="00010F2F">
        <w:rPr>
          <w:rFonts w:eastAsiaTheme="minorHAnsi"/>
          <w:kern w:val="0"/>
        </w:rPr>
        <w:t xml:space="preserve"> </w:t>
      </w:r>
      <w:r w:rsidR="00B2567B" w:rsidRPr="00010F2F">
        <w:rPr>
          <w:rFonts w:eastAsiaTheme="minorHAnsi"/>
          <w:kern w:val="0"/>
        </w:rPr>
        <w:t>C</w:t>
      </w:r>
      <w:r w:rsidRPr="00010F2F">
        <w:rPr>
          <w:rFonts w:eastAsiaTheme="minorHAnsi"/>
          <w:kern w:val="0"/>
        </w:rPr>
        <w:t>DH anticipates it will need to hire one</w:t>
      </w:r>
      <w:r w:rsidR="00C76173">
        <w:rPr>
          <w:rFonts w:eastAsiaTheme="minorHAnsi"/>
          <w:kern w:val="0"/>
        </w:rPr>
        <w:t xml:space="preserve"> full time CT technologist</w:t>
      </w:r>
      <w:r w:rsidR="00B2567B" w:rsidRPr="00010F2F">
        <w:rPr>
          <w:rFonts w:eastAsiaTheme="minorHAnsi"/>
          <w:kern w:val="0"/>
        </w:rPr>
        <w:t xml:space="preserve">, which </w:t>
      </w:r>
      <w:r w:rsidRPr="00010F2F">
        <w:rPr>
          <w:rFonts w:eastAsiaTheme="minorHAnsi"/>
          <w:kern w:val="0"/>
        </w:rPr>
        <w:t xml:space="preserve">will have a minimal impact on operating costs. Based on these considerations, the Proposed Project is necessary to </w:t>
      </w:r>
      <w:r w:rsidR="003F72F0" w:rsidRPr="00010F2F">
        <w:rPr>
          <w:rFonts w:eastAsiaTheme="minorHAnsi"/>
          <w:kern w:val="0"/>
        </w:rPr>
        <w:t xml:space="preserve">meet the </w:t>
      </w:r>
      <w:r w:rsidR="008D16C9" w:rsidRPr="00010F2F">
        <w:rPr>
          <w:rFonts w:eastAsiaTheme="minorHAnsi"/>
          <w:kern w:val="0"/>
        </w:rPr>
        <w:t>Patient Panel</w:t>
      </w:r>
      <w:r w:rsidR="003F72F0" w:rsidRPr="00010F2F">
        <w:rPr>
          <w:rFonts w:eastAsiaTheme="minorHAnsi"/>
          <w:kern w:val="0"/>
        </w:rPr>
        <w:t xml:space="preserve">s’ need, </w:t>
      </w:r>
      <w:r w:rsidRPr="00010F2F">
        <w:rPr>
          <w:rFonts w:eastAsiaTheme="minorHAnsi"/>
          <w:kern w:val="0"/>
        </w:rPr>
        <w:t>ensure</w:t>
      </w:r>
      <w:r w:rsidR="00B2567B" w:rsidRPr="00010F2F">
        <w:rPr>
          <w:rFonts w:eastAsiaTheme="minorHAnsi"/>
          <w:kern w:val="0"/>
        </w:rPr>
        <w:t xml:space="preserve"> timely</w:t>
      </w:r>
      <w:r w:rsidRPr="00010F2F">
        <w:rPr>
          <w:rFonts w:eastAsiaTheme="minorHAnsi"/>
          <w:kern w:val="0"/>
        </w:rPr>
        <w:t xml:space="preserve"> access to care, provide timely diagnosis and treatment, and contain health care costs.  </w:t>
      </w:r>
    </w:p>
    <w:p w14:paraId="0971DBA1" w14:textId="77777777" w:rsidR="00423922" w:rsidRPr="00010F2F" w:rsidRDefault="00423922" w:rsidP="009C4CCF">
      <w:pPr>
        <w:spacing w:after="0" w:line="240" w:lineRule="auto"/>
        <w:jc w:val="both"/>
        <w:rPr>
          <w:rFonts w:ascii="Arial" w:eastAsia="Calibri" w:hAnsi="Arial" w:cs="Arial"/>
          <w:sz w:val="20"/>
          <w:szCs w:val="20"/>
        </w:rPr>
      </w:pPr>
    </w:p>
    <w:p w14:paraId="2A8BB0AA" w14:textId="64305C2F" w:rsidR="009C4CCF" w:rsidRPr="009405FD" w:rsidRDefault="009C4CCF" w:rsidP="009C4CCF">
      <w:pPr>
        <w:spacing w:after="0" w:line="240" w:lineRule="auto"/>
        <w:jc w:val="both"/>
        <w:rPr>
          <w:rFonts w:ascii="Arial" w:eastAsia="Arial" w:hAnsi="Arial" w:cs="Arial"/>
          <w:kern w:val="2"/>
          <w:sz w:val="20"/>
          <w:szCs w:val="20"/>
          <w:u w:val="single"/>
        </w:rPr>
      </w:pPr>
      <w:r w:rsidRPr="009405FD">
        <w:rPr>
          <w:rFonts w:ascii="Arial" w:eastAsia="Calibri" w:hAnsi="Arial" w:cs="Arial"/>
          <w:sz w:val="20"/>
          <w:szCs w:val="20"/>
        </w:rPr>
        <w:t xml:space="preserve"> </w:t>
      </w:r>
      <w:r w:rsidRPr="009405FD">
        <w:rPr>
          <w:rFonts w:ascii="Arial" w:hAnsi="Arial" w:cs="Arial"/>
          <w:b/>
          <w:kern w:val="2"/>
          <w:sz w:val="20"/>
          <w:szCs w:val="20"/>
        </w:rPr>
        <w:t>F1.b.i</w:t>
      </w:r>
      <w:r w:rsidRPr="009405FD">
        <w:rPr>
          <w:rFonts w:ascii="Arial" w:hAnsi="Arial" w:cs="Arial"/>
          <w:b/>
          <w:kern w:val="2"/>
          <w:sz w:val="20"/>
          <w:szCs w:val="20"/>
        </w:rPr>
        <w:tab/>
      </w:r>
      <w:r w:rsidRPr="009405FD">
        <w:rPr>
          <w:rFonts w:ascii="Arial" w:hAnsi="Arial" w:cs="Arial"/>
          <w:kern w:val="2"/>
          <w:sz w:val="20"/>
          <w:szCs w:val="20"/>
        </w:rPr>
        <w:tab/>
      </w:r>
      <w:r w:rsidRPr="009405FD">
        <w:rPr>
          <w:rFonts w:ascii="Arial" w:hAnsi="Arial" w:cs="Arial"/>
          <w:b/>
          <w:kern w:val="2"/>
          <w:sz w:val="20"/>
          <w:szCs w:val="20"/>
          <w:u w:val="single"/>
        </w:rPr>
        <w:t>Public Health Value /Evidence-Based:</w:t>
      </w:r>
    </w:p>
    <w:p w14:paraId="4C0544CC" w14:textId="2A99610E" w:rsidR="009C4CCF" w:rsidRPr="009405FD" w:rsidRDefault="009C4CCF" w:rsidP="009C4CCF">
      <w:pPr>
        <w:pStyle w:val="BodyText"/>
        <w:widowControl/>
        <w:spacing w:before="0"/>
        <w:ind w:left="1440" w:firstLine="14"/>
        <w:jc w:val="both"/>
        <w:rPr>
          <w:rFonts w:ascii="Arial" w:hAnsi="Arial" w:cs="Arial"/>
          <w:b/>
          <w:kern w:val="2"/>
          <w:sz w:val="20"/>
          <w:szCs w:val="20"/>
        </w:rPr>
      </w:pPr>
      <w:r w:rsidRPr="009405FD">
        <w:rPr>
          <w:rFonts w:ascii="Arial" w:hAnsi="Arial" w:cs="Arial"/>
          <w:b/>
          <w:kern w:val="2"/>
          <w:sz w:val="20"/>
          <w:szCs w:val="20"/>
        </w:rPr>
        <w:t>Provide information on the evidence-base for the Proposed Project. That is, how does the Proposed Project address the Need that Applicant has identified.</w:t>
      </w:r>
    </w:p>
    <w:p w14:paraId="7A1CFD13" w14:textId="29994A7E" w:rsidR="005B6B7C" w:rsidRPr="00010F2F" w:rsidRDefault="005B6B7C" w:rsidP="003331F3">
      <w:pPr>
        <w:pStyle w:val="BodyText"/>
        <w:widowControl/>
        <w:spacing w:before="0"/>
        <w:jc w:val="both"/>
        <w:rPr>
          <w:rFonts w:ascii="Arial" w:hAnsi="Arial" w:cs="Arial"/>
          <w:b/>
          <w:kern w:val="2"/>
          <w:sz w:val="22"/>
          <w:szCs w:val="22"/>
        </w:rPr>
      </w:pPr>
    </w:p>
    <w:p w14:paraId="78CB81BC" w14:textId="132D0C60" w:rsidR="003331F3" w:rsidRPr="00010F2F" w:rsidRDefault="00971262" w:rsidP="005069BF">
      <w:pPr>
        <w:spacing w:after="0" w:line="240" w:lineRule="auto"/>
        <w:jc w:val="both"/>
        <w:rPr>
          <w:rFonts w:ascii="Arial" w:eastAsia="Times New Roman" w:hAnsi="Arial" w:cs="Arial"/>
          <w:bCs/>
          <w:kern w:val="2"/>
          <w:sz w:val="20"/>
          <w:szCs w:val="20"/>
        </w:rPr>
      </w:pPr>
      <w:r w:rsidRPr="00010F2F">
        <w:rPr>
          <w:rFonts w:ascii="Arial" w:hAnsi="Arial" w:cs="Arial"/>
          <w:bCs/>
          <w:kern w:val="2"/>
          <w:sz w:val="20"/>
          <w:szCs w:val="20"/>
        </w:rPr>
        <w:t xml:space="preserve">The addition of a third CT unit at CDH will advance and support the needs of CDH’s Patient Panel by increasing timely access to CT imaging, decreasing delay in diagnosis and treatment, and increasing access to interventional CT procedures. </w:t>
      </w:r>
      <w:r w:rsidR="005069BF" w:rsidRPr="00010F2F">
        <w:rPr>
          <w:rFonts w:ascii="Arial" w:eastAsia="Times New Roman" w:hAnsi="Arial" w:cs="Arial"/>
          <w:bCs/>
          <w:kern w:val="2"/>
          <w:sz w:val="20"/>
          <w:szCs w:val="20"/>
        </w:rPr>
        <w:t>The use of diagnostic imaging in the United States, including imaging with CT, has increased significantly over the last two decades.</w:t>
      </w:r>
      <w:r w:rsidR="005069BF" w:rsidRPr="00010F2F">
        <w:rPr>
          <w:rStyle w:val="FootnoteReference"/>
          <w:rFonts w:ascii="Arial" w:eastAsia="Times New Roman" w:hAnsi="Arial" w:cs="Arial"/>
          <w:bCs/>
          <w:kern w:val="2"/>
          <w:sz w:val="20"/>
          <w:szCs w:val="20"/>
        </w:rPr>
        <w:footnoteReference w:id="20"/>
      </w:r>
      <w:r w:rsidR="005069BF" w:rsidRPr="00010F2F">
        <w:rPr>
          <w:rFonts w:ascii="Arial" w:eastAsia="Times New Roman" w:hAnsi="Arial" w:cs="Arial"/>
          <w:bCs/>
          <w:kern w:val="2"/>
          <w:sz w:val="20"/>
          <w:szCs w:val="20"/>
        </w:rPr>
        <w:t xml:space="preserve"> Several factors have contributed </w:t>
      </w:r>
      <w:r w:rsidR="005069BF" w:rsidRPr="00010F2F">
        <w:rPr>
          <w:rFonts w:ascii="Arial" w:eastAsia="Times New Roman" w:hAnsi="Arial" w:cs="Arial"/>
          <w:bCs/>
          <w:kern w:val="2"/>
          <w:sz w:val="20"/>
          <w:szCs w:val="20"/>
        </w:rPr>
        <w:lastRenderedPageBreak/>
        <w:t>to this increase, including advancements in technology (e.g., improvements in techniques, resolution, and acquisition time), expansion of clinical applications (particularly to diagnose and treat age-related conditions), and patient and physician generated demand.</w:t>
      </w:r>
      <w:r w:rsidR="005069BF" w:rsidRPr="00010F2F">
        <w:rPr>
          <w:rStyle w:val="FootnoteReference"/>
          <w:rFonts w:ascii="Arial" w:eastAsia="Times New Roman" w:hAnsi="Arial" w:cs="Arial"/>
          <w:bCs/>
          <w:kern w:val="2"/>
          <w:sz w:val="20"/>
          <w:szCs w:val="20"/>
        </w:rPr>
        <w:footnoteReference w:id="21"/>
      </w:r>
      <w:r w:rsidR="005069BF" w:rsidRPr="00010F2F">
        <w:rPr>
          <w:rFonts w:ascii="Arial" w:eastAsia="Times New Roman" w:hAnsi="Arial" w:cs="Arial"/>
          <w:bCs/>
          <w:kern w:val="2"/>
          <w:sz w:val="20"/>
          <w:szCs w:val="20"/>
        </w:rPr>
        <w:t xml:space="preserve"> The development and improvement in these advanced diagnostic imaging technologies is widely credited with leading to improved patient outcomes, through earlier and more accurate diagnoses of disease using noninvasive techniques, as well as improved patient care processes.</w:t>
      </w:r>
      <w:r w:rsidR="005069BF" w:rsidRPr="00010F2F">
        <w:rPr>
          <w:rStyle w:val="FootnoteReference"/>
          <w:rFonts w:ascii="Arial" w:eastAsia="Times New Roman" w:hAnsi="Arial" w:cs="Arial"/>
          <w:bCs/>
          <w:kern w:val="2"/>
          <w:sz w:val="20"/>
          <w:szCs w:val="20"/>
        </w:rPr>
        <w:footnoteReference w:id="22"/>
      </w:r>
      <w:r w:rsidR="005069BF" w:rsidRPr="00010F2F">
        <w:rPr>
          <w:rFonts w:ascii="Arial" w:eastAsia="Times New Roman" w:hAnsi="Arial" w:cs="Arial"/>
          <w:bCs/>
          <w:kern w:val="2"/>
          <w:sz w:val="20"/>
          <w:szCs w:val="20"/>
        </w:rPr>
        <w:t xml:space="preserve"> </w:t>
      </w:r>
      <w:r w:rsidR="003331F3" w:rsidRPr="00010F2F">
        <w:rPr>
          <w:rFonts w:ascii="Arial" w:hAnsi="Arial" w:cs="Arial"/>
          <w:bCs/>
          <w:kern w:val="2"/>
          <w:sz w:val="20"/>
          <w:szCs w:val="20"/>
        </w:rPr>
        <w:t>As provided in greater detail below, the Proposed Project is supported by extensive evidence-based literature regarding the efficacy and utility of CT technology</w:t>
      </w:r>
      <w:r w:rsidR="00317261" w:rsidRPr="00010F2F">
        <w:rPr>
          <w:rFonts w:ascii="Arial" w:hAnsi="Arial" w:cs="Arial"/>
          <w:bCs/>
          <w:kern w:val="2"/>
          <w:sz w:val="20"/>
          <w:szCs w:val="20"/>
        </w:rPr>
        <w:t>, which t</w:t>
      </w:r>
      <w:r w:rsidR="003331F3" w:rsidRPr="00010F2F">
        <w:rPr>
          <w:rFonts w:ascii="Arial" w:hAnsi="Arial" w:cs="Arial"/>
          <w:bCs/>
          <w:kern w:val="2"/>
          <w:sz w:val="20"/>
          <w:szCs w:val="20"/>
        </w:rPr>
        <w:t xml:space="preserve">he Applicant relies </w:t>
      </w:r>
      <w:r w:rsidR="00317261" w:rsidRPr="00010F2F">
        <w:rPr>
          <w:rFonts w:ascii="Arial" w:hAnsi="Arial" w:cs="Arial"/>
          <w:bCs/>
          <w:kern w:val="2"/>
          <w:sz w:val="20"/>
          <w:szCs w:val="20"/>
        </w:rPr>
        <w:t xml:space="preserve">on </w:t>
      </w:r>
      <w:r w:rsidR="003331F3" w:rsidRPr="00010F2F">
        <w:rPr>
          <w:rFonts w:ascii="Arial" w:hAnsi="Arial" w:cs="Arial"/>
          <w:bCs/>
          <w:kern w:val="2"/>
          <w:sz w:val="20"/>
          <w:szCs w:val="20"/>
        </w:rPr>
        <w:t xml:space="preserve">to demonstrate that routine and emergency CT imaging is an essential component of hospital care. </w:t>
      </w:r>
    </w:p>
    <w:p w14:paraId="5642DD49" w14:textId="5E302E42" w:rsidR="003D1141" w:rsidRPr="00010F2F" w:rsidRDefault="003D1141" w:rsidP="00685C42">
      <w:pPr>
        <w:pStyle w:val="BodyText"/>
        <w:widowControl/>
        <w:spacing w:before="0"/>
        <w:ind w:left="0"/>
        <w:jc w:val="both"/>
        <w:rPr>
          <w:rFonts w:ascii="Arial" w:hAnsi="Arial" w:cs="Arial"/>
          <w:bCs/>
          <w:kern w:val="2"/>
          <w:sz w:val="20"/>
          <w:szCs w:val="20"/>
          <w:u w:val="single"/>
        </w:rPr>
      </w:pPr>
    </w:p>
    <w:p w14:paraId="73FD01A1" w14:textId="7E8C2A3A" w:rsidR="0006133F" w:rsidRPr="00010F2F" w:rsidRDefault="00685C42" w:rsidP="0006133F">
      <w:pPr>
        <w:pStyle w:val="BodyText"/>
        <w:widowControl/>
        <w:spacing w:before="0"/>
        <w:jc w:val="both"/>
        <w:rPr>
          <w:rFonts w:ascii="Arial" w:hAnsi="Arial" w:cs="Arial"/>
          <w:sz w:val="20"/>
          <w:szCs w:val="20"/>
        </w:rPr>
      </w:pPr>
      <w:r w:rsidRPr="00010F2F">
        <w:rPr>
          <w:rFonts w:ascii="Arial" w:hAnsi="Arial" w:cs="Arial"/>
          <w:sz w:val="20"/>
          <w:szCs w:val="20"/>
        </w:rPr>
        <w:t>CT</w:t>
      </w:r>
      <w:r w:rsidR="003D1141" w:rsidRPr="00010F2F">
        <w:rPr>
          <w:rFonts w:ascii="Arial" w:hAnsi="Arial" w:cs="Arial"/>
          <w:sz w:val="20"/>
          <w:szCs w:val="20"/>
        </w:rPr>
        <w:t xml:space="preserve"> is an imaging tool that utilizes x-ray beams to generate cross-sectional images - or “slices” - of the bones, blood vessels and soft tissue.</w:t>
      </w:r>
      <w:r w:rsidR="003D1141" w:rsidRPr="00010F2F">
        <w:rPr>
          <w:rStyle w:val="FootnoteReference"/>
          <w:rFonts w:ascii="Arial" w:hAnsi="Arial" w:cs="Arial"/>
          <w:sz w:val="20"/>
          <w:szCs w:val="20"/>
        </w:rPr>
        <w:footnoteReference w:id="23"/>
      </w:r>
      <w:r w:rsidR="003D1141" w:rsidRPr="00010F2F">
        <w:rPr>
          <w:rStyle w:val="FootnoteReference"/>
          <w:rFonts w:ascii="Arial" w:hAnsi="Arial" w:cs="Arial"/>
          <w:sz w:val="20"/>
          <w:szCs w:val="20"/>
        </w:rPr>
        <w:t xml:space="preserve"> </w:t>
      </w:r>
      <w:r w:rsidR="003D1141" w:rsidRPr="00010F2F">
        <w:rPr>
          <w:rFonts w:ascii="Arial" w:hAnsi="Arial" w:cs="Arial"/>
          <w:sz w:val="20"/>
          <w:szCs w:val="20"/>
        </w:rPr>
        <w:t xml:space="preserve">As a result, CT </w:t>
      </w:r>
      <w:r w:rsidR="0006133F" w:rsidRPr="00010F2F">
        <w:rPr>
          <w:rFonts w:ascii="Arial" w:hAnsi="Arial" w:cs="Arial"/>
          <w:sz w:val="20"/>
          <w:szCs w:val="20"/>
        </w:rPr>
        <w:t>imaging</w:t>
      </w:r>
      <w:r w:rsidR="003D1141" w:rsidRPr="00010F2F">
        <w:rPr>
          <w:rFonts w:ascii="Arial" w:hAnsi="Arial" w:cs="Arial"/>
          <w:sz w:val="20"/>
          <w:szCs w:val="20"/>
        </w:rPr>
        <w:t xml:space="preserve"> produce</w:t>
      </w:r>
      <w:r w:rsidR="00E03544" w:rsidRPr="00010F2F">
        <w:rPr>
          <w:rFonts w:ascii="Arial" w:hAnsi="Arial" w:cs="Arial"/>
          <w:sz w:val="20"/>
          <w:szCs w:val="20"/>
        </w:rPr>
        <w:t>s</w:t>
      </w:r>
      <w:r w:rsidR="003D1141" w:rsidRPr="00010F2F">
        <w:rPr>
          <w:rFonts w:ascii="Arial" w:hAnsi="Arial" w:cs="Arial"/>
          <w:sz w:val="20"/>
          <w:szCs w:val="20"/>
        </w:rPr>
        <w:t xml:space="preserve"> more clear, detailed images than conventional x-rays, making CTs extremely useful in detecting, for example, tumors or lesions within the abdomen and lungs; heart disease or abnormalities of the heart; head injuries; and blood clots and embolisms.</w:t>
      </w:r>
      <w:r w:rsidR="003D1141" w:rsidRPr="00010F2F">
        <w:rPr>
          <w:rStyle w:val="FootnoteReference"/>
          <w:rFonts w:ascii="Arial" w:hAnsi="Arial" w:cs="Arial"/>
          <w:sz w:val="20"/>
          <w:szCs w:val="20"/>
        </w:rPr>
        <w:footnoteReference w:id="24"/>
      </w:r>
      <w:r w:rsidR="003D1141" w:rsidRPr="00010F2F">
        <w:rPr>
          <w:rFonts w:ascii="Arial" w:hAnsi="Arial" w:cs="Arial"/>
          <w:sz w:val="20"/>
          <w:szCs w:val="20"/>
        </w:rPr>
        <w:t xml:space="preserve"> </w:t>
      </w:r>
      <w:r w:rsidR="00FC5BE4" w:rsidRPr="00010F2F">
        <w:rPr>
          <w:rFonts w:ascii="Arial" w:hAnsi="Arial" w:cs="Arial"/>
          <w:sz w:val="20"/>
          <w:szCs w:val="20"/>
        </w:rPr>
        <w:t xml:space="preserve">CT </w:t>
      </w:r>
      <w:r w:rsidR="0006133F" w:rsidRPr="00010F2F">
        <w:rPr>
          <w:rFonts w:ascii="Arial" w:hAnsi="Arial" w:cs="Arial"/>
          <w:sz w:val="20"/>
          <w:szCs w:val="20"/>
        </w:rPr>
        <w:t>is also</w:t>
      </w:r>
      <w:r w:rsidR="00FC5BE4" w:rsidRPr="00010F2F">
        <w:rPr>
          <w:rFonts w:ascii="Arial" w:hAnsi="Arial" w:cs="Arial"/>
          <w:sz w:val="20"/>
          <w:szCs w:val="20"/>
        </w:rPr>
        <w:t xml:space="preserve"> useful in diagnosing disease, trauma, and abnormality; planning and guiding </w:t>
      </w:r>
      <w:r w:rsidR="00E4181A" w:rsidRPr="00010F2F">
        <w:rPr>
          <w:rFonts w:ascii="Arial" w:hAnsi="Arial" w:cs="Arial"/>
          <w:sz w:val="20"/>
          <w:szCs w:val="20"/>
        </w:rPr>
        <w:t>procedures</w:t>
      </w:r>
      <w:r w:rsidR="00FC5BE4" w:rsidRPr="00010F2F">
        <w:rPr>
          <w:rFonts w:ascii="Arial" w:hAnsi="Arial" w:cs="Arial"/>
          <w:sz w:val="20"/>
          <w:szCs w:val="20"/>
        </w:rPr>
        <w:t>; and monitoring the effectiveness of therapy.</w:t>
      </w:r>
      <w:r w:rsidR="00FC5BE4" w:rsidRPr="00010F2F">
        <w:rPr>
          <w:rStyle w:val="FootnoteReference"/>
          <w:rFonts w:ascii="Arial" w:hAnsi="Arial" w:cs="Arial"/>
          <w:sz w:val="20"/>
          <w:szCs w:val="20"/>
        </w:rPr>
        <w:footnoteReference w:id="25"/>
      </w:r>
      <w:r w:rsidR="00FC5BE4" w:rsidRPr="00010F2F">
        <w:rPr>
          <w:rFonts w:ascii="Arial" w:hAnsi="Arial" w:cs="Arial"/>
          <w:sz w:val="20"/>
          <w:szCs w:val="20"/>
        </w:rPr>
        <w:t xml:space="preserve"> </w:t>
      </w:r>
      <w:r w:rsidR="00E4181A" w:rsidRPr="00010F2F">
        <w:rPr>
          <w:rFonts w:ascii="Arial" w:hAnsi="Arial" w:cs="Arial"/>
          <w:bCs/>
          <w:kern w:val="2"/>
          <w:sz w:val="20"/>
          <w:szCs w:val="20"/>
        </w:rPr>
        <w:t>CT-guided interventional radiology</w:t>
      </w:r>
      <w:r w:rsidR="0006133F" w:rsidRPr="00010F2F">
        <w:rPr>
          <w:rFonts w:ascii="Arial" w:hAnsi="Arial" w:cs="Arial"/>
          <w:bCs/>
          <w:kern w:val="2"/>
          <w:sz w:val="20"/>
          <w:szCs w:val="20"/>
        </w:rPr>
        <w:t xml:space="preserve"> is used</w:t>
      </w:r>
      <w:r w:rsidR="00E4181A" w:rsidRPr="00010F2F">
        <w:rPr>
          <w:rFonts w:ascii="Arial" w:hAnsi="Arial" w:cs="Arial"/>
          <w:bCs/>
          <w:kern w:val="2"/>
          <w:sz w:val="20"/>
          <w:szCs w:val="20"/>
        </w:rPr>
        <w:t xml:space="preserve"> to perform diagnostic and therapeutic medical procedures</w:t>
      </w:r>
      <w:r w:rsidR="00316137" w:rsidRPr="00010F2F">
        <w:rPr>
          <w:rFonts w:ascii="Arial" w:hAnsi="Arial" w:cs="Arial"/>
          <w:bCs/>
          <w:kern w:val="2"/>
          <w:sz w:val="20"/>
          <w:szCs w:val="20"/>
        </w:rPr>
        <w:t xml:space="preserve"> to treat neurological conditions, cancer, heart disease, spinal problems, </w:t>
      </w:r>
      <w:r w:rsidR="00765E6E" w:rsidRPr="00010F2F">
        <w:rPr>
          <w:rFonts w:ascii="Arial" w:hAnsi="Arial" w:cs="Arial"/>
          <w:bCs/>
          <w:kern w:val="2"/>
          <w:sz w:val="20"/>
          <w:szCs w:val="20"/>
        </w:rPr>
        <w:t xml:space="preserve">and </w:t>
      </w:r>
      <w:r w:rsidR="00316137" w:rsidRPr="00010F2F">
        <w:rPr>
          <w:rFonts w:ascii="Arial" w:hAnsi="Arial" w:cs="Arial"/>
          <w:bCs/>
          <w:kern w:val="2"/>
          <w:sz w:val="20"/>
          <w:szCs w:val="20"/>
        </w:rPr>
        <w:t>vascular disease, among others.</w:t>
      </w:r>
      <w:r w:rsidR="00316137" w:rsidRPr="00010F2F">
        <w:rPr>
          <w:rStyle w:val="FootnoteReference"/>
          <w:rFonts w:ascii="Arial" w:hAnsi="Arial" w:cs="Arial"/>
          <w:bCs/>
          <w:kern w:val="2"/>
          <w:sz w:val="20"/>
          <w:szCs w:val="20"/>
        </w:rPr>
        <w:footnoteReference w:id="26"/>
      </w:r>
      <w:r w:rsidR="00316137" w:rsidRPr="00010F2F">
        <w:rPr>
          <w:rFonts w:ascii="Arial" w:hAnsi="Arial" w:cs="Arial"/>
          <w:bCs/>
          <w:kern w:val="2"/>
          <w:sz w:val="20"/>
          <w:szCs w:val="20"/>
        </w:rPr>
        <w:t xml:space="preserve"> CT </w:t>
      </w:r>
      <w:r w:rsidR="0006133F" w:rsidRPr="00010F2F">
        <w:rPr>
          <w:rFonts w:ascii="Arial" w:hAnsi="Arial" w:cs="Arial"/>
          <w:bCs/>
          <w:kern w:val="2"/>
          <w:sz w:val="20"/>
          <w:szCs w:val="20"/>
        </w:rPr>
        <w:t>imaging</w:t>
      </w:r>
      <w:r w:rsidR="00316137" w:rsidRPr="00010F2F">
        <w:rPr>
          <w:rFonts w:ascii="Arial" w:hAnsi="Arial" w:cs="Arial"/>
          <w:bCs/>
          <w:kern w:val="2"/>
          <w:sz w:val="20"/>
          <w:szCs w:val="20"/>
        </w:rPr>
        <w:t xml:space="preserve"> can also be used for</w:t>
      </w:r>
      <w:r w:rsidRPr="00010F2F">
        <w:rPr>
          <w:rFonts w:ascii="Arial" w:hAnsi="Arial" w:cs="Arial"/>
          <w:bCs/>
          <w:kern w:val="2"/>
          <w:sz w:val="20"/>
          <w:szCs w:val="20"/>
        </w:rPr>
        <w:t xml:space="preserve"> </w:t>
      </w:r>
      <w:r w:rsidRPr="00010F2F">
        <w:rPr>
          <w:rFonts w:ascii="Arial" w:hAnsi="Arial" w:cs="Arial"/>
          <w:sz w:val="20"/>
          <w:szCs w:val="20"/>
        </w:rPr>
        <w:t>c</w:t>
      </w:r>
      <w:r w:rsidR="00E4181A" w:rsidRPr="00010F2F">
        <w:rPr>
          <w:rFonts w:ascii="Arial" w:hAnsi="Arial" w:cs="Arial"/>
          <w:sz w:val="20"/>
          <w:szCs w:val="20"/>
        </w:rPr>
        <w:t xml:space="preserve">ardiac </w:t>
      </w:r>
      <w:r w:rsidR="00316137" w:rsidRPr="00010F2F">
        <w:rPr>
          <w:rFonts w:ascii="Arial" w:hAnsi="Arial" w:cs="Arial"/>
          <w:sz w:val="20"/>
          <w:szCs w:val="20"/>
        </w:rPr>
        <w:t xml:space="preserve">coronary computed tomography angiography (“CTA”) </w:t>
      </w:r>
      <w:r w:rsidR="00E4181A" w:rsidRPr="00010F2F">
        <w:rPr>
          <w:rFonts w:ascii="Arial" w:hAnsi="Arial" w:cs="Arial"/>
          <w:sz w:val="20"/>
          <w:szCs w:val="20"/>
        </w:rPr>
        <w:t xml:space="preserve">to visualize coronary arteries and help aide in </w:t>
      </w:r>
      <w:r w:rsidR="00317261" w:rsidRPr="00010F2F">
        <w:rPr>
          <w:rFonts w:ascii="Arial" w:hAnsi="Arial" w:cs="Arial"/>
          <w:sz w:val="20"/>
          <w:szCs w:val="20"/>
        </w:rPr>
        <w:t xml:space="preserve">the </w:t>
      </w:r>
      <w:r w:rsidR="00E4181A" w:rsidRPr="00010F2F">
        <w:rPr>
          <w:rFonts w:ascii="Arial" w:hAnsi="Arial" w:cs="Arial"/>
          <w:sz w:val="20"/>
          <w:szCs w:val="20"/>
        </w:rPr>
        <w:t>diagnosis and need for intervention.</w:t>
      </w:r>
      <w:r w:rsidR="00316137" w:rsidRPr="00010F2F">
        <w:rPr>
          <w:rStyle w:val="FootnoteReference"/>
          <w:rFonts w:ascii="Arial" w:hAnsi="Arial" w:cs="Arial"/>
          <w:sz w:val="20"/>
          <w:szCs w:val="20"/>
        </w:rPr>
        <w:footnoteReference w:id="27"/>
      </w:r>
      <w:r w:rsidR="00E4181A" w:rsidRPr="00010F2F">
        <w:rPr>
          <w:rFonts w:ascii="Arial" w:hAnsi="Arial" w:cs="Arial"/>
          <w:sz w:val="20"/>
          <w:szCs w:val="20"/>
        </w:rPr>
        <w:t xml:space="preserve"> </w:t>
      </w:r>
      <w:r w:rsidR="0006133F" w:rsidRPr="00010F2F">
        <w:rPr>
          <w:rFonts w:ascii="Arial" w:hAnsi="Arial" w:cs="Arial"/>
          <w:sz w:val="20"/>
          <w:szCs w:val="20"/>
        </w:rPr>
        <w:t>CT scans can generally be performed in minutes, which means providers can quickly detect and diagnose emergent conditions</w:t>
      </w:r>
      <w:r w:rsidR="00317261" w:rsidRPr="00010F2F">
        <w:rPr>
          <w:rFonts w:ascii="Arial" w:hAnsi="Arial" w:cs="Arial"/>
          <w:sz w:val="20"/>
          <w:szCs w:val="20"/>
        </w:rPr>
        <w:t>.</w:t>
      </w:r>
    </w:p>
    <w:p w14:paraId="07043498" w14:textId="77777777" w:rsidR="00685C42" w:rsidRPr="00010F2F" w:rsidRDefault="00685C42" w:rsidP="00685C42">
      <w:pPr>
        <w:pStyle w:val="BodyText"/>
        <w:widowControl/>
        <w:spacing w:before="0"/>
        <w:jc w:val="both"/>
        <w:rPr>
          <w:rFonts w:ascii="Arial" w:hAnsi="Arial" w:cs="Arial"/>
          <w:bCs/>
          <w:kern w:val="2"/>
          <w:sz w:val="20"/>
          <w:szCs w:val="20"/>
        </w:rPr>
      </w:pPr>
    </w:p>
    <w:p w14:paraId="30D68537" w14:textId="3A0A2806" w:rsidR="003D1141" w:rsidRPr="00010F2F" w:rsidRDefault="00EF71BA" w:rsidP="00E4181A">
      <w:pPr>
        <w:pStyle w:val="BodyText"/>
        <w:widowControl/>
        <w:spacing w:before="0"/>
        <w:jc w:val="both"/>
        <w:rPr>
          <w:rFonts w:ascii="Arial" w:hAnsi="Arial" w:cs="Arial"/>
          <w:sz w:val="20"/>
          <w:szCs w:val="20"/>
        </w:rPr>
      </w:pPr>
      <w:r w:rsidRPr="00010F2F">
        <w:rPr>
          <w:rFonts w:ascii="Arial" w:hAnsi="Arial" w:cs="Arial"/>
          <w:sz w:val="20"/>
          <w:szCs w:val="20"/>
        </w:rPr>
        <w:t xml:space="preserve">In addition to its general diagnostic utility, CT is the preferred diagnostic tool for patients presenting with symptoms of stroke. </w:t>
      </w:r>
      <w:r w:rsidRPr="00010F2F">
        <w:rPr>
          <w:rFonts w:ascii="Arial" w:hAnsi="Arial" w:cs="Arial"/>
          <w:color w:val="111111"/>
          <w:sz w:val="20"/>
          <w:szCs w:val="20"/>
        </w:rPr>
        <w:t>CT imaging is used to diagnose strokes and to determine the type of stroke a patient is experiencing.</w:t>
      </w:r>
      <w:r w:rsidRPr="00010F2F">
        <w:rPr>
          <w:rStyle w:val="FootnoteReference"/>
          <w:rFonts w:ascii="Arial" w:hAnsi="Arial" w:cs="Arial"/>
          <w:color w:val="111111"/>
          <w:sz w:val="20"/>
          <w:szCs w:val="20"/>
        </w:rPr>
        <w:footnoteReference w:id="28"/>
      </w:r>
      <w:r w:rsidRPr="00010F2F">
        <w:rPr>
          <w:rFonts w:ascii="Arial" w:hAnsi="Arial" w:cs="Arial"/>
          <w:color w:val="111111"/>
          <w:sz w:val="20"/>
          <w:szCs w:val="20"/>
        </w:rPr>
        <w:t xml:space="preserve"> </w:t>
      </w:r>
      <w:r w:rsidR="00E03544" w:rsidRPr="00010F2F">
        <w:rPr>
          <w:rFonts w:ascii="Arial" w:hAnsi="Arial" w:cs="Arial"/>
          <w:sz w:val="20"/>
          <w:szCs w:val="20"/>
        </w:rPr>
        <w:t>Timely CT scanning ensures timely treatment, when it is most likely to be successful with the best chance for positive patient outcomes.</w:t>
      </w:r>
      <w:r w:rsidR="00E03544" w:rsidRPr="00010F2F">
        <w:rPr>
          <w:rStyle w:val="FootnoteReference"/>
          <w:rFonts w:ascii="Arial" w:hAnsi="Arial" w:cs="Arial"/>
          <w:sz w:val="20"/>
          <w:szCs w:val="20"/>
        </w:rPr>
        <w:footnoteReference w:id="29"/>
      </w:r>
      <w:r w:rsidR="00E03544" w:rsidRPr="00010F2F">
        <w:rPr>
          <w:rFonts w:ascii="Arial" w:hAnsi="Arial" w:cs="Arial"/>
          <w:sz w:val="20"/>
          <w:szCs w:val="20"/>
        </w:rPr>
        <w:t xml:space="preserve"> </w:t>
      </w:r>
      <w:r w:rsidRPr="00010F2F">
        <w:rPr>
          <w:rFonts w:ascii="Arial" w:hAnsi="Arial" w:cs="Arial"/>
          <w:color w:val="111111"/>
          <w:sz w:val="20"/>
          <w:szCs w:val="20"/>
        </w:rPr>
        <w:t xml:space="preserve">Additionally, the detailed images produced by the CT scan </w:t>
      </w:r>
      <w:r w:rsidRPr="00010F2F">
        <w:rPr>
          <w:rFonts w:ascii="Arial" w:hAnsi="Arial" w:cs="Arial"/>
          <w:color w:val="111111"/>
          <w:sz w:val="20"/>
          <w:szCs w:val="20"/>
        </w:rPr>
        <w:lastRenderedPageBreak/>
        <w:t>can rule out other brain abnormalities.</w:t>
      </w:r>
      <w:r w:rsidRPr="00010F2F">
        <w:rPr>
          <w:rStyle w:val="FootnoteReference"/>
          <w:rFonts w:ascii="Arial" w:hAnsi="Arial" w:cs="Arial"/>
          <w:color w:val="111111"/>
          <w:sz w:val="20"/>
          <w:szCs w:val="20"/>
        </w:rPr>
        <w:footnoteReference w:id="30"/>
      </w:r>
      <w:r w:rsidRPr="00010F2F">
        <w:rPr>
          <w:rFonts w:ascii="Arial" w:hAnsi="Arial" w:cs="Arial"/>
          <w:color w:val="111111"/>
          <w:sz w:val="20"/>
          <w:szCs w:val="20"/>
        </w:rPr>
        <w:t xml:space="preserve"> </w:t>
      </w:r>
      <w:r w:rsidRPr="00010F2F">
        <w:rPr>
          <w:rFonts w:ascii="Arial" w:hAnsi="Arial" w:cs="Arial"/>
          <w:sz w:val="20"/>
          <w:szCs w:val="20"/>
        </w:rPr>
        <w:t>According to the Massachusetts Department of Health’s Time Target Recommendations and the American Heart Association/American Stroke Association’s “Get With the Guidelines – Stroke”, CT imaging should be completed within 25 minutes of arrival to the hospital, and IV thrombolytic (“tPA”) treatment should begin within one hour of patient arrival.</w:t>
      </w:r>
      <w:r w:rsidRPr="00010F2F">
        <w:rPr>
          <w:rStyle w:val="FootnoteReference"/>
          <w:rFonts w:ascii="Arial" w:hAnsi="Arial" w:cs="Arial"/>
          <w:sz w:val="20"/>
          <w:szCs w:val="20"/>
        </w:rPr>
        <w:footnoteReference w:id="31"/>
      </w:r>
      <w:r w:rsidRPr="00010F2F">
        <w:rPr>
          <w:rFonts w:ascii="Arial" w:hAnsi="Arial" w:cs="Arial"/>
          <w:sz w:val="20"/>
          <w:szCs w:val="20"/>
        </w:rPr>
        <w:t xml:space="preserve"> </w:t>
      </w:r>
    </w:p>
    <w:p w14:paraId="1969FD55" w14:textId="1228736F" w:rsidR="00685C42" w:rsidRPr="00010F2F" w:rsidRDefault="00685C42" w:rsidP="00E4181A">
      <w:pPr>
        <w:pStyle w:val="BodyText"/>
        <w:widowControl/>
        <w:spacing w:before="0"/>
        <w:jc w:val="both"/>
        <w:rPr>
          <w:rFonts w:ascii="Arial" w:hAnsi="Arial" w:cs="Arial"/>
          <w:sz w:val="20"/>
          <w:szCs w:val="20"/>
        </w:rPr>
      </w:pPr>
    </w:p>
    <w:p w14:paraId="5AB224CB" w14:textId="762D64AB" w:rsidR="001024FB" w:rsidRPr="00010F2F" w:rsidRDefault="00AD6171" w:rsidP="001024FB">
      <w:pPr>
        <w:spacing w:after="200" w:line="240" w:lineRule="auto"/>
        <w:jc w:val="both"/>
        <w:rPr>
          <w:rFonts w:ascii="Arial" w:hAnsi="Arial" w:cs="Arial"/>
          <w:sz w:val="20"/>
          <w:szCs w:val="20"/>
        </w:rPr>
      </w:pPr>
      <w:r w:rsidRPr="00010F2F">
        <w:rPr>
          <w:rFonts w:ascii="Arial" w:hAnsi="Arial" w:cs="Arial"/>
          <w:sz w:val="20"/>
          <w:szCs w:val="20"/>
        </w:rPr>
        <w:t>The</w:t>
      </w:r>
      <w:r w:rsidR="00685C42" w:rsidRPr="00010F2F">
        <w:rPr>
          <w:rFonts w:ascii="Arial" w:hAnsi="Arial" w:cs="Arial"/>
          <w:sz w:val="20"/>
          <w:szCs w:val="20"/>
        </w:rPr>
        <w:t xml:space="preserve"> new CT scanner will be a dual source energy scanner with improved </w:t>
      </w:r>
      <w:r w:rsidR="00B2567B" w:rsidRPr="00010F2F">
        <w:rPr>
          <w:rFonts w:ascii="Arial" w:hAnsi="Arial" w:cs="Arial"/>
          <w:sz w:val="20"/>
          <w:szCs w:val="20"/>
        </w:rPr>
        <w:t>imaging</w:t>
      </w:r>
      <w:r w:rsidR="00685C42" w:rsidRPr="00010F2F">
        <w:rPr>
          <w:rFonts w:ascii="Arial" w:hAnsi="Arial" w:cs="Arial"/>
          <w:sz w:val="20"/>
          <w:szCs w:val="20"/>
        </w:rPr>
        <w:t xml:space="preserve"> characteristics. A dual-source energy scanner uses two x-ray sources simultaneously to capture image data.</w:t>
      </w:r>
      <w:r w:rsidR="00685C42" w:rsidRPr="00010F2F">
        <w:rPr>
          <w:rStyle w:val="FootnoteReference"/>
          <w:rFonts w:ascii="Arial" w:hAnsi="Arial" w:cs="Arial"/>
          <w:sz w:val="20"/>
          <w:szCs w:val="20"/>
        </w:rPr>
        <w:footnoteReference w:id="32"/>
      </w:r>
      <w:r w:rsidR="00685C42" w:rsidRPr="00010F2F">
        <w:rPr>
          <w:rFonts w:ascii="Arial" w:hAnsi="Arial" w:cs="Arial"/>
          <w:sz w:val="20"/>
          <w:szCs w:val="20"/>
        </w:rPr>
        <w:t xml:space="preserve"> CT has an inherent limitation in soft tissue differentiation whereas dual-energy can improve material differentiation by using two different x-ray energy spectra.</w:t>
      </w:r>
      <w:r w:rsidR="00685C42" w:rsidRPr="00010F2F">
        <w:rPr>
          <w:rStyle w:val="FootnoteReference"/>
          <w:rFonts w:ascii="Arial" w:hAnsi="Arial" w:cs="Arial"/>
          <w:sz w:val="20"/>
          <w:szCs w:val="20"/>
        </w:rPr>
        <w:footnoteReference w:id="33"/>
      </w:r>
      <w:r w:rsidR="00685C42" w:rsidRPr="00010F2F">
        <w:rPr>
          <w:rFonts w:ascii="Arial" w:hAnsi="Arial" w:cs="Arial"/>
          <w:sz w:val="20"/>
          <w:szCs w:val="20"/>
        </w:rPr>
        <w:t xml:space="preserve"> While CT scanners expose patients to small amounts of radiation, the new CT will </w:t>
      </w:r>
      <w:r w:rsidR="00EB1590" w:rsidRPr="00010F2F">
        <w:rPr>
          <w:rFonts w:ascii="Arial" w:hAnsi="Arial" w:cs="Arial"/>
          <w:sz w:val="20"/>
          <w:szCs w:val="20"/>
        </w:rPr>
        <w:t>reduce the radiation dose</w:t>
      </w:r>
      <w:r w:rsidR="00685C42" w:rsidRPr="00010F2F">
        <w:rPr>
          <w:rFonts w:ascii="Arial" w:hAnsi="Arial" w:cs="Arial"/>
          <w:sz w:val="20"/>
          <w:szCs w:val="20"/>
        </w:rPr>
        <w:t xml:space="preserve"> by expanding imaging protocols to include multiphase imaging into one single acquisition.</w:t>
      </w:r>
      <w:r w:rsidR="00685C42" w:rsidRPr="00010F2F">
        <w:rPr>
          <w:rStyle w:val="FootnoteReference"/>
          <w:rFonts w:ascii="Arial" w:hAnsi="Arial" w:cs="Arial"/>
          <w:sz w:val="20"/>
          <w:szCs w:val="20"/>
        </w:rPr>
        <w:footnoteReference w:id="34"/>
      </w:r>
      <w:r w:rsidR="00685C42" w:rsidRPr="00010F2F">
        <w:rPr>
          <w:rFonts w:ascii="Arial" w:hAnsi="Arial" w:cs="Arial"/>
          <w:sz w:val="20"/>
          <w:szCs w:val="20"/>
        </w:rPr>
        <w:t xml:space="preserve"> </w:t>
      </w:r>
      <w:r w:rsidR="001024FB" w:rsidRPr="00010F2F">
        <w:rPr>
          <w:rFonts w:ascii="Arial" w:hAnsi="Arial" w:cs="Arial"/>
          <w:sz w:val="20"/>
          <w:szCs w:val="20"/>
        </w:rPr>
        <w:t>CDH will also have the ability to perform Cardiac CTA imaging to visualize coronary arteries and help aide in diagnosis and the need for intervention.</w:t>
      </w:r>
    </w:p>
    <w:p w14:paraId="5BED6F65" w14:textId="0D341AE6" w:rsidR="00682CE5" w:rsidRPr="00010F2F" w:rsidRDefault="001024FB" w:rsidP="001024FB">
      <w:pPr>
        <w:spacing w:after="200" w:line="240" w:lineRule="auto"/>
        <w:jc w:val="both"/>
        <w:rPr>
          <w:rFonts w:ascii="Arial" w:hAnsi="Arial" w:cs="Arial"/>
          <w:sz w:val="20"/>
          <w:szCs w:val="20"/>
        </w:rPr>
      </w:pPr>
      <w:r w:rsidRPr="00010F2F">
        <w:rPr>
          <w:rFonts w:ascii="Arial" w:hAnsi="Arial" w:cs="Arial"/>
          <w:sz w:val="20"/>
          <w:szCs w:val="20"/>
        </w:rPr>
        <w:t>Finally, literature on patterns of CT use indicate that imaging rates tend to be higher among older adults.</w:t>
      </w:r>
      <w:r w:rsidRPr="00010F2F">
        <w:rPr>
          <w:rStyle w:val="FootnoteReference"/>
          <w:rFonts w:ascii="Arial" w:hAnsi="Arial" w:cs="Arial"/>
          <w:sz w:val="20"/>
          <w:szCs w:val="20"/>
        </w:rPr>
        <w:footnoteReference w:id="35"/>
      </w:r>
      <w:r w:rsidRPr="00010F2F">
        <w:rPr>
          <w:rFonts w:ascii="Arial" w:hAnsi="Arial" w:cs="Arial"/>
          <w:sz w:val="20"/>
          <w:szCs w:val="20"/>
        </w:rPr>
        <w:t xml:space="preserve"> According to a study published in 2013, average CT utilization rates were approximately 24, 72, 159, and 240 per 1,000 persons for ages &lt;18, 18-44, 45-54 and 65+ years, respectively.</w:t>
      </w:r>
      <w:r w:rsidRPr="00010F2F">
        <w:rPr>
          <w:rStyle w:val="FootnoteReference"/>
          <w:rFonts w:ascii="Arial" w:hAnsi="Arial" w:cs="Arial"/>
          <w:sz w:val="20"/>
          <w:szCs w:val="20"/>
        </w:rPr>
        <w:footnoteReference w:id="36"/>
      </w:r>
      <w:r w:rsidRPr="00010F2F">
        <w:rPr>
          <w:rFonts w:ascii="Arial" w:hAnsi="Arial" w:cs="Arial"/>
          <w:sz w:val="20"/>
          <w:szCs w:val="20"/>
        </w:rPr>
        <w:t xml:space="preserve"> The high CT imaging rates among older adults are likely related to the modalities' abilities to diagnose and treat age-related conditions. </w:t>
      </w:r>
    </w:p>
    <w:p w14:paraId="509E51DB" w14:textId="77777777" w:rsidR="009C4CCF" w:rsidRPr="00010F2F" w:rsidRDefault="009C4CCF" w:rsidP="009C4CCF">
      <w:pPr>
        <w:spacing w:after="0" w:line="240" w:lineRule="auto"/>
        <w:jc w:val="both"/>
        <w:rPr>
          <w:rFonts w:ascii="Arial" w:hAnsi="Arial" w:cs="Arial"/>
          <w:sz w:val="20"/>
          <w:szCs w:val="20"/>
        </w:rPr>
      </w:pPr>
    </w:p>
    <w:p w14:paraId="64B7212A" w14:textId="77777777" w:rsidR="009C4CCF" w:rsidRPr="009405FD" w:rsidRDefault="009C4CCF" w:rsidP="00114250">
      <w:pPr>
        <w:keepNext/>
        <w:spacing w:after="0" w:line="240" w:lineRule="auto"/>
        <w:jc w:val="both"/>
        <w:rPr>
          <w:rFonts w:ascii="Arial" w:eastAsia="Arial" w:hAnsi="Arial" w:cs="Arial"/>
          <w:kern w:val="2"/>
          <w:sz w:val="20"/>
          <w:szCs w:val="20"/>
          <w:u w:val="single"/>
        </w:rPr>
      </w:pPr>
      <w:r w:rsidRPr="009405FD">
        <w:rPr>
          <w:rFonts w:ascii="Arial" w:hAnsi="Arial" w:cs="Arial"/>
          <w:b/>
          <w:kern w:val="2"/>
          <w:sz w:val="20"/>
          <w:szCs w:val="20"/>
        </w:rPr>
        <w:t>F.1.b.ii</w:t>
      </w:r>
      <w:r w:rsidRPr="009405FD">
        <w:rPr>
          <w:rFonts w:ascii="Arial" w:hAnsi="Arial" w:cs="Arial"/>
          <w:b/>
          <w:kern w:val="2"/>
          <w:sz w:val="20"/>
          <w:szCs w:val="20"/>
        </w:rPr>
        <w:tab/>
      </w:r>
      <w:r w:rsidRPr="009405FD">
        <w:rPr>
          <w:rFonts w:ascii="Arial" w:hAnsi="Arial" w:cs="Arial"/>
          <w:kern w:val="2"/>
          <w:sz w:val="20"/>
          <w:szCs w:val="20"/>
        </w:rPr>
        <w:tab/>
      </w:r>
      <w:r w:rsidRPr="009405FD">
        <w:rPr>
          <w:rFonts w:ascii="Arial" w:hAnsi="Arial" w:cs="Arial"/>
          <w:b/>
          <w:kern w:val="2"/>
          <w:sz w:val="20"/>
          <w:szCs w:val="20"/>
          <w:u w:val="single"/>
        </w:rPr>
        <w:t>Public Health Value /Outcome-Oriented:</w:t>
      </w:r>
    </w:p>
    <w:p w14:paraId="60802398" w14:textId="77777777" w:rsidR="009C4CCF" w:rsidRPr="009405FD" w:rsidRDefault="009C4CCF" w:rsidP="009C4CCF">
      <w:pPr>
        <w:pStyle w:val="BodyText"/>
        <w:widowControl/>
        <w:spacing w:before="0"/>
        <w:ind w:left="1440"/>
        <w:jc w:val="both"/>
        <w:rPr>
          <w:rFonts w:ascii="Arial" w:hAnsi="Arial" w:cs="Arial"/>
          <w:b/>
          <w:kern w:val="2"/>
          <w:sz w:val="20"/>
          <w:szCs w:val="20"/>
        </w:rPr>
      </w:pPr>
      <w:r w:rsidRPr="009405FD">
        <w:rPr>
          <w:rFonts w:ascii="Arial" w:hAnsi="Arial" w:cs="Arial"/>
          <w:b/>
          <w:kern w:val="2"/>
          <w:sz w:val="20"/>
          <w:szCs w:val="20"/>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30FCB04F" w14:textId="1F6317C2" w:rsidR="009C4CCF" w:rsidRPr="009405FD" w:rsidRDefault="009C4CCF" w:rsidP="004A020E">
      <w:pPr>
        <w:pStyle w:val="BodyText"/>
        <w:widowControl/>
        <w:spacing w:before="0"/>
        <w:ind w:left="0"/>
        <w:jc w:val="both"/>
        <w:rPr>
          <w:rFonts w:ascii="Arial" w:eastAsiaTheme="minorHAnsi" w:hAnsi="Arial" w:cs="Arial"/>
          <w:sz w:val="20"/>
          <w:szCs w:val="20"/>
        </w:rPr>
      </w:pPr>
    </w:p>
    <w:p w14:paraId="379334BC" w14:textId="5886559F" w:rsidR="004A020E" w:rsidRPr="00010F2F" w:rsidRDefault="00D47037" w:rsidP="001035D7">
      <w:pPr>
        <w:pStyle w:val="BodyText"/>
        <w:widowControl/>
        <w:numPr>
          <w:ilvl w:val="0"/>
          <w:numId w:val="5"/>
        </w:numPr>
        <w:spacing w:before="0"/>
        <w:ind w:left="630"/>
        <w:jc w:val="both"/>
        <w:rPr>
          <w:rFonts w:ascii="Arial" w:eastAsiaTheme="minorHAnsi" w:hAnsi="Arial" w:cs="Arial"/>
          <w:sz w:val="20"/>
          <w:szCs w:val="20"/>
          <w:u w:val="single"/>
        </w:rPr>
      </w:pPr>
      <w:r w:rsidRPr="00010F2F">
        <w:rPr>
          <w:rFonts w:ascii="Arial" w:eastAsiaTheme="minorHAnsi" w:hAnsi="Arial" w:cs="Arial"/>
          <w:sz w:val="20"/>
          <w:szCs w:val="20"/>
          <w:u w:val="single"/>
        </w:rPr>
        <w:t>Improving Health Outcomes and Quality of Life</w:t>
      </w:r>
    </w:p>
    <w:p w14:paraId="348F927F" w14:textId="02F3F4E5" w:rsidR="00D47037" w:rsidRPr="00010F2F" w:rsidRDefault="00D47037" w:rsidP="00D47037">
      <w:pPr>
        <w:pStyle w:val="BodyText"/>
        <w:widowControl/>
        <w:spacing w:before="0"/>
        <w:ind w:left="1080"/>
        <w:jc w:val="both"/>
        <w:rPr>
          <w:rFonts w:ascii="Arial" w:eastAsiaTheme="minorHAnsi" w:hAnsi="Arial" w:cs="Arial"/>
          <w:sz w:val="20"/>
          <w:szCs w:val="20"/>
          <w:u w:val="single"/>
        </w:rPr>
      </w:pPr>
    </w:p>
    <w:p w14:paraId="58DEAD07" w14:textId="38A19784" w:rsidR="00B9295D" w:rsidRPr="00010F2F" w:rsidRDefault="00E938F8" w:rsidP="00D7248F">
      <w:pPr>
        <w:spacing w:after="200" w:line="240" w:lineRule="auto"/>
        <w:jc w:val="both"/>
        <w:rPr>
          <w:rFonts w:ascii="Arial" w:hAnsi="Arial" w:cs="Arial"/>
          <w:sz w:val="20"/>
          <w:szCs w:val="20"/>
        </w:rPr>
      </w:pPr>
      <w:r w:rsidRPr="00010F2F">
        <w:rPr>
          <w:rFonts w:ascii="Arial" w:hAnsi="Arial" w:cs="Arial"/>
          <w:sz w:val="20"/>
          <w:szCs w:val="20"/>
        </w:rPr>
        <w:t>The Proposed Project will provide public health value by i</w:t>
      </w:r>
      <w:r w:rsidR="00D6308C">
        <w:rPr>
          <w:rFonts w:ascii="Arial" w:hAnsi="Arial" w:cs="Arial"/>
          <w:sz w:val="20"/>
          <w:szCs w:val="20"/>
        </w:rPr>
        <w:t>ncreasing</w:t>
      </w:r>
      <w:r w:rsidRPr="00010F2F">
        <w:rPr>
          <w:rFonts w:ascii="Arial" w:hAnsi="Arial" w:cs="Arial"/>
          <w:sz w:val="20"/>
          <w:szCs w:val="20"/>
        </w:rPr>
        <w:t xml:space="preserve"> timely access to CT imaging</w:t>
      </w:r>
      <w:r w:rsidR="00D6308C">
        <w:rPr>
          <w:rFonts w:ascii="Arial" w:hAnsi="Arial" w:cs="Arial"/>
          <w:sz w:val="20"/>
          <w:szCs w:val="20"/>
        </w:rPr>
        <w:t xml:space="preserve"> and</w:t>
      </w:r>
      <w:r w:rsidRPr="00010F2F">
        <w:rPr>
          <w:rFonts w:ascii="Arial" w:hAnsi="Arial" w:cs="Arial"/>
          <w:sz w:val="20"/>
          <w:szCs w:val="20"/>
        </w:rPr>
        <w:t xml:space="preserve"> thereby improving health outcomes</w:t>
      </w:r>
      <w:r w:rsidR="00D6308C">
        <w:rPr>
          <w:rFonts w:ascii="Arial" w:hAnsi="Arial" w:cs="Arial"/>
          <w:sz w:val="20"/>
          <w:szCs w:val="20"/>
        </w:rPr>
        <w:t xml:space="preserve"> </w:t>
      </w:r>
      <w:r w:rsidRPr="00010F2F">
        <w:rPr>
          <w:rFonts w:ascii="Arial" w:hAnsi="Arial" w:cs="Arial"/>
          <w:sz w:val="20"/>
          <w:szCs w:val="20"/>
        </w:rPr>
        <w:t xml:space="preserve">and patient satisfaction. </w:t>
      </w:r>
    </w:p>
    <w:p w14:paraId="3EACE658" w14:textId="3E26C0D1" w:rsidR="00B9295D" w:rsidRPr="00010F2F" w:rsidRDefault="00B9295D" w:rsidP="001D6258">
      <w:pPr>
        <w:pStyle w:val="BodyText"/>
        <w:widowControl/>
        <w:spacing w:before="0"/>
        <w:ind w:left="630" w:hanging="360"/>
        <w:jc w:val="both"/>
        <w:rPr>
          <w:rFonts w:ascii="Arial" w:eastAsiaTheme="minorHAnsi" w:hAnsi="Arial" w:cs="Arial"/>
          <w:sz w:val="20"/>
          <w:szCs w:val="20"/>
        </w:rPr>
      </w:pPr>
      <w:r w:rsidRPr="00010F2F">
        <w:rPr>
          <w:rFonts w:ascii="Arial" w:eastAsiaTheme="minorHAnsi" w:hAnsi="Arial" w:cs="Arial"/>
          <w:sz w:val="20"/>
          <w:szCs w:val="20"/>
        </w:rPr>
        <w:t xml:space="preserve">B. </w:t>
      </w:r>
      <w:r w:rsidR="001D6258">
        <w:rPr>
          <w:rFonts w:ascii="Arial" w:eastAsiaTheme="minorHAnsi" w:hAnsi="Arial" w:cs="Arial"/>
          <w:sz w:val="20"/>
          <w:szCs w:val="20"/>
        </w:rPr>
        <w:tab/>
      </w:r>
      <w:r w:rsidRPr="00010F2F">
        <w:rPr>
          <w:rFonts w:ascii="Arial" w:eastAsiaTheme="minorHAnsi" w:hAnsi="Arial" w:cs="Arial"/>
          <w:sz w:val="20"/>
          <w:szCs w:val="20"/>
          <w:u w:val="single"/>
        </w:rPr>
        <w:t>Assessing the Impact of the Proposed Project</w:t>
      </w:r>
    </w:p>
    <w:p w14:paraId="7968D67D" w14:textId="45F98201" w:rsidR="00B9295D" w:rsidRPr="00010F2F" w:rsidRDefault="00B9295D" w:rsidP="00B9295D">
      <w:pPr>
        <w:pStyle w:val="BodyText"/>
        <w:widowControl/>
        <w:spacing w:before="0"/>
        <w:ind w:left="720"/>
        <w:jc w:val="both"/>
        <w:rPr>
          <w:rFonts w:ascii="Arial" w:eastAsiaTheme="minorHAnsi" w:hAnsi="Arial" w:cs="Arial"/>
          <w:sz w:val="20"/>
          <w:szCs w:val="20"/>
        </w:rPr>
      </w:pPr>
    </w:p>
    <w:p w14:paraId="2E571859" w14:textId="543A3B14" w:rsidR="00B9295D" w:rsidRPr="00010F2F" w:rsidRDefault="00B9295D" w:rsidP="00E4107C">
      <w:pPr>
        <w:pStyle w:val="BodyText"/>
        <w:widowControl/>
        <w:spacing w:before="0"/>
        <w:jc w:val="both"/>
        <w:rPr>
          <w:rFonts w:ascii="Arial" w:eastAsiaTheme="minorHAnsi" w:hAnsi="Arial" w:cs="Arial"/>
          <w:sz w:val="22"/>
          <w:szCs w:val="22"/>
        </w:rPr>
      </w:pPr>
      <w:r w:rsidRPr="00010F2F">
        <w:rPr>
          <w:rFonts w:ascii="Arial" w:eastAsiaTheme="minorHAnsi" w:hAnsi="Arial" w:cs="Arial"/>
          <w:sz w:val="20"/>
          <w:szCs w:val="20"/>
        </w:rPr>
        <w:t>To assess the impact of the Proposed Project, the Applicant developed the following quality metrics</w:t>
      </w:r>
      <w:r w:rsidR="00D6308C">
        <w:rPr>
          <w:rFonts w:ascii="Arial" w:eastAsiaTheme="minorHAnsi" w:hAnsi="Arial" w:cs="Arial"/>
          <w:sz w:val="20"/>
          <w:szCs w:val="20"/>
        </w:rPr>
        <w:t xml:space="preserve">, </w:t>
      </w:r>
      <w:r w:rsidRPr="00010F2F">
        <w:rPr>
          <w:rFonts w:ascii="Arial" w:eastAsiaTheme="minorHAnsi" w:hAnsi="Arial" w:cs="Arial"/>
          <w:sz w:val="20"/>
          <w:szCs w:val="20"/>
        </w:rPr>
        <w:t xml:space="preserve">including </w:t>
      </w:r>
      <w:r w:rsidR="00D6308C">
        <w:rPr>
          <w:rFonts w:ascii="Arial" w:eastAsiaTheme="minorHAnsi" w:hAnsi="Arial" w:cs="Arial"/>
          <w:sz w:val="20"/>
          <w:szCs w:val="20"/>
        </w:rPr>
        <w:t xml:space="preserve">baseline and </w:t>
      </w:r>
      <w:r w:rsidRPr="00010F2F">
        <w:rPr>
          <w:rFonts w:ascii="Arial" w:eastAsiaTheme="minorHAnsi" w:hAnsi="Arial" w:cs="Arial"/>
          <w:sz w:val="20"/>
          <w:szCs w:val="20"/>
        </w:rPr>
        <w:t>metric projections. The measures are discussed below</w:t>
      </w:r>
      <w:r w:rsidRPr="00010F2F">
        <w:rPr>
          <w:rFonts w:ascii="Arial" w:eastAsiaTheme="minorHAnsi" w:hAnsi="Arial" w:cs="Arial"/>
          <w:sz w:val="22"/>
          <w:szCs w:val="22"/>
        </w:rPr>
        <w:t>:</w:t>
      </w:r>
    </w:p>
    <w:p w14:paraId="2A56C397" w14:textId="5DA06B89" w:rsidR="004A020E" w:rsidRPr="00010F2F" w:rsidRDefault="004A020E" w:rsidP="004A020E">
      <w:pPr>
        <w:pStyle w:val="BodyText"/>
        <w:widowControl/>
        <w:spacing w:before="0"/>
        <w:ind w:left="0"/>
        <w:jc w:val="both"/>
        <w:rPr>
          <w:rFonts w:ascii="Arial" w:eastAsiaTheme="minorHAnsi" w:hAnsi="Arial" w:cs="Arial"/>
          <w:sz w:val="20"/>
          <w:szCs w:val="20"/>
        </w:rPr>
      </w:pPr>
    </w:p>
    <w:p w14:paraId="6E4A3C2F" w14:textId="27647096" w:rsidR="004A020E" w:rsidRPr="00010F2F" w:rsidRDefault="00D47037" w:rsidP="00347C86">
      <w:pPr>
        <w:pStyle w:val="BodyText"/>
        <w:widowControl/>
        <w:numPr>
          <w:ilvl w:val="0"/>
          <w:numId w:val="6"/>
        </w:numPr>
        <w:spacing w:before="0"/>
        <w:jc w:val="both"/>
        <w:rPr>
          <w:rFonts w:ascii="Arial" w:eastAsiaTheme="minorHAnsi" w:hAnsi="Arial" w:cs="Arial"/>
          <w:sz w:val="20"/>
          <w:szCs w:val="20"/>
        </w:rPr>
      </w:pPr>
      <w:r w:rsidRPr="00010F2F">
        <w:rPr>
          <w:rFonts w:ascii="Arial" w:eastAsiaTheme="minorHAnsi" w:hAnsi="Arial" w:cs="Arial"/>
          <w:sz w:val="20"/>
          <w:szCs w:val="20"/>
        </w:rPr>
        <w:lastRenderedPageBreak/>
        <w:t xml:space="preserve">Timely </w:t>
      </w:r>
      <w:r w:rsidR="00B9295D" w:rsidRPr="00010F2F">
        <w:rPr>
          <w:rFonts w:ascii="Arial" w:eastAsiaTheme="minorHAnsi" w:hAnsi="Arial" w:cs="Arial"/>
          <w:sz w:val="20"/>
          <w:szCs w:val="20"/>
        </w:rPr>
        <w:t>Access – Door to CT for Stroke Patients</w:t>
      </w:r>
      <w:r w:rsidRPr="00010F2F">
        <w:rPr>
          <w:rFonts w:ascii="Arial" w:eastAsiaTheme="minorHAnsi" w:hAnsi="Arial" w:cs="Arial"/>
          <w:sz w:val="20"/>
          <w:szCs w:val="20"/>
        </w:rPr>
        <w:t xml:space="preserve">: </w:t>
      </w:r>
      <w:r w:rsidR="00236763" w:rsidRPr="00010F2F">
        <w:rPr>
          <w:rFonts w:ascii="Arial" w:eastAsiaTheme="minorHAnsi" w:hAnsi="Arial" w:cs="Arial"/>
          <w:sz w:val="20"/>
          <w:szCs w:val="20"/>
        </w:rPr>
        <w:t xml:space="preserve">Adding a third </w:t>
      </w:r>
      <w:r w:rsidRPr="00010F2F">
        <w:rPr>
          <w:rFonts w:ascii="Arial" w:eastAsiaTheme="minorHAnsi" w:hAnsi="Arial" w:cs="Arial"/>
          <w:sz w:val="20"/>
          <w:szCs w:val="20"/>
        </w:rPr>
        <w:t>CT unit</w:t>
      </w:r>
      <w:r w:rsidR="007B530A" w:rsidRPr="00010F2F">
        <w:rPr>
          <w:rFonts w:ascii="Arial" w:eastAsiaTheme="minorHAnsi" w:hAnsi="Arial" w:cs="Arial"/>
          <w:sz w:val="20"/>
          <w:szCs w:val="20"/>
        </w:rPr>
        <w:t xml:space="preserve"> in</w:t>
      </w:r>
      <w:r w:rsidRPr="00010F2F">
        <w:rPr>
          <w:rFonts w:ascii="Arial" w:eastAsiaTheme="minorHAnsi" w:hAnsi="Arial" w:cs="Arial"/>
          <w:sz w:val="20"/>
          <w:szCs w:val="20"/>
        </w:rPr>
        <w:t xml:space="preserve"> the ED will likely decrease time from door to CT for stroke patients</w:t>
      </w:r>
      <w:r w:rsidR="00236763" w:rsidRPr="00010F2F">
        <w:rPr>
          <w:rFonts w:ascii="Arial" w:eastAsiaTheme="minorHAnsi" w:hAnsi="Arial" w:cs="Arial"/>
          <w:sz w:val="20"/>
          <w:szCs w:val="20"/>
        </w:rPr>
        <w:t xml:space="preserve">. As a result, stroke patients will receive a timely diagnosis that will </w:t>
      </w:r>
      <w:r w:rsidR="007B530A" w:rsidRPr="00010F2F">
        <w:rPr>
          <w:rFonts w:ascii="Arial" w:eastAsiaTheme="minorHAnsi" w:hAnsi="Arial" w:cs="Arial"/>
          <w:sz w:val="20"/>
          <w:szCs w:val="20"/>
        </w:rPr>
        <w:t>direct</w:t>
      </w:r>
      <w:r w:rsidR="00236763" w:rsidRPr="00010F2F">
        <w:rPr>
          <w:rFonts w:ascii="Arial" w:eastAsiaTheme="minorHAnsi" w:hAnsi="Arial" w:cs="Arial"/>
          <w:sz w:val="20"/>
          <w:szCs w:val="20"/>
        </w:rPr>
        <w:t xml:space="preserve"> subsequent medical </w:t>
      </w:r>
      <w:r w:rsidR="00ED1CE9" w:rsidRPr="00010F2F">
        <w:rPr>
          <w:rFonts w:ascii="Arial" w:eastAsiaTheme="minorHAnsi" w:hAnsi="Arial" w:cs="Arial"/>
          <w:sz w:val="20"/>
          <w:szCs w:val="20"/>
        </w:rPr>
        <w:t>treatment</w:t>
      </w:r>
      <w:r w:rsidR="007B530A" w:rsidRPr="00010F2F">
        <w:rPr>
          <w:rFonts w:ascii="Arial" w:eastAsiaTheme="minorHAnsi" w:hAnsi="Arial" w:cs="Arial"/>
          <w:sz w:val="20"/>
          <w:szCs w:val="20"/>
        </w:rPr>
        <w:t>.</w:t>
      </w:r>
    </w:p>
    <w:p w14:paraId="7C04C41C" w14:textId="77777777" w:rsidR="00B9295D" w:rsidRPr="00010F2F" w:rsidRDefault="00B9295D" w:rsidP="004A020E">
      <w:pPr>
        <w:pStyle w:val="BodyText"/>
        <w:widowControl/>
        <w:spacing w:before="0"/>
        <w:ind w:left="0"/>
        <w:jc w:val="both"/>
        <w:rPr>
          <w:rFonts w:ascii="Arial" w:eastAsiaTheme="minorHAnsi" w:hAnsi="Arial" w:cs="Arial"/>
          <w:sz w:val="20"/>
          <w:szCs w:val="20"/>
        </w:rPr>
      </w:pPr>
    </w:p>
    <w:p w14:paraId="17F685AA" w14:textId="35887BE4" w:rsidR="00B9295D" w:rsidRPr="00884A8B" w:rsidRDefault="00B9295D" w:rsidP="006825A2">
      <w:pPr>
        <w:ind w:left="1980"/>
        <w:rPr>
          <w:rFonts w:ascii="Arial" w:hAnsi="Arial" w:cs="Arial"/>
          <w:sz w:val="20"/>
          <w:szCs w:val="20"/>
        </w:rPr>
      </w:pPr>
      <w:r w:rsidRPr="00010F2F">
        <w:rPr>
          <w:rFonts w:ascii="Arial" w:hAnsi="Arial" w:cs="Arial"/>
          <w:b/>
          <w:bCs/>
          <w:sz w:val="20"/>
          <w:szCs w:val="20"/>
        </w:rPr>
        <w:t>Measure:</w:t>
      </w:r>
      <w:r w:rsidR="00D47037" w:rsidRPr="00010F2F">
        <w:rPr>
          <w:rFonts w:ascii="Arial" w:hAnsi="Arial" w:cs="Arial"/>
          <w:b/>
          <w:bCs/>
          <w:sz w:val="20"/>
          <w:szCs w:val="20"/>
        </w:rPr>
        <w:t xml:space="preserve"> </w:t>
      </w:r>
      <w:r w:rsidR="00884A8B" w:rsidRPr="00884A8B">
        <w:rPr>
          <w:rFonts w:ascii="Arial" w:hAnsi="Arial" w:cs="Arial"/>
          <w:sz w:val="20"/>
          <w:szCs w:val="20"/>
        </w:rPr>
        <w:t>Length of time</w:t>
      </w:r>
      <w:r w:rsidR="00884A8B">
        <w:rPr>
          <w:rFonts w:ascii="Arial" w:hAnsi="Arial" w:cs="Arial"/>
          <w:b/>
          <w:bCs/>
          <w:sz w:val="20"/>
          <w:szCs w:val="20"/>
        </w:rPr>
        <w:t xml:space="preserve"> </w:t>
      </w:r>
      <w:r w:rsidR="00884A8B">
        <w:rPr>
          <w:rFonts w:ascii="Arial" w:hAnsi="Arial" w:cs="Arial"/>
          <w:sz w:val="20"/>
          <w:szCs w:val="20"/>
        </w:rPr>
        <w:t xml:space="preserve">between when patient reaches the Hospital to when a CT </w:t>
      </w:r>
      <w:r w:rsidR="006825A2">
        <w:rPr>
          <w:rFonts w:ascii="Arial" w:hAnsi="Arial" w:cs="Arial"/>
          <w:sz w:val="20"/>
          <w:szCs w:val="20"/>
        </w:rPr>
        <w:t xml:space="preserve">        </w:t>
      </w:r>
      <w:r w:rsidR="00884A8B">
        <w:rPr>
          <w:rFonts w:ascii="Arial" w:hAnsi="Arial" w:cs="Arial"/>
          <w:sz w:val="20"/>
          <w:szCs w:val="20"/>
        </w:rPr>
        <w:t>scan begins.</w:t>
      </w:r>
    </w:p>
    <w:p w14:paraId="748134C7" w14:textId="76690051" w:rsidR="00D47037" w:rsidRPr="00010F2F" w:rsidRDefault="00D47037" w:rsidP="00B9295D">
      <w:pPr>
        <w:ind w:left="1800" w:firstLine="180"/>
        <w:rPr>
          <w:rFonts w:ascii="Arial" w:hAnsi="Arial" w:cs="Arial"/>
          <w:sz w:val="20"/>
          <w:szCs w:val="20"/>
        </w:rPr>
      </w:pPr>
      <w:r w:rsidRPr="00010F2F">
        <w:rPr>
          <w:rFonts w:ascii="Arial" w:hAnsi="Arial" w:cs="Arial"/>
          <w:b/>
          <w:bCs/>
          <w:sz w:val="20"/>
          <w:szCs w:val="20"/>
        </w:rPr>
        <w:t>Baseline:</w:t>
      </w:r>
      <w:r w:rsidR="005F26BD" w:rsidRPr="00010F2F">
        <w:rPr>
          <w:rFonts w:ascii="Arial" w:hAnsi="Arial" w:cs="Arial"/>
          <w:b/>
          <w:bCs/>
          <w:sz w:val="20"/>
          <w:szCs w:val="20"/>
        </w:rPr>
        <w:t xml:space="preserve"> </w:t>
      </w:r>
      <w:r w:rsidR="00BD737B" w:rsidRPr="00010F2F">
        <w:rPr>
          <w:rFonts w:ascii="Arial" w:hAnsi="Arial" w:cs="Arial"/>
          <w:sz w:val="20"/>
          <w:szCs w:val="20"/>
        </w:rPr>
        <w:t>Average door to CT scan time: 62.80 minutes</w:t>
      </w:r>
    </w:p>
    <w:p w14:paraId="430EB8EE" w14:textId="6DEF4403" w:rsidR="00B9295D" w:rsidRPr="00010F2F" w:rsidRDefault="00B9295D" w:rsidP="00BD737B">
      <w:pPr>
        <w:ind w:left="1980"/>
        <w:rPr>
          <w:rFonts w:ascii="Arial" w:hAnsi="Arial" w:cs="Arial"/>
          <w:sz w:val="20"/>
          <w:szCs w:val="20"/>
        </w:rPr>
      </w:pPr>
      <w:r w:rsidRPr="00010F2F">
        <w:rPr>
          <w:rFonts w:ascii="Arial" w:hAnsi="Arial" w:cs="Arial"/>
          <w:b/>
          <w:bCs/>
          <w:sz w:val="20"/>
          <w:szCs w:val="20"/>
        </w:rPr>
        <w:t>Projections:</w:t>
      </w:r>
      <w:r w:rsidR="00BD737B" w:rsidRPr="00010F2F">
        <w:rPr>
          <w:rFonts w:ascii="Arial" w:hAnsi="Arial" w:cs="Arial"/>
          <w:b/>
          <w:bCs/>
          <w:sz w:val="20"/>
          <w:szCs w:val="20"/>
        </w:rPr>
        <w:t xml:space="preserve"> </w:t>
      </w:r>
      <w:r w:rsidR="00BD737B" w:rsidRPr="00DF4EF8">
        <w:rPr>
          <w:rFonts w:ascii="Arial" w:hAnsi="Arial" w:cs="Arial"/>
          <w:sz w:val="20"/>
          <w:szCs w:val="20"/>
        </w:rPr>
        <w:t>Year 1:</w:t>
      </w:r>
      <w:r w:rsidR="00BD737B" w:rsidRPr="00010F2F">
        <w:rPr>
          <w:rFonts w:ascii="Arial" w:hAnsi="Arial" w:cs="Arial"/>
          <w:sz w:val="20"/>
          <w:szCs w:val="20"/>
        </w:rPr>
        <w:t xml:space="preserve"> 56.51 minutes; Year 2: 50.86 minutes; and Year 3: 45.77 minutes</w:t>
      </w:r>
    </w:p>
    <w:p w14:paraId="73A6992D" w14:textId="6BAA9854" w:rsidR="004A020E" w:rsidRPr="00010F2F" w:rsidRDefault="00B9295D" w:rsidP="005F26BD">
      <w:pPr>
        <w:pStyle w:val="ListParagraph"/>
        <w:numPr>
          <w:ilvl w:val="0"/>
          <w:numId w:val="6"/>
        </w:numPr>
        <w:jc w:val="both"/>
        <w:rPr>
          <w:rFonts w:ascii="Arial" w:hAnsi="Arial" w:cs="Arial"/>
          <w:sz w:val="20"/>
          <w:szCs w:val="20"/>
        </w:rPr>
      </w:pPr>
      <w:r w:rsidRPr="00010F2F">
        <w:rPr>
          <w:rFonts w:ascii="Arial" w:hAnsi="Arial" w:cs="Arial"/>
          <w:sz w:val="20"/>
          <w:szCs w:val="20"/>
        </w:rPr>
        <w:t xml:space="preserve">Access </w:t>
      </w:r>
      <w:r w:rsidR="00D47037" w:rsidRPr="00010F2F">
        <w:rPr>
          <w:rFonts w:ascii="Arial" w:hAnsi="Arial" w:cs="Arial"/>
          <w:sz w:val="20"/>
          <w:szCs w:val="20"/>
        </w:rPr>
        <w:t>–</w:t>
      </w:r>
      <w:r w:rsidRPr="00010F2F">
        <w:rPr>
          <w:rFonts w:ascii="Arial" w:hAnsi="Arial" w:cs="Arial"/>
          <w:sz w:val="20"/>
          <w:szCs w:val="20"/>
        </w:rPr>
        <w:t xml:space="preserve"> </w:t>
      </w:r>
      <w:r w:rsidR="00D6308C">
        <w:rPr>
          <w:rFonts w:ascii="Arial" w:hAnsi="Arial" w:cs="Arial"/>
          <w:sz w:val="20"/>
          <w:szCs w:val="20"/>
        </w:rPr>
        <w:t>Outpatient wait times will decrease.</w:t>
      </w:r>
    </w:p>
    <w:p w14:paraId="63979F8C" w14:textId="262C6627" w:rsidR="00D47037" w:rsidRPr="00010F2F" w:rsidRDefault="00D47037" w:rsidP="00D47037">
      <w:pPr>
        <w:ind w:left="1800" w:firstLine="180"/>
        <w:rPr>
          <w:rFonts w:ascii="Arial" w:hAnsi="Arial" w:cs="Arial"/>
          <w:b/>
          <w:bCs/>
          <w:sz w:val="20"/>
          <w:szCs w:val="20"/>
        </w:rPr>
      </w:pPr>
      <w:r w:rsidRPr="00010F2F">
        <w:rPr>
          <w:rFonts w:ascii="Arial" w:hAnsi="Arial" w:cs="Arial"/>
          <w:b/>
          <w:bCs/>
          <w:sz w:val="20"/>
          <w:szCs w:val="20"/>
        </w:rPr>
        <w:t>Measure:</w:t>
      </w:r>
      <w:r w:rsidR="00D6308C">
        <w:rPr>
          <w:rFonts w:ascii="Arial" w:hAnsi="Arial" w:cs="Arial"/>
          <w:b/>
          <w:bCs/>
          <w:sz w:val="20"/>
          <w:szCs w:val="20"/>
        </w:rPr>
        <w:t xml:space="preserve"> </w:t>
      </w:r>
      <w:r w:rsidR="00663346">
        <w:rPr>
          <w:rFonts w:ascii="Arial" w:hAnsi="Arial" w:cs="Arial"/>
          <w:sz w:val="20"/>
          <w:szCs w:val="20"/>
        </w:rPr>
        <w:t xml:space="preserve">Median days for patient to get scheduled for CT </w:t>
      </w:r>
      <w:r w:rsidR="00731C0F">
        <w:rPr>
          <w:rFonts w:ascii="Arial" w:hAnsi="Arial" w:cs="Arial"/>
          <w:sz w:val="20"/>
          <w:szCs w:val="20"/>
        </w:rPr>
        <w:t>scan</w:t>
      </w:r>
      <w:r w:rsidR="00884A8B" w:rsidRPr="00010F2F">
        <w:rPr>
          <w:rFonts w:ascii="Arial" w:eastAsia="Times New Roman" w:hAnsi="Arial" w:cs="Arial"/>
          <w:bCs/>
          <w:kern w:val="2"/>
          <w:sz w:val="20"/>
          <w:szCs w:val="20"/>
        </w:rPr>
        <w:t>.</w:t>
      </w:r>
      <w:r w:rsidR="00884A8B" w:rsidRPr="00010F2F">
        <w:rPr>
          <w:rStyle w:val="FootnoteReference"/>
          <w:rFonts w:ascii="Arial" w:eastAsia="Times New Roman" w:hAnsi="Arial" w:cs="Arial"/>
          <w:bCs/>
          <w:kern w:val="2"/>
          <w:sz w:val="20"/>
          <w:szCs w:val="20"/>
        </w:rPr>
        <w:footnoteReference w:id="37"/>
      </w:r>
    </w:p>
    <w:p w14:paraId="4B381A0D" w14:textId="1D2D5F6A" w:rsidR="00D47037" w:rsidRPr="00D6308C" w:rsidRDefault="00D47037" w:rsidP="00D47037">
      <w:pPr>
        <w:ind w:left="1800" w:firstLine="180"/>
        <w:rPr>
          <w:rFonts w:ascii="Arial" w:hAnsi="Arial" w:cs="Arial"/>
          <w:sz w:val="20"/>
          <w:szCs w:val="20"/>
        </w:rPr>
      </w:pPr>
      <w:r w:rsidRPr="00010F2F">
        <w:rPr>
          <w:rFonts w:ascii="Arial" w:hAnsi="Arial" w:cs="Arial"/>
          <w:b/>
          <w:bCs/>
          <w:sz w:val="20"/>
          <w:szCs w:val="20"/>
        </w:rPr>
        <w:t>Baseline:</w:t>
      </w:r>
      <w:r w:rsidR="00C8050A" w:rsidRPr="00010F2F">
        <w:rPr>
          <w:rFonts w:ascii="Arial" w:hAnsi="Arial" w:cs="Arial"/>
          <w:b/>
          <w:bCs/>
          <w:sz w:val="20"/>
          <w:szCs w:val="20"/>
        </w:rPr>
        <w:t xml:space="preserve"> </w:t>
      </w:r>
      <w:r w:rsidR="00D6308C">
        <w:rPr>
          <w:rFonts w:ascii="Arial" w:hAnsi="Arial" w:cs="Arial"/>
          <w:sz w:val="20"/>
          <w:szCs w:val="20"/>
        </w:rPr>
        <w:t xml:space="preserve">Average wait time is </w:t>
      </w:r>
      <w:r w:rsidR="001A476E">
        <w:rPr>
          <w:rFonts w:ascii="Arial" w:hAnsi="Arial" w:cs="Arial"/>
          <w:sz w:val="20"/>
          <w:szCs w:val="20"/>
        </w:rPr>
        <w:t>14</w:t>
      </w:r>
      <w:r w:rsidR="00D6308C">
        <w:rPr>
          <w:rFonts w:ascii="Arial" w:hAnsi="Arial" w:cs="Arial"/>
          <w:sz w:val="20"/>
          <w:szCs w:val="20"/>
        </w:rPr>
        <w:t xml:space="preserve"> days.</w:t>
      </w:r>
    </w:p>
    <w:p w14:paraId="4AD09740" w14:textId="2BDD358B" w:rsidR="00D47037" w:rsidRPr="00010F2F" w:rsidRDefault="00D47037" w:rsidP="00D47037">
      <w:pPr>
        <w:ind w:left="1800" w:firstLine="180"/>
        <w:rPr>
          <w:rFonts w:ascii="Arial" w:hAnsi="Arial" w:cs="Arial"/>
          <w:sz w:val="20"/>
          <w:szCs w:val="20"/>
        </w:rPr>
      </w:pPr>
      <w:r w:rsidRPr="00010F2F">
        <w:rPr>
          <w:rFonts w:ascii="Arial" w:hAnsi="Arial" w:cs="Arial"/>
          <w:b/>
          <w:bCs/>
          <w:sz w:val="20"/>
          <w:szCs w:val="20"/>
        </w:rPr>
        <w:t>Projections:</w:t>
      </w:r>
      <w:r w:rsidR="00DF4EF8" w:rsidRPr="00DF4EF8">
        <w:rPr>
          <w:rFonts w:ascii="Arial" w:hAnsi="Arial" w:cs="Arial"/>
          <w:sz w:val="20"/>
          <w:szCs w:val="20"/>
        </w:rPr>
        <w:t xml:space="preserve"> Year 1: 7 days; Year 2: 6 days; and Year 3: 5 days</w:t>
      </w:r>
    </w:p>
    <w:p w14:paraId="3B34D3D2" w14:textId="12F06D30" w:rsidR="00B9295D" w:rsidRPr="00010F2F" w:rsidRDefault="00B9295D" w:rsidP="00720F48">
      <w:pPr>
        <w:pStyle w:val="ListParagraph"/>
        <w:numPr>
          <w:ilvl w:val="0"/>
          <w:numId w:val="6"/>
        </w:numPr>
        <w:jc w:val="both"/>
        <w:rPr>
          <w:rFonts w:ascii="Arial" w:hAnsi="Arial" w:cs="Arial"/>
          <w:sz w:val="20"/>
          <w:szCs w:val="20"/>
        </w:rPr>
      </w:pPr>
      <w:r w:rsidRPr="00010F2F">
        <w:rPr>
          <w:rFonts w:ascii="Arial" w:hAnsi="Arial" w:cs="Arial"/>
          <w:sz w:val="20"/>
          <w:szCs w:val="20"/>
        </w:rPr>
        <w:t xml:space="preserve">Patient </w:t>
      </w:r>
      <w:r w:rsidR="00D47037" w:rsidRPr="00010F2F">
        <w:rPr>
          <w:rFonts w:ascii="Arial" w:hAnsi="Arial" w:cs="Arial"/>
          <w:sz w:val="20"/>
          <w:szCs w:val="20"/>
        </w:rPr>
        <w:t>Experience</w:t>
      </w:r>
      <w:r w:rsidR="005A5ED6" w:rsidRPr="00010F2F">
        <w:rPr>
          <w:rFonts w:ascii="Arial" w:hAnsi="Arial" w:cs="Arial"/>
          <w:sz w:val="20"/>
          <w:szCs w:val="20"/>
        </w:rPr>
        <w:t xml:space="preserve"> Scores</w:t>
      </w:r>
      <w:r w:rsidRPr="00010F2F">
        <w:rPr>
          <w:rFonts w:ascii="Arial" w:hAnsi="Arial" w:cs="Arial"/>
          <w:sz w:val="20"/>
          <w:szCs w:val="20"/>
        </w:rPr>
        <w:t xml:space="preserve">: </w:t>
      </w:r>
      <w:r w:rsidR="005A5ED6" w:rsidRPr="00010F2F">
        <w:rPr>
          <w:rFonts w:ascii="Arial" w:hAnsi="Arial" w:cs="Arial"/>
          <w:sz w:val="20"/>
          <w:szCs w:val="20"/>
        </w:rPr>
        <w:t xml:space="preserve">Patients that are satisfied with care are more likely to seek additional treatment when necessary. Timely access to CT scans likely </w:t>
      </w:r>
      <w:r w:rsidR="006C4168">
        <w:rPr>
          <w:rFonts w:ascii="Arial" w:hAnsi="Arial" w:cs="Arial"/>
          <w:sz w:val="20"/>
          <w:szCs w:val="20"/>
        </w:rPr>
        <w:t xml:space="preserve">will </w:t>
      </w:r>
      <w:r w:rsidR="005A5ED6" w:rsidRPr="00010F2F">
        <w:rPr>
          <w:rFonts w:ascii="Arial" w:hAnsi="Arial" w:cs="Arial"/>
          <w:sz w:val="20"/>
          <w:szCs w:val="20"/>
        </w:rPr>
        <w:t xml:space="preserve">improve patient experience. </w:t>
      </w:r>
    </w:p>
    <w:p w14:paraId="2B815413" w14:textId="24CEEA59" w:rsidR="00D47037" w:rsidRPr="00010F2F" w:rsidRDefault="00D47037" w:rsidP="00D47037">
      <w:pPr>
        <w:ind w:left="1800" w:firstLine="180"/>
        <w:rPr>
          <w:rFonts w:ascii="Arial" w:hAnsi="Arial" w:cs="Arial"/>
          <w:sz w:val="20"/>
          <w:szCs w:val="20"/>
        </w:rPr>
      </w:pPr>
      <w:r w:rsidRPr="00010F2F">
        <w:rPr>
          <w:rFonts w:ascii="Arial" w:hAnsi="Arial" w:cs="Arial"/>
          <w:b/>
          <w:bCs/>
          <w:sz w:val="20"/>
          <w:szCs w:val="20"/>
        </w:rPr>
        <w:t>Measure:</w:t>
      </w:r>
      <w:r w:rsidR="00BD737B" w:rsidRPr="00010F2F">
        <w:rPr>
          <w:rFonts w:ascii="Arial" w:hAnsi="Arial" w:cs="Arial"/>
          <w:b/>
          <w:bCs/>
          <w:sz w:val="20"/>
          <w:szCs w:val="20"/>
        </w:rPr>
        <w:t xml:space="preserve"> </w:t>
      </w:r>
      <w:r w:rsidR="00BD737B" w:rsidRPr="00010F2F">
        <w:rPr>
          <w:rFonts w:ascii="Arial" w:hAnsi="Arial" w:cs="Arial"/>
          <w:sz w:val="20"/>
          <w:szCs w:val="20"/>
        </w:rPr>
        <w:t xml:space="preserve">Overall rating of experience. </w:t>
      </w:r>
    </w:p>
    <w:p w14:paraId="32A7C712" w14:textId="4A397772" w:rsidR="00D47037" w:rsidRPr="00010F2F" w:rsidRDefault="00D47037" w:rsidP="00D47037">
      <w:pPr>
        <w:ind w:left="1800" w:firstLine="180"/>
        <w:rPr>
          <w:rFonts w:ascii="Arial" w:hAnsi="Arial" w:cs="Arial"/>
          <w:b/>
          <w:bCs/>
          <w:sz w:val="20"/>
          <w:szCs w:val="20"/>
        </w:rPr>
      </w:pPr>
      <w:r w:rsidRPr="00010F2F">
        <w:rPr>
          <w:rFonts w:ascii="Arial" w:hAnsi="Arial" w:cs="Arial"/>
          <w:b/>
          <w:bCs/>
          <w:sz w:val="20"/>
          <w:szCs w:val="20"/>
        </w:rPr>
        <w:t>Baseline:</w:t>
      </w:r>
      <w:r w:rsidR="005F26BD" w:rsidRPr="00010F2F">
        <w:rPr>
          <w:rFonts w:ascii="Arial" w:hAnsi="Arial" w:cs="Arial"/>
          <w:b/>
          <w:bCs/>
          <w:sz w:val="20"/>
          <w:szCs w:val="20"/>
        </w:rPr>
        <w:t xml:space="preserve"> </w:t>
      </w:r>
      <w:r w:rsidR="005F26BD" w:rsidRPr="00010F2F">
        <w:rPr>
          <w:rFonts w:ascii="Arial" w:hAnsi="Arial" w:cs="Arial"/>
          <w:sz w:val="20"/>
          <w:szCs w:val="20"/>
        </w:rPr>
        <w:t>83%</w:t>
      </w:r>
      <w:r w:rsidR="005F26BD" w:rsidRPr="00010F2F">
        <w:rPr>
          <w:rStyle w:val="FootnoteReference"/>
          <w:rFonts w:ascii="Arial" w:hAnsi="Arial" w:cs="Arial"/>
          <w:sz w:val="20"/>
          <w:szCs w:val="20"/>
        </w:rPr>
        <w:footnoteReference w:id="38"/>
      </w:r>
    </w:p>
    <w:p w14:paraId="1B8328E2" w14:textId="5985B8C0" w:rsidR="00D47037" w:rsidRPr="00010F2F" w:rsidRDefault="00D47037" w:rsidP="00D47037">
      <w:pPr>
        <w:ind w:left="1800" w:firstLine="180"/>
        <w:rPr>
          <w:rFonts w:ascii="Arial" w:hAnsi="Arial" w:cs="Arial"/>
          <w:sz w:val="20"/>
          <w:szCs w:val="20"/>
        </w:rPr>
      </w:pPr>
      <w:r w:rsidRPr="00010F2F">
        <w:rPr>
          <w:rFonts w:ascii="Arial" w:hAnsi="Arial" w:cs="Arial"/>
          <w:b/>
          <w:bCs/>
          <w:sz w:val="20"/>
          <w:szCs w:val="20"/>
        </w:rPr>
        <w:t>Projections:</w:t>
      </w:r>
      <w:r w:rsidR="00BD737B" w:rsidRPr="00010F2F">
        <w:rPr>
          <w:rFonts w:ascii="Arial" w:hAnsi="Arial" w:cs="Arial"/>
          <w:b/>
          <w:bCs/>
          <w:sz w:val="20"/>
          <w:szCs w:val="20"/>
        </w:rPr>
        <w:t xml:space="preserve"> </w:t>
      </w:r>
      <w:r w:rsidR="00BD737B" w:rsidRPr="00010F2F">
        <w:rPr>
          <w:rFonts w:ascii="Arial" w:hAnsi="Arial" w:cs="Arial"/>
          <w:sz w:val="20"/>
          <w:szCs w:val="20"/>
        </w:rPr>
        <w:t>Year 1: 85%; Year 2: 87%; and Year 3: 89%</w:t>
      </w:r>
    </w:p>
    <w:p w14:paraId="013E81D7" w14:textId="77777777" w:rsidR="00114250" w:rsidRDefault="00114250" w:rsidP="00114250">
      <w:pPr>
        <w:spacing w:after="0" w:line="240" w:lineRule="auto"/>
        <w:jc w:val="both"/>
        <w:rPr>
          <w:rFonts w:ascii="Arial" w:hAnsi="Arial" w:cs="Arial"/>
          <w:b/>
          <w:kern w:val="2"/>
        </w:rPr>
      </w:pPr>
    </w:p>
    <w:p w14:paraId="44E90D14" w14:textId="701F70FD" w:rsidR="009C4CCF" w:rsidRPr="009405FD" w:rsidRDefault="009C4CCF" w:rsidP="00114250">
      <w:pPr>
        <w:spacing w:after="0" w:line="240" w:lineRule="auto"/>
        <w:jc w:val="both"/>
        <w:rPr>
          <w:rFonts w:ascii="Arial" w:eastAsia="Arial" w:hAnsi="Arial" w:cs="Arial"/>
          <w:b/>
          <w:kern w:val="2"/>
          <w:sz w:val="20"/>
          <w:szCs w:val="20"/>
        </w:rPr>
      </w:pPr>
      <w:r w:rsidRPr="009405FD">
        <w:rPr>
          <w:rFonts w:ascii="Arial" w:hAnsi="Arial" w:cs="Arial"/>
          <w:b/>
          <w:kern w:val="2"/>
          <w:sz w:val="20"/>
          <w:szCs w:val="20"/>
        </w:rPr>
        <w:t>F1.b.iii</w:t>
      </w:r>
      <w:r w:rsidRPr="009405FD">
        <w:rPr>
          <w:rFonts w:ascii="Arial" w:hAnsi="Arial" w:cs="Arial"/>
          <w:b/>
          <w:kern w:val="2"/>
          <w:sz w:val="20"/>
          <w:szCs w:val="20"/>
        </w:rPr>
        <w:tab/>
      </w:r>
      <w:r w:rsidRPr="009405FD">
        <w:rPr>
          <w:rFonts w:ascii="Arial" w:hAnsi="Arial" w:cs="Arial"/>
          <w:kern w:val="2"/>
          <w:sz w:val="20"/>
          <w:szCs w:val="20"/>
        </w:rPr>
        <w:tab/>
      </w:r>
      <w:r w:rsidRPr="009405FD">
        <w:rPr>
          <w:rFonts w:ascii="Arial" w:hAnsi="Arial" w:cs="Arial"/>
          <w:b/>
          <w:kern w:val="2"/>
          <w:sz w:val="20"/>
          <w:szCs w:val="20"/>
          <w:u w:val="single"/>
        </w:rPr>
        <w:t>Public Health Value /Health Equity-Focused:</w:t>
      </w:r>
    </w:p>
    <w:p w14:paraId="3BA77EEC" w14:textId="77777777" w:rsidR="009C4CCF" w:rsidRPr="009405FD" w:rsidRDefault="009C4CCF" w:rsidP="009C4CCF">
      <w:pPr>
        <w:pStyle w:val="BodyText"/>
        <w:widowControl/>
        <w:spacing w:before="0"/>
        <w:ind w:left="1440"/>
        <w:jc w:val="both"/>
        <w:rPr>
          <w:rFonts w:ascii="Arial" w:hAnsi="Arial" w:cs="Arial"/>
          <w:b/>
          <w:kern w:val="2"/>
          <w:sz w:val="20"/>
          <w:szCs w:val="20"/>
        </w:rPr>
      </w:pPr>
      <w:r w:rsidRPr="009405FD">
        <w:rPr>
          <w:rFonts w:ascii="Arial" w:hAnsi="Arial" w:cs="Arial"/>
          <w:b/>
          <w:kern w:val="2"/>
          <w:sz w:val="20"/>
          <w:szCs w:val="20"/>
        </w:rPr>
        <w:t xml:space="preserve">For Proposed Projects addressing health inequities identified within the Applicant's description of the Proposed Project's </w:t>
      </w:r>
      <w:proofErr w:type="spellStart"/>
      <w:r w:rsidRPr="009405FD">
        <w:rPr>
          <w:rFonts w:ascii="Arial" w:hAnsi="Arial" w:cs="Arial"/>
          <w:b/>
          <w:kern w:val="2"/>
          <w:sz w:val="20"/>
          <w:szCs w:val="20"/>
        </w:rPr>
        <w:t>need</w:t>
      </w:r>
      <w:r w:rsidRPr="009405FD">
        <w:rPr>
          <w:rFonts w:ascii="Arial" w:hAnsi="Arial" w:cs="Arial"/>
          <w:b/>
          <w:kern w:val="2"/>
          <w:sz w:val="20"/>
          <w:szCs w:val="20"/>
        </w:rPr>
        <w:softHyphen/>
        <w:t>base</w:t>
      </w:r>
      <w:proofErr w:type="spellEnd"/>
      <w:r w:rsidRPr="009405FD">
        <w:rPr>
          <w:rFonts w:ascii="Arial" w:hAnsi="Arial" w:cs="Arial"/>
          <w:b/>
          <w:kern w:val="2"/>
          <w:sz w:val="20"/>
          <w:szCs w:val="20"/>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23BD0897" w14:textId="77777777" w:rsidR="009C4CCF" w:rsidRPr="009345DD" w:rsidRDefault="009C4CCF" w:rsidP="009C4CCF">
      <w:pPr>
        <w:pStyle w:val="BodyText"/>
        <w:widowControl/>
        <w:spacing w:before="0"/>
        <w:ind w:left="1440"/>
        <w:jc w:val="both"/>
        <w:rPr>
          <w:rFonts w:ascii="Arial" w:hAnsi="Arial" w:cs="Arial"/>
          <w:b/>
          <w:kern w:val="2"/>
          <w:sz w:val="22"/>
          <w:szCs w:val="22"/>
        </w:rPr>
      </w:pPr>
    </w:p>
    <w:p w14:paraId="0ECE08C3" w14:textId="476327FE" w:rsidR="006007E8" w:rsidRPr="00010F2F" w:rsidRDefault="00827537" w:rsidP="006007E8">
      <w:pPr>
        <w:jc w:val="both"/>
        <w:rPr>
          <w:rFonts w:ascii="Arial" w:hAnsi="Arial" w:cs="Arial"/>
          <w:sz w:val="20"/>
          <w:szCs w:val="20"/>
        </w:rPr>
      </w:pPr>
      <w:r w:rsidRPr="00010F2F">
        <w:rPr>
          <w:rFonts w:ascii="Arial" w:hAnsi="Arial" w:cs="Arial"/>
          <w:sz w:val="20"/>
          <w:szCs w:val="20"/>
        </w:rPr>
        <w:t>To ensure health equity to all populations, including those deemed underserved, the Proposed Project will not affect accessibility of CDH’s services to economically disadvantaged, medically indigent and/or Medicaid eligible individuals.</w:t>
      </w:r>
      <w:r w:rsidR="008400BC" w:rsidRPr="00010F2F">
        <w:rPr>
          <w:rFonts w:ascii="Arial" w:hAnsi="Arial" w:cs="Arial"/>
          <w:sz w:val="20"/>
          <w:szCs w:val="20"/>
        </w:rPr>
        <w:t xml:space="preserve"> CDH does not discriminate based on ability to pay or payer source and </w:t>
      </w:r>
      <w:r w:rsidR="00DB1245" w:rsidRPr="00010F2F">
        <w:rPr>
          <w:rFonts w:ascii="Arial" w:hAnsi="Arial" w:cs="Arial"/>
          <w:sz w:val="20"/>
          <w:szCs w:val="20"/>
        </w:rPr>
        <w:t>this practice</w:t>
      </w:r>
      <w:r w:rsidR="008400BC" w:rsidRPr="00010F2F">
        <w:rPr>
          <w:rFonts w:ascii="Arial" w:hAnsi="Arial" w:cs="Arial"/>
          <w:sz w:val="20"/>
          <w:szCs w:val="20"/>
        </w:rPr>
        <w:t xml:space="preserve"> will continue following implementation of the Proposed Project. </w:t>
      </w:r>
      <w:r w:rsidR="00DB1245" w:rsidRPr="00010F2F">
        <w:rPr>
          <w:rFonts w:ascii="Arial" w:hAnsi="Arial" w:cs="Arial"/>
          <w:sz w:val="20"/>
          <w:szCs w:val="20"/>
        </w:rPr>
        <w:t xml:space="preserve">As further detailed throughout this narrative, the Proposed Project will increase access to CT imaging </w:t>
      </w:r>
      <w:r w:rsidR="006007E8" w:rsidRPr="00010F2F">
        <w:rPr>
          <w:rFonts w:ascii="Arial" w:hAnsi="Arial" w:cs="Arial"/>
          <w:sz w:val="20"/>
          <w:szCs w:val="20"/>
        </w:rPr>
        <w:t xml:space="preserve">for CDH’s </w:t>
      </w:r>
      <w:r w:rsidR="00A42BB1" w:rsidRPr="00010F2F">
        <w:rPr>
          <w:rFonts w:ascii="Arial" w:hAnsi="Arial" w:cs="Arial"/>
          <w:sz w:val="20"/>
          <w:szCs w:val="20"/>
        </w:rPr>
        <w:t>Patient Panel</w:t>
      </w:r>
      <w:r w:rsidR="008874E6" w:rsidRPr="00010F2F">
        <w:rPr>
          <w:rFonts w:ascii="Arial" w:hAnsi="Arial" w:cs="Arial"/>
          <w:sz w:val="20"/>
          <w:szCs w:val="20"/>
        </w:rPr>
        <w:t>.</w:t>
      </w:r>
    </w:p>
    <w:p w14:paraId="73327D8C" w14:textId="4202212D" w:rsidR="00B73A05" w:rsidRPr="00010F2F" w:rsidRDefault="000B77DD" w:rsidP="000B77DD">
      <w:pPr>
        <w:jc w:val="both"/>
        <w:rPr>
          <w:rFonts w:ascii="Arial" w:hAnsi="Arial" w:cs="Arial"/>
          <w:sz w:val="20"/>
          <w:szCs w:val="20"/>
        </w:rPr>
      </w:pPr>
      <w:r w:rsidRPr="00010F2F">
        <w:rPr>
          <w:rFonts w:ascii="Arial" w:hAnsi="Arial" w:cs="Arial"/>
          <w:sz w:val="20"/>
          <w:szCs w:val="20"/>
        </w:rPr>
        <w:t xml:space="preserve">The Applicant </w:t>
      </w:r>
      <w:r w:rsidR="00B73A05" w:rsidRPr="00010F2F">
        <w:rPr>
          <w:rFonts w:ascii="Arial" w:hAnsi="Arial" w:cs="Arial"/>
          <w:sz w:val="20"/>
          <w:szCs w:val="20"/>
        </w:rPr>
        <w:t xml:space="preserve">addresses health inequities in a variety of ways. </w:t>
      </w:r>
      <w:r w:rsidRPr="00010F2F">
        <w:rPr>
          <w:rFonts w:ascii="Arial" w:hAnsi="Arial" w:cs="Arial"/>
          <w:sz w:val="20"/>
          <w:szCs w:val="20"/>
        </w:rPr>
        <w:t>As part of this mission, CDH</w:t>
      </w:r>
      <w:r w:rsidR="00B73A05" w:rsidRPr="00010F2F">
        <w:rPr>
          <w:rFonts w:ascii="Arial" w:hAnsi="Arial" w:cs="Arial"/>
          <w:sz w:val="20"/>
          <w:szCs w:val="20"/>
        </w:rPr>
        <w:t xml:space="preserve"> collect</w:t>
      </w:r>
      <w:r w:rsidRPr="00010F2F">
        <w:rPr>
          <w:rFonts w:ascii="Arial" w:hAnsi="Arial" w:cs="Arial"/>
          <w:sz w:val="20"/>
          <w:szCs w:val="20"/>
        </w:rPr>
        <w:t>s</w:t>
      </w:r>
      <w:r w:rsidR="00B73A05" w:rsidRPr="00010F2F">
        <w:rPr>
          <w:rFonts w:ascii="Arial" w:hAnsi="Arial" w:cs="Arial"/>
          <w:sz w:val="20"/>
          <w:szCs w:val="20"/>
        </w:rPr>
        <w:t xml:space="preserve"> patient demographic data including race, ethnicity, language, disability, sexual orientation, and gender identi</w:t>
      </w:r>
      <w:r w:rsidR="00596428" w:rsidRPr="00010F2F">
        <w:rPr>
          <w:rFonts w:ascii="Arial" w:hAnsi="Arial" w:cs="Arial"/>
          <w:sz w:val="20"/>
          <w:szCs w:val="20"/>
        </w:rPr>
        <w:t>t</w:t>
      </w:r>
      <w:r w:rsidR="00B73A05" w:rsidRPr="00010F2F">
        <w:rPr>
          <w:rFonts w:ascii="Arial" w:hAnsi="Arial" w:cs="Arial"/>
          <w:sz w:val="20"/>
          <w:szCs w:val="20"/>
        </w:rPr>
        <w:t>y</w:t>
      </w:r>
      <w:r w:rsidRPr="00010F2F">
        <w:rPr>
          <w:rFonts w:ascii="Arial" w:hAnsi="Arial" w:cs="Arial"/>
          <w:sz w:val="20"/>
          <w:szCs w:val="20"/>
        </w:rPr>
        <w:t>, and plans</w:t>
      </w:r>
      <w:r w:rsidR="00B73A05" w:rsidRPr="00010F2F">
        <w:rPr>
          <w:rFonts w:ascii="Arial" w:hAnsi="Arial" w:cs="Arial"/>
          <w:sz w:val="20"/>
          <w:szCs w:val="20"/>
        </w:rPr>
        <w:t xml:space="preserve"> to add veteran status in 2023. </w:t>
      </w:r>
      <w:r w:rsidR="00596428" w:rsidRPr="00010F2F">
        <w:rPr>
          <w:rFonts w:ascii="Arial" w:hAnsi="Arial" w:cs="Arial"/>
          <w:sz w:val="20"/>
          <w:szCs w:val="20"/>
        </w:rPr>
        <w:t>The Applicant and CDH</w:t>
      </w:r>
      <w:r w:rsidR="00B73A05" w:rsidRPr="00010F2F">
        <w:rPr>
          <w:rFonts w:ascii="Arial" w:hAnsi="Arial" w:cs="Arial"/>
          <w:sz w:val="20"/>
          <w:szCs w:val="20"/>
        </w:rPr>
        <w:t xml:space="preserve"> </w:t>
      </w:r>
      <w:r w:rsidRPr="00010F2F">
        <w:rPr>
          <w:rFonts w:ascii="Arial" w:hAnsi="Arial" w:cs="Arial"/>
          <w:sz w:val="20"/>
          <w:szCs w:val="20"/>
        </w:rPr>
        <w:t xml:space="preserve">then </w:t>
      </w:r>
      <w:r w:rsidR="00B73A05" w:rsidRPr="00010F2F">
        <w:rPr>
          <w:rFonts w:ascii="Arial" w:hAnsi="Arial" w:cs="Arial"/>
          <w:sz w:val="20"/>
          <w:szCs w:val="20"/>
        </w:rPr>
        <w:t xml:space="preserve">analyze data to identify areas of disparity. </w:t>
      </w:r>
    </w:p>
    <w:p w14:paraId="7C7CD83B" w14:textId="3C16E0CF" w:rsidR="00B73A05" w:rsidRPr="00010F2F" w:rsidRDefault="00827537" w:rsidP="000B77DD">
      <w:pPr>
        <w:jc w:val="both"/>
        <w:rPr>
          <w:rFonts w:ascii="Arial" w:hAnsi="Arial" w:cs="Arial"/>
          <w:sz w:val="20"/>
          <w:szCs w:val="20"/>
        </w:rPr>
      </w:pPr>
      <w:r w:rsidRPr="00010F2F">
        <w:rPr>
          <w:rFonts w:ascii="Arial" w:hAnsi="Arial" w:cs="Arial"/>
          <w:sz w:val="20"/>
          <w:szCs w:val="20"/>
        </w:rPr>
        <w:t>M</w:t>
      </w:r>
      <w:r w:rsidR="00B73A05" w:rsidRPr="00010F2F">
        <w:rPr>
          <w:rFonts w:ascii="Arial" w:hAnsi="Arial" w:cs="Arial"/>
          <w:sz w:val="20"/>
          <w:szCs w:val="20"/>
        </w:rPr>
        <w:t xml:space="preserve">edical interpreter services </w:t>
      </w:r>
      <w:r w:rsidRPr="00010F2F">
        <w:rPr>
          <w:rFonts w:ascii="Arial" w:hAnsi="Arial" w:cs="Arial"/>
          <w:sz w:val="20"/>
          <w:szCs w:val="20"/>
        </w:rPr>
        <w:t>are</w:t>
      </w:r>
      <w:r w:rsidR="008400BC" w:rsidRPr="00010F2F">
        <w:rPr>
          <w:rFonts w:ascii="Arial" w:hAnsi="Arial" w:cs="Arial"/>
          <w:sz w:val="20"/>
          <w:szCs w:val="20"/>
        </w:rPr>
        <w:t xml:space="preserve"> also</w:t>
      </w:r>
      <w:r w:rsidRPr="00010F2F">
        <w:rPr>
          <w:rFonts w:ascii="Arial" w:hAnsi="Arial" w:cs="Arial"/>
          <w:sz w:val="20"/>
          <w:szCs w:val="20"/>
        </w:rPr>
        <w:t xml:space="preserve"> available </w:t>
      </w:r>
      <w:r w:rsidR="00B73A05" w:rsidRPr="00010F2F">
        <w:rPr>
          <w:rFonts w:ascii="Arial" w:hAnsi="Arial" w:cs="Arial"/>
          <w:sz w:val="20"/>
          <w:szCs w:val="20"/>
        </w:rPr>
        <w:t xml:space="preserve">at </w:t>
      </w:r>
      <w:r w:rsidR="000B77DD" w:rsidRPr="00010F2F">
        <w:rPr>
          <w:rFonts w:ascii="Arial" w:hAnsi="Arial" w:cs="Arial"/>
          <w:sz w:val="20"/>
          <w:szCs w:val="20"/>
        </w:rPr>
        <w:t>CDH</w:t>
      </w:r>
      <w:r w:rsidR="00B73A05" w:rsidRPr="00010F2F">
        <w:rPr>
          <w:rFonts w:ascii="Arial" w:hAnsi="Arial" w:cs="Arial"/>
          <w:sz w:val="20"/>
          <w:szCs w:val="20"/>
        </w:rPr>
        <w:t xml:space="preserve">, </w:t>
      </w:r>
      <w:r w:rsidRPr="00010F2F">
        <w:rPr>
          <w:rFonts w:ascii="Arial" w:hAnsi="Arial" w:cs="Arial"/>
          <w:sz w:val="20"/>
          <w:szCs w:val="20"/>
        </w:rPr>
        <w:t xml:space="preserve">including interpreters for </w:t>
      </w:r>
      <w:r w:rsidR="00B73A05" w:rsidRPr="00010F2F">
        <w:rPr>
          <w:rFonts w:ascii="Arial" w:hAnsi="Arial" w:cs="Arial"/>
          <w:sz w:val="20"/>
          <w:szCs w:val="20"/>
        </w:rPr>
        <w:t xml:space="preserve">radiology and CT </w:t>
      </w:r>
      <w:r w:rsidR="006C4168">
        <w:rPr>
          <w:rFonts w:ascii="Arial" w:hAnsi="Arial" w:cs="Arial"/>
          <w:sz w:val="20"/>
          <w:szCs w:val="20"/>
        </w:rPr>
        <w:t>patients</w:t>
      </w:r>
      <w:r w:rsidR="00B73A05" w:rsidRPr="00010F2F">
        <w:rPr>
          <w:rFonts w:ascii="Arial" w:hAnsi="Arial" w:cs="Arial"/>
          <w:sz w:val="20"/>
          <w:szCs w:val="20"/>
        </w:rPr>
        <w:t xml:space="preserve">. </w:t>
      </w:r>
      <w:r w:rsidR="008400BC" w:rsidRPr="00010F2F">
        <w:rPr>
          <w:rFonts w:ascii="Arial" w:hAnsi="Arial" w:cs="Arial"/>
          <w:sz w:val="20"/>
          <w:szCs w:val="20"/>
        </w:rPr>
        <w:t xml:space="preserve">CDH </w:t>
      </w:r>
      <w:r w:rsidR="006C4168">
        <w:rPr>
          <w:rFonts w:ascii="Arial" w:hAnsi="Arial" w:cs="Arial"/>
          <w:sz w:val="20"/>
          <w:szCs w:val="20"/>
        </w:rPr>
        <w:t>has</w:t>
      </w:r>
      <w:r w:rsidR="008400BC" w:rsidRPr="00010F2F">
        <w:rPr>
          <w:rFonts w:ascii="Arial" w:hAnsi="Arial" w:cs="Arial"/>
          <w:sz w:val="20"/>
          <w:szCs w:val="20"/>
        </w:rPr>
        <w:t xml:space="preserve"> a Qualified Bilingual Support program where staff and providers are assessed for competence in a language other than English</w:t>
      </w:r>
      <w:r w:rsidR="002A5002" w:rsidRPr="00010F2F">
        <w:rPr>
          <w:rFonts w:ascii="Arial" w:hAnsi="Arial" w:cs="Arial"/>
          <w:sz w:val="20"/>
          <w:szCs w:val="20"/>
        </w:rPr>
        <w:t>, and who</w:t>
      </w:r>
      <w:r w:rsidR="008400BC" w:rsidRPr="00010F2F">
        <w:rPr>
          <w:rFonts w:ascii="Arial" w:hAnsi="Arial" w:cs="Arial"/>
          <w:sz w:val="20"/>
          <w:szCs w:val="20"/>
        </w:rPr>
        <w:t xml:space="preserve"> can speak directly with patients in that language. Bilingual s</w:t>
      </w:r>
      <w:r w:rsidR="00B73A05" w:rsidRPr="00010F2F">
        <w:rPr>
          <w:rFonts w:ascii="Arial" w:hAnsi="Arial" w:cs="Arial"/>
          <w:sz w:val="20"/>
          <w:szCs w:val="20"/>
        </w:rPr>
        <w:t xml:space="preserve">taff </w:t>
      </w:r>
      <w:r w:rsidR="008400BC" w:rsidRPr="00010F2F">
        <w:rPr>
          <w:rFonts w:ascii="Arial" w:hAnsi="Arial" w:cs="Arial"/>
          <w:sz w:val="20"/>
          <w:szCs w:val="20"/>
        </w:rPr>
        <w:t xml:space="preserve">are </w:t>
      </w:r>
      <w:r w:rsidR="008400BC" w:rsidRPr="00010F2F">
        <w:rPr>
          <w:rFonts w:ascii="Arial" w:hAnsi="Arial" w:cs="Arial"/>
          <w:sz w:val="20"/>
          <w:szCs w:val="20"/>
        </w:rPr>
        <w:lastRenderedPageBreak/>
        <w:t xml:space="preserve">available to </w:t>
      </w:r>
      <w:r w:rsidR="00B73A05" w:rsidRPr="00010F2F">
        <w:rPr>
          <w:rFonts w:ascii="Arial" w:hAnsi="Arial" w:cs="Arial"/>
          <w:sz w:val="20"/>
          <w:szCs w:val="20"/>
        </w:rPr>
        <w:t>provide direct services to Spanish-speaking patients</w:t>
      </w:r>
      <w:r w:rsidR="008400BC" w:rsidRPr="00010F2F">
        <w:rPr>
          <w:rFonts w:ascii="Arial" w:hAnsi="Arial" w:cs="Arial"/>
          <w:sz w:val="20"/>
          <w:szCs w:val="20"/>
        </w:rPr>
        <w:t>,</w:t>
      </w:r>
      <w:r w:rsidR="00B73A05" w:rsidRPr="00010F2F">
        <w:rPr>
          <w:rFonts w:ascii="Arial" w:hAnsi="Arial" w:cs="Arial"/>
          <w:sz w:val="20"/>
          <w:szCs w:val="20"/>
        </w:rPr>
        <w:t xml:space="preserve"> and </w:t>
      </w:r>
      <w:r w:rsidR="008400BC" w:rsidRPr="00010F2F">
        <w:rPr>
          <w:rFonts w:ascii="Arial" w:hAnsi="Arial" w:cs="Arial"/>
          <w:sz w:val="20"/>
          <w:szCs w:val="20"/>
        </w:rPr>
        <w:t xml:space="preserve">outside vendors are retained for </w:t>
      </w:r>
      <w:r w:rsidR="00B73A05" w:rsidRPr="00010F2F">
        <w:rPr>
          <w:rFonts w:ascii="Arial" w:hAnsi="Arial" w:cs="Arial"/>
          <w:sz w:val="20"/>
          <w:szCs w:val="20"/>
        </w:rPr>
        <w:t xml:space="preserve">other languages. </w:t>
      </w:r>
      <w:r w:rsidR="008400BC" w:rsidRPr="00010F2F">
        <w:rPr>
          <w:rFonts w:ascii="Arial" w:hAnsi="Arial" w:cs="Arial"/>
          <w:sz w:val="20"/>
          <w:szCs w:val="20"/>
        </w:rPr>
        <w:t>CDH</w:t>
      </w:r>
      <w:r w:rsidR="00B73A05" w:rsidRPr="00010F2F">
        <w:rPr>
          <w:rFonts w:ascii="Arial" w:hAnsi="Arial" w:cs="Arial"/>
          <w:sz w:val="20"/>
          <w:szCs w:val="20"/>
        </w:rPr>
        <w:t xml:space="preserve"> also offer</w:t>
      </w:r>
      <w:r w:rsidR="008400BC" w:rsidRPr="00010F2F">
        <w:rPr>
          <w:rFonts w:ascii="Arial" w:hAnsi="Arial" w:cs="Arial"/>
          <w:sz w:val="20"/>
          <w:szCs w:val="20"/>
        </w:rPr>
        <w:t>s</w:t>
      </w:r>
      <w:r w:rsidR="00B73A05" w:rsidRPr="00010F2F">
        <w:rPr>
          <w:rFonts w:ascii="Arial" w:hAnsi="Arial" w:cs="Arial"/>
          <w:sz w:val="20"/>
          <w:szCs w:val="20"/>
        </w:rPr>
        <w:t xml:space="preserve"> video remote interpreter services. </w:t>
      </w:r>
    </w:p>
    <w:p w14:paraId="5F02D745" w14:textId="77777777" w:rsidR="002A5002" w:rsidRPr="00010F2F" w:rsidRDefault="002A5002" w:rsidP="00774BF5">
      <w:pPr>
        <w:suppressAutoHyphens/>
        <w:jc w:val="both"/>
        <w:rPr>
          <w:rFonts w:ascii="Arial" w:hAnsi="Arial" w:cs="Arial"/>
          <w:color w:val="FF0000"/>
          <w:sz w:val="20"/>
          <w:szCs w:val="20"/>
        </w:rPr>
      </w:pPr>
      <w:r w:rsidRPr="00010F2F">
        <w:rPr>
          <w:rFonts w:ascii="Arial" w:hAnsi="Arial" w:cs="Arial"/>
          <w:sz w:val="20"/>
          <w:szCs w:val="20"/>
        </w:rPr>
        <w:t>Further, MGB launched United Against Racism, a statewide initiative for becoming an anti-racist organization. In doing so, MGB committed to a series of specific timelines and metrics of success based on input from staff, leadership, and the Board. Highlights of those efforts include, among others: removing race in clinical protocols – where too often in the healthcare system a patient’s race has played a role in clinical decision tools and policies; increased screening and resources to reduce health gaps such as food insecurity, housing needs, and other determinants of health across 22 primary practices; improving access for all patients by hiring 11 bilingual digital access coordinators who collectively speak Spanish, Portuguese, Haitian, Creole, Arabic, Russian, Mandarin, Cantonese, and Cape Verdean Creole, and translating MGB’s Patient Gateway platform into languages most commonly spoken by its patients; building a culture of health equity improvement by funding 18 grants that aims to reduce racial disparities in patient experience and/or outcomes, such as reducing disparities in the use of physical restraint in emergency departments and improving access to mental health treatment for non-English speaking trauma survivors; expanding on mobile community care that began during the COVID-19 pandemic; improving accuracy of patient race, ethnicity and language data to better identify and address health disparities; enhancing health equity leadership and accountability by hiring a chief community health equity officer and senior medical director for health equity - both highly respected clinicians with a lifelong dedication to providing all patients with exceptional care; and becoming a greater force for equity and inclusion. These examples and MGB’s recent $50 million investment in community and mental health are just some of the ways MGB strives to making real progress.</w:t>
      </w:r>
    </w:p>
    <w:p w14:paraId="21B22CE9" w14:textId="4BF8A287" w:rsidR="006B609C" w:rsidRPr="00010F2F" w:rsidRDefault="00B73A05" w:rsidP="008400BC">
      <w:pPr>
        <w:jc w:val="both"/>
        <w:rPr>
          <w:rFonts w:ascii="Arial" w:hAnsi="Arial" w:cs="Arial"/>
          <w:sz w:val="20"/>
          <w:szCs w:val="20"/>
        </w:rPr>
      </w:pPr>
      <w:r w:rsidRPr="00010F2F">
        <w:rPr>
          <w:rFonts w:ascii="Arial" w:hAnsi="Arial" w:cs="Arial"/>
          <w:sz w:val="20"/>
          <w:szCs w:val="20"/>
        </w:rPr>
        <w:t xml:space="preserve">Through the </w:t>
      </w:r>
      <w:r w:rsidR="006007E8" w:rsidRPr="00010F2F">
        <w:rPr>
          <w:rFonts w:ascii="Arial" w:hAnsi="Arial" w:cs="Arial"/>
          <w:sz w:val="20"/>
          <w:szCs w:val="20"/>
        </w:rPr>
        <w:t>Applicant’s</w:t>
      </w:r>
      <w:r w:rsidRPr="00010F2F">
        <w:rPr>
          <w:rFonts w:ascii="Arial" w:hAnsi="Arial" w:cs="Arial"/>
          <w:sz w:val="20"/>
          <w:szCs w:val="20"/>
        </w:rPr>
        <w:t xml:space="preserve"> United Against Racism program</w:t>
      </w:r>
      <w:r w:rsidR="008400BC" w:rsidRPr="00010F2F">
        <w:rPr>
          <w:rFonts w:ascii="Arial" w:hAnsi="Arial" w:cs="Arial"/>
          <w:sz w:val="20"/>
          <w:szCs w:val="20"/>
        </w:rPr>
        <w:t>,</w:t>
      </w:r>
      <w:r w:rsidRPr="00010F2F">
        <w:rPr>
          <w:rFonts w:ascii="Arial" w:hAnsi="Arial" w:cs="Arial"/>
          <w:sz w:val="20"/>
          <w:szCs w:val="20"/>
        </w:rPr>
        <w:t xml:space="preserve"> staff training </w:t>
      </w:r>
      <w:r w:rsidR="008400BC" w:rsidRPr="00010F2F">
        <w:rPr>
          <w:rFonts w:ascii="Arial" w:hAnsi="Arial" w:cs="Arial"/>
          <w:sz w:val="20"/>
          <w:szCs w:val="20"/>
        </w:rPr>
        <w:t>i</w:t>
      </w:r>
      <w:r w:rsidR="002A5002" w:rsidRPr="00010F2F">
        <w:rPr>
          <w:rFonts w:ascii="Arial" w:hAnsi="Arial" w:cs="Arial"/>
          <w:sz w:val="20"/>
          <w:szCs w:val="20"/>
        </w:rPr>
        <w:t>s</w:t>
      </w:r>
      <w:r w:rsidR="008400BC" w:rsidRPr="00010F2F">
        <w:rPr>
          <w:rFonts w:ascii="Arial" w:hAnsi="Arial" w:cs="Arial"/>
          <w:sz w:val="20"/>
          <w:szCs w:val="20"/>
        </w:rPr>
        <w:t xml:space="preserve"> offered </w:t>
      </w:r>
      <w:r w:rsidRPr="00010F2F">
        <w:rPr>
          <w:rFonts w:ascii="Arial" w:hAnsi="Arial" w:cs="Arial"/>
          <w:sz w:val="20"/>
          <w:szCs w:val="20"/>
        </w:rPr>
        <w:t xml:space="preserve">to increase cultural competency including unconscious bias. Leaders are required to participate in diversity, equity, and inclusion training. </w:t>
      </w:r>
      <w:r w:rsidR="00C5477C">
        <w:rPr>
          <w:rFonts w:ascii="Arial" w:hAnsi="Arial" w:cs="Arial"/>
          <w:sz w:val="20"/>
          <w:szCs w:val="20"/>
        </w:rPr>
        <w:t xml:space="preserve">The </w:t>
      </w:r>
      <w:r w:rsidR="008400BC" w:rsidRPr="00010F2F">
        <w:rPr>
          <w:rFonts w:ascii="Arial" w:hAnsi="Arial" w:cs="Arial"/>
          <w:sz w:val="20"/>
          <w:szCs w:val="20"/>
        </w:rPr>
        <w:t>Applicant and CDH</w:t>
      </w:r>
      <w:r w:rsidRPr="00010F2F">
        <w:rPr>
          <w:rFonts w:ascii="Arial" w:hAnsi="Arial" w:cs="Arial"/>
          <w:sz w:val="20"/>
          <w:szCs w:val="20"/>
        </w:rPr>
        <w:t xml:space="preserve"> also participate in the Health Equity Index program of the Human Rights Campaign Foundation, which promotes policies and practices in health care settings that lead to greater equity for LGBTQ patients. </w:t>
      </w:r>
      <w:r w:rsidR="00C5477C">
        <w:rPr>
          <w:rFonts w:ascii="Arial" w:hAnsi="Arial" w:cs="Arial"/>
          <w:sz w:val="20"/>
          <w:szCs w:val="20"/>
        </w:rPr>
        <w:t xml:space="preserve">The </w:t>
      </w:r>
      <w:r w:rsidR="008400BC" w:rsidRPr="00010F2F">
        <w:rPr>
          <w:rFonts w:ascii="Arial" w:hAnsi="Arial" w:cs="Arial"/>
          <w:sz w:val="20"/>
          <w:szCs w:val="20"/>
        </w:rPr>
        <w:t xml:space="preserve">Applicant </w:t>
      </w:r>
      <w:r w:rsidRPr="00010F2F">
        <w:rPr>
          <w:rFonts w:ascii="Arial" w:hAnsi="Arial" w:cs="Arial"/>
          <w:sz w:val="20"/>
          <w:szCs w:val="20"/>
        </w:rPr>
        <w:t xml:space="preserve">scored 100% in </w:t>
      </w:r>
      <w:r w:rsidR="008400BC" w:rsidRPr="00010F2F">
        <w:rPr>
          <w:rFonts w:ascii="Arial" w:hAnsi="Arial" w:cs="Arial"/>
          <w:sz w:val="20"/>
          <w:szCs w:val="20"/>
        </w:rPr>
        <w:t>its</w:t>
      </w:r>
      <w:r w:rsidRPr="00010F2F">
        <w:rPr>
          <w:rFonts w:ascii="Arial" w:hAnsi="Arial" w:cs="Arial"/>
          <w:sz w:val="20"/>
          <w:szCs w:val="20"/>
        </w:rPr>
        <w:t xml:space="preserve"> most recent survey.</w:t>
      </w:r>
    </w:p>
    <w:p w14:paraId="217F41A1" w14:textId="77777777" w:rsidR="004A020E" w:rsidRPr="00010F2F" w:rsidRDefault="004A020E" w:rsidP="009C4CCF">
      <w:pPr>
        <w:pStyle w:val="BodyText"/>
        <w:widowControl/>
        <w:spacing w:before="0"/>
        <w:ind w:left="1440"/>
        <w:jc w:val="both"/>
        <w:rPr>
          <w:rFonts w:ascii="Arial" w:hAnsi="Arial" w:cs="Arial"/>
          <w:b/>
          <w:kern w:val="2"/>
          <w:sz w:val="20"/>
          <w:szCs w:val="20"/>
        </w:rPr>
      </w:pPr>
    </w:p>
    <w:p w14:paraId="7D2D157D" w14:textId="77777777" w:rsidR="009C4CCF" w:rsidRPr="00010F2F" w:rsidRDefault="009C4CCF" w:rsidP="009C4CCF">
      <w:pPr>
        <w:pStyle w:val="BodyText"/>
        <w:widowControl/>
        <w:spacing w:before="0"/>
        <w:ind w:left="1440" w:hanging="1440"/>
        <w:jc w:val="both"/>
        <w:rPr>
          <w:rFonts w:ascii="Arial" w:hAnsi="Arial" w:cs="Arial"/>
          <w:b/>
          <w:kern w:val="2"/>
          <w:sz w:val="20"/>
          <w:szCs w:val="20"/>
        </w:rPr>
      </w:pPr>
      <w:r w:rsidRPr="00010F2F">
        <w:rPr>
          <w:rFonts w:ascii="Arial" w:hAnsi="Arial" w:cs="Arial"/>
          <w:b/>
          <w:kern w:val="2"/>
          <w:sz w:val="20"/>
          <w:szCs w:val="20"/>
        </w:rPr>
        <w:t>F1.b.iv</w:t>
      </w:r>
      <w:r w:rsidRPr="00010F2F">
        <w:rPr>
          <w:rFonts w:ascii="Arial" w:hAnsi="Arial" w:cs="Arial"/>
          <w:b/>
          <w:kern w:val="2"/>
          <w:sz w:val="20"/>
          <w:szCs w:val="20"/>
        </w:rPr>
        <w:tab/>
        <w:t>Provide additional information to demonstrate that the Proposed Project will result in improved health outcomes and quality of life of the Applicant's existing Patient Panel, while providing reasonable assurances of health equity.</w:t>
      </w:r>
    </w:p>
    <w:p w14:paraId="459E520C" w14:textId="77777777" w:rsidR="009C4CCF" w:rsidRPr="00010F2F" w:rsidRDefault="009C4CCF" w:rsidP="009C4CCF">
      <w:pPr>
        <w:pStyle w:val="BodyText"/>
        <w:widowControl/>
        <w:spacing w:before="0"/>
        <w:ind w:left="1440" w:hanging="1440"/>
        <w:jc w:val="both"/>
        <w:rPr>
          <w:rFonts w:ascii="Arial" w:hAnsi="Arial" w:cs="Arial"/>
          <w:b/>
          <w:kern w:val="2"/>
          <w:sz w:val="20"/>
          <w:szCs w:val="20"/>
        </w:rPr>
      </w:pPr>
    </w:p>
    <w:p w14:paraId="4583190B" w14:textId="45F6E60C" w:rsidR="00E4107C" w:rsidRPr="00010F2F" w:rsidRDefault="00E4107C" w:rsidP="00E4107C">
      <w:pPr>
        <w:pStyle w:val="BodyText"/>
        <w:widowControl/>
        <w:spacing w:before="0"/>
        <w:jc w:val="both"/>
        <w:rPr>
          <w:rFonts w:ascii="Arial" w:hAnsi="Arial" w:cs="Arial"/>
          <w:kern w:val="2"/>
          <w:sz w:val="20"/>
          <w:szCs w:val="20"/>
        </w:rPr>
      </w:pPr>
      <w:r w:rsidRPr="00010F2F">
        <w:rPr>
          <w:rFonts w:ascii="Arial" w:hAnsi="Arial" w:cs="Arial"/>
          <w:kern w:val="2"/>
          <w:sz w:val="20"/>
          <w:szCs w:val="20"/>
        </w:rPr>
        <w:t>The Proposed Project will facilitat</w:t>
      </w:r>
      <w:r w:rsidR="00774BF5" w:rsidRPr="00010F2F">
        <w:rPr>
          <w:rFonts w:ascii="Arial" w:hAnsi="Arial" w:cs="Arial"/>
          <w:kern w:val="2"/>
          <w:sz w:val="20"/>
          <w:szCs w:val="20"/>
        </w:rPr>
        <w:t>e</w:t>
      </w:r>
      <w:r w:rsidRPr="00010F2F">
        <w:rPr>
          <w:rFonts w:ascii="Arial" w:hAnsi="Arial" w:cs="Arial"/>
          <w:kern w:val="2"/>
          <w:sz w:val="20"/>
          <w:szCs w:val="20"/>
        </w:rPr>
        <w:t xml:space="preserve"> improved health outcomes and quality of life for the Applicant’s </w:t>
      </w:r>
      <w:r w:rsidR="008D16C9" w:rsidRPr="00010F2F">
        <w:rPr>
          <w:rFonts w:ascii="Arial" w:hAnsi="Arial" w:cs="Arial"/>
          <w:kern w:val="2"/>
          <w:sz w:val="20"/>
          <w:szCs w:val="20"/>
        </w:rPr>
        <w:t>Patient Panel</w:t>
      </w:r>
      <w:r w:rsidRPr="00010F2F">
        <w:rPr>
          <w:rFonts w:ascii="Arial" w:hAnsi="Arial" w:cs="Arial"/>
          <w:kern w:val="2"/>
          <w:sz w:val="20"/>
          <w:szCs w:val="20"/>
        </w:rPr>
        <w:t xml:space="preserve"> by ensuring patients in need of CT imaging will have</w:t>
      </w:r>
      <w:r w:rsidR="00C5477C">
        <w:rPr>
          <w:rFonts w:ascii="Arial" w:hAnsi="Arial" w:cs="Arial"/>
          <w:kern w:val="2"/>
          <w:sz w:val="20"/>
          <w:szCs w:val="20"/>
        </w:rPr>
        <w:t xml:space="preserve"> timely</w:t>
      </w:r>
      <w:r w:rsidRPr="00010F2F">
        <w:rPr>
          <w:rFonts w:ascii="Arial" w:hAnsi="Arial" w:cs="Arial"/>
          <w:kern w:val="2"/>
          <w:sz w:val="20"/>
          <w:szCs w:val="20"/>
        </w:rPr>
        <w:t xml:space="preserve"> access</w:t>
      </w:r>
      <w:r w:rsidR="000C612D">
        <w:rPr>
          <w:rFonts w:ascii="Arial" w:hAnsi="Arial" w:cs="Arial"/>
          <w:kern w:val="2"/>
          <w:sz w:val="20"/>
          <w:szCs w:val="20"/>
        </w:rPr>
        <w:t xml:space="preserve"> </w:t>
      </w:r>
      <w:r w:rsidRPr="00010F2F">
        <w:rPr>
          <w:rFonts w:ascii="Arial" w:hAnsi="Arial" w:cs="Arial"/>
          <w:kern w:val="2"/>
          <w:sz w:val="20"/>
          <w:szCs w:val="20"/>
        </w:rPr>
        <w:t xml:space="preserve">as demand for CT grows. </w:t>
      </w:r>
      <w:r w:rsidR="000C612D">
        <w:rPr>
          <w:rFonts w:ascii="Arial" w:hAnsi="Arial" w:cs="Arial"/>
          <w:kern w:val="2"/>
          <w:sz w:val="20"/>
          <w:szCs w:val="20"/>
        </w:rPr>
        <w:t>A</w:t>
      </w:r>
      <w:r w:rsidRPr="00010F2F">
        <w:rPr>
          <w:rFonts w:ascii="Arial" w:hAnsi="Arial" w:cs="Arial"/>
          <w:kern w:val="2"/>
          <w:sz w:val="20"/>
          <w:szCs w:val="20"/>
        </w:rPr>
        <w:t>ccess to CT imaging will ultimately improve health outcomes</w:t>
      </w:r>
      <w:r w:rsidR="000C612D">
        <w:rPr>
          <w:rFonts w:ascii="Arial" w:hAnsi="Arial" w:cs="Arial"/>
          <w:kern w:val="2"/>
          <w:sz w:val="20"/>
          <w:szCs w:val="20"/>
        </w:rPr>
        <w:t xml:space="preserve"> for all patients whose condition requires CT to facilitate a diagnosis and treatment planning</w:t>
      </w:r>
      <w:r w:rsidRPr="00010F2F">
        <w:rPr>
          <w:rFonts w:ascii="Arial" w:hAnsi="Arial" w:cs="Arial"/>
          <w:kern w:val="2"/>
          <w:sz w:val="20"/>
          <w:szCs w:val="20"/>
        </w:rPr>
        <w:t>. CDH is committed to promoting health equity, ensuring patients can access the Hospital’s services and effectively communicate with their providers, and offers a variety of services to address</w:t>
      </w:r>
      <w:r w:rsidR="00774BF5" w:rsidRPr="00010F2F">
        <w:rPr>
          <w:rFonts w:ascii="Arial" w:hAnsi="Arial" w:cs="Arial"/>
          <w:kern w:val="2"/>
          <w:sz w:val="20"/>
          <w:szCs w:val="20"/>
        </w:rPr>
        <w:t xml:space="preserve"> social determinants of health</w:t>
      </w:r>
      <w:r w:rsidRPr="00010F2F">
        <w:rPr>
          <w:rFonts w:ascii="Arial" w:hAnsi="Arial" w:cs="Arial"/>
          <w:kern w:val="2"/>
          <w:sz w:val="20"/>
          <w:szCs w:val="20"/>
        </w:rPr>
        <w:t xml:space="preserve"> </w:t>
      </w:r>
      <w:r w:rsidR="00774BF5" w:rsidRPr="00010F2F">
        <w:rPr>
          <w:rFonts w:ascii="Arial" w:hAnsi="Arial" w:cs="Arial"/>
          <w:kern w:val="2"/>
          <w:sz w:val="20"/>
          <w:szCs w:val="20"/>
        </w:rPr>
        <w:t>(“</w:t>
      </w:r>
      <w:proofErr w:type="spellStart"/>
      <w:r w:rsidRPr="00010F2F">
        <w:rPr>
          <w:rFonts w:ascii="Arial" w:hAnsi="Arial" w:cs="Arial"/>
          <w:kern w:val="2"/>
          <w:sz w:val="20"/>
          <w:szCs w:val="20"/>
        </w:rPr>
        <w:t>SDoH</w:t>
      </w:r>
      <w:proofErr w:type="spellEnd"/>
      <w:r w:rsidR="00774BF5" w:rsidRPr="00010F2F">
        <w:rPr>
          <w:rFonts w:ascii="Arial" w:hAnsi="Arial" w:cs="Arial"/>
          <w:kern w:val="2"/>
          <w:sz w:val="20"/>
          <w:szCs w:val="20"/>
        </w:rPr>
        <w:t>”)</w:t>
      </w:r>
      <w:r w:rsidRPr="00010F2F">
        <w:rPr>
          <w:rFonts w:ascii="Arial" w:hAnsi="Arial" w:cs="Arial"/>
          <w:kern w:val="2"/>
          <w:sz w:val="20"/>
          <w:szCs w:val="20"/>
        </w:rPr>
        <w:t xml:space="preserve"> and health care disparities</w:t>
      </w:r>
      <w:r w:rsidR="00774BF5" w:rsidRPr="00010F2F">
        <w:rPr>
          <w:rFonts w:ascii="Arial" w:hAnsi="Arial" w:cs="Arial"/>
          <w:kern w:val="2"/>
          <w:sz w:val="20"/>
          <w:szCs w:val="20"/>
        </w:rPr>
        <w:t>. T</w:t>
      </w:r>
      <w:r w:rsidRPr="00010F2F">
        <w:rPr>
          <w:rFonts w:ascii="Arial" w:hAnsi="Arial" w:cs="Arial"/>
          <w:kern w:val="2"/>
          <w:sz w:val="20"/>
          <w:szCs w:val="20"/>
        </w:rPr>
        <w:t>he Applicant anticipates the Proposed Project will result in improve</w:t>
      </w:r>
      <w:r w:rsidR="00C5477C">
        <w:rPr>
          <w:rFonts w:ascii="Arial" w:hAnsi="Arial" w:cs="Arial"/>
          <w:kern w:val="2"/>
          <w:sz w:val="20"/>
          <w:szCs w:val="20"/>
        </w:rPr>
        <w:t>d</w:t>
      </w:r>
      <w:r w:rsidRPr="00010F2F">
        <w:rPr>
          <w:rFonts w:ascii="Arial" w:hAnsi="Arial" w:cs="Arial"/>
          <w:kern w:val="2"/>
          <w:sz w:val="20"/>
          <w:szCs w:val="20"/>
        </w:rPr>
        <w:t xml:space="preserve"> patient experience and quality outcomes while assuring health equity.  </w:t>
      </w:r>
    </w:p>
    <w:p w14:paraId="278B59DC" w14:textId="77777777" w:rsidR="009C4CCF" w:rsidRPr="00010F2F" w:rsidRDefault="009C4CCF" w:rsidP="009C4CCF">
      <w:pPr>
        <w:pStyle w:val="BodyText"/>
        <w:widowControl/>
        <w:spacing w:before="0"/>
        <w:jc w:val="both"/>
        <w:rPr>
          <w:rFonts w:ascii="Arial" w:hAnsi="Arial" w:cs="Arial"/>
          <w:b/>
          <w:kern w:val="2"/>
          <w:sz w:val="22"/>
          <w:szCs w:val="22"/>
        </w:rPr>
      </w:pPr>
    </w:p>
    <w:p w14:paraId="28031741" w14:textId="794B50C0" w:rsidR="009C4CCF" w:rsidRPr="00010F2F" w:rsidRDefault="009C4CCF" w:rsidP="009C4CCF">
      <w:pPr>
        <w:pStyle w:val="BodyText"/>
        <w:widowControl/>
        <w:spacing w:before="0"/>
        <w:ind w:left="1440" w:right="136" w:hanging="1440"/>
        <w:jc w:val="both"/>
        <w:rPr>
          <w:rFonts w:ascii="Arial" w:hAnsi="Arial" w:cs="Arial"/>
          <w:b/>
          <w:kern w:val="2"/>
          <w:sz w:val="20"/>
          <w:szCs w:val="20"/>
        </w:rPr>
      </w:pPr>
      <w:r w:rsidRPr="00010F2F">
        <w:rPr>
          <w:rFonts w:ascii="Arial" w:hAnsi="Arial" w:cs="Arial"/>
          <w:b/>
          <w:kern w:val="2"/>
          <w:sz w:val="20"/>
          <w:szCs w:val="20"/>
        </w:rPr>
        <w:t>F1.c</w:t>
      </w:r>
      <w:r w:rsidRPr="00010F2F">
        <w:rPr>
          <w:rFonts w:ascii="Arial" w:hAnsi="Arial" w:cs="Arial"/>
          <w:b/>
          <w:kern w:val="2"/>
          <w:sz w:val="20"/>
          <w:szCs w:val="20"/>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5965BBE0" w14:textId="2EE57065" w:rsidR="00E4107C" w:rsidRPr="00010F2F" w:rsidRDefault="00E4107C" w:rsidP="009C4CCF">
      <w:pPr>
        <w:pStyle w:val="BodyText"/>
        <w:widowControl/>
        <w:spacing w:before="0"/>
        <w:ind w:left="1440" w:right="136" w:hanging="1440"/>
        <w:jc w:val="both"/>
        <w:rPr>
          <w:rFonts w:ascii="Arial" w:hAnsi="Arial" w:cs="Arial"/>
          <w:b/>
          <w:kern w:val="2"/>
          <w:sz w:val="20"/>
          <w:szCs w:val="20"/>
        </w:rPr>
      </w:pPr>
    </w:p>
    <w:p w14:paraId="435B290F" w14:textId="056C2B23" w:rsidR="00D0597B" w:rsidRDefault="00E4107C" w:rsidP="009345DD">
      <w:pPr>
        <w:pStyle w:val="BodyText"/>
        <w:widowControl/>
        <w:spacing w:before="0"/>
        <w:jc w:val="both"/>
        <w:rPr>
          <w:rFonts w:ascii="Arial" w:hAnsi="Arial" w:cs="Arial"/>
          <w:sz w:val="20"/>
          <w:szCs w:val="20"/>
        </w:rPr>
      </w:pPr>
      <w:r w:rsidRPr="00010F2F">
        <w:rPr>
          <w:rFonts w:ascii="Arial" w:hAnsi="Arial" w:cs="Arial"/>
          <w:bCs/>
          <w:kern w:val="2"/>
          <w:sz w:val="20"/>
          <w:szCs w:val="20"/>
        </w:rPr>
        <w:t>The Proposed Project will ensure continuity of care, improved health outcomes, and enhanced quality of life by providing case management/social work support and integration and coordination of</w:t>
      </w:r>
      <w:r w:rsidR="00D0597B">
        <w:rPr>
          <w:rFonts w:ascii="Arial" w:hAnsi="Arial" w:cs="Arial"/>
          <w:bCs/>
          <w:kern w:val="2"/>
          <w:sz w:val="20"/>
          <w:szCs w:val="20"/>
        </w:rPr>
        <w:t xml:space="preserve"> </w:t>
      </w:r>
      <w:r w:rsidRPr="00010F2F">
        <w:rPr>
          <w:rFonts w:ascii="Arial" w:hAnsi="Arial" w:cs="Arial"/>
          <w:bCs/>
          <w:kern w:val="2"/>
          <w:sz w:val="20"/>
          <w:szCs w:val="20"/>
        </w:rPr>
        <w:t>care for Applicant’s patients. CDH’s electronic medical record (“EMR”) serves as the primary linkage within the Hospital and between community primary care and other providers. With</w:t>
      </w:r>
      <w:r w:rsidR="00DC7BB6">
        <w:rPr>
          <w:rFonts w:ascii="Arial" w:hAnsi="Arial" w:cs="Arial"/>
          <w:bCs/>
          <w:kern w:val="2"/>
          <w:sz w:val="20"/>
          <w:szCs w:val="20"/>
        </w:rPr>
        <w:t xml:space="preserve"> </w:t>
      </w:r>
      <w:r w:rsidRPr="009345DD">
        <w:rPr>
          <w:rFonts w:ascii="Arial" w:hAnsi="Arial" w:cs="Arial"/>
          <w:kern w:val="2"/>
          <w:sz w:val="20"/>
          <w:szCs w:val="20"/>
        </w:rPr>
        <w:t>respect</w:t>
      </w:r>
      <w:r w:rsidRPr="00010F2F">
        <w:rPr>
          <w:rFonts w:ascii="Arial" w:hAnsi="Arial" w:cs="Arial"/>
          <w:bCs/>
          <w:kern w:val="2"/>
          <w:sz w:val="20"/>
          <w:szCs w:val="20"/>
        </w:rPr>
        <w:t xml:space="preserve"> to the Proposed Project,</w:t>
      </w:r>
      <w:r w:rsidRPr="00010F2F">
        <w:rPr>
          <w:rFonts w:ascii="Arial" w:hAnsi="Arial" w:cs="Arial"/>
          <w:sz w:val="20"/>
          <w:szCs w:val="20"/>
        </w:rPr>
        <w:t xml:space="preserve"> </w:t>
      </w:r>
      <w:r w:rsidR="00F66CF8" w:rsidRPr="00010F2F">
        <w:rPr>
          <w:rFonts w:ascii="Arial" w:hAnsi="Arial" w:cs="Arial"/>
          <w:sz w:val="20"/>
          <w:szCs w:val="20"/>
        </w:rPr>
        <w:t xml:space="preserve">having </w:t>
      </w:r>
      <w:r w:rsidRPr="00010F2F">
        <w:rPr>
          <w:rFonts w:ascii="Arial" w:hAnsi="Arial" w:cs="Arial"/>
          <w:sz w:val="20"/>
          <w:szCs w:val="20"/>
        </w:rPr>
        <w:t xml:space="preserve">the CT scanner embedded in the ED will </w:t>
      </w:r>
      <w:r w:rsidR="00F66CF8" w:rsidRPr="00010F2F">
        <w:rPr>
          <w:rFonts w:ascii="Arial" w:hAnsi="Arial" w:cs="Arial"/>
          <w:sz w:val="20"/>
          <w:szCs w:val="20"/>
        </w:rPr>
        <w:t xml:space="preserve">increase </w:t>
      </w:r>
      <w:r w:rsidRPr="00010F2F">
        <w:rPr>
          <w:rFonts w:ascii="Arial" w:hAnsi="Arial" w:cs="Arial"/>
          <w:sz w:val="20"/>
          <w:szCs w:val="20"/>
        </w:rPr>
        <w:t>efficiency and collaboration between the ED</w:t>
      </w:r>
      <w:r w:rsidR="00DC7BB6">
        <w:rPr>
          <w:rFonts w:ascii="Arial" w:hAnsi="Arial" w:cs="Arial"/>
          <w:sz w:val="20"/>
          <w:szCs w:val="20"/>
        </w:rPr>
        <w:t xml:space="preserve"> </w:t>
      </w:r>
      <w:r w:rsidRPr="00010F2F">
        <w:rPr>
          <w:rFonts w:ascii="Arial" w:hAnsi="Arial" w:cs="Arial"/>
          <w:sz w:val="20"/>
          <w:szCs w:val="20"/>
        </w:rPr>
        <w:t>team and Radiology. Radiology will have ED resources more</w:t>
      </w:r>
      <w:r w:rsidR="00F66CF8" w:rsidRPr="00010F2F">
        <w:rPr>
          <w:rFonts w:ascii="Arial" w:hAnsi="Arial" w:cs="Arial"/>
          <w:sz w:val="20"/>
          <w:szCs w:val="20"/>
        </w:rPr>
        <w:t xml:space="preserve"> </w:t>
      </w:r>
      <w:r w:rsidRPr="00010F2F">
        <w:rPr>
          <w:rFonts w:ascii="Arial" w:hAnsi="Arial" w:cs="Arial"/>
          <w:sz w:val="20"/>
          <w:szCs w:val="20"/>
        </w:rPr>
        <w:t>readily available to help with the clinical care of patient</w:t>
      </w:r>
      <w:r w:rsidR="00F66CF8" w:rsidRPr="00010F2F">
        <w:rPr>
          <w:rFonts w:ascii="Arial" w:hAnsi="Arial" w:cs="Arial"/>
          <w:sz w:val="20"/>
          <w:szCs w:val="20"/>
        </w:rPr>
        <w:t>s</w:t>
      </w:r>
      <w:r w:rsidRPr="00010F2F">
        <w:rPr>
          <w:rFonts w:ascii="Arial" w:hAnsi="Arial" w:cs="Arial"/>
          <w:sz w:val="20"/>
          <w:szCs w:val="20"/>
        </w:rPr>
        <w:t xml:space="preserve"> requiring imaging.  Establishing Radiology as part</w:t>
      </w:r>
      <w:r w:rsidR="00F66CF8" w:rsidRPr="00010F2F">
        <w:rPr>
          <w:rFonts w:ascii="Arial" w:hAnsi="Arial" w:cs="Arial"/>
          <w:sz w:val="20"/>
          <w:szCs w:val="20"/>
        </w:rPr>
        <w:t xml:space="preserve"> </w:t>
      </w:r>
      <w:r w:rsidRPr="00010F2F">
        <w:rPr>
          <w:rFonts w:ascii="Arial" w:hAnsi="Arial" w:cs="Arial"/>
          <w:sz w:val="20"/>
          <w:szCs w:val="20"/>
        </w:rPr>
        <w:t xml:space="preserve">of the ED team will help </w:t>
      </w:r>
      <w:r w:rsidR="00F66CF8" w:rsidRPr="00010F2F">
        <w:rPr>
          <w:rFonts w:ascii="Arial" w:hAnsi="Arial" w:cs="Arial"/>
          <w:sz w:val="20"/>
          <w:szCs w:val="20"/>
        </w:rPr>
        <w:t xml:space="preserve">to </w:t>
      </w:r>
      <w:r w:rsidRPr="00010F2F">
        <w:rPr>
          <w:rFonts w:ascii="Arial" w:hAnsi="Arial" w:cs="Arial"/>
          <w:sz w:val="20"/>
          <w:szCs w:val="20"/>
        </w:rPr>
        <w:t>enhanc</w:t>
      </w:r>
      <w:r w:rsidR="00F66CF8" w:rsidRPr="00010F2F">
        <w:rPr>
          <w:rFonts w:ascii="Arial" w:hAnsi="Arial" w:cs="Arial"/>
          <w:sz w:val="20"/>
          <w:szCs w:val="20"/>
        </w:rPr>
        <w:t>e</w:t>
      </w:r>
      <w:r w:rsidRPr="00010F2F">
        <w:rPr>
          <w:rFonts w:ascii="Arial" w:hAnsi="Arial" w:cs="Arial"/>
          <w:sz w:val="20"/>
          <w:szCs w:val="20"/>
        </w:rPr>
        <w:t xml:space="preserve"> workflows, </w:t>
      </w:r>
      <w:r w:rsidRPr="00010F2F">
        <w:rPr>
          <w:rFonts w:ascii="Arial" w:hAnsi="Arial" w:cs="Arial"/>
          <w:sz w:val="20"/>
          <w:szCs w:val="20"/>
        </w:rPr>
        <w:lastRenderedPageBreak/>
        <w:t xml:space="preserve">morale and collaboration within the department. Further, ED critical findings will be communicated using the Critical Results System </w:t>
      </w:r>
      <w:r w:rsidR="00034E27" w:rsidRPr="00010F2F">
        <w:rPr>
          <w:rFonts w:ascii="Arial" w:hAnsi="Arial" w:cs="Arial"/>
          <w:sz w:val="20"/>
          <w:szCs w:val="20"/>
        </w:rPr>
        <w:t xml:space="preserve">- Alert Notification of Critical Results </w:t>
      </w:r>
      <w:r w:rsidRPr="00010F2F">
        <w:rPr>
          <w:rFonts w:ascii="Arial" w:hAnsi="Arial" w:cs="Arial"/>
          <w:sz w:val="20"/>
          <w:szCs w:val="20"/>
        </w:rPr>
        <w:t>(</w:t>
      </w:r>
      <w:r w:rsidR="00034E27" w:rsidRPr="00010F2F">
        <w:rPr>
          <w:rFonts w:ascii="Arial" w:hAnsi="Arial" w:cs="Arial"/>
          <w:sz w:val="20"/>
          <w:szCs w:val="20"/>
        </w:rPr>
        <w:t>“</w:t>
      </w:r>
      <w:r w:rsidRPr="00010F2F">
        <w:rPr>
          <w:rFonts w:ascii="Arial" w:hAnsi="Arial" w:cs="Arial"/>
          <w:sz w:val="20"/>
          <w:szCs w:val="20"/>
        </w:rPr>
        <w:t>ANCR</w:t>
      </w:r>
      <w:r w:rsidR="00034E27" w:rsidRPr="00010F2F">
        <w:rPr>
          <w:rFonts w:ascii="Arial" w:hAnsi="Arial" w:cs="Arial"/>
          <w:sz w:val="20"/>
          <w:szCs w:val="20"/>
        </w:rPr>
        <w:t>”</w:t>
      </w:r>
      <w:r w:rsidRPr="00010F2F">
        <w:rPr>
          <w:rFonts w:ascii="Arial" w:hAnsi="Arial" w:cs="Arial"/>
          <w:sz w:val="20"/>
          <w:szCs w:val="20"/>
        </w:rPr>
        <w:t>),</w:t>
      </w:r>
      <w:r w:rsidR="00D0597B">
        <w:rPr>
          <w:rFonts w:ascii="Arial" w:hAnsi="Arial" w:cs="Arial"/>
          <w:sz w:val="20"/>
          <w:szCs w:val="20"/>
        </w:rPr>
        <w:t xml:space="preserve"> </w:t>
      </w:r>
      <w:r w:rsidRPr="00010F2F">
        <w:rPr>
          <w:rFonts w:ascii="Arial" w:hAnsi="Arial" w:cs="Arial"/>
          <w:sz w:val="20"/>
          <w:szCs w:val="20"/>
        </w:rPr>
        <w:t>which is a closed</w:t>
      </w:r>
      <w:r w:rsidR="00034E27" w:rsidRPr="00010F2F">
        <w:rPr>
          <w:rFonts w:ascii="Arial" w:hAnsi="Arial" w:cs="Arial"/>
          <w:sz w:val="20"/>
          <w:szCs w:val="20"/>
        </w:rPr>
        <w:t xml:space="preserve"> </w:t>
      </w:r>
      <w:r w:rsidRPr="00010F2F">
        <w:rPr>
          <w:rFonts w:ascii="Arial" w:hAnsi="Arial" w:cs="Arial"/>
          <w:sz w:val="20"/>
          <w:szCs w:val="20"/>
        </w:rPr>
        <w:t>loop communication for all ED cases 24 hours a day, 7 days a week,</w:t>
      </w:r>
      <w:r w:rsidR="00034E27" w:rsidRPr="00010F2F">
        <w:rPr>
          <w:rFonts w:ascii="Arial" w:hAnsi="Arial" w:cs="Arial"/>
          <w:sz w:val="20"/>
          <w:szCs w:val="20"/>
        </w:rPr>
        <w:t xml:space="preserve"> </w:t>
      </w:r>
      <w:r w:rsidRPr="00010F2F">
        <w:rPr>
          <w:rFonts w:ascii="Arial" w:hAnsi="Arial" w:cs="Arial"/>
          <w:sz w:val="20"/>
          <w:szCs w:val="20"/>
        </w:rPr>
        <w:t>that provides immediate results for critical findings, which are automatically provided to the referring physicians.</w:t>
      </w:r>
    </w:p>
    <w:p w14:paraId="0997F1E7" w14:textId="77777777" w:rsidR="009C4CCF" w:rsidRPr="009405FD" w:rsidRDefault="009C4CCF" w:rsidP="009C4CCF">
      <w:pPr>
        <w:pStyle w:val="BodyText"/>
        <w:widowControl/>
        <w:spacing w:before="0"/>
        <w:ind w:left="1440" w:right="136" w:hanging="1440"/>
        <w:jc w:val="both"/>
        <w:rPr>
          <w:rFonts w:ascii="Arial" w:hAnsi="Arial" w:cs="Arial"/>
          <w:bCs/>
          <w:kern w:val="2"/>
          <w:sz w:val="20"/>
          <w:szCs w:val="20"/>
        </w:rPr>
      </w:pPr>
    </w:p>
    <w:p w14:paraId="2527ECD2" w14:textId="77777777" w:rsidR="009C4CCF" w:rsidRPr="009405FD" w:rsidRDefault="009C4CCF" w:rsidP="009C4CCF">
      <w:pPr>
        <w:spacing w:after="0" w:line="240" w:lineRule="auto"/>
        <w:ind w:left="1440" w:hanging="1440"/>
        <w:jc w:val="both"/>
        <w:rPr>
          <w:rFonts w:ascii="Arial" w:hAnsi="Arial" w:cs="Arial"/>
          <w:b/>
          <w:kern w:val="2"/>
          <w:sz w:val="20"/>
          <w:szCs w:val="20"/>
        </w:rPr>
      </w:pPr>
      <w:r w:rsidRPr="009405FD">
        <w:rPr>
          <w:rFonts w:ascii="Arial" w:hAnsi="Arial" w:cs="Arial"/>
          <w:b/>
          <w:kern w:val="2"/>
          <w:sz w:val="20"/>
          <w:szCs w:val="20"/>
        </w:rPr>
        <w:t>F1.d</w:t>
      </w:r>
      <w:r w:rsidRPr="009405FD">
        <w:rPr>
          <w:rFonts w:ascii="Arial" w:hAnsi="Arial" w:cs="Arial"/>
          <w:b/>
          <w:kern w:val="2"/>
          <w:sz w:val="20"/>
          <w:szCs w:val="20"/>
        </w:rPr>
        <w:tab/>
        <w:t>Provide evidence of consultation, both prior to and after the Filing Date, with all Government Agencies with relevant licensure, certification, or other regulatory oversight of the Applicant or the Proposed Project.</w:t>
      </w:r>
    </w:p>
    <w:p w14:paraId="07B4F179" w14:textId="77777777" w:rsidR="009C4CCF" w:rsidRPr="009405FD" w:rsidRDefault="009C4CCF" w:rsidP="009C4CCF">
      <w:pPr>
        <w:spacing w:after="0" w:line="240" w:lineRule="auto"/>
        <w:jc w:val="both"/>
        <w:rPr>
          <w:rFonts w:ascii="Arial" w:hAnsi="Arial" w:cs="Arial"/>
          <w:spacing w:val="-1"/>
          <w:sz w:val="20"/>
          <w:szCs w:val="20"/>
        </w:rPr>
      </w:pPr>
    </w:p>
    <w:p w14:paraId="43A05B21" w14:textId="77777777" w:rsidR="009C4CCF" w:rsidRPr="00010F2F" w:rsidRDefault="009C4CCF" w:rsidP="009C4CCF">
      <w:pPr>
        <w:spacing w:after="0" w:line="240" w:lineRule="auto"/>
        <w:jc w:val="both"/>
        <w:rPr>
          <w:rFonts w:ascii="Arial" w:hAnsi="Arial" w:cs="Arial"/>
          <w:spacing w:val="-1"/>
          <w:sz w:val="20"/>
          <w:szCs w:val="20"/>
        </w:rPr>
      </w:pPr>
      <w:r w:rsidRPr="00010F2F">
        <w:rPr>
          <w:rFonts w:ascii="Arial" w:hAnsi="Arial" w:cs="Arial"/>
          <w:spacing w:val="-1"/>
          <w:sz w:val="20"/>
          <w:szCs w:val="20"/>
        </w:rPr>
        <w:t>The Applicant consulted with numerous individuals at multiple regulatory agencies regarding the Proposed Project. The following individuals were consulted with regards to the Proposed Project:</w:t>
      </w:r>
    </w:p>
    <w:p w14:paraId="79D4CA9A" w14:textId="77777777" w:rsidR="009C4CCF" w:rsidRPr="00010F2F" w:rsidRDefault="009C4CCF" w:rsidP="009C4CCF">
      <w:pPr>
        <w:spacing w:after="0" w:line="240" w:lineRule="auto"/>
        <w:jc w:val="both"/>
        <w:rPr>
          <w:rFonts w:ascii="Arial" w:hAnsi="Arial" w:cs="Arial"/>
          <w:bCs/>
          <w:spacing w:val="-1"/>
          <w:sz w:val="20"/>
          <w:szCs w:val="20"/>
        </w:rPr>
      </w:pPr>
    </w:p>
    <w:p w14:paraId="736D74B9" w14:textId="347E88EA" w:rsidR="009C4CCF" w:rsidRPr="00010F2F" w:rsidRDefault="009C4CCF" w:rsidP="00347C86">
      <w:pPr>
        <w:pStyle w:val="ListParagraph"/>
        <w:numPr>
          <w:ilvl w:val="0"/>
          <w:numId w:val="2"/>
        </w:numPr>
        <w:spacing w:after="0" w:line="240" w:lineRule="auto"/>
        <w:contextualSpacing w:val="0"/>
        <w:jc w:val="both"/>
        <w:rPr>
          <w:rFonts w:ascii="Arial" w:hAnsi="Arial" w:cs="Arial"/>
          <w:bCs/>
          <w:kern w:val="2"/>
          <w:sz w:val="20"/>
          <w:szCs w:val="20"/>
        </w:rPr>
      </w:pPr>
      <w:r w:rsidRPr="00010F2F">
        <w:rPr>
          <w:rFonts w:ascii="Arial" w:hAnsi="Arial" w:cs="Arial"/>
          <w:bCs/>
          <w:kern w:val="2"/>
          <w:sz w:val="20"/>
          <w:szCs w:val="20"/>
        </w:rPr>
        <w:t>Dennis Renaud, Director of Determination of Need Program, Massachusetts Department of Public Health;</w:t>
      </w:r>
      <w:r w:rsidR="00034E27" w:rsidRPr="00010F2F">
        <w:rPr>
          <w:rFonts w:ascii="Arial" w:hAnsi="Arial" w:cs="Arial"/>
          <w:bCs/>
          <w:kern w:val="2"/>
          <w:sz w:val="20"/>
          <w:szCs w:val="20"/>
        </w:rPr>
        <w:t xml:space="preserve"> and</w:t>
      </w:r>
    </w:p>
    <w:p w14:paraId="59345696" w14:textId="77777777" w:rsidR="00034E27" w:rsidRPr="00010F2F" w:rsidRDefault="009C4CCF" w:rsidP="00034E27">
      <w:pPr>
        <w:pStyle w:val="ListParagraph"/>
        <w:numPr>
          <w:ilvl w:val="0"/>
          <w:numId w:val="2"/>
        </w:numPr>
        <w:spacing w:after="0" w:line="240" w:lineRule="auto"/>
        <w:contextualSpacing w:val="0"/>
        <w:jc w:val="both"/>
        <w:rPr>
          <w:rFonts w:ascii="Arial" w:hAnsi="Arial" w:cs="Arial"/>
          <w:bCs/>
          <w:kern w:val="2"/>
          <w:sz w:val="20"/>
          <w:szCs w:val="20"/>
        </w:rPr>
      </w:pPr>
      <w:r w:rsidRPr="00010F2F">
        <w:rPr>
          <w:rFonts w:ascii="Arial" w:hAnsi="Arial" w:cs="Arial"/>
          <w:bCs/>
          <w:kern w:val="2"/>
          <w:sz w:val="20"/>
          <w:szCs w:val="20"/>
        </w:rPr>
        <w:t xml:space="preserve">Jennica Allen, </w:t>
      </w:r>
      <w:r w:rsidRPr="00010F2F">
        <w:rPr>
          <w:rFonts w:ascii="Arial" w:eastAsia="Times New Roman" w:hAnsi="Arial" w:cs="Arial"/>
          <w:bCs/>
          <w:sz w:val="20"/>
          <w:szCs w:val="20"/>
        </w:rPr>
        <w:t xml:space="preserve">Manager of Community Engagement Practices, </w:t>
      </w:r>
      <w:r w:rsidRPr="00010F2F">
        <w:rPr>
          <w:rFonts w:ascii="Arial" w:hAnsi="Arial" w:cs="Arial"/>
          <w:bCs/>
          <w:kern w:val="2"/>
          <w:sz w:val="20"/>
          <w:szCs w:val="20"/>
        </w:rPr>
        <w:t xml:space="preserve">Massachusetts Department of Public </w:t>
      </w:r>
      <w:proofErr w:type="gramStart"/>
      <w:r w:rsidRPr="00010F2F">
        <w:rPr>
          <w:rFonts w:ascii="Arial" w:hAnsi="Arial" w:cs="Arial"/>
          <w:bCs/>
          <w:kern w:val="2"/>
          <w:sz w:val="20"/>
          <w:szCs w:val="20"/>
        </w:rPr>
        <w:t>Health;</w:t>
      </w:r>
      <w:proofErr w:type="gramEnd"/>
    </w:p>
    <w:p w14:paraId="4FB76244" w14:textId="06FC4A7C" w:rsidR="00034E27" w:rsidRPr="00010F2F" w:rsidRDefault="00C74A74" w:rsidP="00034E27">
      <w:pPr>
        <w:pStyle w:val="ListParagraph"/>
        <w:numPr>
          <w:ilvl w:val="0"/>
          <w:numId w:val="2"/>
        </w:numPr>
        <w:spacing w:after="0" w:line="240" w:lineRule="auto"/>
        <w:contextualSpacing w:val="0"/>
        <w:jc w:val="both"/>
        <w:rPr>
          <w:rFonts w:ascii="Arial" w:hAnsi="Arial" w:cs="Arial"/>
          <w:bCs/>
          <w:kern w:val="2"/>
          <w:sz w:val="20"/>
          <w:szCs w:val="20"/>
        </w:rPr>
      </w:pPr>
      <w:r w:rsidRPr="00010F2F">
        <w:rPr>
          <w:rFonts w:ascii="Arial" w:hAnsi="Arial" w:cs="Arial"/>
          <w:kern w:val="2"/>
          <w:sz w:val="20"/>
          <w:szCs w:val="20"/>
        </w:rPr>
        <w:t>MassHealth</w:t>
      </w:r>
    </w:p>
    <w:p w14:paraId="15E33E5E" w14:textId="6AED1528" w:rsidR="00034E27" w:rsidRPr="00010F2F" w:rsidRDefault="00034E27" w:rsidP="00034E27">
      <w:pPr>
        <w:pStyle w:val="ListParagraph"/>
        <w:numPr>
          <w:ilvl w:val="0"/>
          <w:numId w:val="2"/>
        </w:numPr>
        <w:spacing w:after="0" w:line="240" w:lineRule="auto"/>
        <w:contextualSpacing w:val="0"/>
        <w:jc w:val="both"/>
        <w:rPr>
          <w:rFonts w:ascii="Arial" w:hAnsi="Arial" w:cs="Arial"/>
          <w:bCs/>
          <w:kern w:val="2"/>
          <w:sz w:val="20"/>
          <w:szCs w:val="20"/>
        </w:rPr>
      </w:pPr>
      <w:r w:rsidRPr="00010F2F">
        <w:rPr>
          <w:rFonts w:ascii="Arial" w:hAnsi="Arial" w:cs="Arial"/>
          <w:kern w:val="2"/>
          <w:sz w:val="20"/>
          <w:szCs w:val="20"/>
        </w:rPr>
        <w:t>The Centers for Medicare &amp; Medicaid Services</w:t>
      </w:r>
    </w:p>
    <w:p w14:paraId="7F35A64B" w14:textId="77777777" w:rsidR="009C4CCF" w:rsidRPr="00010F2F" w:rsidRDefault="009C4CCF" w:rsidP="009C4CCF">
      <w:pPr>
        <w:pStyle w:val="ListParagraph"/>
        <w:spacing w:after="0" w:line="240" w:lineRule="auto"/>
        <w:ind w:left="1440"/>
        <w:contextualSpacing w:val="0"/>
        <w:jc w:val="both"/>
        <w:rPr>
          <w:rFonts w:ascii="Arial" w:hAnsi="Arial" w:cs="Arial"/>
          <w:b/>
          <w:kern w:val="2"/>
          <w:sz w:val="20"/>
          <w:szCs w:val="20"/>
        </w:rPr>
      </w:pPr>
    </w:p>
    <w:p w14:paraId="4839830E" w14:textId="77777777" w:rsidR="009C4CCF" w:rsidRPr="009405FD" w:rsidRDefault="009C4CCF" w:rsidP="009C4CCF">
      <w:pPr>
        <w:spacing w:after="0" w:line="240" w:lineRule="auto"/>
        <w:ind w:left="1440" w:hanging="1440"/>
        <w:jc w:val="both"/>
        <w:rPr>
          <w:rFonts w:ascii="Arial" w:hAnsi="Arial" w:cs="Arial"/>
          <w:b/>
          <w:kern w:val="2"/>
          <w:sz w:val="20"/>
          <w:szCs w:val="20"/>
        </w:rPr>
      </w:pPr>
      <w:r w:rsidRPr="009405FD">
        <w:rPr>
          <w:rFonts w:ascii="Arial" w:hAnsi="Arial" w:cs="Arial"/>
          <w:b/>
          <w:kern w:val="2"/>
          <w:sz w:val="20"/>
          <w:szCs w:val="20"/>
        </w:rPr>
        <w:t>F1.e.i</w:t>
      </w:r>
      <w:r w:rsidRPr="009405FD">
        <w:rPr>
          <w:rFonts w:ascii="Arial" w:hAnsi="Arial" w:cs="Arial"/>
          <w:kern w:val="2"/>
          <w:sz w:val="20"/>
          <w:szCs w:val="20"/>
        </w:rPr>
        <w:tab/>
      </w:r>
      <w:r w:rsidRPr="009405FD">
        <w:rPr>
          <w:rFonts w:ascii="Arial" w:hAnsi="Arial" w:cs="Arial"/>
          <w:b/>
          <w:kern w:val="2"/>
          <w:sz w:val="20"/>
          <w:szCs w:val="20"/>
          <w:u w:val="single"/>
        </w:rPr>
        <w:t>Process for Determining Need/Evidence of Community Engagement:</w:t>
      </w:r>
      <w:r w:rsidRPr="009405FD">
        <w:rPr>
          <w:rFonts w:ascii="Arial" w:hAnsi="Arial" w:cs="Arial"/>
          <w:b/>
          <w:kern w:val="2"/>
          <w:sz w:val="20"/>
          <w:szCs w:val="20"/>
        </w:rPr>
        <w:t xml:space="preserve"> </w:t>
      </w:r>
    </w:p>
    <w:p w14:paraId="61659B02" w14:textId="77777777" w:rsidR="009C4CCF" w:rsidRPr="009405FD" w:rsidRDefault="009C4CCF" w:rsidP="009C4CCF">
      <w:pPr>
        <w:spacing w:after="0" w:line="240" w:lineRule="auto"/>
        <w:ind w:left="1440"/>
        <w:jc w:val="both"/>
        <w:rPr>
          <w:rFonts w:ascii="Arial" w:hAnsi="Arial" w:cs="Arial"/>
          <w:b/>
          <w:kern w:val="2"/>
          <w:sz w:val="20"/>
          <w:szCs w:val="20"/>
        </w:rPr>
      </w:pPr>
      <w:r w:rsidRPr="009405FD">
        <w:rPr>
          <w:rFonts w:ascii="Arial" w:hAnsi="Arial" w:cs="Arial"/>
          <w:b/>
          <w:kern w:val="2"/>
          <w:sz w:val="20"/>
          <w:szCs w:val="20"/>
        </w:rPr>
        <w:t xml:space="preserve">For assistance in responding to this portion of the Application, Applicant is encouraged to review </w:t>
      </w:r>
      <w:r w:rsidRPr="009405FD">
        <w:rPr>
          <w:rFonts w:ascii="Arial" w:hAnsi="Arial" w:cs="Arial"/>
          <w:b/>
          <w:i/>
          <w:kern w:val="2"/>
          <w:sz w:val="20"/>
          <w:szCs w:val="20"/>
        </w:rPr>
        <w:t xml:space="preserve">Community Engagement Standards for Community Health Planning Guideline. </w:t>
      </w:r>
      <w:r w:rsidRPr="009405FD">
        <w:rPr>
          <w:rFonts w:ascii="Arial" w:hAnsi="Arial" w:cs="Arial"/>
          <w:b/>
          <w:kern w:val="2"/>
          <w:sz w:val="20"/>
          <w:szCs w:val="20"/>
        </w:rPr>
        <w:t>With respect to the existing Patient Panel, please describe the process through which Applicant determined the need for the Proposed Project.</w:t>
      </w:r>
    </w:p>
    <w:p w14:paraId="11F87D49" w14:textId="77777777" w:rsidR="009C4CCF" w:rsidRPr="009405FD" w:rsidRDefault="009C4CCF" w:rsidP="009C4CCF">
      <w:pPr>
        <w:spacing w:after="0" w:line="240" w:lineRule="auto"/>
        <w:ind w:left="1440" w:hanging="1440"/>
        <w:jc w:val="both"/>
        <w:rPr>
          <w:rFonts w:ascii="Arial" w:eastAsia="Arial" w:hAnsi="Arial" w:cs="Arial"/>
          <w:kern w:val="2"/>
          <w:sz w:val="20"/>
          <w:szCs w:val="20"/>
        </w:rPr>
      </w:pPr>
    </w:p>
    <w:p w14:paraId="3922C627" w14:textId="78850197" w:rsidR="00E4107C" w:rsidRPr="00010F2F" w:rsidRDefault="00E4107C" w:rsidP="00E4107C">
      <w:pPr>
        <w:spacing w:after="0" w:line="240" w:lineRule="auto"/>
        <w:jc w:val="both"/>
        <w:rPr>
          <w:rFonts w:ascii="Arial" w:eastAsia="Arial" w:hAnsi="Arial" w:cs="Arial"/>
          <w:sz w:val="20"/>
          <w:szCs w:val="20"/>
        </w:rPr>
      </w:pPr>
      <w:r w:rsidRPr="00010F2F">
        <w:rPr>
          <w:rFonts w:ascii="Arial" w:eastAsia="Arial" w:hAnsi="Arial" w:cs="Arial"/>
          <w:kern w:val="2"/>
          <w:sz w:val="20"/>
          <w:szCs w:val="20"/>
        </w:rPr>
        <w:t xml:space="preserve">In addition to relying on the data described throughout this application that demonstrates the need for the Proposed Project, the Applicant also sought to engage the community to elicit feedback from patients and families regarding the Proposed Project. The presentations reviewed the purpose of the Proposed Project, what it would mean for patients and the community, and provided a general overview of the Proposed Project’s process. The </w:t>
      </w:r>
      <w:r w:rsidRPr="00010F2F">
        <w:rPr>
          <w:rFonts w:ascii="Arial" w:eastAsia="Arial" w:hAnsi="Arial" w:cs="Arial"/>
          <w:sz w:val="20"/>
          <w:szCs w:val="20"/>
        </w:rPr>
        <w:t xml:space="preserve">Proposed Project was presented </w:t>
      </w:r>
      <w:r w:rsidRPr="00010F2F">
        <w:rPr>
          <w:rFonts w:ascii="Arial" w:eastAsia="Arial" w:hAnsi="Arial" w:cs="Arial"/>
          <w:kern w:val="2"/>
          <w:sz w:val="20"/>
          <w:szCs w:val="20"/>
        </w:rPr>
        <w:t>to the following groups:</w:t>
      </w:r>
    </w:p>
    <w:p w14:paraId="42141B90" w14:textId="18723476" w:rsidR="00CB02FE" w:rsidRPr="00010F2F" w:rsidRDefault="00CB02FE" w:rsidP="009C4CCF">
      <w:pPr>
        <w:spacing w:after="0" w:line="240" w:lineRule="auto"/>
        <w:jc w:val="both"/>
        <w:rPr>
          <w:rFonts w:ascii="Arial" w:eastAsia="Arial" w:hAnsi="Arial" w:cs="Arial"/>
          <w:kern w:val="2"/>
        </w:rPr>
      </w:pPr>
    </w:p>
    <w:p w14:paraId="2442606C" w14:textId="42DF69E9" w:rsidR="00E4107C" w:rsidRPr="00010F2F" w:rsidRDefault="00DC7BB6" w:rsidP="001D6258">
      <w:pPr>
        <w:pStyle w:val="ListParagraph"/>
        <w:numPr>
          <w:ilvl w:val="0"/>
          <w:numId w:val="12"/>
        </w:numPr>
        <w:spacing w:after="0" w:line="240" w:lineRule="auto"/>
        <w:ind w:left="1800"/>
        <w:jc w:val="both"/>
        <w:rPr>
          <w:rFonts w:ascii="Arial" w:eastAsia="Arial" w:hAnsi="Arial" w:cs="Arial"/>
          <w:kern w:val="2"/>
          <w:sz w:val="20"/>
          <w:szCs w:val="20"/>
        </w:rPr>
      </w:pPr>
      <w:r>
        <w:rPr>
          <w:rFonts w:ascii="Arial" w:eastAsia="Arial" w:hAnsi="Arial" w:cs="Arial"/>
          <w:sz w:val="20"/>
          <w:szCs w:val="20"/>
        </w:rPr>
        <w:t>Community</w:t>
      </w:r>
    </w:p>
    <w:p w14:paraId="068529C1" w14:textId="364647C3" w:rsidR="00E4107C" w:rsidRPr="00731C0F" w:rsidRDefault="00DC7BB6" w:rsidP="001D6258">
      <w:pPr>
        <w:pStyle w:val="ListParagraph"/>
        <w:numPr>
          <w:ilvl w:val="0"/>
          <w:numId w:val="12"/>
        </w:numPr>
        <w:spacing w:after="0" w:line="240" w:lineRule="auto"/>
        <w:ind w:left="1800"/>
        <w:jc w:val="both"/>
        <w:rPr>
          <w:rFonts w:ascii="Arial" w:eastAsia="Arial" w:hAnsi="Arial" w:cs="Arial"/>
          <w:kern w:val="2"/>
          <w:sz w:val="20"/>
          <w:szCs w:val="20"/>
        </w:rPr>
      </w:pPr>
      <w:r>
        <w:rPr>
          <w:rFonts w:ascii="Arial" w:eastAsia="Arial" w:hAnsi="Arial" w:cs="Arial"/>
          <w:sz w:val="20"/>
          <w:szCs w:val="20"/>
        </w:rPr>
        <w:t>Patient and Family Advisory Council (“PFAC”)</w:t>
      </w:r>
    </w:p>
    <w:p w14:paraId="413BC793" w14:textId="70A34464" w:rsidR="00731C0F" w:rsidRPr="00010F2F" w:rsidRDefault="00731C0F" w:rsidP="001D6258">
      <w:pPr>
        <w:pStyle w:val="ListParagraph"/>
        <w:numPr>
          <w:ilvl w:val="0"/>
          <w:numId w:val="12"/>
        </w:numPr>
        <w:spacing w:after="0" w:line="240" w:lineRule="auto"/>
        <w:ind w:left="1800"/>
        <w:jc w:val="both"/>
        <w:rPr>
          <w:rFonts w:ascii="Arial" w:eastAsia="Arial" w:hAnsi="Arial" w:cs="Arial"/>
          <w:kern w:val="2"/>
          <w:sz w:val="20"/>
          <w:szCs w:val="20"/>
        </w:rPr>
      </w:pPr>
      <w:r>
        <w:rPr>
          <w:rFonts w:ascii="Arial" w:eastAsia="Arial" w:hAnsi="Arial" w:cs="Arial"/>
          <w:sz w:val="20"/>
          <w:szCs w:val="20"/>
        </w:rPr>
        <w:t xml:space="preserve">Healthy Communities Committee </w:t>
      </w:r>
    </w:p>
    <w:p w14:paraId="2FF1343D" w14:textId="77777777" w:rsidR="00E4107C" w:rsidRPr="00010F2F" w:rsidRDefault="00E4107C" w:rsidP="009C4CCF">
      <w:pPr>
        <w:spacing w:after="0" w:line="240" w:lineRule="auto"/>
        <w:jc w:val="both"/>
        <w:rPr>
          <w:rFonts w:ascii="Arial" w:eastAsia="Arial" w:hAnsi="Arial" w:cs="Arial"/>
          <w:kern w:val="2"/>
        </w:rPr>
      </w:pPr>
    </w:p>
    <w:p w14:paraId="00D04816" w14:textId="77777777" w:rsidR="009C4CCF" w:rsidRPr="009405FD" w:rsidRDefault="009C4CCF" w:rsidP="009C4CCF">
      <w:pPr>
        <w:spacing w:after="0" w:line="240" w:lineRule="auto"/>
        <w:ind w:left="1440" w:hanging="1440"/>
        <w:jc w:val="both"/>
        <w:rPr>
          <w:rFonts w:ascii="Arial" w:hAnsi="Arial" w:cs="Arial"/>
          <w:b/>
          <w:kern w:val="2"/>
          <w:sz w:val="20"/>
          <w:szCs w:val="20"/>
        </w:rPr>
      </w:pPr>
      <w:r w:rsidRPr="009405FD">
        <w:rPr>
          <w:rFonts w:ascii="Arial" w:hAnsi="Arial" w:cs="Arial"/>
          <w:b/>
          <w:kern w:val="2"/>
          <w:sz w:val="20"/>
          <w:szCs w:val="20"/>
        </w:rPr>
        <w:t>F1.e.ii</w:t>
      </w:r>
      <w:r w:rsidRPr="009405FD">
        <w:rPr>
          <w:rFonts w:ascii="Arial" w:hAnsi="Arial" w:cs="Arial"/>
          <w:b/>
          <w:kern w:val="2"/>
          <w:sz w:val="20"/>
          <w:szCs w:val="20"/>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516A339B" w14:textId="77777777" w:rsidR="009C4CCF" w:rsidRPr="009405FD" w:rsidRDefault="009C4CCF" w:rsidP="009405FD">
      <w:pPr>
        <w:spacing w:after="0" w:line="240" w:lineRule="auto"/>
        <w:rPr>
          <w:rFonts w:eastAsia="Times New Roman"/>
          <w:sz w:val="20"/>
          <w:szCs w:val="20"/>
        </w:rPr>
      </w:pPr>
    </w:p>
    <w:p w14:paraId="724AA350" w14:textId="77777777" w:rsidR="009C4CCF" w:rsidRPr="00010F2F" w:rsidRDefault="009C4CCF" w:rsidP="009C4CCF">
      <w:pPr>
        <w:spacing w:after="0" w:line="240" w:lineRule="auto"/>
        <w:jc w:val="both"/>
        <w:rPr>
          <w:rFonts w:ascii="Arial" w:hAnsi="Arial" w:cs="Arial"/>
          <w:sz w:val="20"/>
          <w:szCs w:val="20"/>
        </w:rPr>
      </w:pPr>
      <w:r w:rsidRPr="00010F2F">
        <w:rPr>
          <w:rFonts w:ascii="Arial" w:hAnsi="Arial" w:cs="Arial"/>
          <w:sz w:val="20"/>
          <w:szCs w:val="20"/>
        </w:rPr>
        <w:t>To ensure sound community engagement throughout the development of the Proposed Project, the Applicant took the following actions:</w:t>
      </w:r>
    </w:p>
    <w:p w14:paraId="34682FD8" w14:textId="77777777" w:rsidR="009C4CCF" w:rsidRPr="00010F2F" w:rsidRDefault="009C4CCF" w:rsidP="009C4CCF">
      <w:pPr>
        <w:spacing w:after="0" w:line="240" w:lineRule="auto"/>
        <w:jc w:val="both"/>
        <w:rPr>
          <w:rFonts w:ascii="Arial" w:eastAsia="Arial" w:hAnsi="Arial" w:cs="Arial"/>
          <w:kern w:val="2"/>
          <w:sz w:val="20"/>
          <w:szCs w:val="20"/>
        </w:rPr>
      </w:pPr>
    </w:p>
    <w:p w14:paraId="32A67137" w14:textId="3F4FBC81" w:rsidR="00984746" w:rsidRPr="00984746" w:rsidRDefault="00984746" w:rsidP="00984746">
      <w:pPr>
        <w:pStyle w:val="ListParagraph"/>
        <w:numPr>
          <w:ilvl w:val="0"/>
          <w:numId w:val="8"/>
        </w:numPr>
        <w:spacing w:after="0" w:line="240" w:lineRule="auto"/>
        <w:jc w:val="both"/>
        <w:rPr>
          <w:rFonts w:ascii="Arial" w:eastAsia="Times New Roman" w:hAnsi="Arial" w:cs="Arial"/>
          <w:sz w:val="20"/>
          <w:szCs w:val="20"/>
        </w:rPr>
      </w:pPr>
      <w:r w:rsidRPr="00731C0F">
        <w:rPr>
          <w:rFonts w:ascii="Arial" w:eastAsia="Arial" w:hAnsi="Arial" w:cs="Arial"/>
          <w:kern w:val="2"/>
          <w:sz w:val="20"/>
          <w:szCs w:val="20"/>
        </w:rPr>
        <w:t>PFAC presentation on November 15, 2022.</w:t>
      </w:r>
      <w:r>
        <w:rPr>
          <w:rFonts w:ascii="Arial" w:eastAsia="Arial" w:hAnsi="Arial" w:cs="Arial"/>
          <w:kern w:val="2"/>
          <w:sz w:val="20"/>
          <w:szCs w:val="20"/>
        </w:rPr>
        <w:t xml:space="preserve"> Fourteen (14) individuals were in attendance. </w:t>
      </w:r>
    </w:p>
    <w:p w14:paraId="4CE7F377" w14:textId="0E2DD736" w:rsidR="00731C0F" w:rsidRPr="00731C0F" w:rsidRDefault="00731C0F" w:rsidP="00731C0F">
      <w:pPr>
        <w:pStyle w:val="ListParagraph"/>
        <w:numPr>
          <w:ilvl w:val="0"/>
          <w:numId w:val="8"/>
        </w:numPr>
        <w:spacing w:after="0" w:line="240" w:lineRule="auto"/>
        <w:jc w:val="both"/>
        <w:rPr>
          <w:rFonts w:ascii="Arial" w:eastAsia="Arial" w:hAnsi="Arial" w:cs="Arial"/>
          <w:kern w:val="2"/>
          <w:sz w:val="20"/>
          <w:szCs w:val="20"/>
        </w:rPr>
      </w:pPr>
      <w:r>
        <w:rPr>
          <w:rFonts w:ascii="Arial" w:eastAsia="Arial" w:hAnsi="Arial" w:cs="Arial"/>
          <w:sz w:val="20"/>
          <w:szCs w:val="20"/>
        </w:rPr>
        <w:t xml:space="preserve">Healthy Communities Committee presentation on February </w:t>
      </w:r>
      <w:r w:rsidR="00984746">
        <w:rPr>
          <w:rFonts w:ascii="Arial" w:eastAsia="Arial" w:hAnsi="Arial" w:cs="Arial"/>
          <w:sz w:val="20"/>
          <w:szCs w:val="20"/>
        </w:rPr>
        <w:t>13, 2023.</w:t>
      </w:r>
      <w:r w:rsidR="00B3285E">
        <w:rPr>
          <w:rFonts w:ascii="Arial" w:eastAsia="Arial" w:hAnsi="Arial" w:cs="Arial"/>
          <w:sz w:val="20"/>
          <w:szCs w:val="20"/>
        </w:rPr>
        <w:t xml:space="preserve"> </w:t>
      </w:r>
      <w:r w:rsidR="00B3285E" w:rsidRPr="00010F2F">
        <w:rPr>
          <w:rFonts w:ascii="Arial" w:eastAsia="Arial" w:hAnsi="Arial" w:cs="Arial"/>
          <w:kern w:val="2"/>
          <w:sz w:val="20"/>
          <w:szCs w:val="20"/>
        </w:rPr>
        <w:t>Sixteen (16) individuals were in attendance</w:t>
      </w:r>
      <w:r w:rsidR="00B3285E">
        <w:rPr>
          <w:rFonts w:ascii="Arial" w:eastAsia="Arial" w:hAnsi="Arial" w:cs="Arial"/>
          <w:kern w:val="2"/>
          <w:sz w:val="20"/>
          <w:szCs w:val="20"/>
        </w:rPr>
        <w:t>.</w:t>
      </w:r>
    </w:p>
    <w:p w14:paraId="4680E4F7" w14:textId="359A136A" w:rsidR="009C4CCF" w:rsidRDefault="000F1840" w:rsidP="000F1840">
      <w:pPr>
        <w:pStyle w:val="ListParagraph"/>
        <w:numPr>
          <w:ilvl w:val="0"/>
          <w:numId w:val="8"/>
        </w:numPr>
        <w:spacing w:after="0" w:line="240" w:lineRule="auto"/>
        <w:jc w:val="both"/>
        <w:rPr>
          <w:rFonts w:ascii="Arial" w:eastAsia="Arial" w:hAnsi="Arial" w:cs="Arial"/>
          <w:kern w:val="2"/>
          <w:sz w:val="20"/>
          <w:szCs w:val="20"/>
        </w:rPr>
      </w:pPr>
      <w:r w:rsidRPr="00010F2F">
        <w:rPr>
          <w:rFonts w:ascii="Arial" w:eastAsia="Arial" w:hAnsi="Arial" w:cs="Arial"/>
          <w:kern w:val="2"/>
          <w:sz w:val="20"/>
          <w:szCs w:val="20"/>
        </w:rPr>
        <w:t xml:space="preserve">Public Forum </w:t>
      </w:r>
      <w:r w:rsidR="00731C0F">
        <w:rPr>
          <w:rFonts w:ascii="Arial" w:eastAsia="Arial" w:hAnsi="Arial" w:cs="Arial"/>
          <w:kern w:val="2"/>
          <w:sz w:val="20"/>
          <w:szCs w:val="20"/>
        </w:rPr>
        <w:t>p</w:t>
      </w:r>
      <w:r w:rsidRPr="00010F2F">
        <w:rPr>
          <w:rFonts w:ascii="Arial" w:eastAsia="Arial" w:hAnsi="Arial" w:cs="Arial"/>
          <w:kern w:val="2"/>
          <w:sz w:val="20"/>
          <w:szCs w:val="20"/>
        </w:rPr>
        <w:t xml:space="preserve">resentation on March 2, 2023. Sixteen (16) </w:t>
      </w:r>
      <w:r w:rsidR="00C74A74" w:rsidRPr="00010F2F">
        <w:rPr>
          <w:rFonts w:ascii="Arial" w:eastAsia="Arial" w:hAnsi="Arial" w:cs="Arial"/>
          <w:kern w:val="2"/>
          <w:sz w:val="20"/>
          <w:szCs w:val="20"/>
        </w:rPr>
        <w:t>individuals</w:t>
      </w:r>
      <w:r w:rsidRPr="00010F2F">
        <w:rPr>
          <w:rFonts w:ascii="Arial" w:eastAsia="Arial" w:hAnsi="Arial" w:cs="Arial"/>
          <w:kern w:val="2"/>
          <w:sz w:val="20"/>
          <w:szCs w:val="20"/>
        </w:rPr>
        <w:t xml:space="preserve"> </w:t>
      </w:r>
      <w:r w:rsidR="00B016AB" w:rsidRPr="00010F2F">
        <w:rPr>
          <w:rFonts w:ascii="Arial" w:eastAsia="Arial" w:hAnsi="Arial" w:cs="Arial"/>
          <w:kern w:val="2"/>
          <w:sz w:val="20"/>
          <w:szCs w:val="20"/>
        </w:rPr>
        <w:t>were in attendance</w:t>
      </w:r>
      <w:r w:rsidRPr="00010F2F">
        <w:rPr>
          <w:rFonts w:ascii="Arial" w:eastAsia="Arial" w:hAnsi="Arial" w:cs="Arial"/>
          <w:kern w:val="2"/>
          <w:sz w:val="20"/>
          <w:szCs w:val="20"/>
        </w:rPr>
        <w:t xml:space="preserve">. </w:t>
      </w:r>
    </w:p>
    <w:p w14:paraId="6C59DF44" w14:textId="30CA4EAA" w:rsidR="00984746" w:rsidRDefault="00984746" w:rsidP="009C4CCF">
      <w:pPr>
        <w:rPr>
          <w:rFonts w:ascii="Arial" w:eastAsia="Times New Roman" w:hAnsi="Arial" w:cs="Arial"/>
          <w:sz w:val="20"/>
          <w:szCs w:val="20"/>
        </w:rPr>
      </w:pPr>
    </w:p>
    <w:p w14:paraId="5C389C09" w14:textId="02C6DBAA" w:rsidR="001D6258" w:rsidRDefault="001D6258" w:rsidP="009C4CCF">
      <w:pPr>
        <w:rPr>
          <w:rFonts w:ascii="Arial" w:eastAsia="Times New Roman" w:hAnsi="Arial" w:cs="Arial"/>
          <w:sz w:val="20"/>
          <w:szCs w:val="20"/>
        </w:rPr>
      </w:pPr>
    </w:p>
    <w:p w14:paraId="21E5CCCB" w14:textId="77777777" w:rsidR="001D6258" w:rsidRDefault="001D6258" w:rsidP="009C4CCF">
      <w:pPr>
        <w:rPr>
          <w:rFonts w:ascii="Arial" w:eastAsia="Times New Roman" w:hAnsi="Arial" w:cs="Arial"/>
          <w:sz w:val="20"/>
          <w:szCs w:val="20"/>
        </w:rPr>
      </w:pPr>
    </w:p>
    <w:p w14:paraId="02DCDC7B" w14:textId="77777777" w:rsidR="009C4CCF" w:rsidRPr="009405FD" w:rsidRDefault="009C4CCF" w:rsidP="009C4CCF">
      <w:pPr>
        <w:spacing w:after="0" w:line="240" w:lineRule="auto"/>
        <w:jc w:val="both"/>
        <w:rPr>
          <w:rFonts w:ascii="Arial" w:hAnsi="Arial" w:cs="Arial"/>
          <w:b/>
          <w:kern w:val="2"/>
          <w:sz w:val="20"/>
          <w:szCs w:val="20"/>
        </w:rPr>
      </w:pPr>
      <w:r w:rsidRPr="009405FD">
        <w:rPr>
          <w:rFonts w:ascii="Arial" w:hAnsi="Arial" w:cs="Arial"/>
          <w:b/>
          <w:kern w:val="2"/>
          <w:sz w:val="20"/>
          <w:szCs w:val="20"/>
        </w:rPr>
        <w:lastRenderedPageBreak/>
        <w:t xml:space="preserve">Factor 2: Health Priorities </w:t>
      </w:r>
      <w:r w:rsidRPr="009405FD">
        <w:rPr>
          <w:rFonts w:ascii="Arial" w:hAnsi="Arial" w:cs="Arial"/>
          <w:b/>
          <w:kern w:val="2"/>
          <w:sz w:val="20"/>
          <w:szCs w:val="20"/>
        </w:rPr>
        <w:tab/>
      </w:r>
      <w:r w:rsidRPr="009405FD">
        <w:rPr>
          <w:rFonts w:ascii="Arial" w:hAnsi="Arial" w:cs="Arial"/>
          <w:b/>
          <w:kern w:val="2"/>
          <w:sz w:val="20"/>
          <w:szCs w:val="20"/>
        </w:rPr>
        <w:tab/>
      </w:r>
      <w:r w:rsidRPr="009405FD">
        <w:rPr>
          <w:rFonts w:ascii="Arial" w:hAnsi="Arial" w:cs="Arial"/>
          <w:b/>
          <w:kern w:val="2"/>
          <w:sz w:val="20"/>
          <w:szCs w:val="20"/>
        </w:rPr>
        <w:tab/>
      </w:r>
    </w:p>
    <w:p w14:paraId="6E0319C5" w14:textId="77777777" w:rsidR="009C4CCF" w:rsidRPr="009405FD" w:rsidRDefault="009C4CCF" w:rsidP="009C4CCF">
      <w:pPr>
        <w:spacing w:after="0" w:line="240" w:lineRule="auto"/>
        <w:ind w:left="1440" w:hanging="1440"/>
        <w:jc w:val="both"/>
        <w:rPr>
          <w:rFonts w:ascii="Arial" w:hAnsi="Arial" w:cs="Arial"/>
          <w:b/>
          <w:kern w:val="2"/>
          <w:sz w:val="20"/>
          <w:szCs w:val="20"/>
        </w:rPr>
      </w:pPr>
    </w:p>
    <w:p w14:paraId="08009887" w14:textId="77777777" w:rsidR="009C4CCF" w:rsidRPr="009405FD" w:rsidRDefault="009C4CCF" w:rsidP="009C4CCF">
      <w:pPr>
        <w:autoSpaceDE w:val="0"/>
        <w:autoSpaceDN w:val="0"/>
        <w:adjustRightInd w:val="0"/>
        <w:spacing w:after="0" w:line="240" w:lineRule="auto"/>
        <w:jc w:val="both"/>
        <w:rPr>
          <w:rFonts w:ascii="Arial" w:hAnsi="Arial" w:cs="Arial"/>
          <w:b/>
          <w:sz w:val="20"/>
          <w:szCs w:val="20"/>
        </w:rPr>
      </w:pPr>
      <w:r w:rsidRPr="009405FD">
        <w:rPr>
          <w:rFonts w:ascii="Arial" w:hAnsi="Arial" w:cs="Arial"/>
          <w:b/>
          <w:sz w:val="20"/>
          <w:szCs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4159F75E" w14:textId="77777777" w:rsidR="00D844CF" w:rsidRPr="009405FD" w:rsidRDefault="00D844CF" w:rsidP="009C4CCF">
      <w:pPr>
        <w:autoSpaceDE w:val="0"/>
        <w:autoSpaceDN w:val="0"/>
        <w:adjustRightInd w:val="0"/>
        <w:spacing w:after="0" w:line="240" w:lineRule="auto"/>
        <w:jc w:val="both"/>
        <w:rPr>
          <w:rFonts w:ascii="Arial" w:hAnsi="Arial" w:cs="Arial"/>
          <w:b/>
          <w:sz w:val="20"/>
          <w:szCs w:val="20"/>
        </w:rPr>
      </w:pPr>
    </w:p>
    <w:p w14:paraId="79BE9220" w14:textId="77777777" w:rsidR="009C4CCF" w:rsidRPr="009405FD" w:rsidRDefault="009C4CCF" w:rsidP="009C4CCF">
      <w:pPr>
        <w:tabs>
          <w:tab w:val="left" w:pos="1440"/>
        </w:tabs>
        <w:autoSpaceDE w:val="0"/>
        <w:autoSpaceDN w:val="0"/>
        <w:adjustRightInd w:val="0"/>
        <w:spacing w:after="0" w:line="240" w:lineRule="auto"/>
        <w:ind w:left="1440" w:hanging="1440"/>
        <w:jc w:val="both"/>
        <w:rPr>
          <w:rFonts w:ascii="Arial" w:hAnsi="Arial" w:cs="Arial"/>
          <w:b/>
          <w:sz w:val="20"/>
          <w:szCs w:val="20"/>
        </w:rPr>
      </w:pPr>
      <w:r w:rsidRPr="009405FD">
        <w:rPr>
          <w:rFonts w:ascii="Arial" w:hAnsi="Arial" w:cs="Arial"/>
          <w:b/>
          <w:sz w:val="20"/>
          <w:szCs w:val="20"/>
        </w:rPr>
        <w:t>F2.a.</w:t>
      </w:r>
      <w:r w:rsidRPr="009405FD">
        <w:rPr>
          <w:rFonts w:ascii="Arial" w:hAnsi="Arial" w:cs="Arial"/>
          <w:b/>
          <w:sz w:val="20"/>
          <w:szCs w:val="20"/>
        </w:rPr>
        <w:tab/>
      </w:r>
      <w:r w:rsidRPr="009405FD">
        <w:rPr>
          <w:rFonts w:ascii="Arial" w:hAnsi="Arial" w:cs="Arial"/>
          <w:b/>
          <w:sz w:val="20"/>
          <w:szCs w:val="20"/>
          <w:u w:val="single"/>
        </w:rPr>
        <w:t>Cost Containment:</w:t>
      </w:r>
      <w:r w:rsidRPr="009405FD">
        <w:rPr>
          <w:rFonts w:ascii="Arial" w:hAnsi="Arial" w:cs="Arial"/>
          <w:b/>
          <w:sz w:val="20"/>
          <w:szCs w:val="20"/>
        </w:rPr>
        <w:t xml:space="preserve"> </w:t>
      </w:r>
    </w:p>
    <w:p w14:paraId="1EF8BFCD" w14:textId="77777777" w:rsidR="009C4CCF" w:rsidRPr="009405FD"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9405FD">
        <w:rPr>
          <w:rFonts w:ascii="Arial" w:hAnsi="Arial" w:cs="Arial"/>
          <w:b/>
          <w:sz w:val="20"/>
          <w:szCs w:val="20"/>
        </w:rPr>
        <w:tab/>
      </w:r>
      <w:r w:rsidRPr="009405FD">
        <w:rPr>
          <w:rFonts w:ascii="Arial" w:hAnsi="Arial" w:cs="Arial"/>
          <w:b/>
          <w:kern w:val="2"/>
          <w:sz w:val="20"/>
          <w:szCs w:val="20"/>
        </w:rPr>
        <w:t>Using objective data, please describe, for each new or expanded service, how the Proposed Project will meaningfully contribute to the Commonwealth's goals for cost containment.</w:t>
      </w:r>
    </w:p>
    <w:p w14:paraId="4C340BC4" w14:textId="03B42E61" w:rsidR="00CB02FE" w:rsidRPr="00010F2F" w:rsidRDefault="00CB02FE" w:rsidP="009C4CCF">
      <w:pPr>
        <w:spacing w:after="0" w:line="240" w:lineRule="auto"/>
        <w:jc w:val="both"/>
        <w:rPr>
          <w:rFonts w:ascii="Arial" w:hAnsi="Arial" w:cs="Arial"/>
          <w:sz w:val="20"/>
          <w:szCs w:val="20"/>
        </w:rPr>
      </w:pPr>
    </w:p>
    <w:p w14:paraId="5BFA58C8" w14:textId="13592323" w:rsidR="00F84D9A" w:rsidRDefault="00F84D9A" w:rsidP="00F84D9A">
      <w:pPr>
        <w:pStyle w:val="BodyText2"/>
        <w:tabs>
          <w:tab w:val="left" w:pos="1440"/>
          <w:tab w:val="left" w:pos="5736"/>
        </w:tabs>
        <w:autoSpaceDE w:val="0"/>
        <w:autoSpaceDN w:val="0"/>
        <w:adjustRightInd w:val="0"/>
        <w:rPr>
          <w:kern w:val="0"/>
        </w:rPr>
      </w:pPr>
      <w:r w:rsidRPr="00010F2F">
        <w:rPr>
          <w:kern w:val="0"/>
        </w:rPr>
        <w:t>The goals for cost containment in the Commonwealth center around providing low-cost care alternatives without sacrificing high-quality</w:t>
      </w:r>
      <w:r w:rsidR="00DC7BB6">
        <w:rPr>
          <w:kern w:val="0"/>
        </w:rPr>
        <w:t xml:space="preserve"> care</w:t>
      </w:r>
      <w:r w:rsidRPr="00010F2F">
        <w:rPr>
          <w:kern w:val="0"/>
        </w:rPr>
        <w:t>. In fact, the H</w:t>
      </w:r>
      <w:r w:rsidR="00B016AB" w:rsidRPr="00010F2F">
        <w:rPr>
          <w:kern w:val="0"/>
        </w:rPr>
        <w:t>ealth Policy Commission</w:t>
      </w:r>
      <w:r w:rsidRPr="00010F2F">
        <w:rPr>
          <w:kern w:val="0"/>
        </w:rPr>
        <w:t>, Massachusetts</w:t>
      </w:r>
      <w:r w:rsidR="00B016AB" w:rsidRPr="00010F2F">
        <w:rPr>
          <w:kern w:val="0"/>
        </w:rPr>
        <w:t>’</w:t>
      </w:r>
      <w:r w:rsidRPr="00010F2F">
        <w:rPr>
          <w:kern w:val="0"/>
        </w:rPr>
        <w:t xml:space="preserve"> independent state agency that develops policy to reduce health care cost growth and improve the quality of patient care, has a stated goal of bettering health and care at a lower cost across the Commonwealth. The Proposed Project seeks to align with these goals and meaningfully contribute to cost containment in Massachusetts by providing high-quality imaging services for patients in a cost-effective</w:t>
      </w:r>
      <w:r w:rsidR="00E116F2">
        <w:rPr>
          <w:kern w:val="0"/>
        </w:rPr>
        <w:t>,</w:t>
      </w:r>
      <w:r w:rsidRPr="00010F2F">
        <w:rPr>
          <w:kern w:val="0"/>
        </w:rPr>
        <w:t xml:space="preserve"> community-based setting. As discussed throughout this Application, the Proposed Project seeks to improve access to an essential component of hospital care. Timely access to CT imaging i</w:t>
      </w:r>
      <w:r w:rsidR="005E226A">
        <w:rPr>
          <w:kern w:val="0"/>
        </w:rPr>
        <w:t>mproves</w:t>
      </w:r>
      <w:r w:rsidRPr="00010F2F">
        <w:rPr>
          <w:kern w:val="0"/>
        </w:rPr>
        <w:t xml:space="preserve"> timely </w:t>
      </w:r>
      <w:r w:rsidR="005E226A">
        <w:rPr>
          <w:kern w:val="0"/>
        </w:rPr>
        <w:t xml:space="preserve">diagnosis. </w:t>
      </w:r>
      <w:r w:rsidR="005E226A" w:rsidRPr="00010F2F">
        <w:t>Timely diagnosis allows for treatment to begin before the patient requires more costly care due to advanced disease.</w:t>
      </w:r>
      <w:r w:rsidR="005E226A">
        <w:rPr>
          <w:kern w:val="0"/>
        </w:rPr>
        <w:t xml:space="preserve"> </w:t>
      </w:r>
      <w:r w:rsidRPr="00010F2F">
        <w:rPr>
          <w:kern w:val="0"/>
        </w:rPr>
        <w:t>Moreover, there will be no change in CDH’s contracted rates for CT services</w:t>
      </w:r>
      <w:r w:rsidR="005E226A">
        <w:rPr>
          <w:kern w:val="0"/>
        </w:rPr>
        <w:t xml:space="preserve"> resulting from the Proposed Project</w:t>
      </w:r>
      <w:r w:rsidRPr="00010F2F">
        <w:rPr>
          <w:kern w:val="0"/>
        </w:rPr>
        <w:t xml:space="preserve">. Accordingly, the Proposed Project will contribute to the Commonwealth’s goals of cost containment by having negligible to positive impact on costs while ensuring timely access to care. </w:t>
      </w:r>
    </w:p>
    <w:p w14:paraId="3264005A" w14:textId="416E509E" w:rsidR="00CB02FE" w:rsidRPr="00010F2F" w:rsidRDefault="00CB02FE" w:rsidP="009C4CCF">
      <w:pPr>
        <w:spacing w:after="0" w:line="240" w:lineRule="auto"/>
        <w:jc w:val="both"/>
        <w:rPr>
          <w:rFonts w:ascii="Arial" w:hAnsi="Arial" w:cs="Arial"/>
          <w:sz w:val="20"/>
          <w:szCs w:val="20"/>
        </w:rPr>
      </w:pPr>
    </w:p>
    <w:p w14:paraId="401781A9" w14:textId="77777777" w:rsidR="00CB02FE" w:rsidRPr="00010F2F" w:rsidRDefault="00CB02FE" w:rsidP="009C4CCF">
      <w:pPr>
        <w:spacing w:after="0" w:line="240" w:lineRule="auto"/>
        <w:jc w:val="both"/>
        <w:rPr>
          <w:rFonts w:ascii="Arial" w:hAnsi="Arial" w:cs="Arial"/>
          <w:sz w:val="20"/>
          <w:szCs w:val="20"/>
        </w:rPr>
      </w:pPr>
    </w:p>
    <w:p w14:paraId="5591BF85" w14:textId="77777777" w:rsidR="009C4CCF" w:rsidRPr="009405FD"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9405FD">
        <w:rPr>
          <w:rFonts w:ascii="Arial" w:hAnsi="Arial" w:cs="Arial"/>
          <w:b/>
          <w:kern w:val="2"/>
          <w:sz w:val="20"/>
          <w:szCs w:val="20"/>
        </w:rPr>
        <w:t>F2.b.</w:t>
      </w:r>
      <w:r w:rsidRPr="009405FD">
        <w:rPr>
          <w:rFonts w:ascii="Arial" w:hAnsi="Arial" w:cs="Arial"/>
          <w:b/>
          <w:kern w:val="2"/>
          <w:sz w:val="20"/>
          <w:szCs w:val="20"/>
        </w:rPr>
        <w:tab/>
      </w:r>
      <w:r w:rsidRPr="009405FD">
        <w:rPr>
          <w:rFonts w:ascii="Arial" w:hAnsi="Arial" w:cs="Arial"/>
          <w:b/>
          <w:kern w:val="2"/>
          <w:sz w:val="20"/>
          <w:szCs w:val="20"/>
          <w:u w:val="single"/>
        </w:rPr>
        <w:t>Public Health Outcomes:</w:t>
      </w:r>
      <w:r w:rsidRPr="009405FD">
        <w:rPr>
          <w:rFonts w:ascii="Arial" w:hAnsi="Arial" w:cs="Arial"/>
          <w:b/>
          <w:kern w:val="2"/>
          <w:sz w:val="20"/>
          <w:szCs w:val="20"/>
        </w:rPr>
        <w:t xml:space="preserve"> </w:t>
      </w:r>
    </w:p>
    <w:p w14:paraId="536D2C6E" w14:textId="46B017E3" w:rsidR="009C4CCF" w:rsidRPr="009405FD"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9405FD">
        <w:rPr>
          <w:rFonts w:ascii="Arial" w:hAnsi="Arial" w:cs="Arial"/>
          <w:b/>
          <w:kern w:val="2"/>
          <w:sz w:val="20"/>
          <w:szCs w:val="20"/>
        </w:rPr>
        <w:tab/>
        <w:t>Describe, as relevant, for each new or expanded service, how the Proposed Project will improve public health outcomes.</w:t>
      </w:r>
    </w:p>
    <w:p w14:paraId="6C912D03" w14:textId="1878CC38" w:rsidR="00E4107C" w:rsidRPr="00010F2F" w:rsidRDefault="00E4107C" w:rsidP="009C4CCF">
      <w:pPr>
        <w:tabs>
          <w:tab w:val="left" w:pos="1440"/>
        </w:tabs>
        <w:autoSpaceDE w:val="0"/>
        <w:autoSpaceDN w:val="0"/>
        <w:adjustRightInd w:val="0"/>
        <w:spacing w:after="0" w:line="240" w:lineRule="auto"/>
        <w:ind w:left="1440" w:hanging="1440"/>
        <w:jc w:val="both"/>
        <w:rPr>
          <w:rFonts w:ascii="Arial" w:hAnsi="Arial" w:cs="Arial"/>
          <w:b/>
          <w:kern w:val="2"/>
        </w:rPr>
      </w:pPr>
    </w:p>
    <w:p w14:paraId="42A6F166" w14:textId="05651EBE" w:rsidR="00C22192" w:rsidRDefault="007D73D6" w:rsidP="00555095">
      <w:pPr>
        <w:pStyle w:val="BodyText2"/>
        <w:tabs>
          <w:tab w:val="left" w:pos="1440"/>
          <w:tab w:val="left" w:pos="5736"/>
        </w:tabs>
        <w:autoSpaceDE w:val="0"/>
        <w:autoSpaceDN w:val="0"/>
        <w:adjustRightInd w:val="0"/>
        <w:rPr>
          <w:kern w:val="0"/>
        </w:rPr>
      </w:pPr>
      <w:bookmarkStart w:id="3" w:name="_Hlk101967270"/>
      <w:r>
        <w:rPr>
          <w:kern w:val="0"/>
        </w:rPr>
        <w:t xml:space="preserve">As discussed in this Application, </w:t>
      </w:r>
      <w:r w:rsidR="00B11D6D">
        <w:rPr>
          <w:kern w:val="0"/>
        </w:rPr>
        <w:t xml:space="preserve">the Applicant anticipates </w:t>
      </w:r>
      <w:r>
        <w:rPr>
          <w:kern w:val="0"/>
        </w:rPr>
        <w:t xml:space="preserve">demand for CT imaging will </w:t>
      </w:r>
      <w:r w:rsidR="00B11D6D">
        <w:rPr>
          <w:kern w:val="0"/>
        </w:rPr>
        <w:t>continue to increase</w:t>
      </w:r>
      <w:r w:rsidR="00E116F2">
        <w:rPr>
          <w:kern w:val="0"/>
        </w:rPr>
        <w:t xml:space="preserve"> as the CDH Patient Panel grows and ages</w:t>
      </w:r>
      <w:r w:rsidR="003A0238">
        <w:rPr>
          <w:kern w:val="0"/>
        </w:rPr>
        <w:t>.</w:t>
      </w:r>
      <w:r w:rsidR="00430397">
        <w:rPr>
          <w:kern w:val="0"/>
        </w:rPr>
        <w:t xml:space="preserve"> To</w:t>
      </w:r>
      <w:r w:rsidR="00B11D6D">
        <w:rPr>
          <w:kern w:val="0"/>
        </w:rPr>
        <w:t xml:space="preserve"> ensure </w:t>
      </w:r>
      <w:r w:rsidR="00430397">
        <w:rPr>
          <w:kern w:val="0"/>
        </w:rPr>
        <w:t xml:space="preserve">timely </w:t>
      </w:r>
      <w:r w:rsidR="00B11D6D">
        <w:rPr>
          <w:kern w:val="0"/>
        </w:rPr>
        <w:t xml:space="preserve">access to CT imaging it is necessary to have adequate capacity. </w:t>
      </w:r>
      <w:r w:rsidR="00430397">
        <w:rPr>
          <w:kern w:val="0"/>
        </w:rPr>
        <w:t xml:space="preserve">The addition of a third CT </w:t>
      </w:r>
      <w:r w:rsidR="003A0238">
        <w:rPr>
          <w:kern w:val="0"/>
        </w:rPr>
        <w:t xml:space="preserve">unit </w:t>
      </w:r>
      <w:r w:rsidR="00430397">
        <w:rPr>
          <w:kern w:val="0"/>
        </w:rPr>
        <w:t>will increase capacity and</w:t>
      </w:r>
      <w:r w:rsidR="00B11D6D">
        <w:rPr>
          <w:kern w:val="0"/>
        </w:rPr>
        <w:t xml:space="preserve"> provid</w:t>
      </w:r>
      <w:r w:rsidR="006667E4">
        <w:rPr>
          <w:kern w:val="0"/>
        </w:rPr>
        <w:t>e</w:t>
      </w:r>
      <w:r w:rsidR="00B11D6D">
        <w:rPr>
          <w:kern w:val="0"/>
        </w:rPr>
        <w:t xml:space="preserve"> timely access to CT imaging</w:t>
      </w:r>
      <w:r w:rsidR="00E116F2">
        <w:rPr>
          <w:kern w:val="0"/>
        </w:rPr>
        <w:t xml:space="preserve">. </w:t>
      </w:r>
      <w:r w:rsidR="00B11D6D">
        <w:rPr>
          <w:kern w:val="0"/>
        </w:rPr>
        <w:t>Timely access</w:t>
      </w:r>
      <w:r w:rsidR="00E116F2">
        <w:rPr>
          <w:kern w:val="0"/>
        </w:rPr>
        <w:t xml:space="preserve"> will be achieved by improving door to CT time for stroke patients, reducing wait times for outpatients and expanding availability of interventional procedures using CT.</w:t>
      </w:r>
      <w:r w:rsidR="00B11D6D">
        <w:rPr>
          <w:kern w:val="0"/>
        </w:rPr>
        <w:t xml:space="preserve"> </w:t>
      </w:r>
      <w:r w:rsidR="00E116F2">
        <w:rPr>
          <w:kern w:val="0"/>
        </w:rPr>
        <w:t xml:space="preserve">More timely access will facilitate treatment and result in improved patient experience and public health outcomes. </w:t>
      </w:r>
    </w:p>
    <w:bookmarkEnd w:id="3"/>
    <w:p w14:paraId="53F08DB8" w14:textId="4E79B3FE" w:rsidR="00555095" w:rsidRPr="00010F2F" w:rsidRDefault="00555095" w:rsidP="009C4CCF">
      <w:pPr>
        <w:tabs>
          <w:tab w:val="left" w:pos="1440"/>
          <w:tab w:val="left" w:pos="5736"/>
        </w:tabs>
        <w:autoSpaceDE w:val="0"/>
        <w:autoSpaceDN w:val="0"/>
        <w:adjustRightInd w:val="0"/>
        <w:spacing w:after="0" w:line="240" w:lineRule="auto"/>
        <w:jc w:val="both"/>
        <w:rPr>
          <w:rFonts w:ascii="Arial" w:eastAsia="Times New Roman" w:hAnsi="Arial" w:cs="Arial"/>
          <w:sz w:val="20"/>
          <w:szCs w:val="20"/>
        </w:rPr>
      </w:pPr>
    </w:p>
    <w:p w14:paraId="2DFB038C" w14:textId="77777777" w:rsidR="00555095" w:rsidRPr="009405FD" w:rsidRDefault="00555095" w:rsidP="009C4CCF">
      <w:pPr>
        <w:tabs>
          <w:tab w:val="left" w:pos="1440"/>
          <w:tab w:val="left" w:pos="5736"/>
        </w:tabs>
        <w:autoSpaceDE w:val="0"/>
        <w:autoSpaceDN w:val="0"/>
        <w:adjustRightInd w:val="0"/>
        <w:spacing w:after="0" w:line="240" w:lineRule="auto"/>
        <w:jc w:val="both"/>
        <w:rPr>
          <w:rFonts w:ascii="Arial" w:eastAsia="Times New Roman" w:hAnsi="Arial" w:cs="Arial"/>
          <w:sz w:val="20"/>
          <w:szCs w:val="20"/>
        </w:rPr>
      </w:pPr>
    </w:p>
    <w:p w14:paraId="6B0FA6D3" w14:textId="77777777" w:rsidR="009C4CCF" w:rsidRPr="009405FD"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9405FD">
        <w:rPr>
          <w:rFonts w:ascii="Arial" w:hAnsi="Arial" w:cs="Arial"/>
          <w:b/>
          <w:kern w:val="2"/>
          <w:sz w:val="20"/>
          <w:szCs w:val="20"/>
        </w:rPr>
        <w:t>F2.c.</w:t>
      </w:r>
      <w:r w:rsidRPr="009405FD">
        <w:rPr>
          <w:rFonts w:ascii="Arial" w:hAnsi="Arial" w:cs="Arial"/>
          <w:b/>
          <w:kern w:val="2"/>
          <w:sz w:val="20"/>
          <w:szCs w:val="20"/>
        </w:rPr>
        <w:tab/>
      </w:r>
      <w:r w:rsidRPr="009405FD">
        <w:rPr>
          <w:rFonts w:ascii="Arial" w:hAnsi="Arial" w:cs="Arial"/>
          <w:b/>
          <w:kern w:val="2"/>
          <w:sz w:val="20"/>
          <w:szCs w:val="20"/>
          <w:u w:val="single"/>
        </w:rPr>
        <w:t>Delivery System Transformation:</w:t>
      </w:r>
      <w:r w:rsidRPr="009405FD">
        <w:rPr>
          <w:rFonts w:ascii="Arial" w:hAnsi="Arial" w:cs="Arial"/>
          <w:b/>
          <w:kern w:val="2"/>
          <w:sz w:val="20"/>
          <w:szCs w:val="20"/>
        </w:rPr>
        <w:t xml:space="preserve"> </w:t>
      </w:r>
    </w:p>
    <w:p w14:paraId="527FEFA0" w14:textId="0B8CD642" w:rsidR="009C4CCF" w:rsidRPr="009405FD"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9405FD">
        <w:rPr>
          <w:rFonts w:ascii="Arial" w:hAnsi="Arial" w:cs="Arial"/>
          <w:b/>
          <w:kern w:val="2"/>
          <w:sz w:val="20"/>
          <w:szCs w:val="20"/>
        </w:rPr>
        <w:tab/>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35045142" w14:textId="01AE1C0F" w:rsidR="00B73A05" w:rsidRPr="009405FD" w:rsidRDefault="00B73A05"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5599B9AA" w14:textId="2FD4BF61" w:rsidR="00E9129C" w:rsidRPr="00010F2F" w:rsidRDefault="00DB1245" w:rsidP="00DB1245">
      <w:pPr>
        <w:jc w:val="both"/>
        <w:rPr>
          <w:rFonts w:ascii="Arial" w:hAnsi="Arial" w:cs="Arial"/>
          <w:sz w:val="20"/>
          <w:szCs w:val="20"/>
        </w:rPr>
      </w:pPr>
      <w:r w:rsidRPr="00010F2F">
        <w:rPr>
          <w:rFonts w:ascii="Arial" w:hAnsi="Arial" w:cs="Arial"/>
          <w:sz w:val="20"/>
          <w:szCs w:val="20"/>
        </w:rPr>
        <w:t>The Applicant and CDH have numerous programs in place to ensure linkages to social service organizations. For instance, p</w:t>
      </w:r>
      <w:r w:rsidR="00B73A05" w:rsidRPr="00010F2F">
        <w:rPr>
          <w:rFonts w:ascii="Arial" w:hAnsi="Arial" w:cs="Arial"/>
          <w:sz w:val="20"/>
          <w:szCs w:val="20"/>
        </w:rPr>
        <w:t xml:space="preserve">atients </w:t>
      </w:r>
      <w:r w:rsidR="00841CDF">
        <w:rPr>
          <w:rFonts w:ascii="Arial" w:hAnsi="Arial" w:cs="Arial"/>
          <w:sz w:val="20"/>
          <w:szCs w:val="20"/>
        </w:rPr>
        <w:t>of</w:t>
      </w:r>
      <w:r w:rsidR="00B73A05" w:rsidRPr="00010F2F">
        <w:rPr>
          <w:rFonts w:ascii="Arial" w:hAnsi="Arial" w:cs="Arial"/>
          <w:sz w:val="20"/>
          <w:szCs w:val="20"/>
        </w:rPr>
        <w:t xml:space="preserve"> </w:t>
      </w:r>
      <w:r w:rsidR="00841CDF">
        <w:rPr>
          <w:rFonts w:ascii="Arial" w:hAnsi="Arial" w:cs="Arial"/>
          <w:sz w:val="20"/>
          <w:szCs w:val="20"/>
        </w:rPr>
        <w:t xml:space="preserve">Cooley Hospital Physicians’ Organization, the </w:t>
      </w:r>
      <w:r w:rsidR="000B101E">
        <w:rPr>
          <w:rFonts w:ascii="Arial" w:hAnsi="Arial" w:cs="Arial"/>
          <w:sz w:val="20"/>
          <w:szCs w:val="20"/>
        </w:rPr>
        <w:t>Hospital’s affiliated</w:t>
      </w:r>
      <w:r w:rsidR="00B73A05" w:rsidRPr="00010F2F">
        <w:rPr>
          <w:rFonts w:ascii="Arial" w:hAnsi="Arial" w:cs="Arial"/>
          <w:sz w:val="20"/>
          <w:szCs w:val="20"/>
        </w:rPr>
        <w:t xml:space="preserve"> </w:t>
      </w:r>
      <w:r w:rsidR="00841CDF">
        <w:rPr>
          <w:rFonts w:ascii="Arial" w:hAnsi="Arial" w:cs="Arial"/>
          <w:sz w:val="20"/>
          <w:szCs w:val="20"/>
        </w:rPr>
        <w:t>medical group,</w:t>
      </w:r>
      <w:r w:rsidR="00B73A05" w:rsidRPr="00010F2F">
        <w:rPr>
          <w:rFonts w:ascii="Arial" w:hAnsi="Arial" w:cs="Arial"/>
          <w:sz w:val="20"/>
          <w:szCs w:val="20"/>
        </w:rPr>
        <w:t xml:space="preserve"> are screened for </w:t>
      </w:r>
      <w:proofErr w:type="spellStart"/>
      <w:r w:rsidR="00E14DB9" w:rsidRPr="00010F2F">
        <w:rPr>
          <w:rFonts w:ascii="Arial" w:hAnsi="Arial" w:cs="Arial"/>
          <w:sz w:val="20"/>
          <w:szCs w:val="20"/>
        </w:rPr>
        <w:t>SDoH</w:t>
      </w:r>
      <w:proofErr w:type="spellEnd"/>
      <w:r w:rsidR="00774BF5" w:rsidRPr="00010F2F">
        <w:rPr>
          <w:rFonts w:ascii="Arial" w:hAnsi="Arial" w:cs="Arial"/>
          <w:sz w:val="20"/>
          <w:szCs w:val="20"/>
        </w:rPr>
        <w:t xml:space="preserve"> </w:t>
      </w:r>
      <w:r w:rsidR="000B101E">
        <w:rPr>
          <w:rFonts w:ascii="Arial" w:hAnsi="Arial" w:cs="Arial"/>
          <w:sz w:val="20"/>
          <w:szCs w:val="20"/>
        </w:rPr>
        <w:t>including</w:t>
      </w:r>
      <w:r w:rsidR="00B73A05" w:rsidRPr="00010F2F">
        <w:rPr>
          <w:rFonts w:ascii="Arial" w:hAnsi="Arial" w:cs="Arial"/>
          <w:sz w:val="20"/>
          <w:szCs w:val="20"/>
        </w:rPr>
        <w:t xml:space="preserve"> housing, access to food, transportation, and education. Patients complete the screen</w:t>
      </w:r>
      <w:r w:rsidRPr="00010F2F">
        <w:rPr>
          <w:rFonts w:ascii="Arial" w:hAnsi="Arial" w:cs="Arial"/>
          <w:sz w:val="20"/>
          <w:szCs w:val="20"/>
        </w:rPr>
        <w:t>ing</w:t>
      </w:r>
      <w:r w:rsidR="00B73A05" w:rsidRPr="00010F2F">
        <w:rPr>
          <w:rFonts w:ascii="Arial" w:hAnsi="Arial" w:cs="Arial"/>
          <w:sz w:val="20"/>
          <w:szCs w:val="20"/>
        </w:rPr>
        <w:t xml:space="preserve"> using an iPad and are offered staff assistance as needed.</w:t>
      </w:r>
      <w:r w:rsidRPr="00010F2F">
        <w:rPr>
          <w:rFonts w:ascii="Arial" w:hAnsi="Arial" w:cs="Arial"/>
          <w:sz w:val="20"/>
          <w:szCs w:val="20"/>
        </w:rPr>
        <w:t xml:space="preserve"> </w:t>
      </w:r>
      <w:r w:rsidR="00B73A05" w:rsidRPr="00010F2F">
        <w:rPr>
          <w:rFonts w:ascii="Arial" w:hAnsi="Arial" w:cs="Arial"/>
          <w:sz w:val="20"/>
          <w:szCs w:val="20"/>
        </w:rPr>
        <w:t xml:space="preserve">Patients who screen positively are offered referrals to community-based programs. </w:t>
      </w:r>
      <w:r w:rsidR="00563A0F" w:rsidRPr="00010F2F">
        <w:rPr>
          <w:rFonts w:ascii="Arial" w:hAnsi="Arial" w:cs="Arial"/>
          <w:sz w:val="20"/>
          <w:szCs w:val="20"/>
        </w:rPr>
        <w:t xml:space="preserve">An interdisciplinary team of nurses and social workers identify patients’ health risks, coordinate care between providers and services, and facilitate communications and transitions between hospital, rehabilitation facilities and home. </w:t>
      </w:r>
      <w:r w:rsidR="00B73A05" w:rsidRPr="00010F2F">
        <w:rPr>
          <w:rFonts w:ascii="Arial" w:hAnsi="Arial" w:cs="Arial"/>
          <w:sz w:val="20"/>
          <w:szCs w:val="20"/>
        </w:rPr>
        <w:t xml:space="preserve">The program </w:t>
      </w:r>
      <w:r w:rsidRPr="00010F2F">
        <w:rPr>
          <w:rFonts w:ascii="Arial" w:hAnsi="Arial" w:cs="Arial"/>
          <w:sz w:val="20"/>
          <w:szCs w:val="20"/>
        </w:rPr>
        <w:t xml:space="preserve">also </w:t>
      </w:r>
      <w:r w:rsidR="00B73A05" w:rsidRPr="00010F2F">
        <w:rPr>
          <w:rFonts w:ascii="Arial" w:hAnsi="Arial" w:cs="Arial"/>
          <w:sz w:val="20"/>
          <w:szCs w:val="20"/>
        </w:rPr>
        <w:t>maintains a database of local resources</w:t>
      </w:r>
      <w:r w:rsidR="00D0597B">
        <w:rPr>
          <w:rFonts w:ascii="Arial" w:hAnsi="Arial" w:cs="Arial"/>
          <w:sz w:val="20"/>
          <w:szCs w:val="20"/>
        </w:rPr>
        <w:t xml:space="preserve"> for patients.</w:t>
      </w:r>
    </w:p>
    <w:p w14:paraId="792FEB37" w14:textId="77777777" w:rsidR="009C4CCF" w:rsidRPr="00010F2F" w:rsidRDefault="009C4CCF" w:rsidP="009C4CCF">
      <w:pPr>
        <w:spacing w:after="0" w:line="240" w:lineRule="auto"/>
        <w:jc w:val="both"/>
        <w:rPr>
          <w:rFonts w:ascii="Arial" w:hAnsi="Arial" w:cs="Arial"/>
          <w:w w:val="105"/>
          <w:sz w:val="20"/>
          <w:szCs w:val="20"/>
        </w:rPr>
      </w:pPr>
    </w:p>
    <w:p w14:paraId="3E5F9B29" w14:textId="77777777" w:rsidR="009C4CCF" w:rsidRPr="009405FD" w:rsidRDefault="009C4CCF" w:rsidP="009C4CCF">
      <w:pPr>
        <w:tabs>
          <w:tab w:val="left" w:pos="1440"/>
        </w:tabs>
        <w:autoSpaceDE w:val="0"/>
        <w:autoSpaceDN w:val="0"/>
        <w:adjustRightInd w:val="0"/>
        <w:spacing w:after="0" w:line="240" w:lineRule="auto"/>
        <w:jc w:val="both"/>
        <w:rPr>
          <w:rFonts w:ascii="Arial" w:hAnsi="Arial" w:cs="Arial"/>
          <w:b/>
          <w:kern w:val="2"/>
          <w:sz w:val="20"/>
          <w:szCs w:val="20"/>
        </w:rPr>
      </w:pPr>
      <w:r w:rsidRPr="009405FD">
        <w:rPr>
          <w:rFonts w:ascii="Arial" w:hAnsi="Arial" w:cs="Arial"/>
          <w:b/>
          <w:kern w:val="2"/>
          <w:sz w:val="20"/>
          <w:szCs w:val="20"/>
        </w:rPr>
        <w:lastRenderedPageBreak/>
        <w:t>Factor 5: Relative Merit</w:t>
      </w:r>
    </w:p>
    <w:p w14:paraId="74D0493C" w14:textId="77777777" w:rsidR="009C4CCF" w:rsidRPr="009405FD"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75967EBA" w14:textId="77777777" w:rsidR="009C4CCF" w:rsidRPr="009405FD"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9405FD">
        <w:rPr>
          <w:rFonts w:ascii="Arial" w:hAnsi="Arial" w:cs="Arial"/>
          <w:b/>
          <w:kern w:val="2"/>
          <w:sz w:val="20"/>
          <w:szCs w:val="20"/>
        </w:rPr>
        <w:t>F5.a.i</w:t>
      </w:r>
      <w:r w:rsidRPr="009405FD">
        <w:rPr>
          <w:rFonts w:ascii="Arial" w:hAnsi="Arial" w:cs="Arial"/>
          <w:b/>
          <w:kern w:val="2"/>
          <w:sz w:val="20"/>
          <w:szCs w:val="20"/>
        </w:rPr>
        <w:tab/>
        <w:t>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29889032" w14:textId="77777777" w:rsidR="009C4CCF" w:rsidRPr="009405FD" w:rsidRDefault="009C4CCF" w:rsidP="009C4CCF">
      <w:pPr>
        <w:pStyle w:val="ListParagraph"/>
        <w:tabs>
          <w:tab w:val="left" w:pos="1440"/>
        </w:tabs>
        <w:autoSpaceDE w:val="0"/>
        <w:autoSpaceDN w:val="0"/>
        <w:adjustRightInd w:val="0"/>
        <w:spacing w:after="0" w:line="240" w:lineRule="auto"/>
        <w:jc w:val="both"/>
        <w:rPr>
          <w:rFonts w:ascii="Arial" w:hAnsi="Arial" w:cs="Arial"/>
          <w:kern w:val="2"/>
          <w:sz w:val="20"/>
          <w:szCs w:val="20"/>
          <w:u w:val="single"/>
        </w:rPr>
      </w:pPr>
    </w:p>
    <w:p w14:paraId="771093EB" w14:textId="5763DCA8" w:rsidR="009C4CCF" w:rsidRPr="00010F2F" w:rsidRDefault="009C4CCF" w:rsidP="009C4CCF">
      <w:pPr>
        <w:tabs>
          <w:tab w:val="left" w:pos="720"/>
        </w:tabs>
        <w:autoSpaceDE w:val="0"/>
        <w:autoSpaceDN w:val="0"/>
        <w:adjustRightInd w:val="0"/>
        <w:spacing w:after="0" w:line="240" w:lineRule="auto"/>
        <w:jc w:val="both"/>
        <w:rPr>
          <w:rFonts w:ascii="Arial" w:hAnsi="Arial" w:cs="Arial"/>
          <w:bCs/>
          <w:kern w:val="2"/>
          <w:sz w:val="20"/>
          <w:szCs w:val="20"/>
        </w:rPr>
      </w:pPr>
      <w:r w:rsidRPr="00010F2F">
        <w:rPr>
          <w:rFonts w:ascii="Arial" w:hAnsi="Arial" w:cs="Arial"/>
          <w:b/>
          <w:kern w:val="2"/>
          <w:sz w:val="20"/>
          <w:szCs w:val="20"/>
        </w:rPr>
        <w:t>This Proposal:</w:t>
      </w:r>
      <w:r w:rsidR="00D05BB2" w:rsidRPr="00010F2F">
        <w:rPr>
          <w:rFonts w:ascii="Arial" w:hAnsi="Arial" w:cs="Arial"/>
          <w:b/>
          <w:kern w:val="2"/>
          <w:sz w:val="20"/>
          <w:szCs w:val="20"/>
        </w:rPr>
        <w:t xml:space="preserve"> </w:t>
      </w:r>
      <w:r w:rsidR="00D05BB2" w:rsidRPr="00010F2F">
        <w:rPr>
          <w:rFonts w:ascii="Arial" w:hAnsi="Arial" w:cs="Arial"/>
          <w:bCs/>
          <w:kern w:val="2"/>
          <w:sz w:val="20"/>
          <w:szCs w:val="20"/>
        </w:rPr>
        <w:t xml:space="preserve">The Proposed Project is for the expansion </w:t>
      </w:r>
      <w:r w:rsidR="00384F04" w:rsidRPr="00010F2F">
        <w:rPr>
          <w:rFonts w:ascii="Arial" w:hAnsi="Arial" w:cs="Arial"/>
          <w:bCs/>
          <w:kern w:val="2"/>
          <w:sz w:val="20"/>
          <w:szCs w:val="20"/>
        </w:rPr>
        <w:t xml:space="preserve">of imaging capacity at CDH through the addition of one CT unit in the emergency department. </w:t>
      </w:r>
    </w:p>
    <w:p w14:paraId="6EC56B50" w14:textId="77777777" w:rsidR="006239DF" w:rsidRPr="00010F2F" w:rsidRDefault="006239DF" w:rsidP="009C4CCF">
      <w:pPr>
        <w:tabs>
          <w:tab w:val="left" w:pos="720"/>
        </w:tabs>
        <w:autoSpaceDE w:val="0"/>
        <w:autoSpaceDN w:val="0"/>
        <w:adjustRightInd w:val="0"/>
        <w:spacing w:after="0" w:line="240" w:lineRule="auto"/>
        <w:jc w:val="both"/>
        <w:rPr>
          <w:rFonts w:ascii="Arial" w:hAnsi="Arial" w:cs="Arial"/>
          <w:kern w:val="2"/>
          <w:sz w:val="20"/>
          <w:szCs w:val="20"/>
        </w:rPr>
      </w:pPr>
    </w:p>
    <w:p w14:paraId="5207A2B2" w14:textId="21911BD1" w:rsidR="009C4CCF" w:rsidRPr="00010F2F" w:rsidRDefault="009C4CCF" w:rsidP="009C4CCF">
      <w:pPr>
        <w:tabs>
          <w:tab w:val="left" w:pos="720"/>
        </w:tabs>
        <w:autoSpaceDE w:val="0"/>
        <w:autoSpaceDN w:val="0"/>
        <w:adjustRightInd w:val="0"/>
        <w:spacing w:after="0" w:line="240" w:lineRule="auto"/>
        <w:ind w:left="720"/>
        <w:jc w:val="both"/>
        <w:rPr>
          <w:rFonts w:ascii="Arial" w:hAnsi="Arial" w:cs="Arial"/>
          <w:bCs/>
          <w:kern w:val="2"/>
          <w:sz w:val="20"/>
          <w:szCs w:val="20"/>
        </w:rPr>
      </w:pPr>
      <w:r w:rsidRPr="00010F2F">
        <w:rPr>
          <w:rFonts w:ascii="Arial" w:hAnsi="Arial" w:cs="Arial"/>
          <w:b/>
          <w:kern w:val="2"/>
          <w:sz w:val="20"/>
          <w:szCs w:val="20"/>
        </w:rPr>
        <w:t xml:space="preserve">Quality: </w:t>
      </w:r>
      <w:r w:rsidR="00384F04" w:rsidRPr="00010F2F">
        <w:rPr>
          <w:rFonts w:ascii="Arial" w:hAnsi="Arial" w:cs="Arial"/>
          <w:bCs/>
          <w:kern w:val="2"/>
          <w:sz w:val="20"/>
          <w:szCs w:val="20"/>
        </w:rPr>
        <w:t>The Proposed Project is the superior option because of the impact it will have on patient outcomes. Wit</w:t>
      </w:r>
      <w:r w:rsidR="00734F2F" w:rsidRPr="00010F2F">
        <w:rPr>
          <w:rFonts w:ascii="Arial" w:hAnsi="Arial" w:cs="Arial"/>
          <w:bCs/>
          <w:kern w:val="2"/>
          <w:sz w:val="20"/>
          <w:szCs w:val="20"/>
        </w:rPr>
        <w:t xml:space="preserve">h expanded access to CT, </w:t>
      </w:r>
      <w:r w:rsidR="00027E7A" w:rsidRPr="00010F2F">
        <w:rPr>
          <w:rFonts w:ascii="Arial" w:hAnsi="Arial" w:cs="Arial"/>
          <w:bCs/>
          <w:kern w:val="2"/>
          <w:sz w:val="20"/>
          <w:szCs w:val="20"/>
        </w:rPr>
        <w:t>CDH will have capacity to address</w:t>
      </w:r>
      <w:r w:rsidR="000351BF">
        <w:rPr>
          <w:rFonts w:ascii="Arial" w:hAnsi="Arial" w:cs="Arial"/>
          <w:bCs/>
          <w:kern w:val="2"/>
          <w:sz w:val="20"/>
          <w:szCs w:val="20"/>
        </w:rPr>
        <w:t xml:space="preserve"> the </w:t>
      </w:r>
      <w:r w:rsidR="00027E7A" w:rsidRPr="00010F2F">
        <w:rPr>
          <w:rFonts w:ascii="Arial" w:hAnsi="Arial" w:cs="Arial"/>
          <w:bCs/>
          <w:kern w:val="2"/>
          <w:sz w:val="20"/>
          <w:szCs w:val="20"/>
        </w:rPr>
        <w:t xml:space="preserve">high volume of patients </w:t>
      </w:r>
      <w:r w:rsidR="000351BF">
        <w:rPr>
          <w:rFonts w:ascii="Arial" w:hAnsi="Arial" w:cs="Arial"/>
          <w:bCs/>
          <w:kern w:val="2"/>
          <w:sz w:val="20"/>
          <w:szCs w:val="20"/>
        </w:rPr>
        <w:t>presenting to</w:t>
      </w:r>
      <w:r w:rsidR="00027E7A" w:rsidRPr="00010F2F">
        <w:rPr>
          <w:rFonts w:ascii="Arial" w:hAnsi="Arial" w:cs="Arial"/>
          <w:bCs/>
          <w:kern w:val="2"/>
          <w:sz w:val="20"/>
          <w:szCs w:val="20"/>
        </w:rPr>
        <w:t xml:space="preserve"> the ED</w:t>
      </w:r>
      <w:r w:rsidR="000351BF">
        <w:rPr>
          <w:rFonts w:ascii="Arial" w:hAnsi="Arial" w:cs="Arial"/>
          <w:bCs/>
          <w:kern w:val="2"/>
          <w:sz w:val="20"/>
          <w:szCs w:val="20"/>
        </w:rPr>
        <w:t xml:space="preserve"> in need of CT. With a third CT unit</w:t>
      </w:r>
      <w:r w:rsidR="00027E7A" w:rsidRPr="00010F2F">
        <w:rPr>
          <w:rFonts w:ascii="Arial" w:hAnsi="Arial" w:cs="Arial"/>
          <w:bCs/>
          <w:kern w:val="2"/>
          <w:sz w:val="20"/>
          <w:szCs w:val="20"/>
        </w:rPr>
        <w:t xml:space="preserve">, inpatient and outpatient </w:t>
      </w:r>
      <w:r w:rsidR="000351BF">
        <w:rPr>
          <w:rFonts w:ascii="Arial" w:hAnsi="Arial" w:cs="Arial"/>
          <w:bCs/>
          <w:kern w:val="2"/>
          <w:sz w:val="20"/>
          <w:szCs w:val="20"/>
        </w:rPr>
        <w:t xml:space="preserve">access will improve by eliminating disruptions to scheduled CT caused by emergent cases. </w:t>
      </w:r>
      <w:r w:rsidR="00027E7A" w:rsidRPr="00010F2F">
        <w:rPr>
          <w:rFonts w:ascii="Arial" w:hAnsi="Arial" w:cs="Arial"/>
          <w:bCs/>
          <w:kern w:val="2"/>
          <w:sz w:val="20"/>
          <w:szCs w:val="20"/>
        </w:rPr>
        <w:t xml:space="preserve">CDH </w:t>
      </w:r>
      <w:r w:rsidR="000351BF">
        <w:rPr>
          <w:rFonts w:ascii="Arial" w:hAnsi="Arial" w:cs="Arial"/>
          <w:bCs/>
          <w:kern w:val="2"/>
          <w:sz w:val="20"/>
          <w:szCs w:val="20"/>
        </w:rPr>
        <w:t xml:space="preserve">also </w:t>
      </w:r>
      <w:r w:rsidR="00027E7A" w:rsidRPr="00010F2F">
        <w:rPr>
          <w:rFonts w:ascii="Arial" w:hAnsi="Arial" w:cs="Arial"/>
          <w:bCs/>
          <w:kern w:val="2"/>
          <w:sz w:val="20"/>
          <w:szCs w:val="20"/>
        </w:rPr>
        <w:t>wil</w:t>
      </w:r>
      <w:r w:rsidR="000351BF">
        <w:rPr>
          <w:rFonts w:ascii="Arial" w:hAnsi="Arial" w:cs="Arial"/>
          <w:bCs/>
          <w:kern w:val="2"/>
          <w:sz w:val="20"/>
          <w:szCs w:val="20"/>
        </w:rPr>
        <w:t>l</w:t>
      </w:r>
      <w:r w:rsidR="00027E7A" w:rsidRPr="00010F2F">
        <w:rPr>
          <w:rFonts w:ascii="Arial" w:hAnsi="Arial" w:cs="Arial"/>
          <w:bCs/>
          <w:kern w:val="2"/>
          <w:sz w:val="20"/>
          <w:szCs w:val="20"/>
        </w:rPr>
        <w:t xml:space="preserve"> have availability to accommodate interventional radiology procedures.</w:t>
      </w:r>
    </w:p>
    <w:p w14:paraId="09F9581D" w14:textId="77777777" w:rsidR="009C4CCF" w:rsidRPr="00010F2F"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5EECDAFF" w14:textId="370EDDA8" w:rsidR="00027E7A" w:rsidRPr="00010F2F" w:rsidRDefault="009C4CCF" w:rsidP="00027E7A">
      <w:pPr>
        <w:tabs>
          <w:tab w:val="left" w:pos="720"/>
        </w:tabs>
        <w:autoSpaceDE w:val="0"/>
        <w:autoSpaceDN w:val="0"/>
        <w:adjustRightInd w:val="0"/>
        <w:spacing w:after="0" w:line="240" w:lineRule="auto"/>
        <w:ind w:left="720"/>
        <w:jc w:val="both"/>
        <w:rPr>
          <w:rFonts w:ascii="Arial" w:hAnsi="Arial" w:cs="Arial"/>
          <w:bCs/>
          <w:kern w:val="2"/>
          <w:sz w:val="20"/>
          <w:szCs w:val="20"/>
        </w:rPr>
      </w:pPr>
      <w:r w:rsidRPr="00010F2F">
        <w:rPr>
          <w:rFonts w:ascii="Arial" w:hAnsi="Arial" w:cs="Arial"/>
          <w:b/>
          <w:kern w:val="2"/>
          <w:sz w:val="20"/>
          <w:szCs w:val="20"/>
        </w:rPr>
        <w:t xml:space="preserve">Efficiency: </w:t>
      </w:r>
      <w:r w:rsidR="00027E7A" w:rsidRPr="00010F2F">
        <w:rPr>
          <w:rFonts w:ascii="Arial" w:hAnsi="Arial" w:cs="Arial"/>
          <w:bCs/>
          <w:kern w:val="2"/>
          <w:sz w:val="20"/>
          <w:szCs w:val="20"/>
        </w:rPr>
        <w:t xml:space="preserve">The acquisition of a third CT unit will minimize delays in access and care currently caused by limited capacity to meet the high demand. </w:t>
      </w:r>
      <w:r w:rsidR="000351BF">
        <w:rPr>
          <w:rFonts w:ascii="Arial" w:hAnsi="Arial" w:cs="Arial"/>
          <w:bCs/>
          <w:kern w:val="2"/>
          <w:sz w:val="20"/>
          <w:szCs w:val="20"/>
        </w:rPr>
        <w:t xml:space="preserve">Through a dedicated ED CT unit, the Hospital can operate all units more efficiently. </w:t>
      </w:r>
    </w:p>
    <w:p w14:paraId="0D513B68" w14:textId="77777777" w:rsidR="009C4CCF" w:rsidRPr="00010F2F" w:rsidRDefault="009C4CCF" w:rsidP="00D7248F">
      <w:pPr>
        <w:tabs>
          <w:tab w:val="left" w:pos="1440"/>
        </w:tabs>
        <w:autoSpaceDE w:val="0"/>
        <w:autoSpaceDN w:val="0"/>
        <w:adjustRightInd w:val="0"/>
        <w:spacing w:after="0" w:line="240" w:lineRule="auto"/>
        <w:jc w:val="both"/>
        <w:rPr>
          <w:rFonts w:ascii="Arial" w:hAnsi="Arial" w:cs="Arial"/>
          <w:kern w:val="2"/>
          <w:sz w:val="20"/>
          <w:szCs w:val="20"/>
        </w:rPr>
      </w:pPr>
    </w:p>
    <w:p w14:paraId="0060CF6A" w14:textId="620CDEFF" w:rsidR="009C4CCF" w:rsidRPr="00010F2F" w:rsidRDefault="009C4CCF" w:rsidP="009C4CCF">
      <w:pPr>
        <w:autoSpaceDE w:val="0"/>
        <w:autoSpaceDN w:val="0"/>
        <w:adjustRightInd w:val="0"/>
        <w:spacing w:after="0" w:line="240" w:lineRule="auto"/>
        <w:ind w:left="720"/>
        <w:jc w:val="both"/>
        <w:rPr>
          <w:rFonts w:ascii="Arial" w:hAnsi="Arial" w:cs="Arial"/>
          <w:kern w:val="2"/>
          <w:sz w:val="20"/>
          <w:szCs w:val="20"/>
        </w:rPr>
      </w:pPr>
      <w:r w:rsidRPr="00010F2F">
        <w:rPr>
          <w:rFonts w:ascii="Arial" w:hAnsi="Arial" w:cs="Arial"/>
          <w:b/>
          <w:kern w:val="2"/>
          <w:sz w:val="20"/>
          <w:szCs w:val="20"/>
        </w:rPr>
        <w:t xml:space="preserve">Capital Expense: </w:t>
      </w:r>
      <w:r w:rsidR="008751EB" w:rsidRPr="00010F2F">
        <w:rPr>
          <w:rFonts w:ascii="Arial" w:hAnsi="Arial" w:cs="Arial"/>
          <w:bCs/>
          <w:kern w:val="2"/>
          <w:sz w:val="20"/>
          <w:szCs w:val="20"/>
        </w:rPr>
        <w:t>The total capital expenditure for the CT unit is</w:t>
      </w:r>
      <w:r w:rsidRPr="00010F2F">
        <w:rPr>
          <w:rFonts w:ascii="Arial" w:hAnsi="Arial" w:cs="Arial"/>
          <w:kern w:val="2"/>
          <w:sz w:val="20"/>
          <w:szCs w:val="20"/>
        </w:rPr>
        <w:t xml:space="preserve"> </w:t>
      </w:r>
      <w:r w:rsidR="008751EB" w:rsidRPr="00010F2F">
        <w:rPr>
          <w:rFonts w:ascii="Arial" w:hAnsi="Arial" w:cs="Arial"/>
          <w:kern w:val="2"/>
          <w:sz w:val="20"/>
          <w:szCs w:val="20"/>
        </w:rPr>
        <w:t>$2,</w:t>
      </w:r>
      <w:r w:rsidR="00F57939">
        <w:rPr>
          <w:rFonts w:ascii="Arial" w:hAnsi="Arial" w:cs="Arial"/>
          <w:kern w:val="2"/>
          <w:sz w:val="20"/>
          <w:szCs w:val="20"/>
        </w:rPr>
        <w:t>516,623</w:t>
      </w:r>
      <w:r w:rsidR="008751EB" w:rsidRPr="00010F2F">
        <w:rPr>
          <w:rFonts w:ascii="Arial" w:hAnsi="Arial" w:cs="Arial"/>
          <w:kern w:val="2"/>
          <w:sz w:val="20"/>
          <w:szCs w:val="20"/>
        </w:rPr>
        <w:t>.00.</w:t>
      </w:r>
    </w:p>
    <w:p w14:paraId="4D1C8BE1" w14:textId="5B2F0F4D" w:rsidR="008751EB" w:rsidRPr="00010F2F" w:rsidRDefault="008751EB" w:rsidP="009C4CCF">
      <w:pPr>
        <w:autoSpaceDE w:val="0"/>
        <w:autoSpaceDN w:val="0"/>
        <w:adjustRightInd w:val="0"/>
        <w:spacing w:after="0" w:line="240" w:lineRule="auto"/>
        <w:ind w:left="720"/>
        <w:jc w:val="both"/>
        <w:rPr>
          <w:rFonts w:ascii="Arial" w:hAnsi="Arial" w:cs="Arial"/>
          <w:b/>
          <w:bCs/>
          <w:kern w:val="2"/>
          <w:sz w:val="20"/>
          <w:szCs w:val="20"/>
        </w:rPr>
      </w:pPr>
    </w:p>
    <w:p w14:paraId="376AF1A3" w14:textId="36EC8AF4" w:rsidR="008751EB" w:rsidRPr="00010F2F" w:rsidRDefault="008751EB" w:rsidP="009C4CCF">
      <w:pPr>
        <w:autoSpaceDE w:val="0"/>
        <w:autoSpaceDN w:val="0"/>
        <w:adjustRightInd w:val="0"/>
        <w:spacing w:after="0" w:line="240" w:lineRule="auto"/>
        <w:ind w:left="720"/>
        <w:jc w:val="both"/>
        <w:rPr>
          <w:rFonts w:ascii="Arial" w:hAnsi="Arial" w:cs="Arial"/>
          <w:kern w:val="2"/>
          <w:sz w:val="20"/>
          <w:szCs w:val="20"/>
        </w:rPr>
      </w:pPr>
      <w:r w:rsidRPr="00010F2F">
        <w:rPr>
          <w:rFonts w:ascii="Arial" w:hAnsi="Arial" w:cs="Arial"/>
          <w:b/>
          <w:bCs/>
          <w:kern w:val="2"/>
          <w:sz w:val="20"/>
          <w:szCs w:val="20"/>
        </w:rPr>
        <w:t xml:space="preserve">Operating Costs: </w:t>
      </w:r>
      <w:r w:rsidRPr="00010F2F">
        <w:rPr>
          <w:rFonts w:ascii="Arial" w:hAnsi="Arial" w:cs="Arial"/>
          <w:kern w:val="2"/>
          <w:sz w:val="20"/>
          <w:szCs w:val="20"/>
        </w:rPr>
        <w:t>The first-year incremental operating expense of the Proposed Project is $229,830. By year five (5), operating costs are estimated at $468,845.</w:t>
      </w:r>
    </w:p>
    <w:p w14:paraId="1D01C5B0" w14:textId="77777777" w:rsidR="009C4CCF" w:rsidRPr="00010F2F" w:rsidRDefault="009C4CCF" w:rsidP="009C4CCF">
      <w:pPr>
        <w:tabs>
          <w:tab w:val="left" w:pos="1440"/>
        </w:tabs>
        <w:autoSpaceDE w:val="0"/>
        <w:autoSpaceDN w:val="0"/>
        <w:adjustRightInd w:val="0"/>
        <w:spacing w:after="0" w:line="240" w:lineRule="auto"/>
        <w:ind w:left="1440" w:hanging="1440"/>
        <w:jc w:val="both"/>
        <w:rPr>
          <w:rFonts w:ascii="Arial" w:hAnsi="Arial" w:cs="Arial"/>
          <w:kern w:val="2"/>
          <w:sz w:val="20"/>
          <w:szCs w:val="20"/>
        </w:rPr>
      </w:pPr>
    </w:p>
    <w:p w14:paraId="598741EE" w14:textId="77777777" w:rsidR="009C4CCF" w:rsidRPr="00010F2F" w:rsidRDefault="009C4CCF" w:rsidP="002B1094">
      <w:pPr>
        <w:tabs>
          <w:tab w:val="left" w:pos="1440"/>
        </w:tabs>
        <w:autoSpaceDE w:val="0"/>
        <w:autoSpaceDN w:val="0"/>
        <w:adjustRightInd w:val="0"/>
        <w:spacing w:after="0" w:line="240" w:lineRule="auto"/>
        <w:jc w:val="both"/>
        <w:rPr>
          <w:rFonts w:ascii="Arial" w:hAnsi="Arial" w:cs="Arial"/>
          <w:b/>
          <w:kern w:val="2"/>
          <w:sz w:val="20"/>
          <w:szCs w:val="20"/>
        </w:rPr>
      </w:pPr>
    </w:p>
    <w:p w14:paraId="30015DAF" w14:textId="6F472970" w:rsidR="00384F04" w:rsidRPr="00010F2F" w:rsidRDefault="009C4CCF" w:rsidP="00384F04">
      <w:pPr>
        <w:tabs>
          <w:tab w:val="left" w:pos="720"/>
        </w:tabs>
        <w:autoSpaceDE w:val="0"/>
        <w:autoSpaceDN w:val="0"/>
        <w:adjustRightInd w:val="0"/>
        <w:spacing w:after="0" w:line="240" w:lineRule="auto"/>
        <w:jc w:val="both"/>
        <w:rPr>
          <w:rFonts w:ascii="Arial" w:hAnsi="Arial" w:cs="Arial"/>
          <w:kern w:val="2"/>
          <w:sz w:val="20"/>
          <w:szCs w:val="20"/>
        </w:rPr>
      </w:pPr>
      <w:r w:rsidRPr="00010F2F">
        <w:rPr>
          <w:rFonts w:ascii="Arial" w:hAnsi="Arial" w:cs="Arial"/>
          <w:b/>
          <w:kern w:val="2"/>
          <w:sz w:val="20"/>
          <w:szCs w:val="20"/>
        </w:rPr>
        <w:t xml:space="preserve">Alternative Proposal: </w:t>
      </w:r>
      <w:r w:rsidR="00027E7A" w:rsidRPr="00010F2F">
        <w:rPr>
          <w:rFonts w:ascii="Arial" w:hAnsi="Arial" w:cs="Arial"/>
          <w:bCs/>
          <w:kern w:val="2"/>
          <w:sz w:val="20"/>
          <w:szCs w:val="20"/>
        </w:rPr>
        <w:t xml:space="preserve">Forego the acquisition of a third CT unit </w:t>
      </w:r>
      <w:r w:rsidR="00384F04" w:rsidRPr="00010F2F">
        <w:rPr>
          <w:rFonts w:ascii="Arial" w:hAnsi="Arial" w:cs="Arial"/>
          <w:kern w:val="2"/>
          <w:sz w:val="20"/>
          <w:szCs w:val="20"/>
        </w:rPr>
        <w:t xml:space="preserve">and continue to serve patients with two CT units. </w:t>
      </w:r>
    </w:p>
    <w:p w14:paraId="34F926C5" w14:textId="3F73E089" w:rsidR="009C4CCF" w:rsidRPr="00010F2F" w:rsidRDefault="009C4CCF" w:rsidP="009C4CCF">
      <w:pPr>
        <w:tabs>
          <w:tab w:val="left" w:pos="720"/>
        </w:tabs>
        <w:autoSpaceDE w:val="0"/>
        <w:autoSpaceDN w:val="0"/>
        <w:adjustRightInd w:val="0"/>
        <w:spacing w:after="0" w:line="240" w:lineRule="auto"/>
        <w:jc w:val="both"/>
        <w:rPr>
          <w:rFonts w:ascii="Arial" w:hAnsi="Arial" w:cs="Arial"/>
          <w:bCs/>
          <w:kern w:val="2"/>
          <w:sz w:val="20"/>
          <w:szCs w:val="20"/>
        </w:rPr>
      </w:pPr>
    </w:p>
    <w:p w14:paraId="55512F34" w14:textId="77777777" w:rsidR="009C4CCF" w:rsidRPr="00010F2F" w:rsidRDefault="009C4CCF" w:rsidP="009C4CCF">
      <w:pPr>
        <w:tabs>
          <w:tab w:val="left" w:pos="1440"/>
        </w:tabs>
        <w:autoSpaceDE w:val="0"/>
        <w:autoSpaceDN w:val="0"/>
        <w:adjustRightInd w:val="0"/>
        <w:spacing w:after="0" w:line="240" w:lineRule="auto"/>
        <w:jc w:val="both"/>
        <w:rPr>
          <w:rFonts w:ascii="Arial" w:hAnsi="Arial" w:cs="Arial"/>
          <w:kern w:val="2"/>
          <w:sz w:val="20"/>
          <w:szCs w:val="20"/>
        </w:rPr>
      </w:pPr>
    </w:p>
    <w:p w14:paraId="268CBD5A" w14:textId="5098BF3C" w:rsidR="009C4CCF" w:rsidRPr="00010F2F" w:rsidRDefault="009C4CCF" w:rsidP="009C4CCF">
      <w:pPr>
        <w:tabs>
          <w:tab w:val="left" w:pos="720"/>
        </w:tabs>
        <w:autoSpaceDE w:val="0"/>
        <w:autoSpaceDN w:val="0"/>
        <w:adjustRightInd w:val="0"/>
        <w:spacing w:after="0" w:line="240" w:lineRule="auto"/>
        <w:ind w:left="720" w:hanging="720"/>
        <w:jc w:val="both"/>
        <w:rPr>
          <w:rFonts w:ascii="Arial" w:hAnsi="Arial" w:cs="Arial"/>
          <w:bCs/>
          <w:kern w:val="2"/>
          <w:sz w:val="20"/>
          <w:szCs w:val="20"/>
        </w:rPr>
      </w:pPr>
      <w:r w:rsidRPr="00010F2F">
        <w:rPr>
          <w:rFonts w:ascii="Arial" w:hAnsi="Arial" w:cs="Arial"/>
          <w:b/>
          <w:kern w:val="2"/>
          <w:sz w:val="20"/>
          <w:szCs w:val="20"/>
        </w:rPr>
        <w:tab/>
        <w:t xml:space="preserve">Alternative Quality: </w:t>
      </w:r>
      <w:r w:rsidR="00F94034" w:rsidRPr="00010F2F">
        <w:rPr>
          <w:rFonts w:ascii="Arial" w:hAnsi="Arial" w:cs="Arial"/>
          <w:bCs/>
          <w:kern w:val="2"/>
          <w:sz w:val="20"/>
          <w:szCs w:val="20"/>
        </w:rPr>
        <w:t>This alternative does not address</w:t>
      </w:r>
      <w:r w:rsidR="00D579C8" w:rsidRPr="00010F2F">
        <w:rPr>
          <w:rFonts w:ascii="Arial" w:hAnsi="Arial" w:cs="Arial"/>
          <w:bCs/>
          <w:kern w:val="2"/>
          <w:sz w:val="20"/>
          <w:szCs w:val="20"/>
        </w:rPr>
        <w:t xml:space="preserve"> CDH’s </w:t>
      </w:r>
      <w:r w:rsidR="008D16C9" w:rsidRPr="00010F2F">
        <w:rPr>
          <w:rFonts w:ascii="Arial" w:hAnsi="Arial" w:cs="Arial"/>
          <w:bCs/>
          <w:kern w:val="2"/>
          <w:sz w:val="20"/>
          <w:szCs w:val="20"/>
        </w:rPr>
        <w:t>Patient Panel</w:t>
      </w:r>
      <w:r w:rsidR="00027E7A" w:rsidRPr="00010F2F">
        <w:rPr>
          <w:rFonts w:ascii="Arial" w:hAnsi="Arial" w:cs="Arial"/>
          <w:bCs/>
          <w:kern w:val="2"/>
          <w:sz w:val="20"/>
          <w:szCs w:val="20"/>
        </w:rPr>
        <w:t>’s</w:t>
      </w:r>
      <w:r w:rsidR="00D579C8" w:rsidRPr="00010F2F">
        <w:rPr>
          <w:rFonts w:ascii="Arial" w:hAnsi="Arial" w:cs="Arial"/>
          <w:bCs/>
          <w:kern w:val="2"/>
          <w:sz w:val="20"/>
          <w:szCs w:val="20"/>
        </w:rPr>
        <w:t xml:space="preserve"> need for </w:t>
      </w:r>
      <w:r w:rsidR="000351BF">
        <w:rPr>
          <w:rFonts w:ascii="Arial" w:hAnsi="Arial" w:cs="Arial"/>
          <w:bCs/>
          <w:kern w:val="2"/>
          <w:sz w:val="20"/>
          <w:szCs w:val="20"/>
        </w:rPr>
        <w:t>expanded</w:t>
      </w:r>
      <w:r w:rsidR="00D579C8" w:rsidRPr="00010F2F">
        <w:rPr>
          <w:rFonts w:ascii="Arial" w:hAnsi="Arial" w:cs="Arial"/>
          <w:bCs/>
          <w:kern w:val="2"/>
          <w:sz w:val="20"/>
          <w:szCs w:val="20"/>
        </w:rPr>
        <w:t xml:space="preserve"> access to CT imaging</w:t>
      </w:r>
      <w:r w:rsidR="00027E7A" w:rsidRPr="00010F2F">
        <w:rPr>
          <w:rFonts w:ascii="Arial" w:hAnsi="Arial" w:cs="Arial"/>
          <w:bCs/>
          <w:kern w:val="2"/>
          <w:sz w:val="20"/>
          <w:szCs w:val="20"/>
        </w:rPr>
        <w:t>.</w:t>
      </w:r>
    </w:p>
    <w:p w14:paraId="0048E8E9" w14:textId="77777777" w:rsidR="009C4CCF" w:rsidRPr="00010F2F" w:rsidRDefault="009C4CCF" w:rsidP="009C4CCF">
      <w:pPr>
        <w:tabs>
          <w:tab w:val="left" w:pos="1440"/>
        </w:tabs>
        <w:autoSpaceDE w:val="0"/>
        <w:autoSpaceDN w:val="0"/>
        <w:adjustRightInd w:val="0"/>
        <w:spacing w:after="0" w:line="240" w:lineRule="auto"/>
        <w:jc w:val="both"/>
        <w:rPr>
          <w:rFonts w:ascii="Arial" w:hAnsi="Arial" w:cs="Arial"/>
          <w:b/>
          <w:kern w:val="2"/>
          <w:sz w:val="20"/>
          <w:szCs w:val="20"/>
        </w:rPr>
      </w:pPr>
    </w:p>
    <w:p w14:paraId="30F36976" w14:textId="64E8C274" w:rsidR="009C4CCF" w:rsidRPr="00010F2F" w:rsidRDefault="009C4CCF" w:rsidP="00CC24A7">
      <w:pPr>
        <w:tabs>
          <w:tab w:val="left" w:pos="720"/>
        </w:tabs>
        <w:autoSpaceDE w:val="0"/>
        <w:autoSpaceDN w:val="0"/>
        <w:adjustRightInd w:val="0"/>
        <w:spacing w:after="0" w:line="240" w:lineRule="auto"/>
        <w:ind w:left="720" w:hanging="720"/>
        <w:jc w:val="both"/>
        <w:rPr>
          <w:rFonts w:ascii="Arial" w:hAnsi="Arial" w:cs="Arial"/>
          <w:bCs/>
          <w:kern w:val="2"/>
          <w:sz w:val="20"/>
          <w:szCs w:val="20"/>
        </w:rPr>
      </w:pPr>
      <w:r w:rsidRPr="00010F2F">
        <w:rPr>
          <w:rFonts w:ascii="Arial" w:hAnsi="Arial" w:cs="Arial"/>
          <w:b/>
          <w:kern w:val="2"/>
          <w:sz w:val="20"/>
          <w:szCs w:val="20"/>
        </w:rPr>
        <w:tab/>
        <w:t xml:space="preserve">Alternative Efficiency: </w:t>
      </w:r>
      <w:r w:rsidR="00BB0979" w:rsidRPr="00010F2F">
        <w:rPr>
          <w:rFonts w:ascii="Arial" w:hAnsi="Arial" w:cs="Arial"/>
          <w:bCs/>
          <w:kern w:val="2"/>
          <w:sz w:val="20"/>
          <w:szCs w:val="20"/>
        </w:rPr>
        <w:t>CDH resources will continue to be strained under this alternative. As demand for CT continues to grow</w:t>
      </w:r>
      <w:r w:rsidR="00027E7A" w:rsidRPr="00010F2F">
        <w:rPr>
          <w:rFonts w:ascii="Arial" w:hAnsi="Arial" w:cs="Arial"/>
          <w:bCs/>
          <w:kern w:val="2"/>
          <w:sz w:val="20"/>
          <w:szCs w:val="20"/>
        </w:rPr>
        <w:t>,</w:t>
      </w:r>
      <w:r w:rsidR="00BB0979" w:rsidRPr="00010F2F">
        <w:rPr>
          <w:rFonts w:ascii="Arial" w:hAnsi="Arial" w:cs="Arial"/>
          <w:bCs/>
          <w:kern w:val="2"/>
          <w:sz w:val="20"/>
          <w:szCs w:val="20"/>
        </w:rPr>
        <w:t xml:space="preserve"> outpatient</w:t>
      </w:r>
      <w:r w:rsidR="00027E7A" w:rsidRPr="00010F2F">
        <w:rPr>
          <w:rFonts w:ascii="Arial" w:hAnsi="Arial" w:cs="Arial"/>
          <w:bCs/>
          <w:kern w:val="2"/>
          <w:sz w:val="20"/>
          <w:szCs w:val="20"/>
        </w:rPr>
        <w:t>s</w:t>
      </w:r>
      <w:r w:rsidR="00BB0979" w:rsidRPr="00010F2F">
        <w:rPr>
          <w:rFonts w:ascii="Arial" w:hAnsi="Arial" w:cs="Arial"/>
          <w:bCs/>
          <w:kern w:val="2"/>
          <w:sz w:val="20"/>
          <w:szCs w:val="20"/>
        </w:rPr>
        <w:t xml:space="preserve"> will continue to</w:t>
      </w:r>
      <w:r w:rsidR="000351BF">
        <w:rPr>
          <w:rFonts w:ascii="Arial" w:hAnsi="Arial" w:cs="Arial"/>
          <w:bCs/>
          <w:kern w:val="2"/>
          <w:sz w:val="20"/>
          <w:szCs w:val="20"/>
        </w:rPr>
        <w:t xml:space="preserve"> experience </w:t>
      </w:r>
      <w:r w:rsidR="00BB0979" w:rsidRPr="00010F2F">
        <w:rPr>
          <w:rFonts w:ascii="Arial" w:hAnsi="Arial" w:cs="Arial"/>
          <w:bCs/>
          <w:kern w:val="2"/>
          <w:sz w:val="20"/>
          <w:szCs w:val="20"/>
        </w:rPr>
        <w:t>delayed access to CT imaging</w:t>
      </w:r>
      <w:r w:rsidR="000351BF">
        <w:rPr>
          <w:rFonts w:ascii="Arial" w:hAnsi="Arial" w:cs="Arial"/>
          <w:bCs/>
          <w:kern w:val="2"/>
          <w:sz w:val="20"/>
          <w:szCs w:val="20"/>
        </w:rPr>
        <w:t xml:space="preserve"> as wait times increase</w:t>
      </w:r>
      <w:r w:rsidR="00BB0979" w:rsidRPr="00010F2F">
        <w:rPr>
          <w:rFonts w:ascii="Arial" w:hAnsi="Arial" w:cs="Arial"/>
          <w:bCs/>
          <w:kern w:val="2"/>
          <w:sz w:val="20"/>
          <w:szCs w:val="20"/>
        </w:rPr>
        <w:t xml:space="preserve">. </w:t>
      </w:r>
      <w:r w:rsidR="00BB0979" w:rsidRPr="00010F2F">
        <w:rPr>
          <w:rFonts w:ascii="Arial" w:hAnsi="Arial" w:cs="Arial"/>
          <w:kern w:val="2"/>
          <w:sz w:val="20"/>
          <w:szCs w:val="20"/>
        </w:rPr>
        <w:t>In addition, when emergent patients, such as patients with potential stroke, require CT, outpatient scans are delayed or must be rescheduled.</w:t>
      </w:r>
    </w:p>
    <w:p w14:paraId="2ACEFC1B" w14:textId="77777777" w:rsidR="00CC24A7" w:rsidRPr="00010F2F" w:rsidRDefault="009C4CCF" w:rsidP="009C4CCF">
      <w:pPr>
        <w:tabs>
          <w:tab w:val="left" w:pos="720"/>
        </w:tabs>
        <w:autoSpaceDE w:val="0"/>
        <w:autoSpaceDN w:val="0"/>
        <w:adjustRightInd w:val="0"/>
        <w:spacing w:after="0" w:line="240" w:lineRule="auto"/>
        <w:ind w:left="720" w:hanging="720"/>
        <w:jc w:val="both"/>
        <w:rPr>
          <w:rFonts w:ascii="Arial" w:hAnsi="Arial" w:cs="Arial"/>
          <w:b/>
          <w:kern w:val="2"/>
          <w:sz w:val="20"/>
          <w:szCs w:val="20"/>
        </w:rPr>
      </w:pPr>
      <w:r w:rsidRPr="00010F2F">
        <w:rPr>
          <w:rFonts w:ascii="Arial" w:hAnsi="Arial" w:cs="Arial"/>
          <w:b/>
          <w:kern w:val="2"/>
          <w:sz w:val="20"/>
          <w:szCs w:val="20"/>
        </w:rPr>
        <w:tab/>
      </w:r>
    </w:p>
    <w:p w14:paraId="0521B26C" w14:textId="7F2FE614" w:rsidR="009C4CCF" w:rsidRPr="00010F2F" w:rsidRDefault="00CC24A7" w:rsidP="009C4CCF">
      <w:pPr>
        <w:tabs>
          <w:tab w:val="left" w:pos="720"/>
        </w:tabs>
        <w:autoSpaceDE w:val="0"/>
        <w:autoSpaceDN w:val="0"/>
        <w:adjustRightInd w:val="0"/>
        <w:spacing w:after="0" w:line="240" w:lineRule="auto"/>
        <w:ind w:left="720" w:hanging="720"/>
        <w:jc w:val="both"/>
        <w:rPr>
          <w:rFonts w:ascii="Arial" w:hAnsi="Arial" w:cs="Arial"/>
          <w:kern w:val="2"/>
          <w:sz w:val="20"/>
          <w:szCs w:val="20"/>
        </w:rPr>
      </w:pPr>
      <w:r w:rsidRPr="00010F2F">
        <w:rPr>
          <w:rFonts w:ascii="Arial" w:hAnsi="Arial" w:cs="Arial"/>
          <w:b/>
          <w:kern w:val="2"/>
          <w:sz w:val="20"/>
          <w:szCs w:val="20"/>
        </w:rPr>
        <w:tab/>
      </w:r>
      <w:r w:rsidR="009C4CCF" w:rsidRPr="00010F2F">
        <w:rPr>
          <w:rFonts w:ascii="Arial" w:hAnsi="Arial" w:cs="Arial"/>
          <w:b/>
          <w:kern w:val="2"/>
          <w:sz w:val="20"/>
          <w:szCs w:val="20"/>
        </w:rPr>
        <w:t xml:space="preserve">Alternative Capital Expenses: </w:t>
      </w:r>
      <w:r w:rsidR="00384F04" w:rsidRPr="00010F2F">
        <w:rPr>
          <w:rFonts w:ascii="Arial" w:hAnsi="Arial" w:cs="Arial"/>
          <w:kern w:val="2"/>
          <w:sz w:val="20"/>
          <w:szCs w:val="20"/>
        </w:rPr>
        <w:t xml:space="preserve">There are no capital expenses under this alternative.  </w:t>
      </w:r>
    </w:p>
    <w:p w14:paraId="78C6864D" w14:textId="77777777" w:rsidR="009C4CCF" w:rsidRPr="00010F2F" w:rsidRDefault="009C4CCF" w:rsidP="009C4CCF">
      <w:pPr>
        <w:tabs>
          <w:tab w:val="left" w:pos="1440"/>
        </w:tabs>
        <w:autoSpaceDE w:val="0"/>
        <w:autoSpaceDN w:val="0"/>
        <w:adjustRightInd w:val="0"/>
        <w:spacing w:after="0" w:line="240" w:lineRule="auto"/>
        <w:jc w:val="both"/>
        <w:rPr>
          <w:rFonts w:ascii="Arial" w:hAnsi="Arial" w:cs="Arial"/>
          <w:b/>
          <w:kern w:val="2"/>
          <w:sz w:val="20"/>
          <w:szCs w:val="20"/>
        </w:rPr>
      </w:pPr>
    </w:p>
    <w:p w14:paraId="731B2ED8" w14:textId="59C7BA8E" w:rsidR="009C4CCF" w:rsidRPr="00A96CE7" w:rsidRDefault="009C4CCF" w:rsidP="009C4CCF">
      <w:pPr>
        <w:autoSpaceDE w:val="0"/>
        <w:autoSpaceDN w:val="0"/>
        <w:adjustRightInd w:val="0"/>
        <w:spacing w:after="0" w:line="240" w:lineRule="auto"/>
        <w:ind w:left="720" w:hanging="720"/>
        <w:jc w:val="both"/>
        <w:rPr>
          <w:rFonts w:ascii="Arial" w:hAnsi="Arial" w:cs="Arial"/>
          <w:kern w:val="2"/>
          <w:sz w:val="20"/>
          <w:szCs w:val="20"/>
        </w:rPr>
      </w:pPr>
      <w:r w:rsidRPr="00010F2F">
        <w:rPr>
          <w:rFonts w:ascii="Arial" w:hAnsi="Arial" w:cs="Arial"/>
          <w:b/>
          <w:kern w:val="2"/>
          <w:sz w:val="20"/>
          <w:szCs w:val="20"/>
        </w:rPr>
        <w:tab/>
        <w:t xml:space="preserve">Alternative Operating Costs: </w:t>
      </w:r>
      <w:r w:rsidR="00384F04" w:rsidRPr="00010F2F">
        <w:rPr>
          <w:rFonts w:ascii="Arial" w:hAnsi="Arial" w:cs="Arial"/>
          <w:kern w:val="2"/>
          <w:sz w:val="20"/>
          <w:szCs w:val="20"/>
        </w:rPr>
        <w:t>There are no additional operating costs under this option.</w:t>
      </w:r>
      <w:r w:rsidR="00384F04">
        <w:rPr>
          <w:rFonts w:ascii="Arial" w:hAnsi="Arial" w:cs="Arial"/>
          <w:kern w:val="2"/>
          <w:sz w:val="20"/>
          <w:szCs w:val="20"/>
        </w:rPr>
        <w:t xml:space="preserve"> </w:t>
      </w:r>
      <w:r w:rsidR="00384F04" w:rsidRPr="00A96CE7">
        <w:rPr>
          <w:rFonts w:ascii="Arial" w:hAnsi="Arial" w:cs="Arial"/>
          <w:kern w:val="2"/>
          <w:sz w:val="20"/>
          <w:szCs w:val="20"/>
        </w:rPr>
        <w:t xml:space="preserve"> </w:t>
      </w:r>
    </w:p>
    <w:p w14:paraId="7805B1B2" w14:textId="77777777" w:rsidR="009C4CCF" w:rsidRPr="00987284" w:rsidRDefault="009C4CCF" w:rsidP="009C4CCF">
      <w:pPr>
        <w:rPr>
          <w:rFonts w:eastAsia="Times New Roman"/>
        </w:rPr>
      </w:pPr>
    </w:p>
    <w:sectPr w:rsidR="009C4CCF" w:rsidRPr="00987284" w:rsidSect="00396B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96E5" w14:textId="77777777" w:rsidR="00CF2DDF" w:rsidRDefault="00CF2DDF" w:rsidP="00AB7535">
      <w:pPr>
        <w:spacing w:after="0" w:line="240" w:lineRule="auto"/>
      </w:pPr>
      <w:r>
        <w:separator/>
      </w:r>
    </w:p>
  </w:endnote>
  <w:endnote w:type="continuationSeparator" w:id="0">
    <w:p w14:paraId="27C2F35A" w14:textId="77777777" w:rsidR="00CF2DDF" w:rsidRDefault="00CF2DDF" w:rsidP="00AB7535">
      <w:pPr>
        <w:spacing w:after="0" w:line="240" w:lineRule="auto"/>
      </w:pPr>
      <w:r>
        <w:continuationSeparator/>
      </w:r>
    </w:p>
  </w:endnote>
  <w:endnote w:type="continuationNotice" w:id="1">
    <w:p w14:paraId="4D1F9743" w14:textId="77777777" w:rsidR="00CF2DDF" w:rsidRDefault="00CF2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810E" w14:textId="2C45649D" w:rsidR="00CB02FE" w:rsidRDefault="00E26EC3" w:rsidP="007F7869">
    <w:pPr>
      <w:pStyle w:val="DocID"/>
    </w:pPr>
    <w:fldSimple w:instr=" DOCPROPERTY DOCXDOCID DMS=NetDocuments Format=HB: &lt;&lt;ID&gt;&gt;.&lt;&lt;VER&gt;&gt; PRESERVELOCATION \* MERGEFORMAT ">
      <w:r w:rsidR="007F7869" w:rsidRPr="007F7869">
        <w:t>HB: 4872-5929-3543.1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FBC5" w14:textId="21C0DDFB" w:rsidR="00C11954" w:rsidRDefault="00000000">
    <w:pPr>
      <w:pStyle w:val="Footer"/>
      <w:jc w:val="right"/>
    </w:pPr>
    <w:sdt>
      <w:sdtPr>
        <w:id w:val="-1105957003"/>
        <w:docPartObj>
          <w:docPartGallery w:val="Page Numbers (Bottom of Page)"/>
          <w:docPartUnique/>
        </w:docPartObj>
      </w:sdtPr>
      <w:sdtEndPr>
        <w:rPr>
          <w:noProof/>
        </w:rPr>
      </w:sdtEndPr>
      <w:sdtContent>
        <w:r w:rsidR="00C11954">
          <w:fldChar w:fldCharType="begin"/>
        </w:r>
        <w:r w:rsidR="00C11954">
          <w:instrText xml:space="preserve"> PAGE   \* MERGEFORMAT </w:instrText>
        </w:r>
        <w:r w:rsidR="00C11954">
          <w:fldChar w:fldCharType="separate"/>
        </w:r>
        <w:r w:rsidR="00C11954">
          <w:rPr>
            <w:noProof/>
          </w:rPr>
          <w:t>2</w:t>
        </w:r>
        <w:r w:rsidR="00C11954">
          <w:rPr>
            <w:noProof/>
          </w:rPr>
          <w:fldChar w:fldCharType="end"/>
        </w:r>
      </w:sdtContent>
    </w:sdt>
  </w:p>
  <w:p w14:paraId="1E4EAF9D" w14:textId="007BCA5F" w:rsidR="00C11954" w:rsidRDefault="00C11954" w:rsidP="00EC0CC7">
    <w:pPr>
      <w:pStyle w:val="DocID"/>
    </w:pPr>
  </w:p>
  <w:p w14:paraId="3BCE21C4" w14:textId="2164192A" w:rsidR="00C11954" w:rsidRPr="00B05684" w:rsidRDefault="00E26EC3" w:rsidP="007F7869">
    <w:pPr>
      <w:pStyle w:val="DocID"/>
    </w:pPr>
    <w:fldSimple w:instr=" DOCPROPERTY DOCXDOCID DMS=NetDocuments Format=HB: &lt;&lt;ID&gt;&gt;.&lt;&lt;VER&gt;&gt; PRESERVELOCATION \* MERGEFORMAT ">
      <w:r w:rsidR="007F7869" w:rsidRPr="007F7869">
        <w:t>HB: 4872-5929-3543.1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4827" w14:textId="0E711F16" w:rsidR="00CB02FE" w:rsidRDefault="00E26EC3" w:rsidP="007F7869">
    <w:pPr>
      <w:pStyle w:val="DocID"/>
    </w:pPr>
    <w:fldSimple w:instr=" DOCPROPERTY DOCXDOCID DMS=NetDocuments Format=HB: &lt;&lt;ID&gt;&gt;.&lt;&lt;VER&gt;&gt; PRESERVELOCATION \* MERGEFORMAT ">
      <w:r w:rsidR="007F7869" w:rsidRPr="007F7869">
        <w:t>HB: 4872-5929-3543.1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32AA" w14:textId="77777777" w:rsidR="00CF2DDF" w:rsidRDefault="00CF2DDF" w:rsidP="00AB7535">
      <w:pPr>
        <w:spacing w:after="0" w:line="240" w:lineRule="auto"/>
      </w:pPr>
      <w:r>
        <w:separator/>
      </w:r>
    </w:p>
  </w:footnote>
  <w:footnote w:type="continuationSeparator" w:id="0">
    <w:p w14:paraId="1B46BEB0" w14:textId="77777777" w:rsidR="00CF2DDF" w:rsidRDefault="00CF2DDF" w:rsidP="00AB7535">
      <w:pPr>
        <w:spacing w:after="0" w:line="240" w:lineRule="auto"/>
      </w:pPr>
      <w:r>
        <w:continuationSeparator/>
      </w:r>
    </w:p>
  </w:footnote>
  <w:footnote w:type="continuationNotice" w:id="1">
    <w:p w14:paraId="2F4782C5" w14:textId="77777777" w:rsidR="00CF2DDF" w:rsidRDefault="00CF2DDF">
      <w:pPr>
        <w:spacing w:after="0" w:line="240" w:lineRule="auto"/>
      </w:pPr>
    </w:p>
  </w:footnote>
  <w:footnote w:id="2">
    <w:p w14:paraId="77140A3A" w14:textId="53BB4571" w:rsidR="00ED6C5D" w:rsidRPr="00ED6C5D" w:rsidRDefault="00ED6C5D" w:rsidP="004717D4">
      <w:pPr>
        <w:spacing w:after="0" w:line="240" w:lineRule="auto"/>
        <w:jc w:val="both"/>
        <w:rPr>
          <w:rFonts w:ascii="Arial" w:hAnsi="Arial" w:cs="Arial"/>
          <w:color w:val="000000"/>
          <w:sz w:val="18"/>
          <w:szCs w:val="18"/>
        </w:rPr>
      </w:pPr>
      <w:r w:rsidRPr="00ED6C5D">
        <w:rPr>
          <w:rStyle w:val="FootnoteReference"/>
          <w:rFonts w:ascii="Arial" w:hAnsi="Arial" w:cs="Arial"/>
          <w:sz w:val="18"/>
          <w:szCs w:val="18"/>
        </w:rPr>
        <w:footnoteRef/>
      </w:r>
      <w:r w:rsidRPr="00ED6C5D">
        <w:rPr>
          <w:rFonts w:ascii="Arial" w:hAnsi="Arial" w:cs="Arial"/>
          <w:sz w:val="18"/>
          <w:szCs w:val="18"/>
        </w:rPr>
        <w:t xml:space="preserve"> Utilization of patient care services at the following MGB provider organizations was used to determine the Applicant’s </w:t>
      </w:r>
      <w:r w:rsidR="008D16C9">
        <w:rPr>
          <w:rFonts w:ascii="Arial" w:hAnsi="Arial" w:cs="Arial"/>
          <w:sz w:val="18"/>
          <w:szCs w:val="18"/>
        </w:rPr>
        <w:t>Patient Panel</w:t>
      </w:r>
      <w:r w:rsidRPr="00ED6C5D">
        <w:rPr>
          <w:rFonts w:ascii="Arial" w:hAnsi="Arial" w:cs="Arial"/>
          <w:sz w:val="18"/>
          <w:szCs w:val="18"/>
        </w:rPr>
        <w:t>: Massachusetts General Hospital, Brigham and Women’s Hospital, Newton Wellesley Hospital, North Shore Medical Center, Brigham and Women’s Faulkner Hospital, Martha’s Vineyard Hospital (post-Epic data</w:t>
      </w:r>
      <w:r w:rsidR="00A042DC">
        <w:rPr>
          <w:rFonts w:ascii="Arial" w:hAnsi="Arial" w:cs="Arial"/>
          <w:sz w:val="18"/>
          <w:szCs w:val="18"/>
        </w:rPr>
        <w:t xml:space="preserve"> only</w:t>
      </w:r>
      <w:r w:rsidRPr="00ED6C5D">
        <w:rPr>
          <w:rFonts w:ascii="Arial" w:hAnsi="Arial" w:cs="Arial"/>
          <w:sz w:val="18"/>
          <w:szCs w:val="18"/>
        </w:rPr>
        <w:t>), Nantucket Cottage Hospital (</w:t>
      </w:r>
      <w:r w:rsidR="00A042DC" w:rsidRPr="00ED6C5D">
        <w:rPr>
          <w:rFonts w:ascii="Arial" w:hAnsi="Arial" w:cs="Arial"/>
          <w:sz w:val="18"/>
          <w:szCs w:val="18"/>
        </w:rPr>
        <w:t>post-Epic data</w:t>
      </w:r>
      <w:r w:rsidR="00A042DC">
        <w:rPr>
          <w:rFonts w:ascii="Arial" w:hAnsi="Arial" w:cs="Arial"/>
          <w:sz w:val="18"/>
          <w:szCs w:val="18"/>
        </w:rPr>
        <w:t xml:space="preserve"> only</w:t>
      </w:r>
      <w:r w:rsidRPr="00ED6C5D">
        <w:rPr>
          <w:rFonts w:ascii="Arial" w:hAnsi="Arial" w:cs="Arial"/>
          <w:sz w:val="18"/>
          <w:szCs w:val="18"/>
        </w:rPr>
        <w:t>), Cooley Dickinson Hospital (</w:t>
      </w:r>
      <w:r w:rsidR="00A042DC" w:rsidRPr="00ED6C5D">
        <w:rPr>
          <w:rFonts w:ascii="Arial" w:hAnsi="Arial" w:cs="Arial"/>
          <w:sz w:val="18"/>
          <w:szCs w:val="18"/>
        </w:rPr>
        <w:t>post-Epic data</w:t>
      </w:r>
      <w:r w:rsidR="00A042DC">
        <w:rPr>
          <w:rFonts w:ascii="Arial" w:hAnsi="Arial" w:cs="Arial"/>
          <w:sz w:val="18"/>
          <w:szCs w:val="18"/>
        </w:rPr>
        <w:t xml:space="preserve"> only</w:t>
      </w:r>
      <w:r w:rsidRPr="00ED6C5D">
        <w:rPr>
          <w:rFonts w:ascii="Arial" w:hAnsi="Arial" w:cs="Arial"/>
          <w:sz w:val="18"/>
          <w:szCs w:val="18"/>
        </w:rPr>
        <w:t>), Massachusetts Eye and Ear Infirmary (</w:t>
      </w:r>
      <w:r w:rsidR="00A042DC" w:rsidRPr="00ED6C5D">
        <w:rPr>
          <w:rFonts w:ascii="Arial" w:hAnsi="Arial" w:cs="Arial"/>
          <w:sz w:val="18"/>
          <w:szCs w:val="18"/>
        </w:rPr>
        <w:t>post-Epic data</w:t>
      </w:r>
      <w:r w:rsidR="00A042DC">
        <w:rPr>
          <w:rFonts w:ascii="Arial" w:hAnsi="Arial" w:cs="Arial"/>
          <w:sz w:val="18"/>
          <w:szCs w:val="18"/>
        </w:rPr>
        <w:t xml:space="preserve"> only</w:t>
      </w:r>
      <w:r w:rsidRPr="00ED6C5D">
        <w:rPr>
          <w:rFonts w:ascii="Arial" w:hAnsi="Arial" w:cs="Arial"/>
          <w:sz w:val="18"/>
          <w:szCs w:val="18"/>
        </w:rPr>
        <w:t>), Spaulding Rehabilitation Hospital (</w:t>
      </w:r>
      <w:r w:rsidRPr="00ED6C5D">
        <w:rPr>
          <w:rFonts w:ascii="Arial" w:hAnsi="Arial" w:cs="Arial"/>
          <w:color w:val="000000"/>
          <w:sz w:val="18"/>
          <w:szCs w:val="18"/>
        </w:rPr>
        <w:t>Telehealth, Partners Mobile Observation Unit (PMOU), Home Hospital (HH) programs for GH and BWH, Stay Connected with GH, Lifeline, CareSage programs are not included</w:t>
      </w:r>
      <w:r>
        <w:rPr>
          <w:rFonts w:ascii="Arial" w:hAnsi="Arial" w:cs="Arial"/>
          <w:color w:val="000000"/>
          <w:sz w:val="18"/>
          <w:szCs w:val="18"/>
        </w:rPr>
        <w:t>), McLean Hospital (</w:t>
      </w:r>
      <w:r w:rsidR="00A042DC" w:rsidRPr="00ED6C5D">
        <w:rPr>
          <w:rFonts w:ascii="Arial" w:hAnsi="Arial" w:cs="Arial"/>
          <w:sz w:val="18"/>
          <w:szCs w:val="18"/>
        </w:rPr>
        <w:t>post-Epic data</w:t>
      </w:r>
      <w:r w:rsidR="00A042DC">
        <w:rPr>
          <w:rFonts w:ascii="Arial" w:hAnsi="Arial" w:cs="Arial"/>
          <w:sz w:val="18"/>
          <w:szCs w:val="18"/>
        </w:rPr>
        <w:t xml:space="preserve"> only</w:t>
      </w:r>
      <w:r>
        <w:rPr>
          <w:rFonts w:ascii="Arial" w:hAnsi="Arial" w:cs="Arial"/>
          <w:sz w:val="18"/>
          <w:szCs w:val="18"/>
        </w:rPr>
        <w:t>), Mas</w:t>
      </w:r>
      <w:r w:rsidR="004717D4">
        <w:rPr>
          <w:rFonts w:ascii="Arial" w:hAnsi="Arial" w:cs="Arial"/>
          <w:sz w:val="18"/>
          <w:szCs w:val="18"/>
        </w:rPr>
        <w:t>s</w:t>
      </w:r>
      <w:r>
        <w:rPr>
          <w:rFonts w:ascii="Arial" w:hAnsi="Arial" w:cs="Arial"/>
          <w:sz w:val="18"/>
          <w:szCs w:val="18"/>
        </w:rPr>
        <w:t>achusetts General Physicians Organization, Brigham and Women’s Physicians Organization, North Shore Physicians Group, Newton Wellesley Medical Group, Cooley Dickinson PHO (</w:t>
      </w:r>
      <w:r w:rsidR="00A042DC" w:rsidRPr="00ED6C5D">
        <w:rPr>
          <w:rFonts w:ascii="Arial" w:hAnsi="Arial" w:cs="Arial"/>
          <w:sz w:val="18"/>
          <w:szCs w:val="18"/>
        </w:rPr>
        <w:t>post-Epic data</w:t>
      </w:r>
      <w:r w:rsidR="00A042DC">
        <w:rPr>
          <w:rFonts w:ascii="Arial" w:hAnsi="Arial" w:cs="Arial"/>
          <w:sz w:val="18"/>
          <w:szCs w:val="18"/>
        </w:rPr>
        <w:t xml:space="preserve"> only</w:t>
      </w:r>
      <w:r>
        <w:rPr>
          <w:rFonts w:ascii="Arial" w:hAnsi="Arial" w:cs="Arial"/>
          <w:sz w:val="18"/>
          <w:szCs w:val="18"/>
        </w:rPr>
        <w:t>), Partners Community Physicians Organization (</w:t>
      </w:r>
      <w:r w:rsidR="00A042DC">
        <w:rPr>
          <w:rFonts w:ascii="Arial" w:hAnsi="Arial" w:cs="Arial"/>
          <w:sz w:val="18"/>
          <w:szCs w:val="18"/>
        </w:rPr>
        <w:t xml:space="preserve">excluding </w:t>
      </w:r>
      <w:r>
        <w:rPr>
          <w:rFonts w:ascii="Arial" w:hAnsi="Arial" w:cs="Arial"/>
          <w:sz w:val="18"/>
          <w:szCs w:val="18"/>
        </w:rPr>
        <w:t>pre-Epic non-risk patients),</w:t>
      </w:r>
      <w:r w:rsidR="00A042DC">
        <w:rPr>
          <w:rFonts w:ascii="Arial" w:hAnsi="Arial" w:cs="Arial"/>
          <w:sz w:val="18"/>
          <w:szCs w:val="18"/>
        </w:rPr>
        <w:t xml:space="preserve"> and Wentworth-Douglas Hospital (out-of-state hospital included in FY20 data, resulting in increased unique patients from out-of-state patients for FY20). </w:t>
      </w:r>
    </w:p>
  </w:footnote>
  <w:footnote w:id="3">
    <w:p w14:paraId="0A5B678E" w14:textId="45102557" w:rsidR="00A044A7" w:rsidRPr="00A044A7" w:rsidRDefault="00A044A7" w:rsidP="004717D4">
      <w:pPr>
        <w:pStyle w:val="FootnoteText"/>
        <w:rPr>
          <w:rFonts w:ascii="Arial" w:hAnsi="Arial" w:cs="Arial"/>
          <w:sz w:val="18"/>
          <w:szCs w:val="18"/>
        </w:rPr>
      </w:pPr>
      <w:r w:rsidRPr="00A044A7">
        <w:rPr>
          <w:rStyle w:val="FootnoteReference"/>
          <w:rFonts w:ascii="Arial" w:hAnsi="Arial" w:cs="Arial"/>
          <w:sz w:val="18"/>
          <w:szCs w:val="18"/>
        </w:rPr>
        <w:footnoteRef/>
      </w:r>
      <w:r w:rsidRPr="00A044A7">
        <w:rPr>
          <w:rFonts w:ascii="Arial" w:hAnsi="Arial" w:cs="Arial"/>
          <w:sz w:val="18"/>
          <w:szCs w:val="18"/>
        </w:rPr>
        <w:t xml:space="preserve"> The Applicant’s fiscal year is from October 1 – September 30. The fiscal year data was pulled as of January 3, 2023.</w:t>
      </w:r>
      <w:r w:rsidR="00C34A59">
        <w:rPr>
          <w:rFonts w:ascii="Arial" w:hAnsi="Arial" w:cs="Arial"/>
          <w:sz w:val="18"/>
          <w:szCs w:val="18"/>
        </w:rPr>
        <w:t xml:space="preserve"> </w:t>
      </w:r>
    </w:p>
  </w:footnote>
  <w:footnote w:id="4">
    <w:p w14:paraId="09BF81E1" w14:textId="77777777" w:rsidR="00413B69" w:rsidRPr="008C24C9" w:rsidRDefault="00413B69" w:rsidP="008C24C9">
      <w:pPr>
        <w:spacing w:after="0"/>
        <w:rPr>
          <w:rFonts w:ascii="Arial" w:eastAsia="Times New Roman" w:hAnsi="Arial" w:cs="Arial"/>
          <w:color w:val="000000"/>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Pr="008C24C9">
        <w:rPr>
          <w:rFonts w:ascii="Arial" w:eastAsia="Times New Roman" w:hAnsi="Arial" w:cs="Arial"/>
          <w:color w:val="000000"/>
          <w:sz w:val="18"/>
          <w:szCs w:val="18"/>
        </w:rPr>
        <w:t>Commercial plans without an identified product type were included in the PPO/Indemnity product category.</w:t>
      </w:r>
    </w:p>
  </w:footnote>
  <w:footnote w:id="5">
    <w:p w14:paraId="6D3340B2" w14:textId="77777777" w:rsidR="00413B69" w:rsidRPr="008C24C9" w:rsidRDefault="00413B69"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Includes ConnectorCare plans.</w:t>
      </w:r>
    </w:p>
  </w:footnote>
  <w:footnote w:id="6">
    <w:p w14:paraId="1D2B2508" w14:textId="77777777" w:rsidR="00413B69" w:rsidRPr="008C24C9" w:rsidRDefault="00413B69"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Includes Medicare supplements.</w:t>
      </w:r>
    </w:p>
  </w:footnote>
  <w:footnote w:id="7">
    <w:p w14:paraId="34069B02" w14:textId="77777777" w:rsidR="00413B69" w:rsidRPr="008C24C9" w:rsidRDefault="00413B69"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Includes Free Care, TriCare, VA, Uninsured COVID-19 tests, Workers Compensation, International, and other uncategorized plans.</w:t>
      </w:r>
    </w:p>
  </w:footnote>
  <w:footnote w:id="8">
    <w:p w14:paraId="4AEBA771" w14:textId="6067794C" w:rsidR="00A9718E" w:rsidRPr="008C24C9" w:rsidRDefault="00A9718E"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Utilization of patient care services at the following MGB organizations was used to determine </w:t>
      </w:r>
      <w:r w:rsidR="00E54903" w:rsidRPr="008C24C9">
        <w:rPr>
          <w:rFonts w:ascii="Arial" w:hAnsi="Arial" w:cs="Arial"/>
          <w:sz w:val="18"/>
          <w:szCs w:val="18"/>
        </w:rPr>
        <w:t>CDH’s</w:t>
      </w:r>
      <w:r w:rsidRPr="008C24C9">
        <w:rPr>
          <w:rFonts w:ascii="Arial" w:hAnsi="Arial" w:cs="Arial"/>
          <w:sz w:val="18"/>
          <w:szCs w:val="18"/>
        </w:rPr>
        <w:t xml:space="preserve"> </w:t>
      </w:r>
      <w:r w:rsidR="008D16C9" w:rsidRPr="008C24C9">
        <w:rPr>
          <w:rFonts w:ascii="Arial" w:hAnsi="Arial" w:cs="Arial"/>
          <w:sz w:val="18"/>
          <w:szCs w:val="18"/>
        </w:rPr>
        <w:t>Patient Panel</w:t>
      </w:r>
      <w:r w:rsidRPr="008C24C9">
        <w:rPr>
          <w:rFonts w:ascii="Arial" w:hAnsi="Arial" w:cs="Arial"/>
          <w:sz w:val="18"/>
          <w:szCs w:val="18"/>
        </w:rPr>
        <w:t xml:space="preserve">: </w:t>
      </w:r>
      <w:r w:rsidRPr="008C24C9">
        <w:rPr>
          <w:rFonts w:ascii="Arial" w:hAnsi="Arial" w:cs="Arial"/>
          <w:color w:val="000000"/>
          <w:sz w:val="18"/>
          <w:szCs w:val="18"/>
        </w:rPr>
        <w:t>Cooley Dickinson Hospital and Cooley Dickinson Physicians Organization.</w:t>
      </w:r>
    </w:p>
  </w:footnote>
  <w:footnote w:id="9">
    <w:p w14:paraId="37BA8B2B" w14:textId="77777777" w:rsidR="00042719" w:rsidRPr="008C24C9" w:rsidRDefault="00042719"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Pr="008C24C9">
        <w:rPr>
          <w:rFonts w:ascii="Arial" w:hAnsi="Arial" w:cs="Arial"/>
          <w:color w:val="000000"/>
          <w:sz w:val="18"/>
          <w:szCs w:val="18"/>
        </w:rPr>
        <w:t>Includes both “65+” and “Unknown” for confidentiality due to regulations around data with counts less than 11.</w:t>
      </w:r>
    </w:p>
  </w:footnote>
  <w:footnote w:id="10">
    <w:p w14:paraId="4EDC759E" w14:textId="77777777" w:rsidR="00042719" w:rsidRPr="008C24C9" w:rsidRDefault="00042719" w:rsidP="008C24C9">
      <w:pPr>
        <w:spacing w:after="0" w:line="240" w:lineRule="auto"/>
        <w:rPr>
          <w:rFonts w:ascii="Arial" w:hAnsi="Arial" w:cs="Arial"/>
          <w:color w:val="000000"/>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Pr="008C24C9">
        <w:rPr>
          <w:rFonts w:ascii="Arial" w:hAnsi="Arial" w:cs="Arial"/>
          <w:color w:val="000000"/>
          <w:sz w:val="18"/>
          <w:szCs w:val="18"/>
        </w:rPr>
        <w:t xml:space="preserve">Includes both “Unknown” and “In MA but not in HSA 1-6” due to regulations around data with counts less than 11. </w:t>
      </w:r>
    </w:p>
  </w:footnote>
  <w:footnote w:id="11">
    <w:p w14:paraId="5BA59011" w14:textId="77777777" w:rsidR="00413B69" w:rsidRPr="008C24C9" w:rsidRDefault="00413B69" w:rsidP="008C24C9">
      <w:pPr>
        <w:spacing w:after="0"/>
        <w:rPr>
          <w:rFonts w:ascii="Arial" w:eastAsia="Times New Roman" w:hAnsi="Arial" w:cs="Arial"/>
          <w:color w:val="000000"/>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Pr="008C24C9">
        <w:rPr>
          <w:rFonts w:ascii="Arial" w:eastAsia="Times New Roman" w:hAnsi="Arial" w:cs="Arial"/>
          <w:color w:val="000000"/>
          <w:sz w:val="18"/>
          <w:szCs w:val="18"/>
        </w:rPr>
        <w:t>Commercial plans without an identified product type were included in the PPO/Indemnity product category.</w:t>
      </w:r>
    </w:p>
  </w:footnote>
  <w:footnote w:id="12">
    <w:p w14:paraId="6670C726" w14:textId="77777777" w:rsidR="00413B69" w:rsidRPr="008C24C9" w:rsidRDefault="00413B69"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Includes ConnectorCare plans.</w:t>
      </w:r>
    </w:p>
  </w:footnote>
  <w:footnote w:id="13">
    <w:p w14:paraId="2A01FBDB" w14:textId="77777777" w:rsidR="00413B69" w:rsidRPr="008C24C9" w:rsidRDefault="00413B69"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Includes Medicare supplements.</w:t>
      </w:r>
    </w:p>
  </w:footnote>
  <w:footnote w:id="14">
    <w:p w14:paraId="515C0519" w14:textId="77777777" w:rsidR="00413B69" w:rsidRPr="008C24C9" w:rsidRDefault="00413B69"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Includes Free Care, TriCare, VA, Uninsured COVID-19 tests, Workers Compensation, International, and other uncategorized plans.</w:t>
      </w:r>
    </w:p>
  </w:footnote>
  <w:footnote w:id="15">
    <w:p w14:paraId="28525F9E" w14:textId="0E008ADD" w:rsidR="000B11F8" w:rsidRPr="008C24C9" w:rsidRDefault="000B11F8"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8C24C9" w:rsidRPr="008C24C9">
        <w:rPr>
          <w:rFonts w:ascii="Arial" w:hAnsi="Arial" w:cs="Arial"/>
          <w:sz w:val="18"/>
          <w:szCs w:val="18"/>
        </w:rPr>
        <w:t xml:space="preserve">To be designated a PSS Hospital, a hospital must be equipped to readily provide timely acute stroke evaluation and treatment, and “must provide emergency diagnostic and therapeutic services 24 hours-a-day, seven days-a-week to patients presenting with symptoms of acute stroke.” </w:t>
      </w:r>
      <w:r w:rsidR="008C24C9" w:rsidRPr="008C24C9">
        <w:rPr>
          <w:rFonts w:ascii="Arial" w:hAnsi="Arial" w:cs="Arial"/>
          <w:i/>
          <w:iCs/>
          <w:sz w:val="18"/>
          <w:szCs w:val="18"/>
        </w:rPr>
        <w:t xml:space="preserve">Primary Stroke Service validation, </w:t>
      </w:r>
      <w:r w:rsidR="008C24C9" w:rsidRPr="008C24C9">
        <w:rPr>
          <w:rFonts w:ascii="Arial" w:hAnsi="Arial" w:cs="Arial"/>
          <w:sz w:val="18"/>
          <w:szCs w:val="18"/>
        </w:rPr>
        <w:t>Mass. Dep’t of Pub. Health,</w:t>
      </w:r>
      <w:r w:rsidR="008C24C9" w:rsidRPr="008C24C9">
        <w:rPr>
          <w:rFonts w:ascii="Arial" w:hAnsi="Arial" w:cs="Arial"/>
          <w:i/>
          <w:iCs/>
          <w:sz w:val="18"/>
          <w:szCs w:val="18"/>
        </w:rPr>
        <w:t xml:space="preserve"> </w:t>
      </w:r>
      <w:r w:rsidR="008C24C9" w:rsidRPr="008C24C9">
        <w:rPr>
          <w:rFonts w:ascii="Arial" w:hAnsi="Arial" w:cs="Arial"/>
          <w:sz w:val="18"/>
          <w:szCs w:val="18"/>
        </w:rPr>
        <w:t xml:space="preserve">https://www.mass.gov/info-details/primary-stroke-service-pss-validation (last visited Feb. 24, 2022). </w:t>
      </w:r>
      <w:r w:rsidR="008C24C9" w:rsidRPr="008C24C9">
        <w:rPr>
          <w:rFonts w:ascii="Arial" w:hAnsi="Arial" w:cs="Arial"/>
          <w:i/>
          <w:iCs/>
          <w:sz w:val="18"/>
          <w:szCs w:val="18"/>
        </w:rPr>
        <w:t>See also</w:t>
      </w:r>
      <w:r w:rsidR="008C24C9" w:rsidRPr="008C24C9">
        <w:rPr>
          <w:rFonts w:ascii="Arial" w:hAnsi="Arial" w:cs="Arial"/>
          <w:sz w:val="18"/>
          <w:szCs w:val="18"/>
        </w:rPr>
        <w:t xml:space="preserve">, </w:t>
      </w:r>
      <w:r w:rsidR="008C24C9" w:rsidRPr="008C24C9">
        <w:rPr>
          <w:rFonts w:ascii="Arial" w:hAnsi="Arial" w:cs="Arial"/>
          <w:i/>
          <w:iCs/>
          <w:sz w:val="18"/>
          <w:szCs w:val="18"/>
        </w:rPr>
        <w:t xml:space="preserve">Designated Primary Stroke Services </w:t>
      </w:r>
      <w:r w:rsidR="008C24C9" w:rsidRPr="008C24C9">
        <w:rPr>
          <w:rFonts w:ascii="Arial" w:hAnsi="Arial" w:cs="Arial"/>
          <w:sz w:val="18"/>
          <w:szCs w:val="18"/>
        </w:rPr>
        <w:t>Hospitals, Mass. Dep’t of Pub. Health, https://www.mass.gov/info-details/designated-primary-stroke-services-hospitals (last visited Feb. 24, 2022).</w:t>
      </w:r>
    </w:p>
  </w:footnote>
  <w:footnote w:id="16">
    <w:p w14:paraId="44C75CA0" w14:textId="5F92ACE6" w:rsidR="00EC16D2" w:rsidRPr="008C24C9" w:rsidRDefault="00EC16D2" w:rsidP="008C24C9">
      <w:pPr>
        <w:pStyle w:val="FootnoteText"/>
        <w:rPr>
          <w:rFonts w:ascii="Arial" w:hAnsi="Arial" w:cs="Arial"/>
          <w:sz w:val="18"/>
          <w:szCs w:val="18"/>
        </w:rPr>
      </w:pPr>
      <w:r w:rsidRPr="008C24C9">
        <w:rPr>
          <w:rStyle w:val="FootnoteReference"/>
          <w:rFonts w:ascii="Arial" w:hAnsi="Arial" w:cs="Arial"/>
          <w:sz w:val="18"/>
          <w:szCs w:val="18"/>
        </w:rPr>
        <w:footnoteRef/>
      </w:r>
      <w:r w:rsidR="008C24C9" w:rsidRPr="008C24C9">
        <w:rPr>
          <w:rFonts w:ascii="Arial" w:hAnsi="Arial" w:cs="Arial"/>
          <w:i/>
          <w:iCs/>
          <w:sz w:val="18"/>
          <w:szCs w:val="18"/>
        </w:rPr>
        <w:t>See</w:t>
      </w:r>
      <w:r w:rsidR="008C24C9" w:rsidRPr="008C24C9">
        <w:rPr>
          <w:rFonts w:ascii="Arial" w:hAnsi="Arial" w:cs="Arial"/>
          <w:sz w:val="18"/>
          <w:szCs w:val="18"/>
        </w:rPr>
        <w:t xml:space="preserve"> </w:t>
      </w:r>
      <w:r w:rsidR="008C24C9" w:rsidRPr="008C24C9">
        <w:rPr>
          <w:rFonts w:ascii="Arial" w:hAnsi="Arial" w:cs="Arial"/>
          <w:i/>
          <w:iCs/>
          <w:sz w:val="18"/>
          <w:szCs w:val="18"/>
        </w:rPr>
        <w:t xml:space="preserve">Primary Stroke Services Time Target Recommendations, </w:t>
      </w:r>
      <w:r w:rsidR="008C24C9" w:rsidRPr="008C24C9">
        <w:rPr>
          <w:rFonts w:ascii="Arial" w:hAnsi="Arial" w:cs="Arial"/>
          <w:sz w:val="18"/>
          <w:szCs w:val="18"/>
        </w:rPr>
        <w:t xml:space="preserve">Mass. Dep’t of Pub. Health (June, 2009), https://www.mass.gov/doc/pss-time-target-recommendations-0/download; </w:t>
      </w:r>
      <w:r w:rsidR="008C24C9" w:rsidRPr="008C24C9">
        <w:rPr>
          <w:rFonts w:ascii="Arial" w:hAnsi="Arial" w:cs="Arial"/>
          <w:i/>
          <w:iCs/>
          <w:sz w:val="18"/>
          <w:szCs w:val="18"/>
        </w:rPr>
        <w:t>Get With the Guidelines – Stroke Fact Sheet</w:t>
      </w:r>
      <w:r w:rsidR="008C24C9" w:rsidRPr="008C24C9">
        <w:rPr>
          <w:rFonts w:ascii="Arial" w:hAnsi="Arial" w:cs="Arial"/>
          <w:sz w:val="18"/>
          <w:szCs w:val="18"/>
        </w:rPr>
        <w:t>, Am. Heart/Am. Stroke Ass’n (2018), https://www.heart.org/-/media/files/professional/quality-improvement/get-with-the-guidelines/get-with-the-guidelines-stroke/stroke-fact-sheet_-final_ucm_501842.pdf?la=en&amp;hash=7FA33C71D753DF7AB1D4850451C95BBE25BEA622.</w:t>
      </w:r>
    </w:p>
  </w:footnote>
  <w:footnote w:id="17">
    <w:p w14:paraId="25D9773D" w14:textId="77777777" w:rsidR="00AC07DD" w:rsidRPr="008C24C9" w:rsidRDefault="00AC07DD"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This value does not include patients who need 3-month, 6-month or annual CT exams that are schedule in advance.</w:t>
      </w:r>
    </w:p>
  </w:footnote>
  <w:footnote w:id="18">
    <w:p w14:paraId="4DA55B43" w14:textId="3ED862F5" w:rsidR="00FE7D12" w:rsidRPr="008C24C9" w:rsidRDefault="00FE7D12"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8C24C9" w:rsidRPr="008C24C9">
        <w:rPr>
          <w:rFonts w:ascii="Arial" w:hAnsi="Arial" w:cs="Arial"/>
          <w:i/>
          <w:iCs/>
          <w:sz w:val="18"/>
          <w:szCs w:val="18"/>
        </w:rPr>
        <w:t>Mass. Population Projections</w:t>
      </w:r>
      <w:r w:rsidR="008C24C9" w:rsidRPr="008C24C9">
        <w:rPr>
          <w:rFonts w:ascii="Arial" w:hAnsi="Arial" w:cs="Arial"/>
          <w:sz w:val="18"/>
          <w:szCs w:val="18"/>
        </w:rPr>
        <w:t>, Univ. of Mass.: Donahue Inst. (Sept.</w:t>
      </w:r>
      <w:r w:rsidR="008548FC">
        <w:rPr>
          <w:rFonts w:ascii="Arial" w:hAnsi="Arial" w:cs="Arial"/>
          <w:sz w:val="18"/>
          <w:szCs w:val="18"/>
        </w:rPr>
        <w:t xml:space="preserve"> </w:t>
      </w:r>
      <w:r w:rsidR="008C24C9" w:rsidRPr="008C24C9">
        <w:rPr>
          <w:rFonts w:ascii="Arial" w:hAnsi="Arial" w:cs="Arial"/>
          <w:sz w:val="18"/>
          <w:szCs w:val="18"/>
        </w:rPr>
        <w:t>2018), http://www.pep.donahue-institute.org/.</w:t>
      </w:r>
    </w:p>
  </w:footnote>
  <w:footnote w:id="19">
    <w:p w14:paraId="39A72415" w14:textId="24A07559" w:rsidR="0036298E" w:rsidRPr="008C24C9" w:rsidRDefault="0036298E" w:rsidP="008C24C9">
      <w:pPr>
        <w:pStyle w:val="FootnoteText"/>
        <w:rPr>
          <w:rFonts w:ascii="Arial" w:hAnsi="Arial" w:cs="Arial"/>
          <w:i/>
          <w:iCs/>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Pr="008C24C9">
        <w:rPr>
          <w:rFonts w:ascii="Arial" w:hAnsi="Arial" w:cs="Arial"/>
          <w:i/>
          <w:iCs/>
          <w:sz w:val="18"/>
          <w:szCs w:val="18"/>
        </w:rPr>
        <w:t>Id.</w:t>
      </w:r>
    </w:p>
  </w:footnote>
  <w:footnote w:id="20">
    <w:p w14:paraId="17487320" w14:textId="04C53E38" w:rsidR="005069BF" w:rsidRPr="008C24C9" w:rsidRDefault="005069BF"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8C24C9" w:rsidRPr="008C24C9">
        <w:rPr>
          <w:rFonts w:ascii="Arial" w:hAnsi="Arial" w:cs="Arial"/>
          <w:sz w:val="18"/>
          <w:szCs w:val="18"/>
        </w:rPr>
        <w:t xml:space="preserve">Rebecca Smith-Bindman et al., </w:t>
      </w:r>
      <w:r w:rsidR="008C24C9" w:rsidRPr="008C24C9">
        <w:rPr>
          <w:rFonts w:ascii="Arial" w:hAnsi="Arial" w:cs="Arial"/>
          <w:i/>
          <w:iCs/>
          <w:sz w:val="18"/>
          <w:szCs w:val="18"/>
        </w:rPr>
        <w:t>Rising Use Of Diagnostic Medical Imaging In A Large Integrated Health System</w:t>
      </w:r>
      <w:r w:rsidR="008C24C9" w:rsidRPr="008C24C9">
        <w:rPr>
          <w:rFonts w:ascii="Arial" w:hAnsi="Arial" w:cs="Arial"/>
          <w:sz w:val="18"/>
          <w:szCs w:val="18"/>
        </w:rPr>
        <w:t xml:space="preserve">, 27 Health Affairs 1491 (2008), https:www.ncbi.nlm.nih.gov/pmc/articles/PMC2765780/pdf/nihms- 137739.pdf; Rebecca Smith-Bindman et al., </w:t>
      </w:r>
      <w:r w:rsidR="008C24C9" w:rsidRPr="008C24C9">
        <w:rPr>
          <w:rFonts w:ascii="Arial" w:hAnsi="Arial" w:cs="Arial"/>
          <w:i/>
          <w:iCs/>
          <w:sz w:val="18"/>
          <w:szCs w:val="18"/>
        </w:rPr>
        <w:t>Use of Diagnostic Imaging Studies and Associated Radiation Exposure For Patients Enrolled in Large Integrated Healthcare Systems, 1996-2010</w:t>
      </w:r>
      <w:r w:rsidR="008C24C9" w:rsidRPr="008C24C9">
        <w:rPr>
          <w:rFonts w:ascii="Arial" w:hAnsi="Arial" w:cs="Arial"/>
          <w:sz w:val="18"/>
          <w:szCs w:val="18"/>
        </w:rPr>
        <w:t xml:space="preserve">, JAMA Network (June 13, 2012), https://jamanetwork.com/journals/jama/fullarticle/1182858; Robert J. McDonald et al., </w:t>
      </w:r>
      <w:r w:rsidR="008C24C9" w:rsidRPr="008C24C9">
        <w:rPr>
          <w:rFonts w:ascii="Arial" w:hAnsi="Arial" w:cs="Arial"/>
          <w:i/>
          <w:iCs/>
          <w:sz w:val="18"/>
          <w:szCs w:val="18"/>
        </w:rPr>
        <w:t>The Effects of Changes in Utilization and Technological Advancements of Cross-Sectional Imaging on Radiologist Workload</w:t>
      </w:r>
      <w:r w:rsidR="008C24C9" w:rsidRPr="008C24C9">
        <w:rPr>
          <w:rFonts w:ascii="Arial" w:hAnsi="Arial" w:cs="Arial"/>
          <w:sz w:val="18"/>
          <w:szCs w:val="18"/>
        </w:rPr>
        <w:t xml:space="preserve">, 22 Academic Radiology 1191 (2015); Michael Walter, </w:t>
      </w:r>
      <w:r w:rsidR="008C24C9" w:rsidRPr="008C24C9">
        <w:rPr>
          <w:rFonts w:ascii="Arial" w:hAnsi="Arial" w:cs="Arial"/>
          <w:i/>
          <w:iCs/>
          <w:sz w:val="18"/>
          <w:szCs w:val="18"/>
        </w:rPr>
        <w:t>Feeling overworked?</w:t>
      </w:r>
      <w:r w:rsidR="008C24C9" w:rsidRPr="008C24C9">
        <w:rPr>
          <w:rFonts w:ascii="Arial" w:hAnsi="Arial" w:cs="Arial"/>
          <w:sz w:val="18"/>
          <w:szCs w:val="18"/>
        </w:rPr>
        <w:t xml:space="preserve"> </w:t>
      </w:r>
      <w:r w:rsidR="008C24C9" w:rsidRPr="008C24C9">
        <w:rPr>
          <w:rFonts w:ascii="Arial" w:hAnsi="Arial" w:cs="Arial"/>
          <w:i/>
          <w:iCs/>
          <w:sz w:val="18"/>
          <w:szCs w:val="18"/>
        </w:rPr>
        <w:t>Rise in CT, MRI images adds to radiologist workload</w:t>
      </w:r>
      <w:r w:rsidR="008C24C9" w:rsidRPr="008C24C9">
        <w:rPr>
          <w:rFonts w:ascii="Arial" w:hAnsi="Arial" w:cs="Arial"/>
          <w:sz w:val="18"/>
          <w:szCs w:val="18"/>
        </w:rPr>
        <w:t xml:space="preserve">, Radiology Business (Jul. 31, 2015), https://radiologybusiness.com/topics/medical-imaging/magnetic-resonance-imaging-mri/feeling-overworked-rise-ct-mri-images-adds; </w:t>
      </w:r>
      <w:r w:rsidR="008C24C9" w:rsidRPr="008C24C9">
        <w:rPr>
          <w:rFonts w:ascii="Arial" w:hAnsi="Arial" w:cs="Arial"/>
          <w:i/>
          <w:iCs/>
          <w:sz w:val="18"/>
          <w:szCs w:val="18"/>
        </w:rPr>
        <w:t>Increases in Imaging Procedures, Chronic Diseases Spur Growth of Medical Imaging Informatics Market</w:t>
      </w:r>
      <w:r w:rsidR="008C24C9" w:rsidRPr="008C24C9">
        <w:rPr>
          <w:rFonts w:ascii="Arial" w:hAnsi="Arial" w:cs="Arial"/>
          <w:sz w:val="18"/>
          <w:szCs w:val="18"/>
        </w:rPr>
        <w:t>, Imaging Technology News (Oct. 28, 2016), https://www.itnonline.com/content/increases-imaging-procedures-chronic-diseases-spur-growth-medical-imaging-informatics.</w:t>
      </w:r>
    </w:p>
  </w:footnote>
  <w:footnote w:id="21">
    <w:p w14:paraId="51755A2E" w14:textId="24CF6ED9" w:rsidR="005069BF" w:rsidRPr="008C24C9" w:rsidRDefault="005069BF"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8C24C9" w:rsidRPr="008C24C9">
        <w:rPr>
          <w:rFonts w:ascii="Arial" w:hAnsi="Arial" w:cs="Arial"/>
          <w:sz w:val="18"/>
          <w:szCs w:val="18"/>
        </w:rPr>
        <w:t xml:space="preserve">Health Affairs, supra note 19; Jama Network, supra note 19; McDonald et al., supra note 19; Walter et al., supra note 19; Imaging Technology News, </w:t>
      </w:r>
      <w:r w:rsidR="008C24C9" w:rsidRPr="008C24C9">
        <w:rPr>
          <w:rFonts w:ascii="Arial" w:hAnsi="Arial" w:cs="Arial"/>
          <w:i/>
          <w:iCs/>
          <w:sz w:val="18"/>
          <w:szCs w:val="18"/>
        </w:rPr>
        <w:t xml:space="preserve">supra </w:t>
      </w:r>
      <w:r w:rsidR="008C24C9" w:rsidRPr="008C24C9">
        <w:rPr>
          <w:rFonts w:ascii="Arial" w:hAnsi="Arial" w:cs="Arial"/>
          <w:sz w:val="18"/>
          <w:szCs w:val="18"/>
        </w:rPr>
        <w:t>note 19.</w:t>
      </w:r>
    </w:p>
  </w:footnote>
  <w:footnote w:id="22">
    <w:p w14:paraId="20C6A3FD" w14:textId="1E966E92" w:rsidR="005069BF" w:rsidRPr="008C24C9" w:rsidRDefault="005069BF"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8C24C9" w:rsidRPr="008C24C9">
        <w:rPr>
          <w:rFonts w:ascii="Arial" w:hAnsi="Arial" w:cs="Arial"/>
          <w:sz w:val="18"/>
          <w:szCs w:val="18"/>
        </w:rPr>
        <w:t xml:space="preserve">Health Affairs, supra note 19; Jama Network, supra note 19; McDonald et al., supra note 19; Walter et al., supra note 19; Imaging Technology News, </w:t>
      </w:r>
      <w:r w:rsidR="008C24C9" w:rsidRPr="008C24C9">
        <w:rPr>
          <w:rFonts w:ascii="Arial" w:hAnsi="Arial" w:cs="Arial"/>
          <w:i/>
          <w:iCs/>
          <w:sz w:val="18"/>
          <w:szCs w:val="18"/>
        </w:rPr>
        <w:t xml:space="preserve">supra </w:t>
      </w:r>
      <w:r w:rsidR="008C24C9" w:rsidRPr="008C24C9">
        <w:rPr>
          <w:rFonts w:ascii="Arial" w:hAnsi="Arial" w:cs="Arial"/>
          <w:sz w:val="18"/>
          <w:szCs w:val="18"/>
        </w:rPr>
        <w:t>note 19.</w:t>
      </w:r>
    </w:p>
  </w:footnote>
  <w:footnote w:id="23">
    <w:p w14:paraId="1EA1969F" w14:textId="3F1112B7" w:rsidR="003D1141" w:rsidRPr="008C24C9" w:rsidRDefault="003D1141"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8C24C9" w:rsidRPr="008C24C9">
        <w:rPr>
          <w:rFonts w:ascii="Arial" w:hAnsi="Arial" w:cs="Arial"/>
          <w:i/>
          <w:iCs/>
          <w:sz w:val="18"/>
          <w:szCs w:val="18"/>
        </w:rPr>
        <w:t>See</w:t>
      </w:r>
      <w:r w:rsidR="008C24C9" w:rsidRPr="008C24C9">
        <w:rPr>
          <w:rFonts w:ascii="Arial" w:hAnsi="Arial" w:cs="Arial"/>
          <w:sz w:val="18"/>
          <w:szCs w:val="18"/>
        </w:rPr>
        <w:t xml:space="preserve"> </w:t>
      </w:r>
      <w:r w:rsidR="008C24C9" w:rsidRPr="008C24C9">
        <w:rPr>
          <w:rFonts w:ascii="Arial" w:hAnsi="Arial" w:cs="Arial"/>
          <w:i/>
          <w:iCs/>
          <w:sz w:val="18"/>
          <w:szCs w:val="18"/>
        </w:rPr>
        <w:t>Computed Tomography (CT)</w:t>
      </w:r>
      <w:r w:rsidR="008C24C9" w:rsidRPr="008C24C9">
        <w:rPr>
          <w:rFonts w:ascii="Arial" w:hAnsi="Arial" w:cs="Arial"/>
          <w:sz w:val="18"/>
          <w:szCs w:val="18"/>
        </w:rPr>
        <w:t xml:space="preserve">, Nat’l Inst. of Biomedical Imaging and Bioengineering, https://www.nibib.nih.gov/science-education/science-topics/computed-tomography-ct (last visited Feb. 24, 2022); </w:t>
      </w:r>
      <w:r w:rsidR="008C24C9" w:rsidRPr="008C24C9">
        <w:rPr>
          <w:rFonts w:ascii="Arial" w:hAnsi="Arial" w:cs="Arial"/>
          <w:i/>
          <w:iCs/>
          <w:sz w:val="18"/>
          <w:szCs w:val="18"/>
        </w:rPr>
        <w:t>CT Scan</w:t>
      </w:r>
      <w:r w:rsidR="008C24C9" w:rsidRPr="008C24C9">
        <w:rPr>
          <w:rFonts w:ascii="Arial" w:hAnsi="Arial" w:cs="Arial"/>
          <w:sz w:val="18"/>
          <w:szCs w:val="18"/>
        </w:rPr>
        <w:t>, Mayo Clinic, https://www.mayoclinic.org/tests-procedures/ct-scan/about/pac-20393675 (last visited Feb. 24, 2022).</w:t>
      </w:r>
    </w:p>
  </w:footnote>
  <w:footnote w:id="24">
    <w:p w14:paraId="381C1739" w14:textId="798BB9F9" w:rsidR="003D1141" w:rsidRPr="008C24C9" w:rsidRDefault="003D1141" w:rsidP="008C24C9">
      <w:pPr>
        <w:pStyle w:val="FootnoteText"/>
        <w:rPr>
          <w:rFonts w:ascii="Arial" w:hAnsi="Arial" w:cs="Arial"/>
          <w:sz w:val="18"/>
          <w:szCs w:val="18"/>
        </w:rPr>
      </w:pPr>
      <w:r w:rsidRPr="008C24C9">
        <w:rPr>
          <w:rStyle w:val="FootnoteReference"/>
          <w:rFonts w:ascii="Arial" w:hAnsi="Arial" w:cs="Arial"/>
          <w:sz w:val="18"/>
          <w:szCs w:val="18"/>
        </w:rPr>
        <w:footnoteRef/>
      </w:r>
      <w:r w:rsidR="008C24C9" w:rsidRPr="008C24C9">
        <w:rPr>
          <w:rFonts w:ascii="Arial" w:hAnsi="Arial" w:cs="Arial"/>
          <w:i/>
          <w:iCs/>
          <w:sz w:val="18"/>
          <w:szCs w:val="18"/>
        </w:rPr>
        <w:t xml:space="preserve">See </w:t>
      </w:r>
      <w:r w:rsidR="008C24C9" w:rsidRPr="008C24C9">
        <w:rPr>
          <w:rFonts w:ascii="Arial" w:hAnsi="Arial" w:cs="Arial"/>
          <w:sz w:val="18"/>
          <w:szCs w:val="18"/>
        </w:rPr>
        <w:t>Yvette Brazier</w:t>
      </w:r>
      <w:r w:rsidR="008C24C9" w:rsidRPr="008C24C9">
        <w:rPr>
          <w:rFonts w:ascii="Arial" w:hAnsi="Arial" w:cs="Arial"/>
          <w:i/>
          <w:iCs/>
          <w:sz w:val="18"/>
          <w:szCs w:val="18"/>
        </w:rPr>
        <w:t>, How Does a CT or CAT scan work?</w:t>
      </w:r>
      <w:r w:rsidR="008C24C9" w:rsidRPr="008C24C9">
        <w:rPr>
          <w:rFonts w:ascii="Arial" w:hAnsi="Arial" w:cs="Arial"/>
          <w:sz w:val="18"/>
          <w:szCs w:val="18"/>
        </w:rPr>
        <w:t>,</w:t>
      </w:r>
      <w:r w:rsidR="008C24C9" w:rsidRPr="008C24C9">
        <w:rPr>
          <w:rFonts w:ascii="Arial" w:hAnsi="Arial" w:cs="Arial"/>
          <w:i/>
          <w:iCs/>
          <w:sz w:val="18"/>
          <w:szCs w:val="18"/>
        </w:rPr>
        <w:t xml:space="preserve"> </w:t>
      </w:r>
      <w:r w:rsidR="008C24C9" w:rsidRPr="008C24C9">
        <w:rPr>
          <w:rFonts w:ascii="Arial" w:hAnsi="Arial" w:cs="Arial"/>
          <w:sz w:val="18"/>
          <w:szCs w:val="18"/>
        </w:rPr>
        <w:t>MedicalNewsToday, https://www.medicalnewstoday.com/articles/153201#procedure (last modified June 23, 2017).</w:t>
      </w:r>
    </w:p>
  </w:footnote>
  <w:footnote w:id="25">
    <w:p w14:paraId="26EC8A00" w14:textId="2D055923" w:rsidR="008C24C9" w:rsidRPr="008C24C9" w:rsidRDefault="00FC5BE4" w:rsidP="008C24C9">
      <w:pPr>
        <w:autoSpaceDE w:val="0"/>
        <w:autoSpaceDN w:val="0"/>
        <w:adjustRightInd w:val="0"/>
        <w:spacing w:after="0" w:line="240" w:lineRule="auto"/>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8C24C9" w:rsidRPr="008C24C9">
        <w:rPr>
          <w:rFonts w:ascii="Arial" w:hAnsi="Arial" w:cs="Arial"/>
          <w:sz w:val="18"/>
          <w:szCs w:val="18"/>
        </w:rPr>
        <w:t xml:space="preserve">Carlo Liguori et al., </w:t>
      </w:r>
      <w:r w:rsidR="008C24C9" w:rsidRPr="008C24C9">
        <w:rPr>
          <w:rFonts w:ascii="Arial" w:hAnsi="Arial" w:cs="Arial"/>
          <w:i/>
          <w:iCs/>
          <w:sz w:val="18"/>
          <w:szCs w:val="18"/>
        </w:rPr>
        <w:t xml:space="preserve">Emerging clinical applications of computed tomography, </w:t>
      </w:r>
      <w:r w:rsidR="008C24C9" w:rsidRPr="008C24C9">
        <w:rPr>
          <w:rFonts w:ascii="Arial" w:hAnsi="Arial" w:cs="Arial"/>
          <w:sz w:val="18"/>
          <w:szCs w:val="18"/>
        </w:rPr>
        <w:t>8 Med. Devices 265 (2015),</w:t>
      </w:r>
    </w:p>
    <w:p w14:paraId="662614A8" w14:textId="5B76FC23" w:rsidR="00FC5BE4" w:rsidRPr="008C24C9" w:rsidRDefault="008C24C9" w:rsidP="008C24C9">
      <w:pPr>
        <w:autoSpaceDE w:val="0"/>
        <w:autoSpaceDN w:val="0"/>
        <w:adjustRightInd w:val="0"/>
        <w:spacing w:after="0" w:line="240" w:lineRule="auto"/>
        <w:rPr>
          <w:rFonts w:ascii="Arial" w:hAnsi="Arial" w:cs="Arial"/>
          <w:sz w:val="18"/>
          <w:szCs w:val="18"/>
        </w:rPr>
      </w:pPr>
      <w:r w:rsidRPr="008C24C9">
        <w:rPr>
          <w:rFonts w:ascii="Arial" w:hAnsi="Arial" w:cs="Arial"/>
          <w:i/>
          <w:iCs/>
          <w:sz w:val="18"/>
          <w:szCs w:val="18"/>
        </w:rPr>
        <w:t xml:space="preserve">available at </w:t>
      </w:r>
      <w:r w:rsidRPr="008C24C9">
        <w:rPr>
          <w:rFonts w:ascii="Arial" w:hAnsi="Arial" w:cs="Arial"/>
          <w:sz w:val="18"/>
          <w:szCs w:val="18"/>
        </w:rPr>
        <w:t xml:space="preserve">https:/lwww.ncbi.nlm.nih.gov/pmclarticles/PMC4467659/; </w:t>
      </w:r>
      <w:r w:rsidRPr="008C24C9">
        <w:rPr>
          <w:rFonts w:ascii="Arial" w:hAnsi="Arial" w:cs="Arial"/>
          <w:i/>
          <w:iCs/>
          <w:sz w:val="18"/>
          <w:szCs w:val="18"/>
        </w:rPr>
        <w:t>Computed Tomography</w:t>
      </w:r>
      <w:r w:rsidRPr="008C24C9">
        <w:rPr>
          <w:rFonts w:ascii="Arial" w:hAnsi="Arial" w:cs="Arial"/>
          <w:sz w:val="18"/>
          <w:szCs w:val="18"/>
        </w:rPr>
        <w:t xml:space="preserve">, RadiologyInfo.org, https:/lwww.radiologyinfo.org/en/submenu.cfm?pg=ctscan (last visited Jun. 29, 2018); </w:t>
      </w:r>
      <w:r w:rsidRPr="008C24C9">
        <w:rPr>
          <w:rFonts w:ascii="Arial" w:hAnsi="Arial" w:cs="Arial"/>
          <w:i/>
          <w:iCs/>
          <w:sz w:val="18"/>
          <w:szCs w:val="18"/>
        </w:rPr>
        <w:t xml:space="preserve">Computed Tomography (CT), </w:t>
      </w:r>
      <w:r w:rsidRPr="008C24C9">
        <w:rPr>
          <w:rFonts w:ascii="Arial" w:hAnsi="Arial" w:cs="Arial"/>
          <w:sz w:val="18"/>
          <w:szCs w:val="18"/>
        </w:rPr>
        <w:t>U.S. Food &amp; Drug Administration, https://www.fda.gov/radiation-emitting-products/medical-x-ray-imaging/computed-tomography-ct</w:t>
      </w:r>
      <w:r w:rsidRPr="008C24C9" w:rsidDel="00D31E8B">
        <w:rPr>
          <w:rFonts w:ascii="Arial" w:hAnsi="Arial" w:cs="Arial"/>
          <w:sz w:val="18"/>
          <w:szCs w:val="18"/>
        </w:rPr>
        <w:t xml:space="preserve"> </w:t>
      </w:r>
      <w:r w:rsidRPr="008C24C9">
        <w:rPr>
          <w:rFonts w:ascii="Arial" w:hAnsi="Arial" w:cs="Arial"/>
          <w:sz w:val="18"/>
          <w:szCs w:val="18"/>
        </w:rPr>
        <w:t>(last updated Mar. 7, 2018).</w:t>
      </w:r>
    </w:p>
  </w:footnote>
  <w:footnote w:id="26">
    <w:p w14:paraId="37636D15" w14:textId="446B0A28" w:rsidR="00316137" w:rsidRPr="008C24C9" w:rsidRDefault="00316137"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Elizabeth Hanes, RN, What is Interventional Radiology?, DignityHealth, https://www.dignityhealth.org/articles/what-is-interventional-radiology (Aug. 26, 2017).</w:t>
      </w:r>
    </w:p>
  </w:footnote>
  <w:footnote w:id="27">
    <w:p w14:paraId="21883C82" w14:textId="7081CAEA" w:rsidR="00316137" w:rsidRPr="008C24C9" w:rsidRDefault="00316137"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Coronary CTA, RadiologiyInfo.org available at https://www.radiologyinfo.org/en/info/angiocoroct (last visited March 8, 2023). </w:t>
      </w:r>
    </w:p>
  </w:footnote>
  <w:footnote w:id="28">
    <w:p w14:paraId="0988BCBA" w14:textId="32FA4940" w:rsidR="00EF71BA" w:rsidRPr="008C24C9" w:rsidRDefault="00EF71BA"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8C24C9" w:rsidRPr="008C24C9">
        <w:rPr>
          <w:rFonts w:ascii="Arial" w:hAnsi="Arial" w:cs="Arial"/>
          <w:i/>
          <w:iCs/>
          <w:sz w:val="18"/>
          <w:szCs w:val="18"/>
        </w:rPr>
        <w:t xml:space="preserve">See Id. </w:t>
      </w:r>
      <w:r w:rsidR="008C24C9" w:rsidRPr="008C24C9">
        <w:rPr>
          <w:rFonts w:ascii="Arial" w:hAnsi="Arial" w:cs="Arial"/>
          <w:sz w:val="18"/>
          <w:szCs w:val="18"/>
        </w:rPr>
        <w:t xml:space="preserve"> (indicating there are two main types of strokes are ischemic stroke i.e. blocked artery or hemorrhagic stroke, a blood vessel bursting or leaking and indicating individuals may also experience a temporary disruption of blood flow to the brain, called a transient ischemic attack, but this does not tend to cause lasting symptoms).</w:t>
      </w:r>
    </w:p>
  </w:footnote>
  <w:footnote w:id="29">
    <w:p w14:paraId="6C2FBD18" w14:textId="0B0411F0" w:rsidR="00E03544" w:rsidRPr="008C24C9" w:rsidRDefault="00E03544"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8C24C9" w:rsidRPr="008C24C9">
        <w:rPr>
          <w:rFonts w:ascii="Arial" w:hAnsi="Arial" w:cs="Arial"/>
          <w:sz w:val="18"/>
          <w:szCs w:val="18"/>
        </w:rPr>
        <w:t xml:space="preserve">Jeffrey L. Saver, M.D. et al., </w:t>
      </w:r>
      <w:r w:rsidR="008C24C9" w:rsidRPr="008C24C9">
        <w:rPr>
          <w:rFonts w:ascii="Arial" w:hAnsi="Arial" w:cs="Arial"/>
          <w:i/>
          <w:iCs/>
          <w:sz w:val="18"/>
          <w:szCs w:val="18"/>
        </w:rPr>
        <w:t>Time to Treatment With Intravenous Tissue Plasminogen Activator and Outcome From Acute Ischemic Stroke</w:t>
      </w:r>
      <w:r w:rsidR="008C24C9" w:rsidRPr="008C24C9">
        <w:rPr>
          <w:rFonts w:ascii="Arial" w:hAnsi="Arial" w:cs="Arial"/>
          <w:sz w:val="18"/>
          <w:szCs w:val="18"/>
        </w:rPr>
        <w:t>, JAMA Network (June 19 2013), https://jamanetwork.com/journals/jama/fullarticle/1697967 (stating “In a registry representing US clinical practice, earlier thrombolytic treatment was associated with reduced mortality and symptomatic intracranial hemorrhage, and higher rates of independent ambulation at discharge and discharge to home following acute ischemic stroke.”).</w:t>
      </w:r>
    </w:p>
  </w:footnote>
  <w:footnote w:id="30">
    <w:p w14:paraId="320A9DEE" w14:textId="77777777" w:rsidR="00EF71BA" w:rsidRPr="008C24C9" w:rsidRDefault="00EF71BA"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Pr="008C24C9">
        <w:rPr>
          <w:rFonts w:ascii="Arial" w:hAnsi="Arial" w:cs="Arial"/>
          <w:i/>
          <w:iCs/>
          <w:sz w:val="18"/>
          <w:szCs w:val="18"/>
        </w:rPr>
        <w:t xml:space="preserve">Id. </w:t>
      </w:r>
      <w:r w:rsidRPr="008C24C9">
        <w:rPr>
          <w:rFonts w:ascii="Arial" w:hAnsi="Arial" w:cs="Arial"/>
          <w:sz w:val="18"/>
          <w:szCs w:val="18"/>
        </w:rPr>
        <w:t xml:space="preserve"> </w:t>
      </w:r>
    </w:p>
  </w:footnote>
  <w:footnote w:id="31">
    <w:p w14:paraId="5C5976AC" w14:textId="77777777" w:rsidR="00EF71BA" w:rsidRPr="008C24C9" w:rsidRDefault="00EF71BA"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Pr="008C24C9">
        <w:rPr>
          <w:rFonts w:ascii="Arial" w:hAnsi="Arial" w:cs="Arial"/>
          <w:i/>
          <w:iCs/>
          <w:sz w:val="18"/>
          <w:szCs w:val="18"/>
        </w:rPr>
        <w:t>See</w:t>
      </w:r>
      <w:r w:rsidRPr="008C24C9">
        <w:rPr>
          <w:rFonts w:ascii="Arial" w:hAnsi="Arial" w:cs="Arial"/>
          <w:sz w:val="18"/>
          <w:szCs w:val="18"/>
        </w:rPr>
        <w:t xml:space="preserve"> </w:t>
      </w:r>
      <w:r w:rsidRPr="008C24C9">
        <w:rPr>
          <w:rFonts w:ascii="Arial" w:hAnsi="Arial" w:cs="Arial"/>
          <w:i/>
          <w:iCs/>
          <w:sz w:val="18"/>
          <w:szCs w:val="18"/>
        </w:rPr>
        <w:t>Primary Stroke Services Time Target Recommendations</w:t>
      </w:r>
      <w:r w:rsidRPr="008C24C9">
        <w:rPr>
          <w:rFonts w:ascii="Arial" w:hAnsi="Arial" w:cs="Arial"/>
          <w:sz w:val="18"/>
          <w:szCs w:val="18"/>
        </w:rPr>
        <w:t xml:space="preserve">, </w:t>
      </w:r>
      <w:r w:rsidRPr="008C24C9">
        <w:rPr>
          <w:rFonts w:ascii="Arial" w:hAnsi="Arial" w:cs="Arial"/>
          <w:i/>
          <w:iCs/>
          <w:sz w:val="18"/>
          <w:szCs w:val="18"/>
        </w:rPr>
        <w:t xml:space="preserve">supra </w:t>
      </w:r>
      <w:r w:rsidRPr="008C24C9">
        <w:rPr>
          <w:rFonts w:ascii="Arial" w:hAnsi="Arial" w:cs="Arial"/>
          <w:sz w:val="18"/>
          <w:szCs w:val="18"/>
        </w:rPr>
        <w:t>note 17.</w:t>
      </w:r>
    </w:p>
  </w:footnote>
  <w:footnote w:id="32">
    <w:p w14:paraId="1C8418F1" w14:textId="75276596" w:rsidR="00685C42" w:rsidRPr="008C24C9" w:rsidRDefault="00685C42"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hyperlink r:id="rId1" w:anchor=":~:text=With%20Dual%20Source%20CT%20it,reducing%20the%20radiation%20dose%20significantly" w:history="1">
        <w:r w:rsidRPr="006B4E6A">
          <w:rPr>
            <w:rStyle w:val="Hyperlink"/>
            <w:rFonts w:ascii="Arial" w:hAnsi="Arial" w:cs="Arial"/>
            <w:color w:val="auto"/>
            <w:sz w:val="18"/>
            <w:szCs w:val="18"/>
            <w:u w:val="none"/>
          </w:rPr>
          <w:t>What is Dual Source Energy?</w:t>
        </w:r>
      </w:hyperlink>
      <w:r w:rsidRPr="006B4E6A">
        <w:rPr>
          <w:rFonts w:ascii="Arial" w:hAnsi="Arial" w:cs="Arial"/>
          <w:sz w:val="18"/>
          <w:szCs w:val="18"/>
        </w:rPr>
        <w:t xml:space="preserve"> Siemens </w:t>
      </w:r>
      <w:r w:rsidRPr="008C24C9">
        <w:rPr>
          <w:rFonts w:ascii="Arial" w:hAnsi="Arial" w:cs="Arial"/>
          <w:sz w:val="18"/>
          <w:szCs w:val="18"/>
        </w:rPr>
        <w:t xml:space="preserve">Healthineers </w:t>
      </w:r>
      <w:hyperlink r:id="rId2" w:anchor=":~:text=With%20Dual%20Source%20CT%20it,reducing%20the%20radiation%20dose%20significantly" w:history="1">
        <w:r w:rsidRPr="008C24C9">
          <w:rPr>
            <w:rStyle w:val="Hyperlink"/>
            <w:rFonts w:ascii="Arial" w:hAnsi="Arial" w:cs="Arial"/>
            <w:sz w:val="18"/>
            <w:szCs w:val="18"/>
          </w:rPr>
          <w:t>https://www.siemens-healthineers.com/en-us/computed-tomography/dual-energy/dual-source-dual-energy#:~:text=With%20Dual%20Source%20CT%20it,reducing%20the%20radiation%20dose%20significantly</w:t>
        </w:r>
      </w:hyperlink>
      <w:r w:rsidRPr="008C24C9">
        <w:rPr>
          <w:rFonts w:ascii="Arial" w:hAnsi="Arial" w:cs="Arial"/>
          <w:sz w:val="18"/>
          <w:szCs w:val="18"/>
        </w:rPr>
        <w:t xml:space="preserve"> (last visited March 7, 2023).</w:t>
      </w:r>
    </w:p>
  </w:footnote>
  <w:footnote w:id="33">
    <w:p w14:paraId="12BDA368" w14:textId="4C8D9912" w:rsidR="00685C42" w:rsidRPr="008C24C9" w:rsidRDefault="00685C42"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Hyun Woo Goo, MD, Jin Mo Goo, MD PhD, </w:t>
      </w:r>
      <w:r w:rsidRPr="008C24C9">
        <w:rPr>
          <w:rFonts w:ascii="Arial" w:hAnsi="Arial" w:cs="Arial"/>
          <w:i/>
          <w:iCs/>
          <w:sz w:val="18"/>
          <w:szCs w:val="18"/>
        </w:rPr>
        <w:t>Dual-Energy CT: New Horizon in Medical Imaging</w:t>
      </w:r>
      <w:r w:rsidRPr="008C24C9">
        <w:rPr>
          <w:rFonts w:ascii="Arial" w:hAnsi="Arial" w:cs="Arial"/>
          <w:sz w:val="18"/>
          <w:szCs w:val="18"/>
        </w:rPr>
        <w:t xml:space="preserve">, </w:t>
      </w:r>
      <w:hyperlink r:id="rId3" w:history="1">
        <w:r w:rsidRPr="008C24C9">
          <w:rPr>
            <w:rStyle w:val="Hyperlink"/>
            <w:rFonts w:ascii="Arial" w:hAnsi="Arial" w:cs="Arial"/>
            <w:color w:val="376FAA"/>
            <w:sz w:val="18"/>
            <w:szCs w:val="18"/>
          </w:rPr>
          <w:t>Korean J Radiol.</w:t>
        </w:r>
      </w:hyperlink>
      <w:r w:rsidRPr="008C24C9">
        <w:rPr>
          <w:rFonts w:ascii="Arial" w:hAnsi="Arial" w:cs="Arial"/>
          <w:color w:val="212121"/>
          <w:sz w:val="18"/>
          <w:szCs w:val="18"/>
          <w:shd w:val="clear" w:color="auto" w:fill="FFFFFF"/>
        </w:rPr>
        <w:t> 2017 Jul-Aug; 18(4): 555–569 (available at https://www.ncbi.nlm.nih.gov/pmc/articles/PMC5447632/ ).</w:t>
      </w:r>
    </w:p>
  </w:footnote>
  <w:footnote w:id="34">
    <w:p w14:paraId="103275B2" w14:textId="41ED0AD8" w:rsidR="00685C42" w:rsidRPr="008C24C9" w:rsidRDefault="00685C42"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See </w:t>
      </w:r>
      <w:hyperlink r:id="rId4" w:anchor=":~:text=A%20dual%2Dsource%20CT%20scan%20uses%20two%20x%2Dray%20sources,or%20to%20study%20blood%20vessels" w:history="1">
        <w:r w:rsidRPr="008A7A8E">
          <w:rPr>
            <w:rStyle w:val="Hyperlink"/>
            <w:rFonts w:ascii="Arial" w:hAnsi="Arial" w:cs="Arial"/>
            <w:color w:val="auto"/>
            <w:sz w:val="18"/>
            <w:szCs w:val="18"/>
            <w:u w:val="none"/>
          </w:rPr>
          <w:t>Dual Source CT Scanner</w:t>
        </w:r>
      </w:hyperlink>
      <w:r w:rsidRPr="008A7A8E">
        <w:rPr>
          <w:rFonts w:ascii="Arial" w:hAnsi="Arial" w:cs="Arial"/>
          <w:sz w:val="18"/>
          <w:szCs w:val="18"/>
        </w:rPr>
        <w:t xml:space="preserve">, </w:t>
      </w:r>
      <w:hyperlink r:id="rId5" w:anchor=":~:text=A%20dual%2Dsource%20CT%20scan%20uses%20two%20x%2Dray%20sources,or%20to%20study%20blood%20vessels" w:history="1">
        <w:r w:rsidRPr="008C24C9">
          <w:rPr>
            <w:rStyle w:val="Hyperlink"/>
            <w:rFonts w:ascii="Arial" w:hAnsi="Arial" w:cs="Arial"/>
            <w:sz w:val="18"/>
            <w:szCs w:val="18"/>
          </w:rPr>
          <w:t>https://www.legacyhealth.org/Services-and-Resources/services/adult/imaging/dual-source-ct-scanner#:~:text=A%20dual%2Dsource%20CT%20scan%20uses%20two%20x%2Dray%20sources,or%20to%20study%20blood%20vessels</w:t>
        </w:r>
      </w:hyperlink>
      <w:r w:rsidRPr="008C24C9">
        <w:rPr>
          <w:rFonts w:ascii="Arial" w:hAnsi="Arial" w:cs="Arial"/>
          <w:sz w:val="18"/>
          <w:szCs w:val="18"/>
        </w:rPr>
        <w:t xml:space="preserve"> (last visited March 7, 2023). See also </w:t>
      </w:r>
      <w:r w:rsidRPr="008C24C9">
        <w:rPr>
          <w:rFonts w:ascii="Arial" w:hAnsi="Arial" w:cs="Arial"/>
          <w:i/>
          <w:iCs/>
          <w:sz w:val="18"/>
          <w:szCs w:val="18"/>
        </w:rPr>
        <w:t>Dual energy CT</w:t>
      </w:r>
      <w:r w:rsidRPr="008C24C9">
        <w:rPr>
          <w:rFonts w:ascii="Arial" w:hAnsi="Arial" w:cs="Arial"/>
          <w:sz w:val="18"/>
          <w:szCs w:val="18"/>
        </w:rPr>
        <w:t xml:space="preserve">, Radiopaedia </w:t>
      </w:r>
      <w:hyperlink r:id="rId6" w:history="1">
        <w:r w:rsidRPr="008C24C9">
          <w:rPr>
            <w:rStyle w:val="Hyperlink"/>
            <w:rFonts w:ascii="Arial" w:hAnsi="Arial" w:cs="Arial"/>
            <w:sz w:val="18"/>
            <w:szCs w:val="18"/>
          </w:rPr>
          <w:t>https://radiopaedia.org/articles/dual-energy-ct-2?lang=us</w:t>
        </w:r>
      </w:hyperlink>
      <w:r w:rsidRPr="008C24C9">
        <w:rPr>
          <w:rFonts w:ascii="Arial" w:hAnsi="Arial" w:cs="Arial"/>
          <w:sz w:val="18"/>
          <w:szCs w:val="18"/>
        </w:rPr>
        <w:t xml:space="preserve"> (Feb. 17, 2022).</w:t>
      </w:r>
    </w:p>
  </w:footnote>
  <w:footnote w:id="35">
    <w:p w14:paraId="7C5B19A5" w14:textId="1EB03828" w:rsidR="001024FB" w:rsidRPr="008C24C9" w:rsidRDefault="001024FB"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8C24C9" w:rsidRPr="008C24C9">
        <w:rPr>
          <w:rFonts w:ascii="Arial" w:hAnsi="Arial" w:cs="Arial"/>
          <w:sz w:val="18"/>
          <w:szCs w:val="18"/>
        </w:rPr>
        <w:t>Smith-Bindman et al., supra note 19; Kathleen Lang et al., National trends in advanced outpatient diagnostic imaging utilization: an analysis of the medical expenditure panel survey, 2000-2009, BMC Med. Imaging, (2013) available at https://pubmed.ncbi.nlm.nih.gov/24279724/.</w:t>
      </w:r>
    </w:p>
  </w:footnote>
  <w:footnote w:id="36">
    <w:p w14:paraId="678CF4B2" w14:textId="798F7C96" w:rsidR="001024FB" w:rsidRPr="008C24C9" w:rsidRDefault="001024FB"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Lang et al., </w:t>
      </w:r>
      <w:r w:rsidRPr="008C24C9">
        <w:rPr>
          <w:rFonts w:ascii="Arial" w:hAnsi="Arial" w:cs="Arial"/>
          <w:i/>
          <w:iCs/>
          <w:sz w:val="18"/>
          <w:szCs w:val="18"/>
        </w:rPr>
        <w:t xml:space="preserve">supra </w:t>
      </w:r>
      <w:r w:rsidRPr="008C24C9">
        <w:rPr>
          <w:rFonts w:ascii="Arial" w:hAnsi="Arial" w:cs="Arial"/>
          <w:sz w:val="18"/>
          <w:szCs w:val="18"/>
        </w:rPr>
        <w:t>note 30.</w:t>
      </w:r>
    </w:p>
  </w:footnote>
  <w:footnote w:id="37">
    <w:p w14:paraId="43569DD8" w14:textId="1BC425D8" w:rsidR="00884A8B" w:rsidRPr="008C24C9" w:rsidRDefault="00884A8B"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This value will not include patients who need 3-month, 6-month or annual CT exams that are schedule in advance.</w:t>
      </w:r>
    </w:p>
  </w:footnote>
  <w:footnote w:id="38">
    <w:p w14:paraId="19A83C17" w14:textId="0990FE18" w:rsidR="005F26BD" w:rsidRPr="00010F2F" w:rsidRDefault="005F26BD" w:rsidP="008C24C9">
      <w:pPr>
        <w:pStyle w:val="FootnoteText"/>
        <w:rPr>
          <w:rFonts w:ascii="Arial" w:hAnsi="Arial" w:cs="Arial"/>
          <w:sz w:val="18"/>
          <w:szCs w:val="18"/>
        </w:rPr>
      </w:pPr>
      <w:r w:rsidRPr="008C24C9">
        <w:rPr>
          <w:rStyle w:val="FootnoteReference"/>
          <w:rFonts w:ascii="Arial" w:hAnsi="Arial" w:cs="Arial"/>
          <w:sz w:val="18"/>
          <w:szCs w:val="18"/>
        </w:rPr>
        <w:footnoteRef/>
      </w:r>
      <w:r w:rsidRPr="008C24C9">
        <w:rPr>
          <w:rFonts w:ascii="Arial" w:hAnsi="Arial" w:cs="Arial"/>
          <w:sz w:val="18"/>
          <w:szCs w:val="18"/>
        </w:rPr>
        <w:t xml:space="preserve"> </w:t>
      </w:r>
      <w:r w:rsidR="00BD737B" w:rsidRPr="008C24C9">
        <w:rPr>
          <w:rFonts w:ascii="Arial" w:hAnsi="Arial" w:cs="Arial"/>
          <w:sz w:val="18"/>
          <w:szCs w:val="18"/>
        </w:rPr>
        <w:t xml:space="preserve">Measured from March 2022 </w:t>
      </w:r>
      <w:r w:rsidR="008C24C9" w:rsidRPr="008C24C9">
        <w:rPr>
          <w:rFonts w:ascii="Arial" w:hAnsi="Arial" w:cs="Arial"/>
          <w:sz w:val="18"/>
          <w:szCs w:val="18"/>
        </w:rPr>
        <w:t>through</w:t>
      </w:r>
      <w:r w:rsidR="00BD737B" w:rsidRPr="008C24C9">
        <w:rPr>
          <w:rFonts w:ascii="Arial" w:hAnsi="Arial" w:cs="Arial"/>
          <w:sz w:val="18"/>
          <w:szCs w:val="18"/>
        </w:rPr>
        <w:t xml:space="preserve"> February 2023.</w:t>
      </w:r>
      <w:r w:rsidR="00BD737B" w:rsidRPr="00010F2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52AB" w14:textId="77777777" w:rsidR="007F7869" w:rsidRDefault="007F7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192B" w14:textId="0AC72AC9" w:rsidR="00C11954" w:rsidRDefault="00C11954" w:rsidP="005A2249">
    <w:pPr>
      <w:pStyle w:val="Header"/>
      <w:tabs>
        <w:tab w:val="clear" w:pos="4680"/>
        <w:tab w:val="clear" w:pos="9360"/>
        <w:tab w:val="left" w:pos="81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6AD4" w14:textId="77777777" w:rsidR="007F7869" w:rsidRDefault="007F7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3C4"/>
    <w:multiLevelType w:val="hybridMultilevel"/>
    <w:tmpl w:val="25D6C7D2"/>
    <w:lvl w:ilvl="0" w:tplc="FFFFFFFF">
      <w:start w:val="1"/>
      <w:numFmt w:val="upperLetter"/>
      <w:lvlText w:val="%1."/>
      <w:lvlJc w:val="left"/>
      <w:pPr>
        <w:ind w:left="720" w:hanging="360"/>
      </w:pPr>
      <w:rPr>
        <w:rFonts w:ascii="Arial" w:eastAsia="Times New Roman" w:hAnsi="Arial" w:cs="Arial"/>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F446E"/>
    <w:multiLevelType w:val="hybridMultilevel"/>
    <w:tmpl w:val="CFC68A26"/>
    <w:lvl w:ilvl="0" w:tplc="C47EB19A">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15:restartNumberingAfterBreak="0">
    <w:nsid w:val="20730353"/>
    <w:multiLevelType w:val="hybridMultilevel"/>
    <w:tmpl w:val="25D6C7D2"/>
    <w:lvl w:ilvl="0" w:tplc="FFFFFFFF">
      <w:start w:val="1"/>
      <w:numFmt w:val="upperLetter"/>
      <w:lvlText w:val="%1."/>
      <w:lvlJc w:val="left"/>
      <w:pPr>
        <w:ind w:left="720" w:hanging="360"/>
      </w:pPr>
      <w:rPr>
        <w:rFonts w:ascii="Arial" w:eastAsia="Times New Roman" w:hAnsi="Arial" w:cs="Arial"/>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313965"/>
    <w:multiLevelType w:val="hybridMultilevel"/>
    <w:tmpl w:val="3B883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52A1E"/>
    <w:multiLevelType w:val="hybridMultilevel"/>
    <w:tmpl w:val="EB104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FA0617"/>
    <w:multiLevelType w:val="hybridMultilevel"/>
    <w:tmpl w:val="E60A8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627D3"/>
    <w:multiLevelType w:val="hybridMultilevel"/>
    <w:tmpl w:val="25D6C7D2"/>
    <w:lvl w:ilvl="0" w:tplc="089463BA">
      <w:start w:val="1"/>
      <w:numFmt w:val="upperLetter"/>
      <w:lvlText w:val="%1."/>
      <w:lvlJc w:val="left"/>
      <w:pPr>
        <w:ind w:left="720" w:hanging="360"/>
      </w:pPr>
      <w:rPr>
        <w:rFonts w:ascii="Arial" w:eastAsia="Times New Roman" w:hAnsi="Arial" w:cs="Arial"/>
        <w:b w:val="0"/>
        <w:bCs/>
      </w:rPr>
    </w:lvl>
    <w:lvl w:ilvl="1" w:tplc="46A21C38">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9128F"/>
    <w:multiLevelType w:val="hybridMultilevel"/>
    <w:tmpl w:val="0430091E"/>
    <w:lvl w:ilvl="0" w:tplc="78EC7B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367A60"/>
    <w:multiLevelType w:val="hybridMultilevel"/>
    <w:tmpl w:val="415A92FE"/>
    <w:lvl w:ilvl="0" w:tplc="BD841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390FCD"/>
    <w:multiLevelType w:val="hybridMultilevel"/>
    <w:tmpl w:val="C1EE7E80"/>
    <w:lvl w:ilvl="0" w:tplc="7D1285E0">
      <w:start w:val="1"/>
      <w:numFmt w:val="upperLetter"/>
      <w:lvlText w:val="%1."/>
      <w:lvlJc w:val="left"/>
      <w:pPr>
        <w:ind w:left="1560" w:hanging="361"/>
      </w:pPr>
      <w:rPr>
        <w:rFonts w:ascii="Arial" w:eastAsia="Arial" w:hAnsi="Arial" w:cs="Arial" w:hint="default"/>
        <w:w w:val="99"/>
        <w:sz w:val="22"/>
        <w:szCs w:val="22"/>
        <w:lang w:val="en-US" w:eastAsia="en-US" w:bidi="ar-SA"/>
      </w:rPr>
    </w:lvl>
    <w:lvl w:ilvl="1" w:tplc="75025294">
      <w:numFmt w:val="bullet"/>
      <w:lvlText w:val="•"/>
      <w:lvlJc w:val="left"/>
      <w:pPr>
        <w:ind w:left="2580" w:hanging="361"/>
      </w:pPr>
      <w:rPr>
        <w:lang w:val="en-US" w:eastAsia="en-US" w:bidi="ar-SA"/>
      </w:rPr>
    </w:lvl>
    <w:lvl w:ilvl="2" w:tplc="8FE483DE">
      <w:numFmt w:val="bullet"/>
      <w:lvlText w:val="•"/>
      <w:lvlJc w:val="left"/>
      <w:pPr>
        <w:ind w:left="3600" w:hanging="361"/>
      </w:pPr>
      <w:rPr>
        <w:lang w:val="en-US" w:eastAsia="en-US" w:bidi="ar-SA"/>
      </w:rPr>
    </w:lvl>
    <w:lvl w:ilvl="3" w:tplc="79063DF6">
      <w:numFmt w:val="bullet"/>
      <w:lvlText w:val="•"/>
      <w:lvlJc w:val="left"/>
      <w:pPr>
        <w:ind w:left="4620" w:hanging="361"/>
      </w:pPr>
      <w:rPr>
        <w:lang w:val="en-US" w:eastAsia="en-US" w:bidi="ar-SA"/>
      </w:rPr>
    </w:lvl>
    <w:lvl w:ilvl="4" w:tplc="538801C6">
      <w:numFmt w:val="bullet"/>
      <w:lvlText w:val="•"/>
      <w:lvlJc w:val="left"/>
      <w:pPr>
        <w:ind w:left="5640" w:hanging="361"/>
      </w:pPr>
      <w:rPr>
        <w:lang w:val="en-US" w:eastAsia="en-US" w:bidi="ar-SA"/>
      </w:rPr>
    </w:lvl>
    <w:lvl w:ilvl="5" w:tplc="58D8C33A">
      <w:numFmt w:val="bullet"/>
      <w:lvlText w:val="•"/>
      <w:lvlJc w:val="left"/>
      <w:pPr>
        <w:ind w:left="6660" w:hanging="361"/>
      </w:pPr>
      <w:rPr>
        <w:lang w:val="en-US" w:eastAsia="en-US" w:bidi="ar-SA"/>
      </w:rPr>
    </w:lvl>
    <w:lvl w:ilvl="6" w:tplc="FD0EA5E2">
      <w:numFmt w:val="bullet"/>
      <w:lvlText w:val="•"/>
      <w:lvlJc w:val="left"/>
      <w:pPr>
        <w:ind w:left="7680" w:hanging="361"/>
      </w:pPr>
      <w:rPr>
        <w:lang w:val="en-US" w:eastAsia="en-US" w:bidi="ar-SA"/>
      </w:rPr>
    </w:lvl>
    <w:lvl w:ilvl="7" w:tplc="42485390">
      <w:numFmt w:val="bullet"/>
      <w:lvlText w:val="•"/>
      <w:lvlJc w:val="left"/>
      <w:pPr>
        <w:ind w:left="8700" w:hanging="361"/>
      </w:pPr>
      <w:rPr>
        <w:lang w:val="en-US" w:eastAsia="en-US" w:bidi="ar-SA"/>
      </w:rPr>
    </w:lvl>
    <w:lvl w:ilvl="8" w:tplc="5308C4E4">
      <w:numFmt w:val="bullet"/>
      <w:lvlText w:val="•"/>
      <w:lvlJc w:val="left"/>
      <w:pPr>
        <w:ind w:left="9720" w:hanging="361"/>
      </w:pPr>
      <w:rPr>
        <w:lang w:val="en-US" w:eastAsia="en-US" w:bidi="ar-SA"/>
      </w:rPr>
    </w:lvl>
  </w:abstractNum>
  <w:abstractNum w:abstractNumId="12" w15:restartNumberingAfterBreak="0">
    <w:nsid w:val="5188132C"/>
    <w:multiLevelType w:val="hybridMultilevel"/>
    <w:tmpl w:val="A9DE2C8E"/>
    <w:lvl w:ilvl="0" w:tplc="CED414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10349"/>
    <w:multiLevelType w:val="hybridMultilevel"/>
    <w:tmpl w:val="5F54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A75B8"/>
    <w:multiLevelType w:val="hybridMultilevel"/>
    <w:tmpl w:val="E75C445E"/>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15:restartNumberingAfterBreak="0">
    <w:nsid w:val="7A8E7C02"/>
    <w:multiLevelType w:val="hybridMultilevel"/>
    <w:tmpl w:val="25D6C7D2"/>
    <w:lvl w:ilvl="0" w:tplc="FFFFFFFF">
      <w:start w:val="1"/>
      <w:numFmt w:val="upperLetter"/>
      <w:lvlText w:val="%1."/>
      <w:lvlJc w:val="left"/>
      <w:pPr>
        <w:ind w:left="720" w:hanging="360"/>
      </w:pPr>
      <w:rPr>
        <w:rFonts w:ascii="Arial" w:eastAsia="Times New Roman" w:hAnsi="Arial" w:cs="Arial"/>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6074945">
    <w:abstractNumId w:val="14"/>
  </w:num>
  <w:num w:numId="2" w16cid:durableId="325129486">
    <w:abstractNumId w:val="5"/>
  </w:num>
  <w:num w:numId="3" w16cid:durableId="998340228">
    <w:abstractNumId w:val="8"/>
  </w:num>
  <w:num w:numId="4" w16cid:durableId="385641147">
    <w:abstractNumId w:val="12"/>
  </w:num>
  <w:num w:numId="5" w16cid:durableId="1494953074">
    <w:abstractNumId w:val="10"/>
  </w:num>
  <w:num w:numId="6" w16cid:durableId="1177692310">
    <w:abstractNumId w:val="9"/>
  </w:num>
  <w:num w:numId="7" w16cid:durableId="1233464173">
    <w:abstractNumId w:val="11"/>
    <w:lvlOverride w:ilvl="0">
      <w:startOverride w:val="1"/>
    </w:lvlOverride>
    <w:lvlOverride w:ilvl="1"/>
    <w:lvlOverride w:ilvl="2"/>
    <w:lvlOverride w:ilvl="3"/>
    <w:lvlOverride w:ilvl="4"/>
    <w:lvlOverride w:ilvl="5"/>
    <w:lvlOverride w:ilvl="6"/>
    <w:lvlOverride w:ilvl="7"/>
    <w:lvlOverride w:ilvl="8"/>
  </w:num>
  <w:num w:numId="8" w16cid:durableId="284582897">
    <w:abstractNumId w:val="13"/>
  </w:num>
  <w:num w:numId="9" w16cid:durableId="293675996">
    <w:abstractNumId w:val="2"/>
  </w:num>
  <w:num w:numId="10" w16cid:durableId="901478320">
    <w:abstractNumId w:val="7"/>
  </w:num>
  <w:num w:numId="11" w16cid:durableId="1076588734">
    <w:abstractNumId w:val="4"/>
  </w:num>
  <w:num w:numId="12" w16cid:durableId="113909959">
    <w:abstractNumId w:val="6"/>
  </w:num>
  <w:num w:numId="13" w16cid:durableId="573050879">
    <w:abstractNumId w:val="15"/>
  </w:num>
  <w:num w:numId="14" w16cid:durableId="1136492291">
    <w:abstractNumId w:val="3"/>
  </w:num>
  <w:num w:numId="15" w16cid:durableId="53700003">
    <w:abstractNumId w:val="0"/>
  </w:num>
  <w:num w:numId="16" w16cid:durableId="74672807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F"/>
  </w:docVars>
  <w:rsids>
    <w:rsidRoot w:val="00AB7535"/>
    <w:rsid w:val="000005DB"/>
    <w:rsid w:val="0000203F"/>
    <w:rsid w:val="00004CBC"/>
    <w:rsid w:val="0000532B"/>
    <w:rsid w:val="000055EB"/>
    <w:rsid w:val="00005611"/>
    <w:rsid w:val="00005D7F"/>
    <w:rsid w:val="00006F13"/>
    <w:rsid w:val="00010F2F"/>
    <w:rsid w:val="0001270E"/>
    <w:rsid w:val="00013182"/>
    <w:rsid w:val="00014467"/>
    <w:rsid w:val="000147E4"/>
    <w:rsid w:val="000164AC"/>
    <w:rsid w:val="000171E4"/>
    <w:rsid w:val="00020062"/>
    <w:rsid w:val="000212FD"/>
    <w:rsid w:val="0002260A"/>
    <w:rsid w:val="00022CAA"/>
    <w:rsid w:val="0002327F"/>
    <w:rsid w:val="00023A0E"/>
    <w:rsid w:val="0002464A"/>
    <w:rsid w:val="00024A6E"/>
    <w:rsid w:val="00025068"/>
    <w:rsid w:val="00027E7A"/>
    <w:rsid w:val="000316EF"/>
    <w:rsid w:val="000343B3"/>
    <w:rsid w:val="00034E27"/>
    <w:rsid w:val="000350EC"/>
    <w:rsid w:val="000351BF"/>
    <w:rsid w:val="00036AFB"/>
    <w:rsid w:val="00036E84"/>
    <w:rsid w:val="000378DE"/>
    <w:rsid w:val="00042719"/>
    <w:rsid w:val="00043911"/>
    <w:rsid w:val="00043930"/>
    <w:rsid w:val="00043BAA"/>
    <w:rsid w:val="00047975"/>
    <w:rsid w:val="000533BD"/>
    <w:rsid w:val="000543D8"/>
    <w:rsid w:val="000566BB"/>
    <w:rsid w:val="00060889"/>
    <w:rsid w:val="00060FE9"/>
    <w:rsid w:val="0006133F"/>
    <w:rsid w:val="00064484"/>
    <w:rsid w:val="000646F6"/>
    <w:rsid w:val="000646FF"/>
    <w:rsid w:val="00064AD6"/>
    <w:rsid w:val="00066216"/>
    <w:rsid w:val="00066DE1"/>
    <w:rsid w:val="00070BE5"/>
    <w:rsid w:val="000719B4"/>
    <w:rsid w:val="00073823"/>
    <w:rsid w:val="0007382A"/>
    <w:rsid w:val="000743BF"/>
    <w:rsid w:val="0007530A"/>
    <w:rsid w:val="00076503"/>
    <w:rsid w:val="00077D2F"/>
    <w:rsid w:val="00080624"/>
    <w:rsid w:val="00081795"/>
    <w:rsid w:val="00081F50"/>
    <w:rsid w:val="000836DB"/>
    <w:rsid w:val="0008446F"/>
    <w:rsid w:val="000847E5"/>
    <w:rsid w:val="000858A9"/>
    <w:rsid w:val="00086594"/>
    <w:rsid w:val="00086C4F"/>
    <w:rsid w:val="0008712C"/>
    <w:rsid w:val="0009098A"/>
    <w:rsid w:val="00092F76"/>
    <w:rsid w:val="00093EBC"/>
    <w:rsid w:val="00094C30"/>
    <w:rsid w:val="00097257"/>
    <w:rsid w:val="000A0D20"/>
    <w:rsid w:val="000A3B77"/>
    <w:rsid w:val="000A3CD9"/>
    <w:rsid w:val="000A590B"/>
    <w:rsid w:val="000A7F4C"/>
    <w:rsid w:val="000B101E"/>
    <w:rsid w:val="000B11F8"/>
    <w:rsid w:val="000B13A8"/>
    <w:rsid w:val="000B2094"/>
    <w:rsid w:val="000B3DF1"/>
    <w:rsid w:val="000B3F65"/>
    <w:rsid w:val="000B50C3"/>
    <w:rsid w:val="000B77DD"/>
    <w:rsid w:val="000C00BE"/>
    <w:rsid w:val="000C1400"/>
    <w:rsid w:val="000C2786"/>
    <w:rsid w:val="000C3ABF"/>
    <w:rsid w:val="000C3D1A"/>
    <w:rsid w:val="000C47D3"/>
    <w:rsid w:val="000C47E5"/>
    <w:rsid w:val="000C612D"/>
    <w:rsid w:val="000C6624"/>
    <w:rsid w:val="000C680A"/>
    <w:rsid w:val="000C7BCC"/>
    <w:rsid w:val="000D00A8"/>
    <w:rsid w:val="000D0F46"/>
    <w:rsid w:val="000D23F9"/>
    <w:rsid w:val="000D2485"/>
    <w:rsid w:val="000D25A7"/>
    <w:rsid w:val="000D2FDC"/>
    <w:rsid w:val="000D7861"/>
    <w:rsid w:val="000E03CE"/>
    <w:rsid w:val="000E1E8A"/>
    <w:rsid w:val="000E21AC"/>
    <w:rsid w:val="000E2416"/>
    <w:rsid w:val="000E4855"/>
    <w:rsid w:val="000E4A46"/>
    <w:rsid w:val="000E4C1D"/>
    <w:rsid w:val="000E5FBB"/>
    <w:rsid w:val="000F0FC9"/>
    <w:rsid w:val="000F1693"/>
    <w:rsid w:val="000F1840"/>
    <w:rsid w:val="000F3164"/>
    <w:rsid w:val="000F66D8"/>
    <w:rsid w:val="000F6938"/>
    <w:rsid w:val="000F6C1C"/>
    <w:rsid w:val="00101E89"/>
    <w:rsid w:val="001024FB"/>
    <w:rsid w:val="001035D7"/>
    <w:rsid w:val="00103FB7"/>
    <w:rsid w:val="00106459"/>
    <w:rsid w:val="00107A39"/>
    <w:rsid w:val="0011045F"/>
    <w:rsid w:val="0011339C"/>
    <w:rsid w:val="001137C7"/>
    <w:rsid w:val="00114250"/>
    <w:rsid w:val="0011622B"/>
    <w:rsid w:val="0012060D"/>
    <w:rsid w:val="001208E3"/>
    <w:rsid w:val="00120C33"/>
    <w:rsid w:val="00123425"/>
    <w:rsid w:val="00124B13"/>
    <w:rsid w:val="00124BFC"/>
    <w:rsid w:val="001251B9"/>
    <w:rsid w:val="00125C88"/>
    <w:rsid w:val="001261D2"/>
    <w:rsid w:val="00126820"/>
    <w:rsid w:val="00127681"/>
    <w:rsid w:val="00127792"/>
    <w:rsid w:val="001279F1"/>
    <w:rsid w:val="001307AE"/>
    <w:rsid w:val="001330D3"/>
    <w:rsid w:val="00134E76"/>
    <w:rsid w:val="001352A1"/>
    <w:rsid w:val="001414A6"/>
    <w:rsid w:val="00142491"/>
    <w:rsid w:val="00143479"/>
    <w:rsid w:val="001437FD"/>
    <w:rsid w:val="00145DDF"/>
    <w:rsid w:val="001463C8"/>
    <w:rsid w:val="001504DD"/>
    <w:rsid w:val="00150FF1"/>
    <w:rsid w:val="00153432"/>
    <w:rsid w:val="0015543D"/>
    <w:rsid w:val="00156F9C"/>
    <w:rsid w:val="00157AE0"/>
    <w:rsid w:val="00157DFF"/>
    <w:rsid w:val="001614AD"/>
    <w:rsid w:val="00161C21"/>
    <w:rsid w:val="00163675"/>
    <w:rsid w:val="001646DE"/>
    <w:rsid w:val="00165416"/>
    <w:rsid w:val="00165AC4"/>
    <w:rsid w:val="001664A6"/>
    <w:rsid w:val="001671B8"/>
    <w:rsid w:val="00167999"/>
    <w:rsid w:val="0017041A"/>
    <w:rsid w:val="00171D18"/>
    <w:rsid w:val="00172569"/>
    <w:rsid w:val="0017292D"/>
    <w:rsid w:val="001734E2"/>
    <w:rsid w:val="001738E9"/>
    <w:rsid w:val="001740EB"/>
    <w:rsid w:val="00174D53"/>
    <w:rsid w:val="0017511A"/>
    <w:rsid w:val="00181813"/>
    <w:rsid w:val="001836BD"/>
    <w:rsid w:val="00183C6A"/>
    <w:rsid w:val="00186565"/>
    <w:rsid w:val="00187DC2"/>
    <w:rsid w:val="0019156E"/>
    <w:rsid w:val="00191FB4"/>
    <w:rsid w:val="00192CFF"/>
    <w:rsid w:val="00194034"/>
    <w:rsid w:val="001959EA"/>
    <w:rsid w:val="00196C43"/>
    <w:rsid w:val="00197384"/>
    <w:rsid w:val="00197D4B"/>
    <w:rsid w:val="001A0F1C"/>
    <w:rsid w:val="001A3993"/>
    <w:rsid w:val="001A3A75"/>
    <w:rsid w:val="001A3BC0"/>
    <w:rsid w:val="001A476E"/>
    <w:rsid w:val="001A4B2C"/>
    <w:rsid w:val="001A5362"/>
    <w:rsid w:val="001A6B0F"/>
    <w:rsid w:val="001B074B"/>
    <w:rsid w:val="001B1CE9"/>
    <w:rsid w:val="001B2409"/>
    <w:rsid w:val="001B3428"/>
    <w:rsid w:val="001B533D"/>
    <w:rsid w:val="001B6588"/>
    <w:rsid w:val="001B7C6B"/>
    <w:rsid w:val="001C05F6"/>
    <w:rsid w:val="001C1231"/>
    <w:rsid w:val="001C188F"/>
    <w:rsid w:val="001C2337"/>
    <w:rsid w:val="001C361D"/>
    <w:rsid w:val="001C4827"/>
    <w:rsid w:val="001C60D9"/>
    <w:rsid w:val="001C6329"/>
    <w:rsid w:val="001C641B"/>
    <w:rsid w:val="001C6BB9"/>
    <w:rsid w:val="001C76A0"/>
    <w:rsid w:val="001D15E6"/>
    <w:rsid w:val="001D2763"/>
    <w:rsid w:val="001D3D61"/>
    <w:rsid w:val="001D47CA"/>
    <w:rsid w:val="001D6258"/>
    <w:rsid w:val="001D7957"/>
    <w:rsid w:val="001D7C93"/>
    <w:rsid w:val="001E06E6"/>
    <w:rsid w:val="001E3BAE"/>
    <w:rsid w:val="001E439B"/>
    <w:rsid w:val="001E4B44"/>
    <w:rsid w:val="001E5E31"/>
    <w:rsid w:val="001E635C"/>
    <w:rsid w:val="001F2201"/>
    <w:rsid w:val="001F303F"/>
    <w:rsid w:val="001F5047"/>
    <w:rsid w:val="001F7D2D"/>
    <w:rsid w:val="001F7F57"/>
    <w:rsid w:val="00201745"/>
    <w:rsid w:val="00202753"/>
    <w:rsid w:val="00203FEE"/>
    <w:rsid w:val="002050F9"/>
    <w:rsid w:val="00205DC2"/>
    <w:rsid w:val="00207002"/>
    <w:rsid w:val="002105DB"/>
    <w:rsid w:val="00211096"/>
    <w:rsid w:val="00213732"/>
    <w:rsid w:val="002147CA"/>
    <w:rsid w:val="0021520B"/>
    <w:rsid w:val="0021678A"/>
    <w:rsid w:val="00217EC5"/>
    <w:rsid w:val="00221C95"/>
    <w:rsid w:val="00222414"/>
    <w:rsid w:val="00222818"/>
    <w:rsid w:val="002229A1"/>
    <w:rsid w:val="00223258"/>
    <w:rsid w:val="00223422"/>
    <w:rsid w:val="00223F0A"/>
    <w:rsid w:val="00225DF5"/>
    <w:rsid w:val="0022668E"/>
    <w:rsid w:val="00226D69"/>
    <w:rsid w:val="00227B2E"/>
    <w:rsid w:val="002306F8"/>
    <w:rsid w:val="0023262E"/>
    <w:rsid w:val="0023299A"/>
    <w:rsid w:val="002344DC"/>
    <w:rsid w:val="00236763"/>
    <w:rsid w:val="00236E35"/>
    <w:rsid w:val="002404EF"/>
    <w:rsid w:val="00240A17"/>
    <w:rsid w:val="00241509"/>
    <w:rsid w:val="002459CE"/>
    <w:rsid w:val="00246706"/>
    <w:rsid w:val="00246FE8"/>
    <w:rsid w:val="00247B7A"/>
    <w:rsid w:val="0025192B"/>
    <w:rsid w:val="00251D80"/>
    <w:rsid w:val="002522FE"/>
    <w:rsid w:val="00252550"/>
    <w:rsid w:val="002535F0"/>
    <w:rsid w:val="00256427"/>
    <w:rsid w:val="00256AF0"/>
    <w:rsid w:val="002614D4"/>
    <w:rsid w:val="00261E67"/>
    <w:rsid w:val="00261EF1"/>
    <w:rsid w:val="002649B6"/>
    <w:rsid w:val="0026624A"/>
    <w:rsid w:val="002669CF"/>
    <w:rsid w:val="002702E8"/>
    <w:rsid w:val="00271677"/>
    <w:rsid w:val="002724F0"/>
    <w:rsid w:val="0027363C"/>
    <w:rsid w:val="00274B35"/>
    <w:rsid w:val="0027544B"/>
    <w:rsid w:val="0027798E"/>
    <w:rsid w:val="00280824"/>
    <w:rsid w:val="00282DD4"/>
    <w:rsid w:val="002838ED"/>
    <w:rsid w:val="002863CF"/>
    <w:rsid w:val="00287101"/>
    <w:rsid w:val="00290B03"/>
    <w:rsid w:val="00291879"/>
    <w:rsid w:val="00292EC1"/>
    <w:rsid w:val="00293677"/>
    <w:rsid w:val="00294A5B"/>
    <w:rsid w:val="002953C7"/>
    <w:rsid w:val="00296080"/>
    <w:rsid w:val="002A45F1"/>
    <w:rsid w:val="002A4D27"/>
    <w:rsid w:val="002A5002"/>
    <w:rsid w:val="002A636C"/>
    <w:rsid w:val="002B01A1"/>
    <w:rsid w:val="002B1094"/>
    <w:rsid w:val="002B27B8"/>
    <w:rsid w:val="002B2DDA"/>
    <w:rsid w:val="002B6387"/>
    <w:rsid w:val="002B64E7"/>
    <w:rsid w:val="002C07A1"/>
    <w:rsid w:val="002C1410"/>
    <w:rsid w:val="002C1E7E"/>
    <w:rsid w:val="002C4588"/>
    <w:rsid w:val="002C4791"/>
    <w:rsid w:val="002C4936"/>
    <w:rsid w:val="002C65FD"/>
    <w:rsid w:val="002C783A"/>
    <w:rsid w:val="002D307A"/>
    <w:rsid w:val="002D4926"/>
    <w:rsid w:val="002D4C3B"/>
    <w:rsid w:val="002D6450"/>
    <w:rsid w:val="002D7684"/>
    <w:rsid w:val="002D79F9"/>
    <w:rsid w:val="002E1BDC"/>
    <w:rsid w:val="002E1F31"/>
    <w:rsid w:val="002E51C2"/>
    <w:rsid w:val="002E6DFA"/>
    <w:rsid w:val="002E7EE8"/>
    <w:rsid w:val="002F132B"/>
    <w:rsid w:val="002F1711"/>
    <w:rsid w:val="002F1F07"/>
    <w:rsid w:val="002F51B5"/>
    <w:rsid w:val="002F62A7"/>
    <w:rsid w:val="002F6C7F"/>
    <w:rsid w:val="002F7983"/>
    <w:rsid w:val="002F7D6A"/>
    <w:rsid w:val="003010DE"/>
    <w:rsid w:val="003012EF"/>
    <w:rsid w:val="00304FA9"/>
    <w:rsid w:val="003053A4"/>
    <w:rsid w:val="00307464"/>
    <w:rsid w:val="00310CD1"/>
    <w:rsid w:val="00313356"/>
    <w:rsid w:val="00314311"/>
    <w:rsid w:val="003159CE"/>
    <w:rsid w:val="00316137"/>
    <w:rsid w:val="00317092"/>
    <w:rsid w:val="003170DF"/>
    <w:rsid w:val="00317261"/>
    <w:rsid w:val="00321095"/>
    <w:rsid w:val="00322E08"/>
    <w:rsid w:val="00325A0E"/>
    <w:rsid w:val="00331713"/>
    <w:rsid w:val="003331F3"/>
    <w:rsid w:val="0033434E"/>
    <w:rsid w:val="00334413"/>
    <w:rsid w:val="00340FA5"/>
    <w:rsid w:val="00341BEF"/>
    <w:rsid w:val="00342156"/>
    <w:rsid w:val="00344008"/>
    <w:rsid w:val="0034559B"/>
    <w:rsid w:val="00347C86"/>
    <w:rsid w:val="00350543"/>
    <w:rsid w:val="00352227"/>
    <w:rsid w:val="00352338"/>
    <w:rsid w:val="003533B0"/>
    <w:rsid w:val="003545F2"/>
    <w:rsid w:val="0035466D"/>
    <w:rsid w:val="00355BB7"/>
    <w:rsid w:val="00355CE1"/>
    <w:rsid w:val="003566DF"/>
    <w:rsid w:val="00356E85"/>
    <w:rsid w:val="003618DD"/>
    <w:rsid w:val="00361D22"/>
    <w:rsid w:val="003625DC"/>
    <w:rsid w:val="0036298E"/>
    <w:rsid w:val="003647C1"/>
    <w:rsid w:val="0036514D"/>
    <w:rsid w:val="003664EE"/>
    <w:rsid w:val="00367C46"/>
    <w:rsid w:val="003703CD"/>
    <w:rsid w:val="0037093C"/>
    <w:rsid w:val="00372461"/>
    <w:rsid w:val="00372C38"/>
    <w:rsid w:val="00373820"/>
    <w:rsid w:val="00374AEA"/>
    <w:rsid w:val="003772C9"/>
    <w:rsid w:val="0037775D"/>
    <w:rsid w:val="00380917"/>
    <w:rsid w:val="00380EAB"/>
    <w:rsid w:val="00381137"/>
    <w:rsid w:val="003829C3"/>
    <w:rsid w:val="003831BD"/>
    <w:rsid w:val="00384F04"/>
    <w:rsid w:val="003872F8"/>
    <w:rsid w:val="0038793E"/>
    <w:rsid w:val="00387EA8"/>
    <w:rsid w:val="00394C42"/>
    <w:rsid w:val="003960D7"/>
    <w:rsid w:val="00396B68"/>
    <w:rsid w:val="003A0238"/>
    <w:rsid w:val="003A0F10"/>
    <w:rsid w:val="003A1468"/>
    <w:rsid w:val="003A1498"/>
    <w:rsid w:val="003A48C7"/>
    <w:rsid w:val="003A4A3E"/>
    <w:rsid w:val="003A65BB"/>
    <w:rsid w:val="003B0C52"/>
    <w:rsid w:val="003B0CC7"/>
    <w:rsid w:val="003B53B6"/>
    <w:rsid w:val="003B6A4A"/>
    <w:rsid w:val="003C0031"/>
    <w:rsid w:val="003C011E"/>
    <w:rsid w:val="003C02FE"/>
    <w:rsid w:val="003C04ED"/>
    <w:rsid w:val="003C06F9"/>
    <w:rsid w:val="003C2ABE"/>
    <w:rsid w:val="003C4549"/>
    <w:rsid w:val="003C5F93"/>
    <w:rsid w:val="003D1141"/>
    <w:rsid w:val="003D1F80"/>
    <w:rsid w:val="003D23C7"/>
    <w:rsid w:val="003D2473"/>
    <w:rsid w:val="003D5956"/>
    <w:rsid w:val="003D682B"/>
    <w:rsid w:val="003D6967"/>
    <w:rsid w:val="003D7315"/>
    <w:rsid w:val="003D7CD5"/>
    <w:rsid w:val="003E1154"/>
    <w:rsid w:val="003E205D"/>
    <w:rsid w:val="003E3598"/>
    <w:rsid w:val="003E3EBF"/>
    <w:rsid w:val="003E565D"/>
    <w:rsid w:val="003E6475"/>
    <w:rsid w:val="003E6F7E"/>
    <w:rsid w:val="003F30F4"/>
    <w:rsid w:val="003F31D5"/>
    <w:rsid w:val="003F39E9"/>
    <w:rsid w:val="003F58CF"/>
    <w:rsid w:val="003F72F0"/>
    <w:rsid w:val="004008AE"/>
    <w:rsid w:val="0040191E"/>
    <w:rsid w:val="00402B8F"/>
    <w:rsid w:val="00403012"/>
    <w:rsid w:val="00404787"/>
    <w:rsid w:val="0040670F"/>
    <w:rsid w:val="00407CAE"/>
    <w:rsid w:val="00410519"/>
    <w:rsid w:val="00411324"/>
    <w:rsid w:val="00412201"/>
    <w:rsid w:val="0041242A"/>
    <w:rsid w:val="00412783"/>
    <w:rsid w:val="00413B69"/>
    <w:rsid w:val="004140A6"/>
    <w:rsid w:val="00415351"/>
    <w:rsid w:val="00415695"/>
    <w:rsid w:val="00416DE5"/>
    <w:rsid w:val="00417BEE"/>
    <w:rsid w:val="00417CF9"/>
    <w:rsid w:val="00423922"/>
    <w:rsid w:val="00423E0B"/>
    <w:rsid w:val="00430397"/>
    <w:rsid w:val="00433A04"/>
    <w:rsid w:val="0043402B"/>
    <w:rsid w:val="00436ACF"/>
    <w:rsid w:val="00436E04"/>
    <w:rsid w:val="00437B77"/>
    <w:rsid w:val="00440A11"/>
    <w:rsid w:val="004433B2"/>
    <w:rsid w:val="00443C3F"/>
    <w:rsid w:val="00444169"/>
    <w:rsid w:val="004448E2"/>
    <w:rsid w:val="00444F6A"/>
    <w:rsid w:val="00447E30"/>
    <w:rsid w:val="00450BFF"/>
    <w:rsid w:val="00451948"/>
    <w:rsid w:val="0045201E"/>
    <w:rsid w:val="004540AE"/>
    <w:rsid w:val="00454198"/>
    <w:rsid w:val="00454B17"/>
    <w:rsid w:val="0045552E"/>
    <w:rsid w:val="00455E26"/>
    <w:rsid w:val="004563A3"/>
    <w:rsid w:val="004576B9"/>
    <w:rsid w:val="004600F3"/>
    <w:rsid w:val="00460639"/>
    <w:rsid w:val="00460746"/>
    <w:rsid w:val="00460979"/>
    <w:rsid w:val="004614CA"/>
    <w:rsid w:val="004618CB"/>
    <w:rsid w:val="00462079"/>
    <w:rsid w:val="004630C4"/>
    <w:rsid w:val="00463C1C"/>
    <w:rsid w:val="004656A6"/>
    <w:rsid w:val="00466356"/>
    <w:rsid w:val="00467044"/>
    <w:rsid w:val="00470B71"/>
    <w:rsid w:val="004710BA"/>
    <w:rsid w:val="00471688"/>
    <w:rsid w:val="004717D4"/>
    <w:rsid w:val="0047587C"/>
    <w:rsid w:val="004758F9"/>
    <w:rsid w:val="00476B76"/>
    <w:rsid w:val="00476E27"/>
    <w:rsid w:val="00476EE4"/>
    <w:rsid w:val="004777ED"/>
    <w:rsid w:val="004807BA"/>
    <w:rsid w:val="00480C23"/>
    <w:rsid w:val="0048169F"/>
    <w:rsid w:val="00482067"/>
    <w:rsid w:val="00482905"/>
    <w:rsid w:val="00485C7C"/>
    <w:rsid w:val="004865E0"/>
    <w:rsid w:val="004914D6"/>
    <w:rsid w:val="00491EF6"/>
    <w:rsid w:val="00492BB6"/>
    <w:rsid w:val="0049316D"/>
    <w:rsid w:val="0049394B"/>
    <w:rsid w:val="00493F18"/>
    <w:rsid w:val="004952E4"/>
    <w:rsid w:val="00496A14"/>
    <w:rsid w:val="004978E0"/>
    <w:rsid w:val="004A020E"/>
    <w:rsid w:val="004A2553"/>
    <w:rsid w:val="004A278C"/>
    <w:rsid w:val="004A3307"/>
    <w:rsid w:val="004A394B"/>
    <w:rsid w:val="004A44EE"/>
    <w:rsid w:val="004A4992"/>
    <w:rsid w:val="004A5AD7"/>
    <w:rsid w:val="004A5DD4"/>
    <w:rsid w:val="004A6F24"/>
    <w:rsid w:val="004A7A82"/>
    <w:rsid w:val="004B09B9"/>
    <w:rsid w:val="004B0CBB"/>
    <w:rsid w:val="004B103F"/>
    <w:rsid w:val="004B3E03"/>
    <w:rsid w:val="004B46A2"/>
    <w:rsid w:val="004B4C5F"/>
    <w:rsid w:val="004B4CCB"/>
    <w:rsid w:val="004B4E53"/>
    <w:rsid w:val="004B58B0"/>
    <w:rsid w:val="004B5DCB"/>
    <w:rsid w:val="004B75F5"/>
    <w:rsid w:val="004C0585"/>
    <w:rsid w:val="004C1FF1"/>
    <w:rsid w:val="004C25EA"/>
    <w:rsid w:val="004C2E8E"/>
    <w:rsid w:val="004C2F5F"/>
    <w:rsid w:val="004C399D"/>
    <w:rsid w:val="004C4213"/>
    <w:rsid w:val="004C6341"/>
    <w:rsid w:val="004C6830"/>
    <w:rsid w:val="004D1992"/>
    <w:rsid w:val="004D4723"/>
    <w:rsid w:val="004D64E4"/>
    <w:rsid w:val="004D671B"/>
    <w:rsid w:val="004D6D09"/>
    <w:rsid w:val="004D7382"/>
    <w:rsid w:val="004D7DF6"/>
    <w:rsid w:val="004E0C32"/>
    <w:rsid w:val="004E18C1"/>
    <w:rsid w:val="004E354F"/>
    <w:rsid w:val="004E4A7B"/>
    <w:rsid w:val="004E538D"/>
    <w:rsid w:val="004E58A4"/>
    <w:rsid w:val="004E6435"/>
    <w:rsid w:val="004E6B39"/>
    <w:rsid w:val="004F0016"/>
    <w:rsid w:val="004F1985"/>
    <w:rsid w:val="004F24BE"/>
    <w:rsid w:val="004F483E"/>
    <w:rsid w:val="004F4892"/>
    <w:rsid w:val="004F4FB9"/>
    <w:rsid w:val="004F6B2C"/>
    <w:rsid w:val="0050011A"/>
    <w:rsid w:val="00501027"/>
    <w:rsid w:val="00501A4A"/>
    <w:rsid w:val="005024DA"/>
    <w:rsid w:val="005027E7"/>
    <w:rsid w:val="0050287B"/>
    <w:rsid w:val="00503B41"/>
    <w:rsid w:val="00505EC1"/>
    <w:rsid w:val="005069BF"/>
    <w:rsid w:val="00507C7B"/>
    <w:rsid w:val="00512016"/>
    <w:rsid w:val="005125D8"/>
    <w:rsid w:val="0051274B"/>
    <w:rsid w:val="00512F7E"/>
    <w:rsid w:val="0051465E"/>
    <w:rsid w:val="00515078"/>
    <w:rsid w:val="00515AD5"/>
    <w:rsid w:val="0051657F"/>
    <w:rsid w:val="005166A4"/>
    <w:rsid w:val="00516D0B"/>
    <w:rsid w:val="00521F73"/>
    <w:rsid w:val="005335B0"/>
    <w:rsid w:val="0053424B"/>
    <w:rsid w:val="00534EA5"/>
    <w:rsid w:val="00536003"/>
    <w:rsid w:val="0053606D"/>
    <w:rsid w:val="00542582"/>
    <w:rsid w:val="00544976"/>
    <w:rsid w:val="00546BB9"/>
    <w:rsid w:val="00547CEA"/>
    <w:rsid w:val="00552A8D"/>
    <w:rsid w:val="005535AE"/>
    <w:rsid w:val="00554A3F"/>
    <w:rsid w:val="00555095"/>
    <w:rsid w:val="0055556A"/>
    <w:rsid w:val="00557C05"/>
    <w:rsid w:val="00560268"/>
    <w:rsid w:val="00562462"/>
    <w:rsid w:val="00562B7A"/>
    <w:rsid w:val="00562EBC"/>
    <w:rsid w:val="005631F1"/>
    <w:rsid w:val="00563A0F"/>
    <w:rsid w:val="00570A34"/>
    <w:rsid w:val="00571E03"/>
    <w:rsid w:val="005739DC"/>
    <w:rsid w:val="005756B7"/>
    <w:rsid w:val="00584ABD"/>
    <w:rsid w:val="00591048"/>
    <w:rsid w:val="00594752"/>
    <w:rsid w:val="00595C4A"/>
    <w:rsid w:val="00595D0D"/>
    <w:rsid w:val="00596428"/>
    <w:rsid w:val="005968A2"/>
    <w:rsid w:val="00596F96"/>
    <w:rsid w:val="005A0451"/>
    <w:rsid w:val="005A094F"/>
    <w:rsid w:val="005A0AAD"/>
    <w:rsid w:val="005A0C6C"/>
    <w:rsid w:val="005A2249"/>
    <w:rsid w:val="005A4A28"/>
    <w:rsid w:val="005A580E"/>
    <w:rsid w:val="005A5DA9"/>
    <w:rsid w:val="005A5ED6"/>
    <w:rsid w:val="005A7F8B"/>
    <w:rsid w:val="005B1021"/>
    <w:rsid w:val="005B14DF"/>
    <w:rsid w:val="005B1527"/>
    <w:rsid w:val="005B2510"/>
    <w:rsid w:val="005B305C"/>
    <w:rsid w:val="005B4C0E"/>
    <w:rsid w:val="005B52D8"/>
    <w:rsid w:val="005B5822"/>
    <w:rsid w:val="005B6B7C"/>
    <w:rsid w:val="005B7015"/>
    <w:rsid w:val="005B7202"/>
    <w:rsid w:val="005B78BD"/>
    <w:rsid w:val="005B78FC"/>
    <w:rsid w:val="005C0DEF"/>
    <w:rsid w:val="005C0E1E"/>
    <w:rsid w:val="005C11D0"/>
    <w:rsid w:val="005C1D2F"/>
    <w:rsid w:val="005C29F7"/>
    <w:rsid w:val="005C3CBC"/>
    <w:rsid w:val="005C3CBD"/>
    <w:rsid w:val="005C3FDF"/>
    <w:rsid w:val="005C4538"/>
    <w:rsid w:val="005C52DB"/>
    <w:rsid w:val="005C6161"/>
    <w:rsid w:val="005C6C5E"/>
    <w:rsid w:val="005C6FBC"/>
    <w:rsid w:val="005D2331"/>
    <w:rsid w:val="005D49B7"/>
    <w:rsid w:val="005D49D6"/>
    <w:rsid w:val="005D4B58"/>
    <w:rsid w:val="005D586B"/>
    <w:rsid w:val="005D67E7"/>
    <w:rsid w:val="005E0BFB"/>
    <w:rsid w:val="005E226A"/>
    <w:rsid w:val="005E33CD"/>
    <w:rsid w:val="005E410D"/>
    <w:rsid w:val="005E5B2B"/>
    <w:rsid w:val="005E5C4F"/>
    <w:rsid w:val="005E5DBC"/>
    <w:rsid w:val="005E6ED6"/>
    <w:rsid w:val="005E74CE"/>
    <w:rsid w:val="005E79DE"/>
    <w:rsid w:val="005F151F"/>
    <w:rsid w:val="005F26BD"/>
    <w:rsid w:val="005F4495"/>
    <w:rsid w:val="005F7834"/>
    <w:rsid w:val="005F78DF"/>
    <w:rsid w:val="00600265"/>
    <w:rsid w:val="006007E8"/>
    <w:rsid w:val="00600D88"/>
    <w:rsid w:val="00602720"/>
    <w:rsid w:val="006037A1"/>
    <w:rsid w:val="00605171"/>
    <w:rsid w:val="00605826"/>
    <w:rsid w:val="00605BD9"/>
    <w:rsid w:val="0060638C"/>
    <w:rsid w:val="006064CA"/>
    <w:rsid w:val="0060680B"/>
    <w:rsid w:val="00610C0E"/>
    <w:rsid w:val="00611972"/>
    <w:rsid w:val="006125FD"/>
    <w:rsid w:val="0061305D"/>
    <w:rsid w:val="00613E7F"/>
    <w:rsid w:val="00614FBA"/>
    <w:rsid w:val="00615D81"/>
    <w:rsid w:val="006164E7"/>
    <w:rsid w:val="00616577"/>
    <w:rsid w:val="00616FB1"/>
    <w:rsid w:val="00621998"/>
    <w:rsid w:val="00621C03"/>
    <w:rsid w:val="0062232C"/>
    <w:rsid w:val="006232BB"/>
    <w:rsid w:val="006239DF"/>
    <w:rsid w:val="00624B2C"/>
    <w:rsid w:val="00624F9A"/>
    <w:rsid w:val="00626095"/>
    <w:rsid w:val="006261AF"/>
    <w:rsid w:val="00627382"/>
    <w:rsid w:val="0063299D"/>
    <w:rsid w:val="00633518"/>
    <w:rsid w:val="00634D85"/>
    <w:rsid w:val="00635992"/>
    <w:rsid w:val="00637599"/>
    <w:rsid w:val="00637824"/>
    <w:rsid w:val="00637DAE"/>
    <w:rsid w:val="0064025F"/>
    <w:rsid w:val="006411D9"/>
    <w:rsid w:val="006411E6"/>
    <w:rsid w:val="0064185D"/>
    <w:rsid w:val="00641E7B"/>
    <w:rsid w:val="006424A8"/>
    <w:rsid w:val="00645A38"/>
    <w:rsid w:val="00645E57"/>
    <w:rsid w:val="00646CB3"/>
    <w:rsid w:val="00647142"/>
    <w:rsid w:val="006478AC"/>
    <w:rsid w:val="00650955"/>
    <w:rsid w:val="00653AB1"/>
    <w:rsid w:val="00654658"/>
    <w:rsid w:val="00656E39"/>
    <w:rsid w:val="0065744E"/>
    <w:rsid w:val="00657FEE"/>
    <w:rsid w:val="00660699"/>
    <w:rsid w:val="00663346"/>
    <w:rsid w:val="006636BD"/>
    <w:rsid w:val="006667E4"/>
    <w:rsid w:val="00667B19"/>
    <w:rsid w:val="0067284D"/>
    <w:rsid w:val="0067582D"/>
    <w:rsid w:val="006762AB"/>
    <w:rsid w:val="00676B4C"/>
    <w:rsid w:val="00677982"/>
    <w:rsid w:val="00680454"/>
    <w:rsid w:val="0068074E"/>
    <w:rsid w:val="006825A2"/>
    <w:rsid w:val="00682CE5"/>
    <w:rsid w:val="00683BDE"/>
    <w:rsid w:val="006853C5"/>
    <w:rsid w:val="00685C42"/>
    <w:rsid w:val="00685DC8"/>
    <w:rsid w:val="00690068"/>
    <w:rsid w:val="00690453"/>
    <w:rsid w:val="00690733"/>
    <w:rsid w:val="00690D93"/>
    <w:rsid w:val="0069326E"/>
    <w:rsid w:val="00694D4F"/>
    <w:rsid w:val="006955ED"/>
    <w:rsid w:val="006959A1"/>
    <w:rsid w:val="00697DAF"/>
    <w:rsid w:val="006A4D8C"/>
    <w:rsid w:val="006B0B69"/>
    <w:rsid w:val="006B142C"/>
    <w:rsid w:val="006B2D30"/>
    <w:rsid w:val="006B48A7"/>
    <w:rsid w:val="006B4E6A"/>
    <w:rsid w:val="006B5BC3"/>
    <w:rsid w:val="006B609C"/>
    <w:rsid w:val="006C0CE4"/>
    <w:rsid w:val="006C1BB9"/>
    <w:rsid w:val="006C2577"/>
    <w:rsid w:val="006C30CC"/>
    <w:rsid w:val="006C3FBF"/>
    <w:rsid w:val="006C4168"/>
    <w:rsid w:val="006C4B1B"/>
    <w:rsid w:val="006C5191"/>
    <w:rsid w:val="006C6CFF"/>
    <w:rsid w:val="006C7356"/>
    <w:rsid w:val="006C7671"/>
    <w:rsid w:val="006D1030"/>
    <w:rsid w:val="006D1795"/>
    <w:rsid w:val="006D4188"/>
    <w:rsid w:val="006D6CC6"/>
    <w:rsid w:val="006D7100"/>
    <w:rsid w:val="006D79AA"/>
    <w:rsid w:val="006E1C1F"/>
    <w:rsid w:val="006E7493"/>
    <w:rsid w:val="006E7DCB"/>
    <w:rsid w:val="006E7E6A"/>
    <w:rsid w:val="006F0967"/>
    <w:rsid w:val="006F0FBB"/>
    <w:rsid w:val="006F10DE"/>
    <w:rsid w:val="006F1B5B"/>
    <w:rsid w:val="006F22BB"/>
    <w:rsid w:val="006F2C1C"/>
    <w:rsid w:val="006F4761"/>
    <w:rsid w:val="006F4AD4"/>
    <w:rsid w:val="006F6332"/>
    <w:rsid w:val="006F6754"/>
    <w:rsid w:val="006F7975"/>
    <w:rsid w:val="006F7E42"/>
    <w:rsid w:val="0070010A"/>
    <w:rsid w:val="007011CC"/>
    <w:rsid w:val="007018F1"/>
    <w:rsid w:val="00701B20"/>
    <w:rsid w:val="00701C7A"/>
    <w:rsid w:val="00702C8B"/>
    <w:rsid w:val="00702EAF"/>
    <w:rsid w:val="007031A4"/>
    <w:rsid w:val="0070410E"/>
    <w:rsid w:val="00705EED"/>
    <w:rsid w:val="007062D4"/>
    <w:rsid w:val="00707D0B"/>
    <w:rsid w:val="007107F2"/>
    <w:rsid w:val="0071176C"/>
    <w:rsid w:val="007144B3"/>
    <w:rsid w:val="007145AD"/>
    <w:rsid w:val="007159FB"/>
    <w:rsid w:val="00715E3E"/>
    <w:rsid w:val="007167F5"/>
    <w:rsid w:val="00717D15"/>
    <w:rsid w:val="007209C0"/>
    <w:rsid w:val="00720AB4"/>
    <w:rsid w:val="00720F48"/>
    <w:rsid w:val="00722E63"/>
    <w:rsid w:val="00722FE3"/>
    <w:rsid w:val="00725EB8"/>
    <w:rsid w:val="00726497"/>
    <w:rsid w:val="0072753B"/>
    <w:rsid w:val="0073000F"/>
    <w:rsid w:val="00730DCD"/>
    <w:rsid w:val="00731C0F"/>
    <w:rsid w:val="007330AE"/>
    <w:rsid w:val="0073376E"/>
    <w:rsid w:val="007340E6"/>
    <w:rsid w:val="007347C1"/>
    <w:rsid w:val="00734CE6"/>
    <w:rsid w:val="00734F2F"/>
    <w:rsid w:val="00734F7D"/>
    <w:rsid w:val="00735E11"/>
    <w:rsid w:val="007404E6"/>
    <w:rsid w:val="0074443E"/>
    <w:rsid w:val="007458F8"/>
    <w:rsid w:val="0075074E"/>
    <w:rsid w:val="0075078E"/>
    <w:rsid w:val="0075083F"/>
    <w:rsid w:val="00753E62"/>
    <w:rsid w:val="007561CA"/>
    <w:rsid w:val="00757F6E"/>
    <w:rsid w:val="00760E9C"/>
    <w:rsid w:val="007630E3"/>
    <w:rsid w:val="007636BF"/>
    <w:rsid w:val="0076416F"/>
    <w:rsid w:val="00765E6E"/>
    <w:rsid w:val="0076748E"/>
    <w:rsid w:val="007710AF"/>
    <w:rsid w:val="00772B6C"/>
    <w:rsid w:val="00773A38"/>
    <w:rsid w:val="00774BF5"/>
    <w:rsid w:val="0077537B"/>
    <w:rsid w:val="00776883"/>
    <w:rsid w:val="00777932"/>
    <w:rsid w:val="00777A9A"/>
    <w:rsid w:val="007819DF"/>
    <w:rsid w:val="00783B07"/>
    <w:rsid w:val="00784941"/>
    <w:rsid w:val="00786410"/>
    <w:rsid w:val="00787C98"/>
    <w:rsid w:val="007901B9"/>
    <w:rsid w:val="00790A34"/>
    <w:rsid w:val="00793441"/>
    <w:rsid w:val="00793656"/>
    <w:rsid w:val="00796B49"/>
    <w:rsid w:val="007A3FC7"/>
    <w:rsid w:val="007A47B0"/>
    <w:rsid w:val="007A5700"/>
    <w:rsid w:val="007B008E"/>
    <w:rsid w:val="007B05F9"/>
    <w:rsid w:val="007B1C67"/>
    <w:rsid w:val="007B1FE6"/>
    <w:rsid w:val="007B3A4F"/>
    <w:rsid w:val="007B490A"/>
    <w:rsid w:val="007B4BD6"/>
    <w:rsid w:val="007B530A"/>
    <w:rsid w:val="007C1856"/>
    <w:rsid w:val="007C2614"/>
    <w:rsid w:val="007D0A4D"/>
    <w:rsid w:val="007D0B13"/>
    <w:rsid w:val="007D1E71"/>
    <w:rsid w:val="007D3061"/>
    <w:rsid w:val="007D4599"/>
    <w:rsid w:val="007D5EBA"/>
    <w:rsid w:val="007D73D6"/>
    <w:rsid w:val="007D7A08"/>
    <w:rsid w:val="007E0898"/>
    <w:rsid w:val="007E0C24"/>
    <w:rsid w:val="007E2A81"/>
    <w:rsid w:val="007E3514"/>
    <w:rsid w:val="007E481F"/>
    <w:rsid w:val="007F1C4C"/>
    <w:rsid w:val="007F212D"/>
    <w:rsid w:val="007F6A69"/>
    <w:rsid w:val="007F7007"/>
    <w:rsid w:val="007F7869"/>
    <w:rsid w:val="007F7CBE"/>
    <w:rsid w:val="008005DF"/>
    <w:rsid w:val="008025F7"/>
    <w:rsid w:val="00803BE2"/>
    <w:rsid w:val="00804F30"/>
    <w:rsid w:val="00804FB9"/>
    <w:rsid w:val="00805BD1"/>
    <w:rsid w:val="00806393"/>
    <w:rsid w:val="008064EE"/>
    <w:rsid w:val="00806971"/>
    <w:rsid w:val="00806FA7"/>
    <w:rsid w:val="00807362"/>
    <w:rsid w:val="00807BD1"/>
    <w:rsid w:val="00810F61"/>
    <w:rsid w:val="00811EFF"/>
    <w:rsid w:val="00812155"/>
    <w:rsid w:val="00812613"/>
    <w:rsid w:val="00814DA8"/>
    <w:rsid w:val="008151F9"/>
    <w:rsid w:val="00815D38"/>
    <w:rsid w:val="00815EAC"/>
    <w:rsid w:val="00816779"/>
    <w:rsid w:val="00820F44"/>
    <w:rsid w:val="008239D2"/>
    <w:rsid w:val="00824314"/>
    <w:rsid w:val="0082504E"/>
    <w:rsid w:val="00825681"/>
    <w:rsid w:val="008258EF"/>
    <w:rsid w:val="00826580"/>
    <w:rsid w:val="00827537"/>
    <w:rsid w:val="00827632"/>
    <w:rsid w:val="00831042"/>
    <w:rsid w:val="00831A86"/>
    <w:rsid w:val="00833854"/>
    <w:rsid w:val="0083640E"/>
    <w:rsid w:val="00836E5D"/>
    <w:rsid w:val="0083771B"/>
    <w:rsid w:val="008400BC"/>
    <w:rsid w:val="008402B5"/>
    <w:rsid w:val="00840961"/>
    <w:rsid w:val="00841CDF"/>
    <w:rsid w:val="0084202A"/>
    <w:rsid w:val="008453D2"/>
    <w:rsid w:val="00846565"/>
    <w:rsid w:val="008472F8"/>
    <w:rsid w:val="00847A80"/>
    <w:rsid w:val="0085095D"/>
    <w:rsid w:val="00850AB0"/>
    <w:rsid w:val="0085387A"/>
    <w:rsid w:val="00854836"/>
    <w:rsid w:val="008548FC"/>
    <w:rsid w:val="00857A0A"/>
    <w:rsid w:val="00857F5D"/>
    <w:rsid w:val="0086068A"/>
    <w:rsid w:val="008619EC"/>
    <w:rsid w:val="00861A2B"/>
    <w:rsid w:val="008625A0"/>
    <w:rsid w:val="0086278A"/>
    <w:rsid w:val="00862D6A"/>
    <w:rsid w:val="00864338"/>
    <w:rsid w:val="008673FE"/>
    <w:rsid w:val="008723E6"/>
    <w:rsid w:val="008745B4"/>
    <w:rsid w:val="008746D6"/>
    <w:rsid w:val="00874D35"/>
    <w:rsid w:val="00874E5F"/>
    <w:rsid w:val="008751EB"/>
    <w:rsid w:val="0087581E"/>
    <w:rsid w:val="00881254"/>
    <w:rsid w:val="00881391"/>
    <w:rsid w:val="00884A8B"/>
    <w:rsid w:val="0088567D"/>
    <w:rsid w:val="0088610E"/>
    <w:rsid w:val="00886FBF"/>
    <w:rsid w:val="008874E6"/>
    <w:rsid w:val="008944FD"/>
    <w:rsid w:val="00895A24"/>
    <w:rsid w:val="00895B91"/>
    <w:rsid w:val="00896082"/>
    <w:rsid w:val="00896A32"/>
    <w:rsid w:val="008973E5"/>
    <w:rsid w:val="008A224A"/>
    <w:rsid w:val="008A24C8"/>
    <w:rsid w:val="008A3591"/>
    <w:rsid w:val="008A5586"/>
    <w:rsid w:val="008A6566"/>
    <w:rsid w:val="008A65B5"/>
    <w:rsid w:val="008A6A51"/>
    <w:rsid w:val="008A77B3"/>
    <w:rsid w:val="008A7A8E"/>
    <w:rsid w:val="008B0426"/>
    <w:rsid w:val="008B3FF0"/>
    <w:rsid w:val="008B5A86"/>
    <w:rsid w:val="008B6814"/>
    <w:rsid w:val="008C0879"/>
    <w:rsid w:val="008C24C9"/>
    <w:rsid w:val="008C281A"/>
    <w:rsid w:val="008C42A6"/>
    <w:rsid w:val="008C6093"/>
    <w:rsid w:val="008C7173"/>
    <w:rsid w:val="008C781B"/>
    <w:rsid w:val="008C7FB0"/>
    <w:rsid w:val="008D0371"/>
    <w:rsid w:val="008D048C"/>
    <w:rsid w:val="008D16C9"/>
    <w:rsid w:val="008D1C33"/>
    <w:rsid w:val="008D2DDF"/>
    <w:rsid w:val="008D3642"/>
    <w:rsid w:val="008D3FC0"/>
    <w:rsid w:val="008D6C52"/>
    <w:rsid w:val="008E2318"/>
    <w:rsid w:val="008E3AF5"/>
    <w:rsid w:val="008E4014"/>
    <w:rsid w:val="008E4E20"/>
    <w:rsid w:val="008F0DCD"/>
    <w:rsid w:val="008F1019"/>
    <w:rsid w:val="008F11BE"/>
    <w:rsid w:val="00902B4F"/>
    <w:rsid w:val="0090356F"/>
    <w:rsid w:val="00903803"/>
    <w:rsid w:val="00904105"/>
    <w:rsid w:val="009050CD"/>
    <w:rsid w:val="00905F31"/>
    <w:rsid w:val="009126B8"/>
    <w:rsid w:val="00912941"/>
    <w:rsid w:val="009141F6"/>
    <w:rsid w:val="009156D5"/>
    <w:rsid w:val="00915A02"/>
    <w:rsid w:val="00915B0C"/>
    <w:rsid w:val="00916772"/>
    <w:rsid w:val="00920CBC"/>
    <w:rsid w:val="00922317"/>
    <w:rsid w:val="0092325E"/>
    <w:rsid w:val="0092699B"/>
    <w:rsid w:val="00927495"/>
    <w:rsid w:val="0092793D"/>
    <w:rsid w:val="009315B5"/>
    <w:rsid w:val="00933D9E"/>
    <w:rsid w:val="009345DD"/>
    <w:rsid w:val="00937AA5"/>
    <w:rsid w:val="009405FD"/>
    <w:rsid w:val="009406D1"/>
    <w:rsid w:val="0094074B"/>
    <w:rsid w:val="009418CB"/>
    <w:rsid w:val="00943EDC"/>
    <w:rsid w:val="00945BCD"/>
    <w:rsid w:val="00950308"/>
    <w:rsid w:val="00950D90"/>
    <w:rsid w:val="00951573"/>
    <w:rsid w:val="00952743"/>
    <w:rsid w:val="00953118"/>
    <w:rsid w:val="009550B0"/>
    <w:rsid w:val="0096089B"/>
    <w:rsid w:val="00960ECD"/>
    <w:rsid w:val="00961756"/>
    <w:rsid w:val="00963130"/>
    <w:rsid w:val="00963D9E"/>
    <w:rsid w:val="0096459D"/>
    <w:rsid w:val="00964EF2"/>
    <w:rsid w:val="009659D9"/>
    <w:rsid w:val="00966EF2"/>
    <w:rsid w:val="00971262"/>
    <w:rsid w:val="00973309"/>
    <w:rsid w:val="009743F5"/>
    <w:rsid w:val="00976223"/>
    <w:rsid w:val="00977BEC"/>
    <w:rsid w:val="009805E0"/>
    <w:rsid w:val="009813CC"/>
    <w:rsid w:val="0098422D"/>
    <w:rsid w:val="00984746"/>
    <w:rsid w:val="00984A0B"/>
    <w:rsid w:val="0098652A"/>
    <w:rsid w:val="009871E3"/>
    <w:rsid w:val="00987284"/>
    <w:rsid w:val="009903B5"/>
    <w:rsid w:val="00990BD8"/>
    <w:rsid w:val="009918E0"/>
    <w:rsid w:val="0099197C"/>
    <w:rsid w:val="00991C77"/>
    <w:rsid w:val="00992DFD"/>
    <w:rsid w:val="00992E84"/>
    <w:rsid w:val="009972F4"/>
    <w:rsid w:val="00997681"/>
    <w:rsid w:val="009A013A"/>
    <w:rsid w:val="009A2ACE"/>
    <w:rsid w:val="009A32E5"/>
    <w:rsid w:val="009A3864"/>
    <w:rsid w:val="009A4F49"/>
    <w:rsid w:val="009A76C8"/>
    <w:rsid w:val="009A79A5"/>
    <w:rsid w:val="009B052F"/>
    <w:rsid w:val="009B13C3"/>
    <w:rsid w:val="009B14E7"/>
    <w:rsid w:val="009B417F"/>
    <w:rsid w:val="009B4FD4"/>
    <w:rsid w:val="009B525F"/>
    <w:rsid w:val="009B53A2"/>
    <w:rsid w:val="009C1F10"/>
    <w:rsid w:val="009C2089"/>
    <w:rsid w:val="009C24E4"/>
    <w:rsid w:val="009C4777"/>
    <w:rsid w:val="009C4CCF"/>
    <w:rsid w:val="009C5108"/>
    <w:rsid w:val="009C5793"/>
    <w:rsid w:val="009C625C"/>
    <w:rsid w:val="009C7EEC"/>
    <w:rsid w:val="009D21A0"/>
    <w:rsid w:val="009D6ABD"/>
    <w:rsid w:val="009D7563"/>
    <w:rsid w:val="009E05B5"/>
    <w:rsid w:val="009E0D5A"/>
    <w:rsid w:val="009E2884"/>
    <w:rsid w:val="009E2BA3"/>
    <w:rsid w:val="009E5158"/>
    <w:rsid w:val="009E56EA"/>
    <w:rsid w:val="009E7F98"/>
    <w:rsid w:val="009F194F"/>
    <w:rsid w:val="009F1C87"/>
    <w:rsid w:val="009F1FA3"/>
    <w:rsid w:val="009F2E75"/>
    <w:rsid w:val="009F4F4F"/>
    <w:rsid w:val="009F6089"/>
    <w:rsid w:val="009F6A86"/>
    <w:rsid w:val="00A01193"/>
    <w:rsid w:val="00A0195A"/>
    <w:rsid w:val="00A020FB"/>
    <w:rsid w:val="00A042DC"/>
    <w:rsid w:val="00A044A7"/>
    <w:rsid w:val="00A10A48"/>
    <w:rsid w:val="00A11BAC"/>
    <w:rsid w:val="00A12018"/>
    <w:rsid w:val="00A122F5"/>
    <w:rsid w:val="00A12962"/>
    <w:rsid w:val="00A12E60"/>
    <w:rsid w:val="00A13C34"/>
    <w:rsid w:val="00A13FCF"/>
    <w:rsid w:val="00A168A0"/>
    <w:rsid w:val="00A17FDC"/>
    <w:rsid w:val="00A20DD4"/>
    <w:rsid w:val="00A213C5"/>
    <w:rsid w:val="00A214DD"/>
    <w:rsid w:val="00A27724"/>
    <w:rsid w:val="00A30EF2"/>
    <w:rsid w:val="00A31166"/>
    <w:rsid w:val="00A324C9"/>
    <w:rsid w:val="00A32B05"/>
    <w:rsid w:val="00A3327A"/>
    <w:rsid w:val="00A368A8"/>
    <w:rsid w:val="00A404C5"/>
    <w:rsid w:val="00A40AEA"/>
    <w:rsid w:val="00A42003"/>
    <w:rsid w:val="00A42BB1"/>
    <w:rsid w:val="00A45041"/>
    <w:rsid w:val="00A466E6"/>
    <w:rsid w:val="00A46E3D"/>
    <w:rsid w:val="00A47EC9"/>
    <w:rsid w:val="00A5431E"/>
    <w:rsid w:val="00A54812"/>
    <w:rsid w:val="00A56196"/>
    <w:rsid w:val="00A56746"/>
    <w:rsid w:val="00A56A79"/>
    <w:rsid w:val="00A56B4B"/>
    <w:rsid w:val="00A571E8"/>
    <w:rsid w:val="00A60126"/>
    <w:rsid w:val="00A60127"/>
    <w:rsid w:val="00A604E4"/>
    <w:rsid w:val="00A62ECD"/>
    <w:rsid w:val="00A63DFD"/>
    <w:rsid w:val="00A64AD3"/>
    <w:rsid w:val="00A652FE"/>
    <w:rsid w:val="00A66E9A"/>
    <w:rsid w:val="00A71C2E"/>
    <w:rsid w:val="00A733AA"/>
    <w:rsid w:val="00A74A9A"/>
    <w:rsid w:val="00A74F0A"/>
    <w:rsid w:val="00A7632E"/>
    <w:rsid w:val="00A77811"/>
    <w:rsid w:val="00A77D97"/>
    <w:rsid w:val="00A821ED"/>
    <w:rsid w:val="00A83AAD"/>
    <w:rsid w:val="00A8473E"/>
    <w:rsid w:val="00A8778B"/>
    <w:rsid w:val="00A9290B"/>
    <w:rsid w:val="00A94A83"/>
    <w:rsid w:val="00A954BD"/>
    <w:rsid w:val="00A96CE7"/>
    <w:rsid w:val="00A9718E"/>
    <w:rsid w:val="00AA277A"/>
    <w:rsid w:val="00AA3E47"/>
    <w:rsid w:val="00AA5B07"/>
    <w:rsid w:val="00AA5B46"/>
    <w:rsid w:val="00AA6AFC"/>
    <w:rsid w:val="00AB01CA"/>
    <w:rsid w:val="00AB073D"/>
    <w:rsid w:val="00AB13E0"/>
    <w:rsid w:val="00AB2FD6"/>
    <w:rsid w:val="00AB311C"/>
    <w:rsid w:val="00AB4EB8"/>
    <w:rsid w:val="00AB61A4"/>
    <w:rsid w:val="00AB725D"/>
    <w:rsid w:val="00AB7535"/>
    <w:rsid w:val="00AB7F4C"/>
    <w:rsid w:val="00AC07DD"/>
    <w:rsid w:val="00AC1C41"/>
    <w:rsid w:val="00AC1F00"/>
    <w:rsid w:val="00AC26F6"/>
    <w:rsid w:val="00AC315D"/>
    <w:rsid w:val="00AC58DA"/>
    <w:rsid w:val="00AC5A9E"/>
    <w:rsid w:val="00AC5F32"/>
    <w:rsid w:val="00AC61AD"/>
    <w:rsid w:val="00AC72B0"/>
    <w:rsid w:val="00AD0AF7"/>
    <w:rsid w:val="00AD2D60"/>
    <w:rsid w:val="00AD2F6E"/>
    <w:rsid w:val="00AD386B"/>
    <w:rsid w:val="00AD45DC"/>
    <w:rsid w:val="00AD6171"/>
    <w:rsid w:val="00AD62A7"/>
    <w:rsid w:val="00AE2409"/>
    <w:rsid w:val="00AE324F"/>
    <w:rsid w:val="00AE33AB"/>
    <w:rsid w:val="00AE441C"/>
    <w:rsid w:val="00AE5B21"/>
    <w:rsid w:val="00AE6186"/>
    <w:rsid w:val="00AF00D0"/>
    <w:rsid w:val="00AF1957"/>
    <w:rsid w:val="00AF3DF8"/>
    <w:rsid w:val="00AF5485"/>
    <w:rsid w:val="00AF64B3"/>
    <w:rsid w:val="00B016AB"/>
    <w:rsid w:val="00B02688"/>
    <w:rsid w:val="00B033FB"/>
    <w:rsid w:val="00B05684"/>
    <w:rsid w:val="00B11D6D"/>
    <w:rsid w:val="00B12B40"/>
    <w:rsid w:val="00B12F83"/>
    <w:rsid w:val="00B13548"/>
    <w:rsid w:val="00B13B95"/>
    <w:rsid w:val="00B14A06"/>
    <w:rsid w:val="00B167A0"/>
    <w:rsid w:val="00B16999"/>
    <w:rsid w:val="00B21599"/>
    <w:rsid w:val="00B22551"/>
    <w:rsid w:val="00B2510C"/>
    <w:rsid w:val="00B253C9"/>
    <w:rsid w:val="00B2567B"/>
    <w:rsid w:val="00B26125"/>
    <w:rsid w:val="00B2632B"/>
    <w:rsid w:val="00B26CFF"/>
    <w:rsid w:val="00B277C9"/>
    <w:rsid w:val="00B31BA1"/>
    <w:rsid w:val="00B320DD"/>
    <w:rsid w:val="00B3285E"/>
    <w:rsid w:val="00B3370F"/>
    <w:rsid w:val="00B33ED3"/>
    <w:rsid w:val="00B34FAC"/>
    <w:rsid w:val="00B3558E"/>
    <w:rsid w:val="00B35EC6"/>
    <w:rsid w:val="00B36812"/>
    <w:rsid w:val="00B371F1"/>
    <w:rsid w:val="00B37288"/>
    <w:rsid w:val="00B40443"/>
    <w:rsid w:val="00B42846"/>
    <w:rsid w:val="00B42ADA"/>
    <w:rsid w:val="00B4360B"/>
    <w:rsid w:val="00B458E2"/>
    <w:rsid w:val="00B4633A"/>
    <w:rsid w:val="00B4746D"/>
    <w:rsid w:val="00B47727"/>
    <w:rsid w:val="00B51D2B"/>
    <w:rsid w:val="00B520BC"/>
    <w:rsid w:val="00B52909"/>
    <w:rsid w:val="00B52DB8"/>
    <w:rsid w:val="00B52E94"/>
    <w:rsid w:val="00B5305B"/>
    <w:rsid w:val="00B539B0"/>
    <w:rsid w:val="00B55485"/>
    <w:rsid w:val="00B60B8A"/>
    <w:rsid w:val="00B60F37"/>
    <w:rsid w:val="00B64FC6"/>
    <w:rsid w:val="00B67AEB"/>
    <w:rsid w:val="00B703E8"/>
    <w:rsid w:val="00B70811"/>
    <w:rsid w:val="00B7134A"/>
    <w:rsid w:val="00B71365"/>
    <w:rsid w:val="00B71B1C"/>
    <w:rsid w:val="00B731CB"/>
    <w:rsid w:val="00B731F7"/>
    <w:rsid w:val="00B73296"/>
    <w:rsid w:val="00B73A05"/>
    <w:rsid w:val="00B75A0D"/>
    <w:rsid w:val="00B7763F"/>
    <w:rsid w:val="00B77C53"/>
    <w:rsid w:val="00B77EBC"/>
    <w:rsid w:val="00B83CE1"/>
    <w:rsid w:val="00B86422"/>
    <w:rsid w:val="00B867FF"/>
    <w:rsid w:val="00B86A7D"/>
    <w:rsid w:val="00B87B4D"/>
    <w:rsid w:val="00B87EDF"/>
    <w:rsid w:val="00B90486"/>
    <w:rsid w:val="00B905D8"/>
    <w:rsid w:val="00B9295D"/>
    <w:rsid w:val="00B9405A"/>
    <w:rsid w:val="00B9415D"/>
    <w:rsid w:val="00B95BE2"/>
    <w:rsid w:val="00B966E5"/>
    <w:rsid w:val="00B96E5F"/>
    <w:rsid w:val="00B97AB7"/>
    <w:rsid w:val="00BA2D18"/>
    <w:rsid w:val="00BA346A"/>
    <w:rsid w:val="00BA37AD"/>
    <w:rsid w:val="00BA45F2"/>
    <w:rsid w:val="00BB04ED"/>
    <w:rsid w:val="00BB0598"/>
    <w:rsid w:val="00BB0979"/>
    <w:rsid w:val="00BB1100"/>
    <w:rsid w:val="00BB15A0"/>
    <w:rsid w:val="00BB22F2"/>
    <w:rsid w:val="00BB2A0F"/>
    <w:rsid w:val="00BB3D54"/>
    <w:rsid w:val="00BB5B88"/>
    <w:rsid w:val="00BB7F40"/>
    <w:rsid w:val="00BC01DE"/>
    <w:rsid w:val="00BC0232"/>
    <w:rsid w:val="00BC1DA4"/>
    <w:rsid w:val="00BC2302"/>
    <w:rsid w:val="00BC3665"/>
    <w:rsid w:val="00BC59CC"/>
    <w:rsid w:val="00BC7581"/>
    <w:rsid w:val="00BC7B34"/>
    <w:rsid w:val="00BD076C"/>
    <w:rsid w:val="00BD0EBB"/>
    <w:rsid w:val="00BD1224"/>
    <w:rsid w:val="00BD2019"/>
    <w:rsid w:val="00BD23E6"/>
    <w:rsid w:val="00BD2B61"/>
    <w:rsid w:val="00BD4912"/>
    <w:rsid w:val="00BD737B"/>
    <w:rsid w:val="00BD74D1"/>
    <w:rsid w:val="00BE0F6C"/>
    <w:rsid w:val="00BE1F12"/>
    <w:rsid w:val="00BE3FB4"/>
    <w:rsid w:val="00BE5705"/>
    <w:rsid w:val="00BE575A"/>
    <w:rsid w:val="00BE6FFE"/>
    <w:rsid w:val="00BE7600"/>
    <w:rsid w:val="00BE792D"/>
    <w:rsid w:val="00BE7B5C"/>
    <w:rsid w:val="00BF0CBF"/>
    <w:rsid w:val="00BF2964"/>
    <w:rsid w:val="00BF3815"/>
    <w:rsid w:val="00BF44B8"/>
    <w:rsid w:val="00BF7344"/>
    <w:rsid w:val="00C00E95"/>
    <w:rsid w:val="00C00F56"/>
    <w:rsid w:val="00C011B0"/>
    <w:rsid w:val="00C0152D"/>
    <w:rsid w:val="00C0193B"/>
    <w:rsid w:val="00C02DAD"/>
    <w:rsid w:val="00C0545E"/>
    <w:rsid w:val="00C07821"/>
    <w:rsid w:val="00C07994"/>
    <w:rsid w:val="00C11954"/>
    <w:rsid w:val="00C136FC"/>
    <w:rsid w:val="00C14994"/>
    <w:rsid w:val="00C1513D"/>
    <w:rsid w:val="00C15AA5"/>
    <w:rsid w:val="00C15F3B"/>
    <w:rsid w:val="00C16B51"/>
    <w:rsid w:val="00C21DC7"/>
    <w:rsid w:val="00C22192"/>
    <w:rsid w:val="00C244B8"/>
    <w:rsid w:val="00C246F6"/>
    <w:rsid w:val="00C24D70"/>
    <w:rsid w:val="00C2515A"/>
    <w:rsid w:val="00C260E2"/>
    <w:rsid w:val="00C30832"/>
    <w:rsid w:val="00C308AF"/>
    <w:rsid w:val="00C31329"/>
    <w:rsid w:val="00C3205A"/>
    <w:rsid w:val="00C33440"/>
    <w:rsid w:val="00C336E5"/>
    <w:rsid w:val="00C34A59"/>
    <w:rsid w:val="00C34AD2"/>
    <w:rsid w:val="00C35D47"/>
    <w:rsid w:val="00C37FFA"/>
    <w:rsid w:val="00C43512"/>
    <w:rsid w:val="00C43A83"/>
    <w:rsid w:val="00C45179"/>
    <w:rsid w:val="00C4657D"/>
    <w:rsid w:val="00C47E40"/>
    <w:rsid w:val="00C50AE0"/>
    <w:rsid w:val="00C522E8"/>
    <w:rsid w:val="00C52451"/>
    <w:rsid w:val="00C52B74"/>
    <w:rsid w:val="00C54579"/>
    <w:rsid w:val="00C5477C"/>
    <w:rsid w:val="00C54E42"/>
    <w:rsid w:val="00C55369"/>
    <w:rsid w:val="00C56BAB"/>
    <w:rsid w:val="00C56D3C"/>
    <w:rsid w:val="00C6144B"/>
    <w:rsid w:val="00C62186"/>
    <w:rsid w:val="00C64D35"/>
    <w:rsid w:val="00C657B0"/>
    <w:rsid w:val="00C662A6"/>
    <w:rsid w:val="00C66A49"/>
    <w:rsid w:val="00C67426"/>
    <w:rsid w:val="00C6798D"/>
    <w:rsid w:val="00C72B2C"/>
    <w:rsid w:val="00C74A74"/>
    <w:rsid w:val="00C76173"/>
    <w:rsid w:val="00C7661C"/>
    <w:rsid w:val="00C77265"/>
    <w:rsid w:val="00C8050A"/>
    <w:rsid w:val="00C806A1"/>
    <w:rsid w:val="00C815F6"/>
    <w:rsid w:val="00C81734"/>
    <w:rsid w:val="00C841FC"/>
    <w:rsid w:val="00C8494A"/>
    <w:rsid w:val="00C85D5F"/>
    <w:rsid w:val="00C864F3"/>
    <w:rsid w:val="00C86FF2"/>
    <w:rsid w:val="00C87853"/>
    <w:rsid w:val="00C87934"/>
    <w:rsid w:val="00C93157"/>
    <w:rsid w:val="00C933C4"/>
    <w:rsid w:val="00C93EA1"/>
    <w:rsid w:val="00C97E5C"/>
    <w:rsid w:val="00CA0DEC"/>
    <w:rsid w:val="00CA12F2"/>
    <w:rsid w:val="00CA179F"/>
    <w:rsid w:val="00CA27C3"/>
    <w:rsid w:val="00CA3587"/>
    <w:rsid w:val="00CA5BAE"/>
    <w:rsid w:val="00CB02FE"/>
    <w:rsid w:val="00CB0C6D"/>
    <w:rsid w:val="00CB27B0"/>
    <w:rsid w:val="00CB2C35"/>
    <w:rsid w:val="00CB7625"/>
    <w:rsid w:val="00CC24A7"/>
    <w:rsid w:val="00CC250A"/>
    <w:rsid w:val="00CC3B76"/>
    <w:rsid w:val="00CC4F21"/>
    <w:rsid w:val="00CC694E"/>
    <w:rsid w:val="00CD0E8D"/>
    <w:rsid w:val="00CD2611"/>
    <w:rsid w:val="00CD6B49"/>
    <w:rsid w:val="00CD7C69"/>
    <w:rsid w:val="00CE0C32"/>
    <w:rsid w:val="00CE1873"/>
    <w:rsid w:val="00CE6E5A"/>
    <w:rsid w:val="00CE74EF"/>
    <w:rsid w:val="00CF28BA"/>
    <w:rsid w:val="00CF2DDF"/>
    <w:rsid w:val="00CF4184"/>
    <w:rsid w:val="00CF568E"/>
    <w:rsid w:val="00CF6C14"/>
    <w:rsid w:val="00CF70ED"/>
    <w:rsid w:val="00D00BA7"/>
    <w:rsid w:val="00D016D7"/>
    <w:rsid w:val="00D01CED"/>
    <w:rsid w:val="00D02781"/>
    <w:rsid w:val="00D04D3E"/>
    <w:rsid w:val="00D0557D"/>
    <w:rsid w:val="00D0597B"/>
    <w:rsid w:val="00D05BB2"/>
    <w:rsid w:val="00D05DDB"/>
    <w:rsid w:val="00D062AF"/>
    <w:rsid w:val="00D06427"/>
    <w:rsid w:val="00D065DD"/>
    <w:rsid w:val="00D06D41"/>
    <w:rsid w:val="00D06DBD"/>
    <w:rsid w:val="00D10B46"/>
    <w:rsid w:val="00D10DF0"/>
    <w:rsid w:val="00D11407"/>
    <w:rsid w:val="00D13022"/>
    <w:rsid w:val="00D14B8B"/>
    <w:rsid w:val="00D14FC8"/>
    <w:rsid w:val="00D20756"/>
    <w:rsid w:val="00D207BE"/>
    <w:rsid w:val="00D216E4"/>
    <w:rsid w:val="00D22243"/>
    <w:rsid w:val="00D22AAF"/>
    <w:rsid w:val="00D2300E"/>
    <w:rsid w:val="00D26084"/>
    <w:rsid w:val="00D26BCE"/>
    <w:rsid w:val="00D26CC1"/>
    <w:rsid w:val="00D2726D"/>
    <w:rsid w:val="00D278E0"/>
    <w:rsid w:val="00D27CD8"/>
    <w:rsid w:val="00D27D54"/>
    <w:rsid w:val="00D30C28"/>
    <w:rsid w:val="00D33CEF"/>
    <w:rsid w:val="00D34C31"/>
    <w:rsid w:val="00D360C2"/>
    <w:rsid w:val="00D36C26"/>
    <w:rsid w:val="00D371CE"/>
    <w:rsid w:val="00D379A4"/>
    <w:rsid w:val="00D37C6D"/>
    <w:rsid w:val="00D42073"/>
    <w:rsid w:val="00D43397"/>
    <w:rsid w:val="00D44B2F"/>
    <w:rsid w:val="00D45649"/>
    <w:rsid w:val="00D46919"/>
    <w:rsid w:val="00D46DA8"/>
    <w:rsid w:val="00D46FE6"/>
    <w:rsid w:val="00D47037"/>
    <w:rsid w:val="00D471BB"/>
    <w:rsid w:val="00D50670"/>
    <w:rsid w:val="00D51904"/>
    <w:rsid w:val="00D51D3D"/>
    <w:rsid w:val="00D53A2F"/>
    <w:rsid w:val="00D56C56"/>
    <w:rsid w:val="00D579C8"/>
    <w:rsid w:val="00D60BDE"/>
    <w:rsid w:val="00D61AEF"/>
    <w:rsid w:val="00D621B5"/>
    <w:rsid w:val="00D6308C"/>
    <w:rsid w:val="00D6311D"/>
    <w:rsid w:val="00D63A30"/>
    <w:rsid w:val="00D63BB3"/>
    <w:rsid w:val="00D63E33"/>
    <w:rsid w:val="00D66ECC"/>
    <w:rsid w:val="00D6773B"/>
    <w:rsid w:val="00D7248F"/>
    <w:rsid w:val="00D72A8E"/>
    <w:rsid w:val="00D7447E"/>
    <w:rsid w:val="00D76AE0"/>
    <w:rsid w:val="00D77DF5"/>
    <w:rsid w:val="00D80CAD"/>
    <w:rsid w:val="00D8171F"/>
    <w:rsid w:val="00D82D59"/>
    <w:rsid w:val="00D831E3"/>
    <w:rsid w:val="00D844CF"/>
    <w:rsid w:val="00D86B95"/>
    <w:rsid w:val="00D90156"/>
    <w:rsid w:val="00D9066F"/>
    <w:rsid w:val="00D91203"/>
    <w:rsid w:val="00D9191E"/>
    <w:rsid w:val="00D91946"/>
    <w:rsid w:val="00D9271A"/>
    <w:rsid w:val="00D952A4"/>
    <w:rsid w:val="00D95543"/>
    <w:rsid w:val="00D95D48"/>
    <w:rsid w:val="00D96480"/>
    <w:rsid w:val="00DA0F1F"/>
    <w:rsid w:val="00DA2869"/>
    <w:rsid w:val="00DA37CC"/>
    <w:rsid w:val="00DA388F"/>
    <w:rsid w:val="00DA401C"/>
    <w:rsid w:val="00DA41B4"/>
    <w:rsid w:val="00DA47BC"/>
    <w:rsid w:val="00DA6CF7"/>
    <w:rsid w:val="00DB1245"/>
    <w:rsid w:val="00DB3032"/>
    <w:rsid w:val="00DB305D"/>
    <w:rsid w:val="00DB356A"/>
    <w:rsid w:val="00DB357B"/>
    <w:rsid w:val="00DB394F"/>
    <w:rsid w:val="00DB3C03"/>
    <w:rsid w:val="00DB4294"/>
    <w:rsid w:val="00DB43A2"/>
    <w:rsid w:val="00DB446E"/>
    <w:rsid w:val="00DB68B6"/>
    <w:rsid w:val="00DC2994"/>
    <w:rsid w:val="00DC4D3E"/>
    <w:rsid w:val="00DC68C9"/>
    <w:rsid w:val="00DC6CA0"/>
    <w:rsid w:val="00DC6D4B"/>
    <w:rsid w:val="00DC74E3"/>
    <w:rsid w:val="00DC7BB6"/>
    <w:rsid w:val="00DD05B8"/>
    <w:rsid w:val="00DD07A2"/>
    <w:rsid w:val="00DD2479"/>
    <w:rsid w:val="00DD2562"/>
    <w:rsid w:val="00DD48BA"/>
    <w:rsid w:val="00DD5765"/>
    <w:rsid w:val="00DD6006"/>
    <w:rsid w:val="00DD6E59"/>
    <w:rsid w:val="00DE2750"/>
    <w:rsid w:val="00DE50AC"/>
    <w:rsid w:val="00DE5FA7"/>
    <w:rsid w:val="00DE7CAF"/>
    <w:rsid w:val="00DF0E81"/>
    <w:rsid w:val="00DF0EAF"/>
    <w:rsid w:val="00DF28A6"/>
    <w:rsid w:val="00DF2B56"/>
    <w:rsid w:val="00DF2E96"/>
    <w:rsid w:val="00DF3B96"/>
    <w:rsid w:val="00DF4EF8"/>
    <w:rsid w:val="00DF539F"/>
    <w:rsid w:val="00DF579D"/>
    <w:rsid w:val="00DF66A1"/>
    <w:rsid w:val="00E00B01"/>
    <w:rsid w:val="00E011AA"/>
    <w:rsid w:val="00E01891"/>
    <w:rsid w:val="00E022ED"/>
    <w:rsid w:val="00E02BCD"/>
    <w:rsid w:val="00E03544"/>
    <w:rsid w:val="00E03DF5"/>
    <w:rsid w:val="00E04A83"/>
    <w:rsid w:val="00E053E3"/>
    <w:rsid w:val="00E06E47"/>
    <w:rsid w:val="00E10C56"/>
    <w:rsid w:val="00E116F2"/>
    <w:rsid w:val="00E12393"/>
    <w:rsid w:val="00E13474"/>
    <w:rsid w:val="00E13D2E"/>
    <w:rsid w:val="00E141B5"/>
    <w:rsid w:val="00E14979"/>
    <w:rsid w:val="00E14DB9"/>
    <w:rsid w:val="00E16800"/>
    <w:rsid w:val="00E1784A"/>
    <w:rsid w:val="00E17EDB"/>
    <w:rsid w:val="00E20028"/>
    <w:rsid w:val="00E20104"/>
    <w:rsid w:val="00E20436"/>
    <w:rsid w:val="00E20D3E"/>
    <w:rsid w:val="00E211D9"/>
    <w:rsid w:val="00E21955"/>
    <w:rsid w:val="00E23E94"/>
    <w:rsid w:val="00E246CE"/>
    <w:rsid w:val="00E26E47"/>
    <w:rsid w:val="00E26EC3"/>
    <w:rsid w:val="00E273E3"/>
    <w:rsid w:val="00E307BE"/>
    <w:rsid w:val="00E318D7"/>
    <w:rsid w:val="00E3456B"/>
    <w:rsid w:val="00E36035"/>
    <w:rsid w:val="00E3634F"/>
    <w:rsid w:val="00E4107C"/>
    <w:rsid w:val="00E415C7"/>
    <w:rsid w:val="00E4181A"/>
    <w:rsid w:val="00E429E6"/>
    <w:rsid w:val="00E4488A"/>
    <w:rsid w:val="00E4493B"/>
    <w:rsid w:val="00E45156"/>
    <w:rsid w:val="00E46475"/>
    <w:rsid w:val="00E477B2"/>
    <w:rsid w:val="00E47E41"/>
    <w:rsid w:val="00E5153F"/>
    <w:rsid w:val="00E51C65"/>
    <w:rsid w:val="00E51F51"/>
    <w:rsid w:val="00E529BD"/>
    <w:rsid w:val="00E54903"/>
    <w:rsid w:val="00E54D4A"/>
    <w:rsid w:val="00E55459"/>
    <w:rsid w:val="00E60CEE"/>
    <w:rsid w:val="00E63DFE"/>
    <w:rsid w:val="00E65894"/>
    <w:rsid w:val="00E65C9B"/>
    <w:rsid w:val="00E668D0"/>
    <w:rsid w:val="00E67A80"/>
    <w:rsid w:val="00E67C44"/>
    <w:rsid w:val="00E7027D"/>
    <w:rsid w:val="00E71294"/>
    <w:rsid w:val="00E71AD7"/>
    <w:rsid w:val="00E7435E"/>
    <w:rsid w:val="00E75674"/>
    <w:rsid w:val="00E75791"/>
    <w:rsid w:val="00E771C2"/>
    <w:rsid w:val="00E77D8F"/>
    <w:rsid w:val="00E80431"/>
    <w:rsid w:val="00E812F7"/>
    <w:rsid w:val="00E81348"/>
    <w:rsid w:val="00E813E7"/>
    <w:rsid w:val="00E82175"/>
    <w:rsid w:val="00E83BB2"/>
    <w:rsid w:val="00E83E52"/>
    <w:rsid w:val="00E8486B"/>
    <w:rsid w:val="00E8516C"/>
    <w:rsid w:val="00E856BB"/>
    <w:rsid w:val="00E9129C"/>
    <w:rsid w:val="00E915CA"/>
    <w:rsid w:val="00E938F8"/>
    <w:rsid w:val="00E95EFE"/>
    <w:rsid w:val="00E96E73"/>
    <w:rsid w:val="00E97A42"/>
    <w:rsid w:val="00EA0256"/>
    <w:rsid w:val="00EA1279"/>
    <w:rsid w:val="00EA1C17"/>
    <w:rsid w:val="00EA1D54"/>
    <w:rsid w:val="00EA2324"/>
    <w:rsid w:val="00EA29A8"/>
    <w:rsid w:val="00EB0C8C"/>
    <w:rsid w:val="00EB1544"/>
    <w:rsid w:val="00EB1590"/>
    <w:rsid w:val="00EB1D7C"/>
    <w:rsid w:val="00EB251A"/>
    <w:rsid w:val="00EB2C93"/>
    <w:rsid w:val="00EB3403"/>
    <w:rsid w:val="00EB344E"/>
    <w:rsid w:val="00EB40AD"/>
    <w:rsid w:val="00EB554D"/>
    <w:rsid w:val="00EB5AA0"/>
    <w:rsid w:val="00EB6829"/>
    <w:rsid w:val="00EB6FC4"/>
    <w:rsid w:val="00EC0A0A"/>
    <w:rsid w:val="00EC0CC7"/>
    <w:rsid w:val="00EC16D2"/>
    <w:rsid w:val="00EC1B00"/>
    <w:rsid w:val="00EC1B38"/>
    <w:rsid w:val="00EC41AA"/>
    <w:rsid w:val="00EC4235"/>
    <w:rsid w:val="00EC496F"/>
    <w:rsid w:val="00EC6654"/>
    <w:rsid w:val="00ED0B58"/>
    <w:rsid w:val="00ED1CE9"/>
    <w:rsid w:val="00ED3739"/>
    <w:rsid w:val="00ED3EA6"/>
    <w:rsid w:val="00ED40A5"/>
    <w:rsid w:val="00ED52A2"/>
    <w:rsid w:val="00ED573E"/>
    <w:rsid w:val="00ED6C5D"/>
    <w:rsid w:val="00ED7B53"/>
    <w:rsid w:val="00EE167B"/>
    <w:rsid w:val="00EE398B"/>
    <w:rsid w:val="00EE3EA5"/>
    <w:rsid w:val="00EE477D"/>
    <w:rsid w:val="00EE49C9"/>
    <w:rsid w:val="00EE5D76"/>
    <w:rsid w:val="00EE5E8E"/>
    <w:rsid w:val="00EF2425"/>
    <w:rsid w:val="00EF2A7C"/>
    <w:rsid w:val="00EF4139"/>
    <w:rsid w:val="00EF4CEF"/>
    <w:rsid w:val="00EF62C2"/>
    <w:rsid w:val="00EF71BA"/>
    <w:rsid w:val="00EF7528"/>
    <w:rsid w:val="00EF799E"/>
    <w:rsid w:val="00F00EBA"/>
    <w:rsid w:val="00F014B7"/>
    <w:rsid w:val="00F018CF"/>
    <w:rsid w:val="00F02327"/>
    <w:rsid w:val="00F02AB7"/>
    <w:rsid w:val="00F037D2"/>
    <w:rsid w:val="00F05F66"/>
    <w:rsid w:val="00F10E44"/>
    <w:rsid w:val="00F1356C"/>
    <w:rsid w:val="00F16C9F"/>
    <w:rsid w:val="00F24A49"/>
    <w:rsid w:val="00F24E4A"/>
    <w:rsid w:val="00F27332"/>
    <w:rsid w:val="00F27FEA"/>
    <w:rsid w:val="00F27FF0"/>
    <w:rsid w:val="00F3072A"/>
    <w:rsid w:val="00F33F96"/>
    <w:rsid w:val="00F34338"/>
    <w:rsid w:val="00F34C3A"/>
    <w:rsid w:val="00F35083"/>
    <w:rsid w:val="00F35CE9"/>
    <w:rsid w:val="00F36A6C"/>
    <w:rsid w:val="00F41859"/>
    <w:rsid w:val="00F4384B"/>
    <w:rsid w:val="00F450F9"/>
    <w:rsid w:val="00F466D1"/>
    <w:rsid w:val="00F46A63"/>
    <w:rsid w:val="00F46EC8"/>
    <w:rsid w:val="00F53D45"/>
    <w:rsid w:val="00F55661"/>
    <w:rsid w:val="00F56CB8"/>
    <w:rsid w:val="00F57939"/>
    <w:rsid w:val="00F607CB"/>
    <w:rsid w:val="00F61619"/>
    <w:rsid w:val="00F61ACB"/>
    <w:rsid w:val="00F62D3B"/>
    <w:rsid w:val="00F62EF8"/>
    <w:rsid w:val="00F6537D"/>
    <w:rsid w:val="00F657DF"/>
    <w:rsid w:val="00F663A7"/>
    <w:rsid w:val="00F66CF8"/>
    <w:rsid w:val="00F67712"/>
    <w:rsid w:val="00F71C98"/>
    <w:rsid w:val="00F72F29"/>
    <w:rsid w:val="00F73882"/>
    <w:rsid w:val="00F73D16"/>
    <w:rsid w:val="00F74240"/>
    <w:rsid w:val="00F74BD0"/>
    <w:rsid w:val="00F75963"/>
    <w:rsid w:val="00F76460"/>
    <w:rsid w:val="00F77332"/>
    <w:rsid w:val="00F80EC8"/>
    <w:rsid w:val="00F81DE7"/>
    <w:rsid w:val="00F83218"/>
    <w:rsid w:val="00F8422F"/>
    <w:rsid w:val="00F84D9A"/>
    <w:rsid w:val="00F864FD"/>
    <w:rsid w:val="00F86F81"/>
    <w:rsid w:val="00F902AA"/>
    <w:rsid w:val="00F91281"/>
    <w:rsid w:val="00F93A18"/>
    <w:rsid w:val="00F94034"/>
    <w:rsid w:val="00F955BE"/>
    <w:rsid w:val="00F95F30"/>
    <w:rsid w:val="00F96BE2"/>
    <w:rsid w:val="00F96F0F"/>
    <w:rsid w:val="00F96F1E"/>
    <w:rsid w:val="00FA0507"/>
    <w:rsid w:val="00FA0E67"/>
    <w:rsid w:val="00FA2E31"/>
    <w:rsid w:val="00FA3886"/>
    <w:rsid w:val="00FA6B16"/>
    <w:rsid w:val="00FB0623"/>
    <w:rsid w:val="00FB2FA4"/>
    <w:rsid w:val="00FB3EDC"/>
    <w:rsid w:val="00FB59C3"/>
    <w:rsid w:val="00FB684B"/>
    <w:rsid w:val="00FB72D2"/>
    <w:rsid w:val="00FC56C6"/>
    <w:rsid w:val="00FC5BE4"/>
    <w:rsid w:val="00FC7CA5"/>
    <w:rsid w:val="00FD1D04"/>
    <w:rsid w:val="00FD30F9"/>
    <w:rsid w:val="00FD3C11"/>
    <w:rsid w:val="00FD4200"/>
    <w:rsid w:val="00FD4B97"/>
    <w:rsid w:val="00FD6F90"/>
    <w:rsid w:val="00FE0A07"/>
    <w:rsid w:val="00FE4C3F"/>
    <w:rsid w:val="00FE5880"/>
    <w:rsid w:val="00FE6652"/>
    <w:rsid w:val="00FE6BBB"/>
    <w:rsid w:val="00FE711F"/>
    <w:rsid w:val="00FE7D12"/>
    <w:rsid w:val="00FF1F3B"/>
    <w:rsid w:val="00FF3CAB"/>
    <w:rsid w:val="00FF3F72"/>
    <w:rsid w:val="00FF415F"/>
    <w:rsid w:val="00FF4A92"/>
    <w:rsid w:val="00FF5DAC"/>
    <w:rsid w:val="00FF5EEC"/>
    <w:rsid w:val="08494B88"/>
    <w:rsid w:val="31F2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4C5E"/>
  <w15:chartTrackingRefBased/>
  <w15:docId w15:val="{11CBFC3B-89B0-4D35-982A-3F9A1117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71"/>
  </w:style>
  <w:style w:type="paragraph" w:styleId="Heading1">
    <w:name w:val="heading 1"/>
    <w:basedOn w:val="Normal"/>
    <w:next w:val="Normal"/>
    <w:link w:val="Heading1Char"/>
    <w:uiPriority w:val="9"/>
    <w:qFormat/>
    <w:rsid w:val="007A47B0"/>
    <w:pPr>
      <w:keepNext/>
      <w:ind w:firstLine="720"/>
      <w:outlineLvl w:val="0"/>
    </w:pPr>
    <w:rPr>
      <w:rFonts w:ascii="Arial" w:hAnsi="Arial" w:cs="Arial"/>
      <w:i/>
      <w:iCs/>
      <w:sz w:val="20"/>
      <w:szCs w:val="20"/>
    </w:rPr>
  </w:style>
  <w:style w:type="paragraph" w:styleId="Heading2">
    <w:name w:val="heading 2"/>
    <w:basedOn w:val="Normal"/>
    <w:next w:val="Normal"/>
    <w:link w:val="Heading2Char"/>
    <w:uiPriority w:val="9"/>
    <w:unhideWhenUsed/>
    <w:qFormat/>
    <w:rsid w:val="00621C03"/>
    <w:pPr>
      <w:keepNext/>
      <w:spacing w:after="0" w:line="240" w:lineRule="auto"/>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720AB4"/>
    <w:pPr>
      <w:keepNext/>
      <w:widowControl w:val="0"/>
      <w:spacing w:after="0" w:line="240" w:lineRule="auto"/>
      <w:jc w:val="both"/>
      <w:outlineLvl w:val="2"/>
    </w:pPr>
    <w:rPr>
      <w:rFonts w:ascii="Arial" w:eastAsia="Calibri" w:hAnsi="Arial" w:cs="Arial"/>
      <w:b/>
      <w:bCs/>
    </w:rPr>
  </w:style>
  <w:style w:type="paragraph" w:styleId="Heading4">
    <w:name w:val="heading 4"/>
    <w:basedOn w:val="Normal"/>
    <w:next w:val="Normal"/>
    <w:link w:val="Heading4Char"/>
    <w:uiPriority w:val="9"/>
    <w:unhideWhenUsed/>
    <w:qFormat/>
    <w:rsid w:val="00C34AD2"/>
    <w:pPr>
      <w:keepNext/>
      <w:spacing w:after="0" w:line="240" w:lineRule="auto"/>
      <w:outlineLvl w:val="3"/>
    </w:pPr>
    <w:rPr>
      <w:rFonts w:ascii="Arial" w:eastAsia="Times New Roman" w:hAnsi="Arial" w:cs="Arial"/>
      <w:b/>
      <w:bCs/>
      <w:kern w:val="2"/>
    </w:rPr>
  </w:style>
  <w:style w:type="paragraph" w:styleId="Heading5">
    <w:name w:val="heading 5"/>
    <w:basedOn w:val="Normal"/>
    <w:next w:val="Normal"/>
    <w:link w:val="Heading5Char"/>
    <w:uiPriority w:val="9"/>
    <w:unhideWhenUsed/>
    <w:qFormat/>
    <w:rsid w:val="007C2614"/>
    <w:pPr>
      <w:keepNext/>
      <w:spacing w:after="0"/>
      <w:jc w:val="both"/>
      <w:outlineLvl w:val="4"/>
    </w:pPr>
    <w:rPr>
      <w:rFonts w:ascii="Arial" w:eastAsia="Verdana" w:hAnsi="Arial" w:cs="Arial"/>
      <w:b/>
      <w:bCs/>
      <w:sz w:val="28"/>
      <w:szCs w:val="28"/>
    </w:rPr>
  </w:style>
  <w:style w:type="paragraph" w:styleId="Heading6">
    <w:name w:val="heading 6"/>
    <w:basedOn w:val="Normal"/>
    <w:next w:val="Normal"/>
    <w:link w:val="Heading6Char"/>
    <w:uiPriority w:val="9"/>
    <w:unhideWhenUsed/>
    <w:qFormat/>
    <w:rsid w:val="00A45041"/>
    <w:pPr>
      <w:keepNext/>
      <w:spacing w:after="0"/>
      <w:ind w:firstLine="720"/>
      <w:jc w:val="both"/>
      <w:outlineLvl w:val="5"/>
    </w:pPr>
    <w:rPr>
      <w:rFonts w:ascii="Arial" w:hAnsi="Arial" w:cs="Arial"/>
      <w:i/>
      <w:iCs/>
      <w:sz w:val="20"/>
      <w:u w:val="single"/>
    </w:rPr>
  </w:style>
  <w:style w:type="paragraph" w:styleId="Heading7">
    <w:name w:val="heading 7"/>
    <w:basedOn w:val="Normal"/>
    <w:next w:val="Normal"/>
    <w:link w:val="Heading7Char"/>
    <w:uiPriority w:val="9"/>
    <w:unhideWhenUsed/>
    <w:qFormat/>
    <w:rsid w:val="00A45041"/>
    <w:pPr>
      <w:keepNext/>
      <w:spacing w:after="0"/>
      <w:ind w:left="-720"/>
      <w:jc w:val="both"/>
      <w:outlineLvl w:val="6"/>
    </w:pPr>
    <w:rPr>
      <w:rFonts w:ascii="Arial" w:eastAsia="Verdana" w:hAnsi="Arial" w:cs="Arial"/>
      <w:b/>
      <w:bCs/>
      <w:sz w:val="28"/>
      <w:szCs w:val="28"/>
    </w:rPr>
  </w:style>
  <w:style w:type="paragraph" w:styleId="Heading8">
    <w:name w:val="heading 8"/>
    <w:basedOn w:val="Normal"/>
    <w:next w:val="Normal"/>
    <w:link w:val="Heading8Char"/>
    <w:uiPriority w:val="9"/>
    <w:unhideWhenUsed/>
    <w:qFormat/>
    <w:rsid w:val="0049394B"/>
    <w:pPr>
      <w:keepNext/>
      <w:spacing w:after="0" w:line="240" w:lineRule="auto"/>
      <w:ind w:left="720"/>
      <w:jc w:val="both"/>
      <w:outlineLvl w:val="7"/>
    </w:pPr>
    <w:rPr>
      <w:rFonts w:ascii="Arial" w:hAnsi="Arial" w:cs="Arial"/>
      <w:i/>
      <w:iCs/>
      <w:u w:val="single"/>
    </w:rPr>
  </w:style>
  <w:style w:type="paragraph" w:styleId="Heading9">
    <w:name w:val="heading 9"/>
    <w:basedOn w:val="Normal"/>
    <w:next w:val="Normal"/>
    <w:link w:val="Heading9Char"/>
    <w:uiPriority w:val="9"/>
    <w:unhideWhenUsed/>
    <w:qFormat/>
    <w:rsid w:val="00AE324F"/>
    <w:pPr>
      <w:keepNext/>
      <w:spacing w:after="0" w:line="240" w:lineRule="auto"/>
      <w:jc w:val="center"/>
      <w:outlineLvl w:val="8"/>
    </w:pPr>
    <w:rPr>
      <w:rFonts w:asciiTheme="majorHAnsi" w:eastAsia="Verdana" w:hAnsiTheme="majorHAnsi" w:cstheme="majorHAns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next w:val="Footer"/>
    <w:link w:val="DocIDChar"/>
    <w:rsid w:val="00B05684"/>
    <w:pPr>
      <w:spacing w:after="0" w:line="240" w:lineRule="auto"/>
    </w:pPr>
    <w:rPr>
      <w:rFonts w:ascii="Arial" w:hAnsi="Arial" w:cs="Arial"/>
      <w:color w:val="000000"/>
      <w:sz w:val="16"/>
    </w:rPr>
  </w:style>
  <w:style w:type="character" w:customStyle="1" w:styleId="DocIDChar">
    <w:name w:val="DocID Char"/>
    <w:basedOn w:val="DefaultParagraphFont"/>
    <w:link w:val="DocID"/>
    <w:rsid w:val="00B05684"/>
    <w:rPr>
      <w:rFonts w:ascii="Arial" w:hAnsi="Arial" w:cs="Arial"/>
      <w:color w:val="000000"/>
      <w:sz w:val="16"/>
    </w:rPr>
  </w:style>
  <w:style w:type="paragraph" w:styleId="Footer">
    <w:name w:val="footer"/>
    <w:basedOn w:val="Normal"/>
    <w:link w:val="FooterChar"/>
    <w:uiPriority w:val="99"/>
    <w:unhideWhenUsed/>
    <w:rsid w:val="00AB7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535"/>
  </w:style>
  <w:style w:type="paragraph" w:styleId="Header">
    <w:name w:val="header"/>
    <w:basedOn w:val="Normal"/>
    <w:link w:val="HeaderChar"/>
    <w:uiPriority w:val="99"/>
    <w:unhideWhenUsed/>
    <w:rsid w:val="00AB7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535"/>
  </w:style>
  <w:style w:type="paragraph" w:styleId="BalloonText">
    <w:name w:val="Balloon Text"/>
    <w:basedOn w:val="Normal"/>
    <w:link w:val="BalloonTextChar"/>
    <w:uiPriority w:val="99"/>
    <w:unhideWhenUsed/>
    <w:rsid w:val="00D6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C7671"/>
    <w:rPr>
      <w:rFonts w:ascii="Segoe UI" w:hAnsi="Segoe UI" w:cs="Segoe UI"/>
      <w:sz w:val="18"/>
      <w:szCs w:val="18"/>
    </w:rPr>
  </w:style>
  <w:style w:type="character" w:styleId="FootnoteReference">
    <w:name w:val="footnote reference"/>
    <w:basedOn w:val="DefaultParagraphFont"/>
    <w:uiPriority w:val="99"/>
    <w:unhideWhenUsed/>
    <w:rsid w:val="006C7671"/>
    <w:rPr>
      <w:vertAlign w:val="superscript"/>
    </w:rPr>
  </w:style>
  <w:style w:type="paragraph" w:styleId="FootnoteText">
    <w:name w:val="footnote text"/>
    <w:basedOn w:val="Normal"/>
    <w:link w:val="FootnoteTextChar1"/>
    <w:uiPriority w:val="99"/>
    <w:unhideWhenUsed/>
    <w:rsid w:val="006C7671"/>
    <w:pPr>
      <w:spacing w:after="0" w:line="240" w:lineRule="auto"/>
    </w:pPr>
    <w:rPr>
      <w:sz w:val="20"/>
      <w:szCs w:val="20"/>
    </w:rPr>
  </w:style>
  <w:style w:type="character" w:customStyle="1" w:styleId="FootnoteTextChar">
    <w:name w:val="Footnote Text Char"/>
    <w:basedOn w:val="DefaultParagraphFont"/>
    <w:uiPriority w:val="99"/>
    <w:semiHidden/>
    <w:rsid w:val="006C7671"/>
    <w:rPr>
      <w:sz w:val="20"/>
      <w:szCs w:val="20"/>
    </w:rPr>
  </w:style>
  <w:style w:type="character" w:customStyle="1" w:styleId="FootnoteTextChar1">
    <w:name w:val="Footnote Text Char1"/>
    <w:basedOn w:val="DefaultParagraphFont"/>
    <w:link w:val="FootnoteText"/>
    <w:uiPriority w:val="99"/>
    <w:rsid w:val="006C7671"/>
    <w:rPr>
      <w:sz w:val="20"/>
      <w:szCs w:val="20"/>
    </w:rPr>
  </w:style>
  <w:style w:type="character" w:styleId="Hyperlink">
    <w:name w:val="Hyperlink"/>
    <w:basedOn w:val="DefaultParagraphFont"/>
    <w:uiPriority w:val="99"/>
    <w:unhideWhenUsed/>
    <w:rsid w:val="006C7671"/>
    <w:rPr>
      <w:color w:val="0563C1" w:themeColor="hyperlink"/>
      <w:u w:val="single"/>
    </w:rPr>
  </w:style>
  <w:style w:type="paragraph" w:styleId="ListParagraph">
    <w:name w:val="List Paragraph"/>
    <w:basedOn w:val="Normal"/>
    <w:link w:val="ListParagraphChar"/>
    <w:uiPriority w:val="34"/>
    <w:qFormat/>
    <w:rsid w:val="006C7671"/>
    <w:pPr>
      <w:ind w:left="720"/>
      <w:contextualSpacing/>
    </w:pPr>
  </w:style>
  <w:style w:type="character" w:customStyle="1" w:styleId="ListParagraphChar">
    <w:name w:val="List Paragraph Char"/>
    <w:basedOn w:val="DefaultParagraphFont"/>
    <w:link w:val="ListParagraph"/>
    <w:uiPriority w:val="34"/>
    <w:rsid w:val="006C7671"/>
  </w:style>
  <w:style w:type="character" w:styleId="CommentReference">
    <w:name w:val="annotation reference"/>
    <w:basedOn w:val="DefaultParagraphFont"/>
    <w:uiPriority w:val="99"/>
    <w:semiHidden/>
    <w:unhideWhenUsed/>
    <w:rsid w:val="006C7671"/>
    <w:rPr>
      <w:sz w:val="16"/>
      <w:szCs w:val="16"/>
    </w:rPr>
  </w:style>
  <w:style w:type="paragraph" w:styleId="CommentText">
    <w:name w:val="annotation text"/>
    <w:basedOn w:val="Normal"/>
    <w:link w:val="CommentTextChar"/>
    <w:uiPriority w:val="99"/>
    <w:semiHidden/>
    <w:unhideWhenUsed/>
    <w:rsid w:val="006C7671"/>
    <w:pPr>
      <w:spacing w:line="240" w:lineRule="auto"/>
    </w:pPr>
    <w:rPr>
      <w:sz w:val="20"/>
      <w:szCs w:val="20"/>
    </w:rPr>
  </w:style>
  <w:style w:type="character" w:customStyle="1" w:styleId="CommentTextChar">
    <w:name w:val="Comment Text Char"/>
    <w:basedOn w:val="DefaultParagraphFont"/>
    <w:link w:val="CommentText"/>
    <w:uiPriority w:val="99"/>
    <w:semiHidden/>
    <w:rsid w:val="006C7671"/>
    <w:rPr>
      <w:sz w:val="20"/>
      <w:szCs w:val="20"/>
    </w:rPr>
  </w:style>
  <w:style w:type="table" w:styleId="TableGrid">
    <w:name w:val="Table Grid"/>
    <w:basedOn w:val="TableNormal"/>
    <w:uiPriority w:val="39"/>
    <w:rsid w:val="006C7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36FC"/>
    <w:rPr>
      <w:b/>
      <w:bCs/>
    </w:rPr>
  </w:style>
  <w:style w:type="character" w:customStyle="1" w:styleId="CommentSubjectChar">
    <w:name w:val="Comment Subject Char"/>
    <w:basedOn w:val="CommentTextChar"/>
    <w:link w:val="CommentSubject"/>
    <w:uiPriority w:val="99"/>
    <w:semiHidden/>
    <w:rsid w:val="00C136FC"/>
    <w:rPr>
      <w:b/>
      <w:bCs/>
      <w:sz w:val="20"/>
      <w:szCs w:val="20"/>
    </w:rPr>
  </w:style>
  <w:style w:type="paragraph" w:styleId="BodyText">
    <w:name w:val="Body Text"/>
    <w:basedOn w:val="Normal"/>
    <w:link w:val="BodyTextChar"/>
    <w:uiPriority w:val="1"/>
    <w:qFormat/>
    <w:rsid w:val="000D2FDC"/>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0D2FDC"/>
    <w:rPr>
      <w:rFonts w:ascii="Times New Roman" w:eastAsia="Times New Roman" w:hAnsi="Times New Roman"/>
      <w:sz w:val="19"/>
      <w:szCs w:val="19"/>
    </w:rPr>
  </w:style>
  <w:style w:type="character" w:styleId="FollowedHyperlink">
    <w:name w:val="FollowedHyperlink"/>
    <w:basedOn w:val="DefaultParagraphFont"/>
    <w:uiPriority w:val="99"/>
    <w:semiHidden/>
    <w:unhideWhenUsed/>
    <w:rsid w:val="002F62A7"/>
    <w:rPr>
      <w:color w:val="954F72" w:themeColor="followedHyperlink"/>
      <w:u w:val="single"/>
    </w:rPr>
  </w:style>
  <w:style w:type="character" w:styleId="UnresolvedMention">
    <w:name w:val="Unresolved Mention"/>
    <w:basedOn w:val="DefaultParagraphFont"/>
    <w:uiPriority w:val="99"/>
    <w:semiHidden/>
    <w:unhideWhenUsed/>
    <w:rsid w:val="00352338"/>
    <w:rPr>
      <w:color w:val="605E5C"/>
      <w:shd w:val="clear" w:color="auto" w:fill="E1DFDD"/>
    </w:rPr>
  </w:style>
  <w:style w:type="character" w:styleId="Emphasis">
    <w:name w:val="Emphasis"/>
    <w:basedOn w:val="DefaultParagraphFont"/>
    <w:uiPriority w:val="20"/>
    <w:qFormat/>
    <w:rsid w:val="002953C7"/>
    <w:rPr>
      <w:i/>
      <w:iCs/>
    </w:rPr>
  </w:style>
  <w:style w:type="paragraph" w:styleId="NormalWeb">
    <w:name w:val="Normal (Web)"/>
    <w:basedOn w:val="Normal"/>
    <w:uiPriority w:val="99"/>
    <w:unhideWhenUsed/>
    <w:rsid w:val="002953C7"/>
    <w:pPr>
      <w:spacing w:after="0" w:line="240" w:lineRule="auto"/>
    </w:pPr>
    <w:rPr>
      <w:rFonts w:ascii="Calibri" w:hAnsi="Calibri" w:cs="Calibri"/>
    </w:rPr>
  </w:style>
  <w:style w:type="paragraph" w:styleId="BodyText2">
    <w:name w:val="Body Text 2"/>
    <w:basedOn w:val="Normal"/>
    <w:link w:val="BodyText2Char"/>
    <w:uiPriority w:val="99"/>
    <w:unhideWhenUsed/>
    <w:rsid w:val="00227B2E"/>
    <w:pPr>
      <w:spacing w:after="0" w:line="240" w:lineRule="auto"/>
      <w:jc w:val="both"/>
    </w:pPr>
    <w:rPr>
      <w:rFonts w:ascii="Arial" w:eastAsia="Times New Roman" w:hAnsi="Arial" w:cs="Arial"/>
      <w:kern w:val="2"/>
      <w:sz w:val="20"/>
      <w:szCs w:val="20"/>
    </w:rPr>
  </w:style>
  <w:style w:type="character" w:customStyle="1" w:styleId="BodyText2Char">
    <w:name w:val="Body Text 2 Char"/>
    <w:basedOn w:val="DefaultParagraphFont"/>
    <w:link w:val="BodyText2"/>
    <w:uiPriority w:val="99"/>
    <w:rsid w:val="00227B2E"/>
    <w:rPr>
      <w:rFonts w:ascii="Arial" w:eastAsia="Times New Roman" w:hAnsi="Arial" w:cs="Arial"/>
      <w:kern w:val="2"/>
      <w:sz w:val="20"/>
      <w:szCs w:val="20"/>
    </w:rPr>
  </w:style>
  <w:style w:type="paragraph" w:styleId="BodyText3">
    <w:name w:val="Body Text 3"/>
    <w:basedOn w:val="Normal"/>
    <w:link w:val="BodyText3Char"/>
    <w:uiPriority w:val="99"/>
    <w:unhideWhenUsed/>
    <w:rsid w:val="00A83AAD"/>
    <w:pPr>
      <w:spacing w:after="0" w:line="240" w:lineRule="auto"/>
      <w:jc w:val="center"/>
    </w:pPr>
    <w:rPr>
      <w:rFonts w:ascii="Calibri" w:hAnsi="Calibri"/>
      <w:color w:val="000000"/>
      <w:sz w:val="18"/>
      <w:szCs w:val="18"/>
    </w:rPr>
  </w:style>
  <w:style w:type="character" w:customStyle="1" w:styleId="BodyText3Char">
    <w:name w:val="Body Text 3 Char"/>
    <w:basedOn w:val="DefaultParagraphFont"/>
    <w:link w:val="BodyText3"/>
    <w:uiPriority w:val="99"/>
    <w:rsid w:val="00A83AAD"/>
    <w:rPr>
      <w:rFonts w:ascii="Calibri" w:hAnsi="Calibri"/>
      <w:color w:val="000000"/>
      <w:sz w:val="18"/>
      <w:szCs w:val="18"/>
    </w:rPr>
  </w:style>
  <w:style w:type="character" w:customStyle="1" w:styleId="Heading1Char">
    <w:name w:val="Heading 1 Char"/>
    <w:basedOn w:val="DefaultParagraphFont"/>
    <w:link w:val="Heading1"/>
    <w:uiPriority w:val="9"/>
    <w:rsid w:val="007A47B0"/>
    <w:rPr>
      <w:rFonts w:ascii="Arial" w:hAnsi="Arial" w:cs="Arial"/>
      <w:i/>
      <w:iCs/>
      <w:sz w:val="20"/>
      <w:szCs w:val="20"/>
    </w:rPr>
  </w:style>
  <w:style w:type="paragraph" w:customStyle="1" w:styleId="Default">
    <w:name w:val="Default"/>
    <w:basedOn w:val="Normal"/>
    <w:uiPriority w:val="99"/>
    <w:semiHidden/>
    <w:rsid w:val="00ED52A2"/>
    <w:pPr>
      <w:autoSpaceDE w:val="0"/>
      <w:autoSpaceDN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ED52A2"/>
    <w:rPr>
      <w:b/>
      <w:bCs/>
    </w:rPr>
  </w:style>
  <w:style w:type="character" w:customStyle="1" w:styleId="Heading2Char">
    <w:name w:val="Heading 2 Char"/>
    <w:basedOn w:val="DefaultParagraphFont"/>
    <w:link w:val="Heading2"/>
    <w:uiPriority w:val="9"/>
    <w:rsid w:val="00621C03"/>
    <w:rPr>
      <w:rFonts w:ascii="Arial" w:hAnsi="Arial" w:cs="Arial"/>
      <w:b/>
      <w:bCs/>
      <w:sz w:val="20"/>
      <w:szCs w:val="20"/>
    </w:rPr>
  </w:style>
  <w:style w:type="character" w:customStyle="1" w:styleId="Heading3Char">
    <w:name w:val="Heading 3 Char"/>
    <w:basedOn w:val="DefaultParagraphFont"/>
    <w:link w:val="Heading3"/>
    <w:uiPriority w:val="9"/>
    <w:rsid w:val="00720AB4"/>
    <w:rPr>
      <w:rFonts w:ascii="Arial" w:eastAsia="Calibri" w:hAnsi="Arial" w:cs="Arial"/>
      <w:b/>
      <w:bCs/>
    </w:rPr>
  </w:style>
  <w:style w:type="character" w:customStyle="1" w:styleId="Heading4Char">
    <w:name w:val="Heading 4 Char"/>
    <w:basedOn w:val="DefaultParagraphFont"/>
    <w:link w:val="Heading4"/>
    <w:uiPriority w:val="9"/>
    <w:rsid w:val="00C34AD2"/>
    <w:rPr>
      <w:rFonts w:ascii="Arial" w:eastAsia="Times New Roman" w:hAnsi="Arial" w:cs="Arial"/>
      <w:b/>
      <w:bCs/>
      <w:kern w:val="2"/>
    </w:rPr>
  </w:style>
  <w:style w:type="character" w:customStyle="1" w:styleId="Heading5Char">
    <w:name w:val="Heading 5 Char"/>
    <w:basedOn w:val="DefaultParagraphFont"/>
    <w:link w:val="Heading5"/>
    <w:uiPriority w:val="9"/>
    <w:rsid w:val="007C2614"/>
    <w:rPr>
      <w:rFonts w:ascii="Arial" w:eastAsia="Verdana" w:hAnsi="Arial" w:cs="Arial"/>
      <w:b/>
      <w:bCs/>
      <w:sz w:val="28"/>
      <w:szCs w:val="28"/>
    </w:rPr>
  </w:style>
  <w:style w:type="character" w:customStyle="1" w:styleId="Heading6Char">
    <w:name w:val="Heading 6 Char"/>
    <w:basedOn w:val="DefaultParagraphFont"/>
    <w:link w:val="Heading6"/>
    <w:uiPriority w:val="9"/>
    <w:rsid w:val="00A45041"/>
    <w:rPr>
      <w:rFonts w:ascii="Arial" w:hAnsi="Arial" w:cs="Arial"/>
      <w:i/>
      <w:iCs/>
      <w:sz w:val="20"/>
      <w:u w:val="single"/>
    </w:rPr>
  </w:style>
  <w:style w:type="character" w:customStyle="1" w:styleId="Heading7Char">
    <w:name w:val="Heading 7 Char"/>
    <w:basedOn w:val="DefaultParagraphFont"/>
    <w:link w:val="Heading7"/>
    <w:uiPriority w:val="9"/>
    <w:rsid w:val="00A45041"/>
    <w:rPr>
      <w:rFonts w:ascii="Arial" w:eastAsia="Verdana" w:hAnsi="Arial" w:cs="Arial"/>
      <w:b/>
      <w:bCs/>
      <w:sz w:val="28"/>
      <w:szCs w:val="28"/>
    </w:rPr>
  </w:style>
  <w:style w:type="character" w:customStyle="1" w:styleId="ref-title">
    <w:name w:val="ref-title"/>
    <w:basedOn w:val="DefaultParagraphFont"/>
    <w:rsid w:val="00DF3B96"/>
  </w:style>
  <w:style w:type="character" w:customStyle="1" w:styleId="ref-journal">
    <w:name w:val="ref-journal"/>
    <w:basedOn w:val="DefaultParagraphFont"/>
    <w:rsid w:val="00DF3B96"/>
  </w:style>
  <w:style w:type="character" w:customStyle="1" w:styleId="ref-vol">
    <w:name w:val="ref-vol"/>
    <w:basedOn w:val="DefaultParagraphFont"/>
    <w:rsid w:val="00DF3B96"/>
  </w:style>
  <w:style w:type="character" w:customStyle="1" w:styleId="ref-iss">
    <w:name w:val="ref-iss"/>
    <w:basedOn w:val="DefaultParagraphFont"/>
    <w:rsid w:val="00DF3B96"/>
  </w:style>
  <w:style w:type="character" w:customStyle="1" w:styleId="Heading8Char">
    <w:name w:val="Heading 8 Char"/>
    <w:basedOn w:val="DefaultParagraphFont"/>
    <w:link w:val="Heading8"/>
    <w:uiPriority w:val="9"/>
    <w:rsid w:val="0049394B"/>
    <w:rPr>
      <w:rFonts w:ascii="Arial" w:hAnsi="Arial" w:cs="Arial"/>
      <w:i/>
      <w:iCs/>
      <w:u w:val="single"/>
    </w:rPr>
  </w:style>
  <w:style w:type="paragraph" w:styleId="EndnoteText">
    <w:name w:val="endnote text"/>
    <w:basedOn w:val="Normal"/>
    <w:link w:val="EndnoteTextChar"/>
    <w:uiPriority w:val="99"/>
    <w:semiHidden/>
    <w:unhideWhenUsed/>
    <w:rsid w:val="00D055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57D"/>
    <w:rPr>
      <w:sz w:val="20"/>
      <w:szCs w:val="20"/>
    </w:rPr>
  </w:style>
  <w:style w:type="character" w:styleId="EndnoteReference">
    <w:name w:val="endnote reference"/>
    <w:basedOn w:val="DefaultParagraphFont"/>
    <w:uiPriority w:val="99"/>
    <w:semiHidden/>
    <w:unhideWhenUsed/>
    <w:rsid w:val="00D0557D"/>
    <w:rPr>
      <w:vertAlign w:val="superscript"/>
    </w:rPr>
  </w:style>
  <w:style w:type="character" w:customStyle="1" w:styleId="Heading9Char">
    <w:name w:val="Heading 9 Char"/>
    <w:basedOn w:val="DefaultParagraphFont"/>
    <w:link w:val="Heading9"/>
    <w:uiPriority w:val="9"/>
    <w:rsid w:val="00AE324F"/>
    <w:rPr>
      <w:rFonts w:asciiTheme="majorHAnsi" w:eastAsia="Verdana" w:hAnsiTheme="majorHAnsi" w:cstheme="majorHAnsi"/>
      <w:b/>
      <w:bCs/>
      <w:sz w:val="18"/>
      <w:szCs w:val="18"/>
    </w:rPr>
  </w:style>
  <w:style w:type="paragraph" w:styleId="Revision">
    <w:name w:val="Revision"/>
    <w:hidden/>
    <w:uiPriority w:val="99"/>
    <w:semiHidden/>
    <w:rsid w:val="00D61AEF"/>
    <w:pPr>
      <w:spacing w:after="0" w:line="240" w:lineRule="auto"/>
    </w:pPr>
  </w:style>
  <w:style w:type="paragraph" w:customStyle="1" w:styleId="HBbld">
    <w:name w:val="HBbld"/>
    <w:basedOn w:val="Normal"/>
    <w:uiPriority w:val="1"/>
    <w:qFormat/>
    <w:rsid w:val="00ED6C5D"/>
    <w:pPr>
      <w:suppressAutoHyphens/>
      <w:spacing w:after="0" w:line="480" w:lineRule="auto"/>
    </w:pPr>
    <w:rPr>
      <w:rFonts w:ascii="Times New Roman" w:eastAsia="Times New Roman" w:hAnsi="Times New Roman" w:cs="Times New Roman"/>
      <w:sz w:val="24"/>
      <w:szCs w:val="24"/>
    </w:rPr>
  </w:style>
  <w:style w:type="paragraph" w:customStyle="1" w:styleId="xmsonormal">
    <w:name w:val="x_msonormal"/>
    <w:basedOn w:val="Normal"/>
    <w:rsid w:val="0008446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78">
      <w:bodyDiv w:val="1"/>
      <w:marLeft w:val="0"/>
      <w:marRight w:val="0"/>
      <w:marTop w:val="0"/>
      <w:marBottom w:val="0"/>
      <w:divBdr>
        <w:top w:val="none" w:sz="0" w:space="0" w:color="auto"/>
        <w:left w:val="none" w:sz="0" w:space="0" w:color="auto"/>
        <w:bottom w:val="none" w:sz="0" w:space="0" w:color="auto"/>
        <w:right w:val="none" w:sz="0" w:space="0" w:color="auto"/>
      </w:divBdr>
    </w:div>
    <w:div w:id="27292973">
      <w:bodyDiv w:val="1"/>
      <w:marLeft w:val="0"/>
      <w:marRight w:val="0"/>
      <w:marTop w:val="0"/>
      <w:marBottom w:val="0"/>
      <w:divBdr>
        <w:top w:val="none" w:sz="0" w:space="0" w:color="auto"/>
        <w:left w:val="none" w:sz="0" w:space="0" w:color="auto"/>
        <w:bottom w:val="none" w:sz="0" w:space="0" w:color="auto"/>
        <w:right w:val="none" w:sz="0" w:space="0" w:color="auto"/>
      </w:divBdr>
    </w:div>
    <w:div w:id="45102758">
      <w:bodyDiv w:val="1"/>
      <w:marLeft w:val="0"/>
      <w:marRight w:val="0"/>
      <w:marTop w:val="0"/>
      <w:marBottom w:val="0"/>
      <w:divBdr>
        <w:top w:val="none" w:sz="0" w:space="0" w:color="auto"/>
        <w:left w:val="none" w:sz="0" w:space="0" w:color="auto"/>
        <w:bottom w:val="none" w:sz="0" w:space="0" w:color="auto"/>
        <w:right w:val="none" w:sz="0" w:space="0" w:color="auto"/>
      </w:divBdr>
    </w:div>
    <w:div w:id="54015720">
      <w:bodyDiv w:val="1"/>
      <w:marLeft w:val="0"/>
      <w:marRight w:val="0"/>
      <w:marTop w:val="0"/>
      <w:marBottom w:val="0"/>
      <w:divBdr>
        <w:top w:val="none" w:sz="0" w:space="0" w:color="auto"/>
        <w:left w:val="none" w:sz="0" w:space="0" w:color="auto"/>
        <w:bottom w:val="none" w:sz="0" w:space="0" w:color="auto"/>
        <w:right w:val="none" w:sz="0" w:space="0" w:color="auto"/>
      </w:divBdr>
    </w:div>
    <w:div w:id="75592304">
      <w:bodyDiv w:val="1"/>
      <w:marLeft w:val="0"/>
      <w:marRight w:val="0"/>
      <w:marTop w:val="0"/>
      <w:marBottom w:val="0"/>
      <w:divBdr>
        <w:top w:val="none" w:sz="0" w:space="0" w:color="auto"/>
        <w:left w:val="none" w:sz="0" w:space="0" w:color="auto"/>
        <w:bottom w:val="none" w:sz="0" w:space="0" w:color="auto"/>
        <w:right w:val="none" w:sz="0" w:space="0" w:color="auto"/>
      </w:divBdr>
    </w:div>
    <w:div w:id="159779932">
      <w:bodyDiv w:val="1"/>
      <w:marLeft w:val="0"/>
      <w:marRight w:val="0"/>
      <w:marTop w:val="0"/>
      <w:marBottom w:val="0"/>
      <w:divBdr>
        <w:top w:val="none" w:sz="0" w:space="0" w:color="auto"/>
        <w:left w:val="none" w:sz="0" w:space="0" w:color="auto"/>
        <w:bottom w:val="none" w:sz="0" w:space="0" w:color="auto"/>
        <w:right w:val="none" w:sz="0" w:space="0" w:color="auto"/>
      </w:divBdr>
    </w:div>
    <w:div w:id="224994859">
      <w:bodyDiv w:val="1"/>
      <w:marLeft w:val="0"/>
      <w:marRight w:val="0"/>
      <w:marTop w:val="0"/>
      <w:marBottom w:val="0"/>
      <w:divBdr>
        <w:top w:val="none" w:sz="0" w:space="0" w:color="auto"/>
        <w:left w:val="none" w:sz="0" w:space="0" w:color="auto"/>
        <w:bottom w:val="none" w:sz="0" w:space="0" w:color="auto"/>
        <w:right w:val="none" w:sz="0" w:space="0" w:color="auto"/>
      </w:divBdr>
    </w:div>
    <w:div w:id="252973745">
      <w:bodyDiv w:val="1"/>
      <w:marLeft w:val="0"/>
      <w:marRight w:val="0"/>
      <w:marTop w:val="0"/>
      <w:marBottom w:val="0"/>
      <w:divBdr>
        <w:top w:val="none" w:sz="0" w:space="0" w:color="auto"/>
        <w:left w:val="none" w:sz="0" w:space="0" w:color="auto"/>
        <w:bottom w:val="none" w:sz="0" w:space="0" w:color="auto"/>
        <w:right w:val="none" w:sz="0" w:space="0" w:color="auto"/>
      </w:divBdr>
    </w:div>
    <w:div w:id="268632222">
      <w:bodyDiv w:val="1"/>
      <w:marLeft w:val="0"/>
      <w:marRight w:val="0"/>
      <w:marTop w:val="0"/>
      <w:marBottom w:val="0"/>
      <w:divBdr>
        <w:top w:val="none" w:sz="0" w:space="0" w:color="auto"/>
        <w:left w:val="none" w:sz="0" w:space="0" w:color="auto"/>
        <w:bottom w:val="none" w:sz="0" w:space="0" w:color="auto"/>
        <w:right w:val="none" w:sz="0" w:space="0" w:color="auto"/>
      </w:divBdr>
    </w:div>
    <w:div w:id="280695830">
      <w:bodyDiv w:val="1"/>
      <w:marLeft w:val="0"/>
      <w:marRight w:val="0"/>
      <w:marTop w:val="0"/>
      <w:marBottom w:val="0"/>
      <w:divBdr>
        <w:top w:val="none" w:sz="0" w:space="0" w:color="auto"/>
        <w:left w:val="none" w:sz="0" w:space="0" w:color="auto"/>
        <w:bottom w:val="none" w:sz="0" w:space="0" w:color="auto"/>
        <w:right w:val="none" w:sz="0" w:space="0" w:color="auto"/>
      </w:divBdr>
    </w:div>
    <w:div w:id="289287674">
      <w:bodyDiv w:val="1"/>
      <w:marLeft w:val="0"/>
      <w:marRight w:val="0"/>
      <w:marTop w:val="0"/>
      <w:marBottom w:val="0"/>
      <w:divBdr>
        <w:top w:val="none" w:sz="0" w:space="0" w:color="auto"/>
        <w:left w:val="none" w:sz="0" w:space="0" w:color="auto"/>
        <w:bottom w:val="none" w:sz="0" w:space="0" w:color="auto"/>
        <w:right w:val="none" w:sz="0" w:space="0" w:color="auto"/>
      </w:divBdr>
    </w:div>
    <w:div w:id="308486041">
      <w:bodyDiv w:val="1"/>
      <w:marLeft w:val="0"/>
      <w:marRight w:val="0"/>
      <w:marTop w:val="0"/>
      <w:marBottom w:val="0"/>
      <w:divBdr>
        <w:top w:val="none" w:sz="0" w:space="0" w:color="auto"/>
        <w:left w:val="none" w:sz="0" w:space="0" w:color="auto"/>
        <w:bottom w:val="none" w:sz="0" w:space="0" w:color="auto"/>
        <w:right w:val="none" w:sz="0" w:space="0" w:color="auto"/>
      </w:divBdr>
    </w:div>
    <w:div w:id="309751053">
      <w:bodyDiv w:val="1"/>
      <w:marLeft w:val="0"/>
      <w:marRight w:val="0"/>
      <w:marTop w:val="0"/>
      <w:marBottom w:val="0"/>
      <w:divBdr>
        <w:top w:val="none" w:sz="0" w:space="0" w:color="auto"/>
        <w:left w:val="none" w:sz="0" w:space="0" w:color="auto"/>
        <w:bottom w:val="none" w:sz="0" w:space="0" w:color="auto"/>
        <w:right w:val="none" w:sz="0" w:space="0" w:color="auto"/>
      </w:divBdr>
    </w:div>
    <w:div w:id="321782769">
      <w:bodyDiv w:val="1"/>
      <w:marLeft w:val="0"/>
      <w:marRight w:val="0"/>
      <w:marTop w:val="0"/>
      <w:marBottom w:val="0"/>
      <w:divBdr>
        <w:top w:val="none" w:sz="0" w:space="0" w:color="auto"/>
        <w:left w:val="none" w:sz="0" w:space="0" w:color="auto"/>
        <w:bottom w:val="none" w:sz="0" w:space="0" w:color="auto"/>
        <w:right w:val="none" w:sz="0" w:space="0" w:color="auto"/>
      </w:divBdr>
    </w:div>
    <w:div w:id="356152599">
      <w:bodyDiv w:val="1"/>
      <w:marLeft w:val="0"/>
      <w:marRight w:val="0"/>
      <w:marTop w:val="0"/>
      <w:marBottom w:val="0"/>
      <w:divBdr>
        <w:top w:val="none" w:sz="0" w:space="0" w:color="auto"/>
        <w:left w:val="none" w:sz="0" w:space="0" w:color="auto"/>
        <w:bottom w:val="none" w:sz="0" w:space="0" w:color="auto"/>
        <w:right w:val="none" w:sz="0" w:space="0" w:color="auto"/>
      </w:divBdr>
    </w:div>
    <w:div w:id="367072354">
      <w:bodyDiv w:val="1"/>
      <w:marLeft w:val="0"/>
      <w:marRight w:val="0"/>
      <w:marTop w:val="0"/>
      <w:marBottom w:val="0"/>
      <w:divBdr>
        <w:top w:val="none" w:sz="0" w:space="0" w:color="auto"/>
        <w:left w:val="none" w:sz="0" w:space="0" w:color="auto"/>
        <w:bottom w:val="none" w:sz="0" w:space="0" w:color="auto"/>
        <w:right w:val="none" w:sz="0" w:space="0" w:color="auto"/>
      </w:divBdr>
    </w:div>
    <w:div w:id="378434100">
      <w:bodyDiv w:val="1"/>
      <w:marLeft w:val="0"/>
      <w:marRight w:val="0"/>
      <w:marTop w:val="0"/>
      <w:marBottom w:val="0"/>
      <w:divBdr>
        <w:top w:val="none" w:sz="0" w:space="0" w:color="auto"/>
        <w:left w:val="none" w:sz="0" w:space="0" w:color="auto"/>
        <w:bottom w:val="none" w:sz="0" w:space="0" w:color="auto"/>
        <w:right w:val="none" w:sz="0" w:space="0" w:color="auto"/>
      </w:divBdr>
    </w:div>
    <w:div w:id="384566699">
      <w:bodyDiv w:val="1"/>
      <w:marLeft w:val="0"/>
      <w:marRight w:val="0"/>
      <w:marTop w:val="0"/>
      <w:marBottom w:val="0"/>
      <w:divBdr>
        <w:top w:val="none" w:sz="0" w:space="0" w:color="auto"/>
        <w:left w:val="none" w:sz="0" w:space="0" w:color="auto"/>
        <w:bottom w:val="none" w:sz="0" w:space="0" w:color="auto"/>
        <w:right w:val="none" w:sz="0" w:space="0" w:color="auto"/>
      </w:divBdr>
    </w:div>
    <w:div w:id="412967924">
      <w:bodyDiv w:val="1"/>
      <w:marLeft w:val="0"/>
      <w:marRight w:val="0"/>
      <w:marTop w:val="0"/>
      <w:marBottom w:val="0"/>
      <w:divBdr>
        <w:top w:val="none" w:sz="0" w:space="0" w:color="auto"/>
        <w:left w:val="none" w:sz="0" w:space="0" w:color="auto"/>
        <w:bottom w:val="none" w:sz="0" w:space="0" w:color="auto"/>
        <w:right w:val="none" w:sz="0" w:space="0" w:color="auto"/>
      </w:divBdr>
    </w:div>
    <w:div w:id="414476068">
      <w:bodyDiv w:val="1"/>
      <w:marLeft w:val="0"/>
      <w:marRight w:val="0"/>
      <w:marTop w:val="0"/>
      <w:marBottom w:val="0"/>
      <w:divBdr>
        <w:top w:val="none" w:sz="0" w:space="0" w:color="auto"/>
        <w:left w:val="none" w:sz="0" w:space="0" w:color="auto"/>
        <w:bottom w:val="none" w:sz="0" w:space="0" w:color="auto"/>
        <w:right w:val="none" w:sz="0" w:space="0" w:color="auto"/>
      </w:divBdr>
    </w:div>
    <w:div w:id="415060382">
      <w:bodyDiv w:val="1"/>
      <w:marLeft w:val="0"/>
      <w:marRight w:val="0"/>
      <w:marTop w:val="0"/>
      <w:marBottom w:val="0"/>
      <w:divBdr>
        <w:top w:val="none" w:sz="0" w:space="0" w:color="auto"/>
        <w:left w:val="none" w:sz="0" w:space="0" w:color="auto"/>
        <w:bottom w:val="none" w:sz="0" w:space="0" w:color="auto"/>
        <w:right w:val="none" w:sz="0" w:space="0" w:color="auto"/>
      </w:divBdr>
    </w:div>
    <w:div w:id="429471542">
      <w:bodyDiv w:val="1"/>
      <w:marLeft w:val="0"/>
      <w:marRight w:val="0"/>
      <w:marTop w:val="0"/>
      <w:marBottom w:val="0"/>
      <w:divBdr>
        <w:top w:val="none" w:sz="0" w:space="0" w:color="auto"/>
        <w:left w:val="none" w:sz="0" w:space="0" w:color="auto"/>
        <w:bottom w:val="none" w:sz="0" w:space="0" w:color="auto"/>
        <w:right w:val="none" w:sz="0" w:space="0" w:color="auto"/>
      </w:divBdr>
    </w:div>
    <w:div w:id="465242647">
      <w:bodyDiv w:val="1"/>
      <w:marLeft w:val="0"/>
      <w:marRight w:val="0"/>
      <w:marTop w:val="0"/>
      <w:marBottom w:val="0"/>
      <w:divBdr>
        <w:top w:val="none" w:sz="0" w:space="0" w:color="auto"/>
        <w:left w:val="none" w:sz="0" w:space="0" w:color="auto"/>
        <w:bottom w:val="none" w:sz="0" w:space="0" w:color="auto"/>
        <w:right w:val="none" w:sz="0" w:space="0" w:color="auto"/>
      </w:divBdr>
    </w:div>
    <w:div w:id="474882879">
      <w:bodyDiv w:val="1"/>
      <w:marLeft w:val="0"/>
      <w:marRight w:val="0"/>
      <w:marTop w:val="0"/>
      <w:marBottom w:val="0"/>
      <w:divBdr>
        <w:top w:val="none" w:sz="0" w:space="0" w:color="auto"/>
        <w:left w:val="none" w:sz="0" w:space="0" w:color="auto"/>
        <w:bottom w:val="none" w:sz="0" w:space="0" w:color="auto"/>
        <w:right w:val="none" w:sz="0" w:space="0" w:color="auto"/>
      </w:divBdr>
    </w:div>
    <w:div w:id="479539676">
      <w:bodyDiv w:val="1"/>
      <w:marLeft w:val="0"/>
      <w:marRight w:val="0"/>
      <w:marTop w:val="0"/>
      <w:marBottom w:val="0"/>
      <w:divBdr>
        <w:top w:val="none" w:sz="0" w:space="0" w:color="auto"/>
        <w:left w:val="none" w:sz="0" w:space="0" w:color="auto"/>
        <w:bottom w:val="none" w:sz="0" w:space="0" w:color="auto"/>
        <w:right w:val="none" w:sz="0" w:space="0" w:color="auto"/>
      </w:divBdr>
    </w:div>
    <w:div w:id="504638785">
      <w:bodyDiv w:val="1"/>
      <w:marLeft w:val="0"/>
      <w:marRight w:val="0"/>
      <w:marTop w:val="0"/>
      <w:marBottom w:val="0"/>
      <w:divBdr>
        <w:top w:val="none" w:sz="0" w:space="0" w:color="auto"/>
        <w:left w:val="none" w:sz="0" w:space="0" w:color="auto"/>
        <w:bottom w:val="none" w:sz="0" w:space="0" w:color="auto"/>
        <w:right w:val="none" w:sz="0" w:space="0" w:color="auto"/>
      </w:divBdr>
    </w:div>
    <w:div w:id="530387112">
      <w:bodyDiv w:val="1"/>
      <w:marLeft w:val="0"/>
      <w:marRight w:val="0"/>
      <w:marTop w:val="0"/>
      <w:marBottom w:val="0"/>
      <w:divBdr>
        <w:top w:val="none" w:sz="0" w:space="0" w:color="auto"/>
        <w:left w:val="none" w:sz="0" w:space="0" w:color="auto"/>
        <w:bottom w:val="none" w:sz="0" w:space="0" w:color="auto"/>
        <w:right w:val="none" w:sz="0" w:space="0" w:color="auto"/>
      </w:divBdr>
    </w:div>
    <w:div w:id="534805175">
      <w:bodyDiv w:val="1"/>
      <w:marLeft w:val="0"/>
      <w:marRight w:val="0"/>
      <w:marTop w:val="0"/>
      <w:marBottom w:val="0"/>
      <w:divBdr>
        <w:top w:val="none" w:sz="0" w:space="0" w:color="auto"/>
        <w:left w:val="none" w:sz="0" w:space="0" w:color="auto"/>
        <w:bottom w:val="none" w:sz="0" w:space="0" w:color="auto"/>
        <w:right w:val="none" w:sz="0" w:space="0" w:color="auto"/>
      </w:divBdr>
    </w:div>
    <w:div w:id="538931936">
      <w:bodyDiv w:val="1"/>
      <w:marLeft w:val="0"/>
      <w:marRight w:val="0"/>
      <w:marTop w:val="0"/>
      <w:marBottom w:val="0"/>
      <w:divBdr>
        <w:top w:val="none" w:sz="0" w:space="0" w:color="auto"/>
        <w:left w:val="none" w:sz="0" w:space="0" w:color="auto"/>
        <w:bottom w:val="none" w:sz="0" w:space="0" w:color="auto"/>
        <w:right w:val="none" w:sz="0" w:space="0" w:color="auto"/>
      </w:divBdr>
    </w:div>
    <w:div w:id="544222766">
      <w:bodyDiv w:val="1"/>
      <w:marLeft w:val="0"/>
      <w:marRight w:val="0"/>
      <w:marTop w:val="0"/>
      <w:marBottom w:val="0"/>
      <w:divBdr>
        <w:top w:val="none" w:sz="0" w:space="0" w:color="auto"/>
        <w:left w:val="none" w:sz="0" w:space="0" w:color="auto"/>
        <w:bottom w:val="none" w:sz="0" w:space="0" w:color="auto"/>
        <w:right w:val="none" w:sz="0" w:space="0" w:color="auto"/>
      </w:divBdr>
    </w:div>
    <w:div w:id="583876461">
      <w:bodyDiv w:val="1"/>
      <w:marLeft w:val="0"/>
      <w:marRight w:val="0"/>
      <w:marTop w:val="0"/>
      <w:marBottom w:val="0"/>
      <w:divBdr>
        <w:top w:val="none" w:sz="0" w:space="0" w:color="auto"/>
        <w:left w:val="none" w:sz="0" w:space="0" w:color="auto"/>
        <w:bottom w:val="none" w:sz="0" w:space="0" w:color="auto"/>
        <w:right w:val="none" w:sz="0" w:space="0" w:color="auto"/>
      </w:divBdr>
    </w:div>
    <w:div w:id="595946980">
      <w:bodyDiv w:val="1"/>
      <w:marLeft w:val="0"/>
      <w:marRight w:val="0"/>
      <w:marTop w:val="0"/>
      <w:marBottom w:val="0"/>
      <w:divBdr>
        <w:top w:val="none" w:sz="0" w:space="0" w:color="auto"/>
        <w:left w:val="none" w:sz="0" w:space="0" w:color="auto"/>
        <w:bottom w:val="none" w:sz="0" w:space="0" w:color="auto"/>
        <w:right w:val="none" w:sz="0" w:space="0" w:color="auto"/>
      </w:divBdr>
    </w:div>
    <w:div w:id="611208793">
      <w:bodyDiv w:val="1"/>
      <w:marLeft w:val="0"/>
      <w:marRight w:val="0"/>
      <w:marTop w:val="0"/>
      <w:marBottom w:val="0"/>
      <w:divBdr>
        <w:top w:val="none" w:sz="0" w:space="0" w:color="auto"/>
        <w:left w:val="none" w:sz="0" w:space="0" w:color="auto"/>
        <w:bottom w:val="none" w:sz="0" w:space="0" w:color="auto"/>
        <w:right w:val="none" w:sz="0" w:space="0" w:color="auto"/>
      </w:divBdr>
    </w:div>
    <w:div w:id="625352638">
      <w:bodyDiv w:val="1"/>
      <w:marLeft w:val="0"/>
      <w:marRight w:val="0"/>
      <w:marTop w:val="0"/>
      <w:marBottom w:val="0"/>
      <w:divBdr>
        <w:top w:val="none" w:sz="0" w:space="0" w:color="auto"/>
        <w:left w:val="none" w:sz="0" w:space="0" w:color="auto"/>
        <w:bottom w:val="none" w:sz="0" w:space="0" w:color="auto"/>
        <w:right w:val="none" w:sz="0" w:space="0" w:color="auto"/>
      </w:divBdr>
    </w:div>
    <w:div w:id="656301266">
      <w:bodyDiv w:val="1"/>
      <w:marLeft w:val="0"/>
      <w:marRight w:val="0"/>
      <w:marTop w:val="0"/>
      <w:marBottom w:val="0"/>
      <w:divBdr>
        <w:top w:val="none" w:sz="0" w:space="0" w:color="auto"/>
        <w:left w:val="none" w:sz="0" w:space="0" w:color="auto"/>
        <w:bottom w:val="none" w:sz="0" w:space="0" w:color="auto"/>
        <w:right w:val="none" w:sz="0" w:space="0" w:color="auto"/>
      </w:divBdr>
    </w:div>
    <w:div w:id="666371276">
      <w:bodyDiv w:val="1"/>
      <w:marLeft w:val="0"/>
      <w:marRight w:val="0"/>
      <w:marTop w:val="0"/>
      <w:marBottom w:val="0"/>
      <w:divBdr>
        <w:top w:val="none" w:sz="0" w:space="0" w:color="auto"/>
        <w:left w:val="none" w:sz="0" w:space="0" w:color="auto"/>
        <w:bottom w:val="none" w:sz="0" w:space="0" w:color="auto"/>
        <w:right w:val="none" w:sz="0" w:space="0" w:color="auto"/>
      </w:divBdr>
    </w:div>
    <w:div w:id="677930988">
      <w:bodyDiv w:val="1"/>
      <w:marLeft w:val="0"/>
      <w:marRight w:val="0"/>
      <w:marTop w:val="0"/>
      <w:marBottom w:val="0"/>
      <w:divBdr>
        <w:top w:val="none" w:sz="0" w:space="0" w:color="auto"/>
        <w:left w:val="none" w:sz="0" w:space="0" w:color="auto"/>
        <w:bottom w:val="none" w:sz="0" w:space="0" w:color="auto"/>
        <w:right w:val="none" w:sz="0" w:space="0" w:color="auto"/>
      </w:divBdr>
    </w:div>
    <w:div w:id="683899321">
      <w:bodyDiv w:val="1"/>
      <w:marLeft w:val="0"/>
      <w:marRight w:val="0"/>
      <w:marTop w:val="0"/>
      <w:marBottom w:val="0"/>
      <w:divBdr>
        <w:top w:val="none" w:sz="0" w:space="0" w:color="auto"/>
        <w:left w:val="none" w:sz="0" w:space="0" w:color="auto"/>
        <w:bottom w:val="none" w:sz="0" w:space="0" w:color="auto"/>
        <w:right w:val="none" w:sz="0" w:space="0" w:color="auto"/>
      </w:divBdr>
    </w:div>
    <w:div w:id="721750296">
      <w:bodyDiv w:val="1"/>
      <w:marLeft w:val="0"/>
      <w:marRight w:val="0"/>
      <w:marTop w:val="0"/>
      <w:marBottom w:val="0"/>
      <w:divBdr>
        <w:top w:val="none" w:sz="0" w:space="0" w:color="auto"/>
        <w:left w:val="none" w:sz="0" w:space="0" w:color="auto"/>
        <w:bottom w:val="none" w:sz="0" w:space="0" w:color="auto"/>
        <w:right w:val="none" w:sz="0" w:space="0" w:color="auto"/>
      </w:divBdr>
    </w:div>
    <w:div w:id="738214894">
      <w:bodyDiv w:val="1"/>
      <w:marLeft w:val="0"/>
      <w:marRight w:val="0"/>
      <w:marTop w:val="0"/>
      <w:marBottom w:val="0"/>
      <w:divBdr>
        <w:top w:val="none" w:sz="0" w:space="0" w:color="auto"/>
        <w:left w:val="none" w:sz="0" w:space="0" w:color="auto"/>
        <w:bottom w:val="none" w:sz="0" w:space="0" w:color="auto"/>
        <w:right w:val="none" w:sz="0" w:space="0" w:color="auto"/>
      </w:divBdr>
    </w:div>
    <w:div w:id="753552033">
      <w:bodyDiv w:val="1"/>
      <w:marLeft w:val="0"/>
      <w:marRight w:val="0"/>
      <w:marTop w:val="0"/>
      <w:marBottom w:val="0"/>
      <w:divBdr>
        <w:top w:val="none" w:sz="0" w:space="0" w:color="auto"/>
        <w:left w:val="none" w:sz="0" w:space="0" w:color="auto"/>
        <w:bottom w:val="none" w:sz="0" w:space="0" w:color="auto"/>
        <w:right w:val="none" w:sz="0" w:space="0" w:color="auto"/>
      </w:divBdr>
    </w:div>
    <w:div w:id="771244517">
      <w:bodyDiv w:val="1"/>
      <w:marLeft w:val="0"/>
      <w:marRight w:val="0"/>
      <w:marTop w:val="0"/>
      <w:marBottom w:val="0"/>
      <w:divBdr>
        <w:top w:val="none" w:sz="0" w:space="0" w:color="auto"/>
        <w:left w:val="none" w:sz="0" w:space="0" w:color="auto"/>
        <w:bottom w:val="none" w:sz="0" w:space="0" w:color="auto"/>
        <w:right w:val="none" w:sz="0" w:space="0" w:color="auto"/>
      </w:divBdr>
    </w:div>
    <w:div w:id="776557253">
      <w:bodyDiv w:val="1"/>
      <w:marLeft w:val="0"/>
      <w:marRight w:val="0"/>
      <w:marTop w:val="0"/>
      <w:marBottom w:val="0"/>
      <w:divBdr>
        <w:top w:val="none" w:sz="0" w:space="0" w:color="auto"/>
        <w:left w:val="none" w:sz="0" w:space="0" w:color="auto"/>
        <w:bottom w:val="none" w:sz="0" w:space="0" w:color="auto"/>
        <w:right w:val="none" w:sz="0" w:space="0" w:color="auto"/>
      </w:divBdr>
    </w:div>
    <w:div w:id="822235666">
      <w:bodyDiv w:val="1"/>
      <w:marLeft w:val="0"/>
      <w:marRight w:val="0"/>
      <w:marTop w:val="0"/>
      <w:marBottom w:val="0"/>
      <w:divBdr>
        <w:top w:val="none" w:sz="0" w:space="0" w:color="auto"/>
        <w:left w:val="none" w:sz="0" w:space="0" w:color="auto"/>
        <w:bottom w:val="none" w:sz="0" w:space="0" w:color="auto"/>
        <w:right w:val="none" w:sz="0" w:space="0" w:color="auto"/>
      </w:divBdr>
    </w:div>
    <w:div w:id="822697493">
      <w:bodyDiv w:val="1"/>
      <w:marLeft w:val="0"/>
      <w:marRight w:val="0"/>
      <w:marTop w:val="0"/>
      <w:marBottom w:val="0"/>
      <w:divBdr>
        <w:top w:val="none" w:sz="0" w:space="0" w:color="auto"/>
        <w:left w:val="none" w:sz="0" w:space="0" w:color="auto"/>
        <w:bottom w:val="none" w:sz="0" w:space="0" w:color="auto"/>
        <w:right w:val="none" w:sz="0" w:space="0" w:color="auto"/>
      </w:divBdr>
    </w:div>
    <w:div w:id="829949673">
      <w:bodyDiv w:val="1"/>
      <w:marLeft w:val="0"/>
      <w:marRight w:val="0"/>
      <w:marTop w:val="0"/>
      <w:marBottom w:val="0"/>
      <w:divBdr>
        <w:top w:val="none" w:sz="0" w:space="0" w:color="auto"/>
        <w:left w:val="none" w:sz="0" w:space="0" w:color="auto"/>
        <w:bottom w:val="none" w:sz="0" w:space="0" w:color="auto"/>
        <w:right w:val="none" w:sz="0" w:space="0" w:color="auto"/>
      </w:divBdr>
    </w:div>
    <w:div w:id="848913764">
      <w:bodyDiv w:val="1"/>
      <w:marLeft w:val="0"/>
      <w:marRight w:val="0"/>
      <w:marTop w:val="0"/>
      <w:marBottom w:val="0"/>
      <w:divBdr>
        <w:top w:val="none" w:sz="0" w:space="0" w:color="auto"/>
        <w:left w:val="none" w:sz="0" w:space="0" w:color="auto"/>
        <w:bottom w:val="none" w:sz="0" w:space="0" w:color="auto"/>
        <w:right w:val="none" w:sz="0" w:space="0" w:color="auto"/>
      </w:divBdr>
    </w:div>
    <w:div w:id="879441636">
      <w:bodyDiv w:val="1"/>
      <w:marLeft w:val="0"/>
      <w:marRight w:val="0"/>
      <w:marTop w:val="0"/>
      <w:marBottom w:val="0"/>
      <w:divBdr>
        <w:top w:val="none" w:sz="0" w:space="0" w:color="auto"/>
        <w:left w:val="none" w:sz="0" w:space="0" w:color="auto"/>
        <w:bottom w:val="none" w:sz="0" w:space="0" w:color="auto"/>
        <w:right w:val="none" w:sz="0" w:space="0" w:color="auto"/>
      </w:divBdr>
    </w:div>
    <w:div w:id="908418921">
      <w:bodyDiv w:val="1"/>
      <w:marLeft w:val="0"/>
      <w:marRight w:val="0"/>
      <w:marTop w:val="0"/>
      <w:marBottom w:val="0"/>
      <w:divBdr>
        <w:top w:val="none" w:sz="0" w:space="0" w:color="auto"/>
        <w:left w:val="none" w:sz="0" w:space="0" w:color="auto"/>
        <w:bottom w:val="none" w:sz="0" w:space="0" w:color="auto"/>
        <w:right w:val="none" w:sz="0" w:space="0" w:color="auto"/>
      </w:divBdr>
    </w:div>
    <w:div w:id="958073445">
      <w:bodyDiv w:val="1"/>
      <w:marLeft w:val="0"/>
      <w:marRight w:val="0"/>
      <w:marTop w:val="0"/>
      <w:marBottom w:val="0"/>
      <w:divBdr>
        <w:top w:val="none" w:sz="0" w:space="0" w:color="auto"/>
        <w:left w:val="none" w:sz="0" w:space="0" w:color="auto"/>
        <w:bottom w:val="none" w:sz="0" w:space="0" w:color="auto"/>
        <w:right w:val="none" w:sz="0" w:space="0" w:color="auto"/>
      </w:divBdr>
    </w:div>
    <w:div w:id="973678105">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57363256">
      <w:bodyDiv w:val="1"/>
      <w:marLeft w:val="0"/>
      <w:marRight w:val="0"/>
      <w:marTop w:val="0"/>
      <w:marBottom w:val="0"/>
      <w:divBdr>
        <w:top w:val="none" w:sz="0" w:space="0" w:color="auto"/>
        <w:left w:val="none" w:sz="0" w:space="0" w:color="auto"/>
        <w:bottom w:val="none" w:sz="0" w:space="0" w:color="auto"/>
        <w:right w:val="none" w:sz="0" w:space="0" w:color="auto"/>
      </w:divBdr>
    </w:div>
    <w:div w:id="1070076402">
      <w:bodyDiv w:val="1"/>
      <w:marLeft w:val="0"/>
      <w:marRight w:val="0"/>
      <w:marTop w:val="0"/>
      <w:marBottom w:val="0"/>
      <w:divBdr>
        <w:top w:val="none" w:sz="0" w:space="0" w:color="auto"/>
        <w:left w:val="none" w:sz="0" w:space="0" w:color="auto"/>
        <w:bottom w:val="none" w:sz="0" w:space="0" w:color="auto"/>
        <w:right w:val="none" w:sz="0" w:space="0" w:color="auto"/>
      </w:divBdr>
    </w:div>
    <w:div w:id="1081373416">
      <w:bodyDiv w:val="1"/>
      <w:marLeft w:val="0"/>
      <w:marRight w:val="0"/>
      <w:marTop w:val="0"/>
      <w:marBottom w:val="0"/>
      <w:divBdr>
        <w:top w:val="none" w:sz="0" w:space="0" w:color="auto"/>
        <w:left w:val="none" w:sz="0" w:space="0" w:color="auto"/>
        <w:bottom w:val="none" w:sz="0" w:space="0" w:color="auto"/>
        <w:right w:val="none" w:sz="0" w:space="0" w:color="auto"/>
      </w:divBdr>
    </w:div>
    <w:div w:id="1098015348">
      <w:bodyDiv w:val="1"/>
      <w:marLeft w:val="0"/>
      <w:marRight w:val="0"/>
      <w:marTop w:val="0"/>
      <w:marBottom w:val="0"/>
      <w:divBdr>
        <w:top w:val="none" w:sz="0" w:space="0" w:color="auto"/>
        <w:left w:val="none" w:sz="0" w:space="0" w:color="auto"/>
        <w:bottom w:val="none" w:sz="0" w:space="0" w:color="auto"/>
        <w:right w:val="none" w:sz="0" w:space="0" w:color="auto"/>
      </w:divBdr>
    </w:div>
    <w:div w:id="1102073940">
      <w:bodyDiv w:val="1"/>
      <w:marLeft w:val="0"/>
      <w:marRight w:val="0"/>
      <w:marTop w:val="0"/>
      <w:marBottom w:val="0"/>
      <w:divBdr>
        <w:top w:val="none" w:sz="0" w:space="0" w:color="auto"/>
        <w:left w:val="none" w:sz="0" w:space="0" w:color="auto"/>
        <w:bottom w:val="none" w:sz="0" w:space="0" w:color="auto"/>
        <w:right w:val="none" w:sz="0" w:space="0" w:color="auto"/>
      </w:divBdr>
    </w:div>
    <w:div w:id="1115054160">
      <w:bodyDiv w:val="1"/>
      <w:marLeft w:val="0"/>
      <w:marRight w:val="0"/>
      <w:marTop w:val="0"/>
      <w:marBottom w:val="0"/>
      <w:divBdr>
        <w:top w:val="none" w:sz="0" w:space="0" w:color="auto"/>
        <w:left w:val="none" w:sz="0" w:space="0" w:color="auto"/>
        <w:bottom w:val="none" w:sz="0" w:space="0" w:color="auto"/>
        <w:right w:val="none" w:sz="0" w:space="0" w:color="auto"/>
      </w:divBdr>
    </w:div>
    <w:div w:id="1125731003">
      <w:bodyDiv w:val="1"/>
      <w:marLeft w:val="0"/>
      <w:marRight w:val="0"/>
      <w:marTop w:val="0"/>
      <w:marBottom w:val="0"/>
      <w:divBdr>
        <w:top w:val="none" w:sz="0" w:space="0" w:color="auto"/>
        <w:left w:val="none" w:sz="0" w:space="0" w:color="auto"/>
        <w:bottom w:val="none" w:sz="0" w:space="0" w:color="auto"/>
        <w:right w:val="none" w:sz="0" w:space="0" w:color="auto"/>
      </w:divBdr>
    </w:div>
    <w:div w:id="1135878202">
      <w:bodyDiv w:val="1"/>
      <w:marLeft w:val="0"/>
      <w:marRight w:val="0"/>
      <w:marTop w:val="0"/>
      <w:marBottom w:val="0"/>
      <w:divBdr>
        <w:top w:val="none" w:sz="0" w:space="0" w:color="auto"/>
        <w:left w:val="none" w:sz="0" w:space="0" w:color="auto"/>
        <w:bottom w:val="none" w:sz="0" w:space="0" w:color="auto"/>
        <w:right w:val="none" w:sz="0" w:space="0" w:color="auto"/>
      </w:divBdr>
    </w:div>
    <w:div w:id="1171136887">
      <w:bodyDiv w:val="1"/>
      <w:marLeft w:val="0"/>
      <w:marRight w:val="0"/>
      <w:marTop w:val="0"/>
      <w:marBottom w:val="0"/>
      <w:divBdr>
        <w:top w:val="none" w:sz="0" w:space="0" w:color="auto"/>
        <w:left w:val="none" w:sz="0" w:space="0" w:color="auto"/>
        <w:bottom w:val="none" w:sz="0" w:space="0" w:color="auto"/>
        <w:right w:val="none" w:sz="0" w:space="0" w:color="auto"/>
      </w:divBdr>
    </w:div>
    <w:div w:id="1178542763">
      <w:bodyDiv w:val="1"/>
      <w:marLeft w:val="0"/>
      <w:marRight w:val="0"/>
      <w:marTop w:val="0"/>
      <w:marBottom w:val="0"/>
      <w:divBdr>
        <w:top w:val="none" w:sz="0" w:space="0" w:color="auto"/>
        <w:left w:val="none" w:sz="0" w:space="0" w:color="auto"/>
        <w:bottom w:val="none" w:sz="0" w:space="0" w:color="auto"/>
        <w:right w:val="none" w:sz="0" w:space="0" w:color="auto"/>
      </w:divBdr>
    </w:div>
    <w:div w:id="1196819333">
      <w:bodyDiv w:val="1"/>
      <w:marLeft w:val="0"/>
      <w:marRight w:val="0"/>
      <w:marTop w:val="0"/>
      <w:marBottom w:val="0"/>
      <w:divBdr>
        <w:top w:val="none" w:sz="0" w:space="0" w:color="auto"/>
        <w:left w:val="none" w:sz="0" w:space="0" w:color="auto"/>
        <w:bottom w:val="none" w:sz="0" w:space="0" w:color="auto"/>
        <w:right w:val="none" w:sz="0" w:space="0" w:color="auto"/>
      </w:divBdr>
    </w:div>
    <w:div w:id="1207794237">
      <w:bodyDiv w:val="1"/>
      <w:marLeft w:val="0"/>
      <w:marRight w:val="0"/>
      <w:marTop w:val="0"/>
      <w:marBottom w:val="0"/>
      <w:divBdr>
        <w:top w:val="none" w:sz="0" w:space="0" w:color="auto"/>
        <w:left w:val="none" w:sz="0" w:space="0" w:color="auto"/>
        <w:bottom w:val="none" w:sz="0" w:space="0" w:color="auto"/>
        <w:right w:val="none" w:sz="0" w:space="0" w:color="auto"/>
      </w:divBdr>
    </w:div>
    <w:div w:id="1216549661">
      <w:bodyDiv w:val="1"/>
      <w:marLeft w:val="0"/>
      <w:marRight w:val="0"/>
      <w:marTop w:val="0"/>
      <w:marBottom w:val="0"/>
      <w:divBdr>
        <w:top w:val="none" w:sz="0" w:space="0" w:color="auto"/>
        <w:left w:val="none" w:sz="0" w:space="0" w:color="auto"/>
        <w:bottom w:val="none" w:sz="0" w:space="0" w:color="auto"/>
        <w:right w:val="none" w:sz="0" w:space="0" w:color="auto"/>
      </w:divBdr>
    </w:div>
    <w:div w:id="1234438077">
      <w:bodyDiv w:val="1"/>
      <w:marLeft w:val="0"/>
      <w:marRight w:val="0"/>
      <w:marTop w:val="0"/>
      <w:marBottom w:val="0"/>
      <w:divBdr>
        <w:top w:val="none" w:sz="0" w:space="0" w:color="auto"/>
        <w:left w:val="none" w:sz="0" w:space="0" w:color="auto"/>
        <w:bottom w:val="none" w:sz="0" w:space="0" w:color="auto"/>
        <w:right w:val="none" w:sz="0" w:space="0" w:color="auto"/>
      </w:divBdr>
    </w:div>
    <w:div w:id="1264151291">
      <w:bodyDiv w:val="1"/>
      <w:marLeft w:val="0"/>
      <w:marRight w:val="0"/>
      <w:marTop w:val="0"/>
      <w:marBottom w:val="0"/>
      <w:divBdr>
        <w:top w:val="none" w:sz="0" w:space="0" w:color="auto"/>
        <w:left w:val="none" w:sz="0" w:space="0" w:color="auto"/>
        <w:bottom w:val="none" w:sz="0" w:space="0" w:color="auto"/>
        <w:right w:val="none" w:sz="0" w:space="0" w:color="auto"/>
      </w:divBdr>
    </w:div>
    <w:div w:id="1272326175">
      <w:bodyDiv w:val="1"/>
      <w:marLeft w:val="0"/>
      <w:marRight w:val="0"/>
      <w:marTop w:val="0"/>
      <w:marBottom w:val="0"/>
      <w:divBdr>
        <w:top w:val="none" w:sz="0" w:space="0" w:color="auto"/>
        <w:left w:val="none" w:sz="0" w:space="0" w:color="auto"/>
        <w:bottom w:val="none" w:sz="0" w:space="0" w:color="auto"/>
        <w:right w:val="none" w:sz="0" w:space="0" w:color="auto"/>
      </w:divBdr>
    </w:div>
    <w:div w:id="1312173659">
      <w:bodyDiv w:val="1"/>
      <w:marLeft w:val="0"/>
      <w:marRight w:val="0"/>
      <w:marTop w:val="0"/>
      <w:marBottom w:val="0"/>
      <w:divBdr>
        <w:top w:val="none" w:sz="0" w:space="0" w:color="auto"/>
        <w:left w:val="none" w:sz="0" w:space="0" w:color="auto"/>
        <w:bottom w:val="none" w:sz="0" w:space="0" w:color="auto"/>
        <w:right w:val="none" w:sz="0" w:space="0" w:color="auto"/>
      </w:divBdr>
    </w:div>
    <w:div w:id="1327898870">
      <w:bodyDiv w:val="1"/>
      <w:marLeft w:val="0"/>
      <w:marRight w:val="0"/>
      <w:marTop w:val="0"/>
      <w:marBottom w:val="0"/>
      <w:divBdr>
        <w:top w:val="none" w:sz="0" w:space="0" w:color="auto"/>
        <w:left w:val="none" w:sz="0" w:space="0" w:color="auto"/>
        <w:bottom w:val="none" w:sz="0" w:space="0" w:color="auto"/>
        <w:right w:val="none" w:sz="0" w:space="0" w:color="auto"/>
      </w:divBdr>
    </w:div>
    <w:div w:id="1345135209">
      <w:bodyDiv w:val="1"/>
      <w:marLeft w:val="0"/>
      <w:marRight w:val="0"/>
      <w:marTop w:val="0"/>
      <w:marBottom w:val="0"/>
      <w:divBdr>
        <w:top w:val="none" w:sz="0" w:space="0" w:color="auto"/>
        <w:left w:val="none" w:sz="0" w:space="0" w:color="auto"/>
        <w:bottom w:val="none" w:sz="0" w:space="0" w:color="auto"/>
        <w:right w:val="none" w:sz="0" w:space="0" w:color="auto"/>
      </w:divBdr>
    </w:div>
    <w:div w:id="1345665718">
      <w:bodyDiv w:val="1"/>
      <w:marLeft w:val="0"/>
      <w:marRight w:val="0"/>
      <w:marTop w:val="0"/>
      <w:marBottom w:val="0"/>
      <w:divBdr>
        <w:top w:val="none" w:sz="0" w:space="0" w:color="auto"/>
        <w:left w:val="none" w:sz="0" w:space="0" w:color="auto"/>
        <w:bottom w:val="none" w:sz="0" w:space="0" w:color="auto"/>
        <w:right w:val="none" w:sz="0" w:space="0" w:color="auto"/>
      </w:divBdr>
    </w:div>
    <w:div w:id="1346862124">
      <w:bodyDiv w:val="1"/>
      <w:marLeft w:val="0"/>
      <w:marRight w:val="0"/>
      <w:marTop w:val="0"/>
      <w:marBottom w:val="0"/>
      <w:divBdr>
        <w:top w:val="none" w:sz="0" w:space="0" w:color="auto"/>
        <w:left w:val="none" w:sz="0" w:space="0" w:color="auto"/>
        <w:bottom w:val="none" w:sz="0" w:space="0" w:color="auto"/>
        <w:right w:val="none" w:sz="0" w:space="0" w:color="auto"/>
      </w:divBdr>
    </w:div>
    <w:div w:id="1349717826">
      <w:bodyDiv w:val="1"/>
      <w:marLeft w:val="0"/>
      <w:marRight w:val="0"/>
      <w:marTop w:val="0"/>
      <w:marBottom w:val="0"/>
      <w:divBdr>
        <w:top w:val="none" w:sz="0" w:space="0" w:color="auto"/>
        <w:left w:val="none" w:sz="0" w:space="0" w:color="auto"/>
        <w:bottom w:val="none" w:sz="0" w:space="0" w:color="auto"/>
        <w:right w:val="none" w:sz="0" w:space="0" w:color="auto"/>
      </w:divBdr>
    </w:div>
    <w:div w:id="1369141596">
      <w:bodyDiv w:val="1"/>
      <w:marLeft w:val="0"/>
      <w:marRight w:val="0"/>
      <w:marTop w:val="0"/>
      <w:marBottom w:val="0"/>
      <w:divBdr>
        <w:top w:val="none" w:sz="0" w:space="0" w:color="auto"/>
        <w:left w:val="none" w:sz="0" w:space="0" w:color="auto"/>
        <w:bottom w:val="none" w:sz="0" w:space="0" w:color="auto"/>
        <w:right w:val="none" w:sz="0" w:space="0" w:color="auto"/>
      </w:divBdr>
    </w:div>
    <w:div w:id="1415322107">
      <w:bodyDiv w:val="1"/>
      <w:marLeft w:val="0"/>
      <w:marRight w:val="0"/>
      <w:marTop w:val="0"/>
      <w:marBottom w:val="0"/>
      <w:divBdr>
        <w:top w:val="none" w:sz="0" w:space="0" w:color="auto"/>
        <w:left w:val="none" w:sz="0" w:space="0" w:color="auto"/>
        <w:bottom w:val="none" w:sz="0" w:space="0" w:color="auto"/>
        <w:right w:val="none" w:sz="0" w:space="0" w:color="auto"/>
      </w:divBdr>
    </w:div>
    <w:div w:id="1454441833">
      <w:bodyDiv w:val="1"/>
      <w:marLeft w:val="0"/>
      <w:marRight w:val="0"/>
      <w:marTop w:val="0"/>
      <w:marBottom w:val="0"/>
      <w:divBdr>
        <w:top w:val="none" w:sz="0" w:space="0" w:color="auto"/>
        <w:left w:val="none" w:sz="0" w:space="0" w:color="auto"/>
        <w:bottom w:val="none" w:sz="0" w:space="0" w:color="auto"/>
        <w:right w:val="none" w:sz="0" w:space="0" w:color="auto"/>
      </w:divBdr>
    </w:div>
    <w:div w:id="1454715387">
      <w:bodyDiv w:val="1"/>
      <w:marLeft w:val="0"/>
      <w:marRight w:val="0"/>
      <w:marTop w:val="0"/>
      <w:marBottom w:val="0"/>
      <w:divBdr>
        <w:top w:val="none" w:sz="0" w:space="0" w:color="auto"/>
        <w:left w:val="none" w:sz="0" w:space="0" w:color="auto"/>
        <w:bottom w:val="none" w:sz="0" w:space="0" w:color="auto"/>
        <w:right w:val="none" w:sz="0" w:space="0" w:color="auto"/>
      </w:divBdr>
    </w:div>
    <w:div w:id="1454907836">
      <w:bodyDiv w:val="1"/>
      <w:marLeft w:val="0"/>
      <w:marRight w:val="0"/>
      <w:marTop w:val="0"/>
      <w:marBottom w:val="0"/>
      <w:divBdr>
        <w:top w:val="none" w:sz="0" w:space="0" w:color="auto"/>
        <w:left w:val="none" w:sz="0" w:space="0" w:color="auto"/>
        <w:bottom w:val="none" w:sz="0" w:space="0" w:color="auto"/>
        <w:right w:val="none" w:sz="0" w:space="0" w:color="auto"/>
      </w:divBdr>
    </w:div>
    <w:div w:id="1460340185">
      <w:bodyDiv w:val="1"/>
      <w:marLeft w:val="0"/>
      <w:marRight w:val="0"/>
      <w:marTop w:val="0"/>
      <w:marBottom w:val="0"/>
      <w:divBdr>
        <w:top w:val="none" w:sz="0" w:space="0" w:color="auto"/>
        <w:left w:val="none" w:sz="0" w:space="0" w:color="auto"/>
        <w:bottom w:val="none" w:sz="0" w:space="0" w:color="auto"/>
        <w:right w:val="none" w:sz="0" w:space="0" w:color="auto"/>
      </w:divBdr>
    </w:div>
    <w:div w:id="1567572560">
      <w:bodyDiv w:val="1"/>
      <w:marLeft w:val="0"/>
      <w:marRight w:val="0"/>
      <w:marTop w:val="0"/>
      <w:marBottom w:val="0"/>
      <w:divBdr>
        <w:top w:val="none" w:sz="0" w:space="0" w:color="auto"/>
        <w:left w:val="none" w:sz="0" w:space="0" w:color="auto"/>
        <w:bottom w:val="none" w:sz="0" w:space="0" w:color="auto"/>
        <w:right w:val="none" w:sz="0" w:space="0" w:color="auto"/>
      </w:divBdr>
    </w:div>
    <w:div w:id="1577664533">
      <w:bodyDiv w:val="1"/>
      <w:marLeft w:val="0"/>
      <w:marRight w:val="0"/>
      <w:marTop w:val="0"/>
      <w:marBottom w:val="0"/>
      <w:divBdr>
        <w:top w:val="none" w:sz="0" w:space="0" w:color="auto"/>
        <w:left w:val="none" w:sz="0" w:space="0" w:color="auto"/>
        <w:bottom w:val="none" w:sz="0" w:space="0" w:color="auto"/>
        <w:right w:val="none" w:sz="0" w:space="0" w:color="auto"/>
      </w:divBdr>
    </w:div>
    <w:div w:id="1593901307">
      <w:bodyDiv w:val="1"/>
      <w:marLeft w:val="0"/>
      <w:marRight w:val="0"/>
      <w:marTop w:val="0"/>
      <w:marBottom w:val="0"/>
      <w:divBdr>
        <w:top w:val="none" w:sz="0" w:space="0" w:color="auto"/>
        <w:left w:val="none" w:sz="0" w:space="0" w:color="auto"/>
        <w:bottom w:val="none" w:sz="0" w:space="0" w:color="auto"/>
        <w:right w:val="none" w:sz="0" w:space="0" w:color="auto"/>
      </w:divBdr>
    </w:div>
    <w:div w:id="1629241014">
      <w:bodyDiv w:val="1"/>
      <w:marLeft w:val="0"/>
      <w:marRight w:val="0"/>
      <w:marTop w:val="0"/>
      <w:marBottom w:val="0"/>
      <w:divBdr>
        <w:top w:val="none" w:sz="0" w:space="0" w:color="auto"/>
        <w:left w:val="none" w:sz="0" w:space="0" w:color="auto"/>
        <w:bottom w:val="none" w:sz="0" w:space="0" w:color="auto"/>
        <w:right w:val="none" w:sz="0" w:space="0" w:color="auto"/>
      </w:divBdr>
    </w:div>
    <w:div w:id="1656489272">
      <w:bodyDiv w:val="1"/>
      <w:marLeft w:val="0"/>
      <w:marRight w:val="0"/>
      <w:marTop w:val="0"/>
      <w:marBottom w:val="0"/>
      <w:divBdr>
        <w:top w:val="none" w:sz="0" w:space="0" w:color="auto"/>
        <w:left w:val="none" w:sz="0" w:space="0" w:color="auto"/>
        <w:bottom w:val="none" w:sz="0" w:space="0" w:color="auto"/>
        <w:right w:val="none" w:sz="0" w:space="0" w:color="auto"/>
      </w:divBdr>
    </w:div>
    <w:div w:id="1673020956">
      <w:bodyDiv w:val="1"/>
      <w:marLeft w:val="0"/>
      <w:marRight w:val="0"/>
      <w:marTop w:val="0"/>
      <w:marBottom w:val="0"/>
      <w:divBdr>
        <w:top w:val="none" w:sz="0" w:space="0" w:color="auto"/>
        <w:left w:val="none" w:sz="0" w:space="0" w:color="auto"/>
        <w:bottom w:val="none" w:sz="0" w:space="0" w:color="auto"/>
        <w:right w:val="none" w:sz="0" w:space="0" w:color="auto"/>
      </w:divBdr>
    </w:div>
    <w:div w:id="1709405587">
      <w:bodyDiv w:val="1"/>
      <w:marLeft w:val="0"/>
      <w:marRight w:val="0"/>
      <w:marTop w:val="0"/>
      <w:marBottom w:val="0"/>
      <w:divBdr>
        <w:top w:val="none" w:sz="0" w:space="0" w:color="auto"/>
        <w:left w:val="none" w:sz="0" w:space="0" w:color="auto"/>
        <w:bottom w:val="none" w:sz="0" w:space="0" w:color="auto"/>
        <w:right w:val="none" w:sz="0" w:space="0" w:color="auto"/>
      </w:divBdr>
    </w:div>
    <w:div w:id="1713268284">
      <w:bodyDiv w:val="1"/>
      <w:marLeft w:val="0"/>
      <w:marRight w:val="0"/>
      <w:marTop w:val="0"/>
      <w:marBottom w:val="0"/>
      <w:divBdr>
        <w:top w:val="none" w:sz="0" w:space="0" w:color="auto"/>
        <w:left w:val="none" w:sz="0" w:space="0" w:color="auto"/>
        <w:bottom w:val="none" w:sz="0" w:space="0" w:color="auto"/>
        <w:right w:val="none" w:sz="0" w:space="0" w:color="auto"/>
      </w:divBdr>
    </w:div>
    <w:div w:id="1717049490">
      <w:bodyDiv w:val="1"/>
      <w:marLeft w:val="0"/>
      <w:marRight w:val="0"/>
      <w:marTop w:val="0"/>
      <w:marBottom w:val="0"/>
      <w:divBdr>
        <w:top w:val="none" w:sz="0" w:space="0" w:color="auto"/>
        <w:left w:val="none" w:sz="0" w:space="0" w:color="auto"/>
        <w:bottom w:val="none" w:sz="0" w:space="0" w:color="auto"/>
        <w:right w:val="none" w:sz="0" w:space="0" w:color="auto"/>
      </w:divBdr>
    </w:div>
    <w:div w:id="1731346539">
      <w:bodyDiv w:val="1"/>
      <w:marLeft w:val="0"/>
      <w:marRight w:val="0"/>
      <w:marTop w:val="0"/>
      <w:marBottom w:val="0"/>
      <w:divBdr>
        <w:top w:val="none" w:sz="0" w:space="0" w:color="auto"/>
        <w:left w:val="none" w:sz="0" w:space="0" w:color="auto"/>
        <w:bottom w:val="none" w:sz="0" w:space="0" w:color="auto"/>
        <w:right w:val="none" w:sz="0" w:space="0" w:color="auto"/>
      </w:divBdr>
    </w:div>
    <w:div w:id="1734698581">
      <w:bodyDiv w:val="1"/>
      <w:marLeft w:val="0"/>
      <w:marRight w:val="0"/>
      <w:marTop w:val="0"/>
      <w:marBottom w:val="0"/>
      <w:divBdr>
        <w:top w:val="none" w:sz="0" w:space="0" w:color="auto"/>
        <w:left w:val="none" w:sz="0" w:space="0" w:color="auto"/>
        <w:bottom w:val="none" w:sz="0" w:space="0" w:color="auto"/>
        <w:right w:val="none" w:sz="0" w:space="0" w:color="auto"/>
      </w:divBdr>
    </w:div>
    <w:div w:id="1753165563">
      <w:bodyDiv w:val="1"/>
      <w:marLeft w:val="0"/>
      <w:marRight w:val="0"/>
      <w:marTop w:val="0"/>
      <w:marBottom w:val="0"/>
      <w:divBdr>
        <w:top w:val="none" w:sz="0" w:space="0" w:color="auto"/>
        <w:left w:val="none" w:sz="0" w:space="0" w:color="auto"/>
        <w:bottom w:val="none" w:sz="0" w:space="0" w:color="auto"/>
        <w:right w:val="none" w:sz="0" w:space="0" w:color="auto"/>
      </w:divBdr>
    </w:div>
    <w:div w:id="1761826568">
      <w:bodyDiv w:val="1"/>
      <w:marLeft w:val="0"/>
      <w:marRight w:val="0"/>
      <w:marTop w:val="0"/>
      <w:marBottom w:val="0"/>
      <w:divBdr>
        <w:top w:val="none" w:sz="0" w:space="0" w:color="auto"/>
        <w:left w:val="none" w:sz="0" w:space="0" w:color="auto"/>
        <w:bottom w:val="none" w:sz="0" w:space="0" w:color="auto"/>
        <w:right w:val="none" w:sz="0" w:space="0" w:color="auto"/>
      </w:divBdr>
    </w:div>
    <w:div w:id="1783526226">
      <w:bodyDiv w:val="1"/>
      <w:marLeft w:val="0"/>
      <w:marRight w:val="0"/>
      <w:marTop w:val="0"/>
      <w:marBottom w:val="0"/>
      <w:divBdr>
        <w:top w:val="none" w:sz="0" w:space="0" w:color="auto"/>
        <w:left w:val="none" w:sz="0" w:space="0" w:color="auto"/>
        <w:bottom w:val="none" w:sz="0" w:space="0" w:color="auto"/>
        <w:right w:val="none" w:sz="0" w:space="0" w:color="auto"/>
      </w:divBdr>
    </w:div>
    <w:div w:id="1799179892">
      <w:bodyDiv w:val="1"/>
      <w:marLeft w:val="0"/>
      <w:marRight w:val="0"/>
      <w:marTop w:val="0"/>
      <w:marBottom w:val="0"/>
      <w:divBdr>
        <w:top w:val="none" w:sz="0" w:space="0" w:color="auto"/>
        <w:left w:val="none" w:sz="0" w:space="0" w:color="auto"/>
        <w:bottom w:val="none" w:sz="0" w:space="0" w:color="auto"/>
        <w:right w:val="none" w:sz="0" w:space="0" w:color="auto"/>
      </w:divBdr>
    </w:div>
    <w:div w:id="1820488922">
      <w:bodyDiv w:val="1"/>
      <w:marLeft w:val="0"/>
      <w:marRight w:val="0"/>
      <w:marTop w:val="0"/>
      <w:marBottom w:val="0"/>
      <w:divBdr>
        <w:top w:val="none" w:sz="0" w:space="0" w:color="auto"/>
        <w:left w:val="none" w:sz="0" w:space="0" w:color="auto"/>
        <w:bottom w:val="none" w:sz="0" w:space="0" w:color="auto"/>
        <w:right w:val="none" w:sz="0" w:space="0" w:color="auto"/>
      </w:divBdr>
    </w:div>
    <w:div w:id="1822574489">
      <w:bodyDiv w:val="1"/>
      <w:marLeft w:val="0"/>
      <w:marRight w:val="0"/>
      <w:marTop w:val="0"/>
      <w:marBottom w:val="0"/>
      <w:divBdr>
        <w:top w:val="none" w:sz="0" w:space="0" w:color="auto"/>
        <w:left w:val="none" w:sz="0" w:space="0" w:color="auto"/>
        <w:bottom w:val="none" w:sz="0" w:space="0" w:color="auto"/>
        <w:right w:val="none" w:sz="0" w:space="0" w:color="auto"/>
      </w:divBdr>
    </w:div>
    <w:div w:id="1822773059">
      <w:bodyDiv w:val="1"/>
      <w:marLeft w:val="0"/>
      <w:marRight w:val="0"/>
      <w:marTop w:val="0"/>
      <w:marBottom w:val="0"/>
      <w:divBdr>
        <w:top w:val="none" w:sz="0" w:space="0" w:color="auto"/>
        <w:left w:val="none" w:sz="0" w:space="0" w:color="auto"/>
        <w:bottom w:val="none" w:sz="0" w:space="0" w:color="auto"/>
        <w:right w:val="none" w:sz="0" w:space="0" w:color="auto"/>
      </w:divBdr>
    </w:div>
    <w:div w:id="1835297294">
      <w:bodyDiv w:val="1"/>
      <w:marLeft w:val="0"/>
      <w:marRight w:val="0"/>
      <w:marTop w:val="0"/>
      <w:marBottom w:val="0"/>
      <w:divBdr>
        <w:top w:val="none" w:sz="0" w:space="0" w:color="auto"/>
        <w:left w:val="none" w:sz="0" w:space="0" w:color="auto"/>
        <w:bottom w:val="none" w:sz="0" w:space="0" w:color="auto"/>
        <w:right w:val="none" w:sz="0" w:space="0" w:color="auto"/>
      </w:divBdr>
    </w:div>
    <w:div w:id="1862009972">
      <w:bodyDiv w:val="1"/>
      <w:marLeft w:val="0"/>
      <w:marRight w:val="0"/>
      <w:marTop w:val="0"/>
      <w:marBottom w:val="0"/>
      <w:divBdr>
        <w:top w:val="none" w:sz="0" w:space="0" w:color="auto"/>
        <w:left w:val="none" w:sz="0" w:space="0" w:color="auto"/>
        <w:bottom w:val="none" w:sz="0" w:space="0" w:color="auto"/>
        <w:right w:val="none" w:sz="0" w:space="0" w:color="auto"/>
      </w:divBdr>
    </w:div>
    <w:div w:id="1897860168">
      <w:bodyDiv w:val="1"/>
      <w:marLeft w:val="0"/>
      <w:marRight w:val="0"/>
      <w:marTop w:val="0"/>
      <w:marBottom w:val="0"/>
      <w:divBdr>
        <w:top w:val="none" w:sz="0" w:space="0" w:color="auto"/>
        <w:left w:val="none" w:sz="0" w:space="0" w:color="auto"/>
        <w:bottom w:val="none" w:sz="0" w:space="0" w:color="auto"/>
        <w:right w:val="none" w:sz="0" w:space="0" w:color="auto"/>
      </w:divBdr>
    </w:div>
    <w:div w:id="1915898320">
      <w:bodyDiv w:val="1"/>
      <w:marLeft w:val="0"/>
      <w:marRight w:val="0"/>
      <w:marTop w:val="0"/>
      <w:marBottom w:val="0"/>
      <w:divBdr>
        <w:top w:val="none" w:sz="0" w:space="0" w:color="auto"/>
        <w:left w:val="none" w:sz="0" w:space="0" w:color="auto"/>
        <w:bottom w:val="none" w:sz="0" w:space="0" w:color="auto"/>
        <w:right w:val="none" w:sz="0" w:space="0" w:color="auto"/>
      </w:divBdr>
    </w:div>
    <w:div w:id="1935897760">
      <w:bodyDiv w:val="1"/>
      <w:marLeft w:val="0"/>
      <w:marRight w:val="0"/>
      <w:marTop w:val="0"/>
      <w:marBottom w:val="0"/>
      <w:divBdr>
        <w:top w:val="none" w:sz="0" w:space="0" w:color="auto"/>
        <w:left w:val="none" w:sz="0" w:space="0" w:color="auto"/>
        <w:bottom w:val="none" w:sz="0" w:space="0" w:color="auto"/>
        <w:right w:val="none" w:sz="0" w:space="0" w:color="auto"/>
      </w:divBdr>
    </w:div>
    <w:div w:id="1937059257">
      <w:bodyDiv w:val="1"/>
      <w:marLeft w:val="0"/>
      <w:marRight w:val="0"/>
      <w:marTop w:val="0"/>
      <w:marBottom w:val="0"/>
      <w:divBdr>
        <w:top w:val="none" w:sz="0" w:space="0" w:color="auto"/>
        <w:left w:val="none" w:sz="0" w:space="0" w:color="auto"/>
        <w:bottom w:val="none" w:sz="0" w:space="0" w:color="auto"/>
        <w:right w:val="none" w:sz="0" w:space="0" w:color="auto"/>
      </w:divBdr>
    </w:div>
    <w:div w:id="1950770858">
      <w:bodyDiv w:val="1"/>
      <w:marLeft w:val="0"/>
      <w:marRight w:val="0"/>
      <w:marTop w:val="0"/>
      <w:marBottom w:val="0"/>
      <w:divBdr>
        <w:top w:val="none" w:sz="0" w:space="0" w:color="auto"/>
        <w:left w:val="none" w:sz="0" w:space="0" w:color="auto"/>
        <w:bottom w:val="none" w:sz="0" w:space="0" w:color="auto"/>
        <w:right w:val="none" w:sz="0" w:space="0" w:color="auto"/>
      </w:divBdr>
    </w:div>
    <w:div w:id="1957449074">
      <w:bodyDiv w:val="1"/>
      <w:marLeft w:val="0"/>
      <w:marRight w:val="0"/>
      <w:marTop w:val="0"/>
      <w:marBottom w:val="0"/>
      <w:divBdr>
        <w:top w:val="none" w:sz="0" w:space="0" w:color="auto"/>
        <w:left w:val="none" w:sz="0" w:space="0" w:color="auto"/>
        <w:bottom w:val="none" w:sz="0" w:space="0" w:color="auto"/>
        <w:right w:val="none" w:sz="0" w:space="0" w:color="auto"/>
      </w:divBdr>
    </w:div>
    <w:div w:id="1978295012">
      <w:bodyDiv w:val="1"/>
      <w:marLeft w:val="0"/>
      <w:marRight w:val="0"/>
      <w:marTop w:val="0"/>
      <w:marBottom w:val="0"/>
      <w:divBdr>
        <w:top w:val="none" w:sz="0" w:space="0" w:color="auto"/>
        <w:left w:val="none" w:sz="0" w:space="0" w:color="auto"/>
        <w:bottom w:val="none" w:sz="0" w:space="0" w:color="auto"/>
        <w:right w:val="none" w:sz="0" w:space="0" w:color="auto"/>
      </w:divBdr>
    </w:div>
    <w:div w:id="2002584798">
      <w:bodyDiv w:val="1"/>
      <w:marLeft w:val="0"/>
      <w:marRight w:val="0"/>
      <w:marTop w:val="0"/>
      <w:marBottom w:val="0"/>
      <w:divBdr>
        <w:top w:val="none" w:sz="0" w:space="0" w:color="auto"/>
        <w:left w:val="none" w:sz="0" w:space="0" w:color="auto"/>
        <w:bottom w:val="none" w:sz="0" w:space="0" w:color="auto"/>
        <w:right w:val="none" w:sz="0" w:space="0" w:color="auto"/>
      </w:divBdr>
    </w:div>
    <w:div w:id="2025936963">
      <w:bodyDiv w:val="1"/>
      <w:marLeft w:val="0"/>
      <w:marRight w:val="0"/>
      <w:marTop w:val="0"/>
      <w:marBottom w:val="0"/>
      <w:divBdr>
        <w:top w:val="none" w:sz="0" w:space="0" w:color="auto"/>
        <w:left w:val="none" w:sz="0" w:space="0" w:color="auto"/>
        <w:bottom w:val="none" w:sz="0" w:space="0" w:color="auto"/>
        <w:right w:val="none" w:sz="0" w:space="0" w:color="auto"/>
      </w:divBdr>
    </w:div>
    <w:div w:id="2029330833">
      <w:bodyDiv w:val="1"/>
      <w:marLeft w:val="0"/>
      <w:marRight w:val="0"/>
      <w:marTop w:val="0"/>
      <w:marBottom w:val="0"/>
      <w:divBdr>
        <w:top w:val="none" w:sz="0" w:space="0" w:color="auto"/>
        <w:left w:val="none" w:sz="0" w:space="0" w:color="auto"/>
        <w:bottom w:val="none" w:sz="0" w:space="0" w:color="auto"/>
        <w:right w:val="none" w:sz="0" w:space="0" w:color="auto"/>
      </w:divBdr>
    </w:div>
    <w:div w:id="2033217877">
      <w:bodyDiv w:val="1"/>
      <w:marLeft w:val="0"/>
      <w:marRight w:val="0"/>
      <w:marTop w:val="0"/>
      <w:marBottom w:val="0"/>
      <w:divBdr>
        <w:top w:val="none" w:sz="0" w:space="0" w:color="auto"/>
        <w:left w:val="none" w:sz="0" w:space="0" w:color="auto"/>
        <w:bottom w:val="none" w:sz="0" w:space="0" w:color="auto"/>
        <w:right w:val="none" w:sz="0" w:space="0" w:color="auto"/>
      </w:divBdr>
    </w:div>
    <w:div w:id="2038120073">
      <w:bodyDiv w:val="1"/>
      <w:marLeft w:val="0"/>
      <w:marRight w:val="0"/>
      <w:marTop w:val="0"/>
      <w:marBottom w:val="0"/>
      <w:divBdr>
        <w:top w:val="none" w:sz="0" w:space="0" w:color="auto"/>
        <w:left w:val="none" w:sz="0" w:space="0" w:color="auto"/>
        <w:bottom w:val="none" w:sz="0" w:space="0" w:color="auto"/>
        <w:right w:val="none" w:sz="0" w:space="0" w:color="auto"/>
      </w:divBdr>
    </w:div>
    <w:div w:id="2041122066">
      <w:bodyDiv w:val="1"/>
      <w:marLeft w:val="0"/>
      <w:marRight w:val="0"/>
      <w:marTop w:val="0"/>
      <w:marBottom w:val="0"/>
      <w:divBdr>
        <w:top w:val="none" w:sz="0" w:space="0" w:color="auto"/>
        <w:left w:val="none" w:sz="0" w:space="0" w:color="auto"/>
        <w:bottom w:val="none" w:sz="0" w:space="0" w:color="auto"/>
        <w:right w:val="none" w:sz="0" w:space="0" w:color="auto"/>
      </w:divBdr>
    </w:div>
    <w:div w:id="2053990753">
      <w:bodyDiv w:val="1"/>
      <w:marLeft w:val="0"/>
      <w:marRight w:val="0"/>
      <w:marTop w:val="0"/>
      <w:marBottom w:val="0"/>
      <w:divBdr>
        <w:top w:val="none" w:sz="0" w:space="0" w:color="auto"/>
        <w:left w:val="none" w:sz="0" w:space="0" w:color="auto"/>
        <w:bottom w:val="none" w:sz="0" w:space="0" w:color="auto"/>
        <w:right w:val="none" w:sz="0" w:space="0" w:color="auto"/>
      </w:divBdr>
    </w:div>
    <w:div w:id="2086029378">
      <w:bodyDiv w:val="1"/>
      <w:marLeft w:val="0"/>
      <w:marRight w:val="0"/>
      <w:marTop w:val="0"/>
      <w:marBottom w:val="0"/>
      <w:divBdr>
        <w:top w:val="none" w:sz="0" w:space="0" w:color="auto"/>
        <w:left w:val="none" w:sz="0" w:space="0" w:color="auto"/>
        <w:bottom w:val="none" w:sz="0" w:space="0" w:color="auto"/>
        <w:right w:val="none" w:sz="0" w:space="0" w:color="auto"/>
      </w:divBdr>
    </w:div>
    <w:div w:id="2101943346">
      <w:bodyDiv w:val="1"/>
      <w:marLeft w:val="0"/>
      <w:marRight w:val="0"/>
      <w:marTop w:val="0"/>
      <w:marBottom w:val="0"/>
      <w:divBdr>
        <w:top w:val="none" w:sz="0" w:space="0" w:color="auto"/>
        <w:left w:val="none" w:sz="0" w:space="0" w:color="auto"/>
        <w:bottom w:val="none" w:sz="0" w:space="0" w:color="auto"/>
        <w:right w:val="none" w:sz="0" w:space="0" w:color="auto"/>
      </w:divBdr>
    </w:div>
    <w:div w:id="2139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5447632/" TargetMode="External"/><Relationship Id="rId2" Type="http://schemas.openxmlformats.org/officeDocument/2006/relationships/hyperlink" Target="https://www.siemens-healthineers.com/en-us/computed-tomography/dual-energy/dual-source-dual-energy" TargetMode="External"/><Relationship Id="rId1" Type="http://schemas.openxmlformats.org/officeDocument/2006/relationships/hyperlink" Target="https://www.siemens-healthineers.com/en-us/computed-tomography/dual-energy/dual-source-dual-energy" TargetMode="External"/><Relationship Id="rId6" Type="http://schemas.openxmlformats.org/officeDocument/2006/relationships/hyperlink" Target="https://radiopaedia.org/articles/dual-energy-ct-2?lang=us" TargetMode="External"/><Relationship Id="rId5" Type="http://schemas.openxmlformats.org/officeDocument/2006/relationships/hyperlink" Target="https://www.legacyhealth.org/Services-and-Resources/services/adult/imaging/dual-source-ct-scanner" TargetMode="External"/><Relationship Id="rId4" Type="http://schemas.openxmlformats.org/officeDocument/2006/relationships/hyperlink" Target="https://www.legacyhealth.org/Services-and-Resources/services/adult/imaging/dual-source-ct-sc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A138-1C31-4691-954F-55424D21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6819</Words>
  <Characters>38871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Ciolfi</dc:creator>
  <cp:keywords/>
  <dc:description/>
  <cp:lastModifiedBy>Marks, Brett (DPH)</cp:lastModifiedBy>
  <cp:revision>10</cp:revision>
  <cp:lastPrinted>2021-12-14T13:29:00Z</cp:lastPrinted>
  <dcterms:created xsi:type="dcterms:W3CDTF">2023-06-06T19:06:00Z</dcterms:created>
  <dcterms:modified xsi:type="dcterms:W3CDTF">2023-07-12T14:50:00Z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736382.1</vt:lpwstr>
  </property>
  <property fmtid="{D5CDD505-2E9C-101B-9397-08002B2CF9AE}" pid="4" name="DOCXDOCID">
    <vt:lpwstr>HB: 4872-5929-3543.1</vt:lpwstr>
  </property>
  <property fmtid="{D5CDD505-2E9C-101B-9397-08002B2CF9AE}" pid="5" name="DocXLocation">
    <vt:lpwstr>Every Page</vt:lpwstr>
  </property>
  <property fmtid="{D5CDD505-2E9C-101B-9397-08002B2CF9AE}" pid="6" name="DocXFormat">
    <vt:lpwstr>HB DocID w/ver w/HB Label</vt:lpwstr>
  </property>
  <property fmtid="{D5CDD505-2E9C-101B-9397-08002B2CF9AE}" pid="7" name="DocXRemovePrint">
    <vt:lpwstr>False</vt:lpwstr>
  </property>
  <property fmtid="{D5CDD505-2E9C-101B-9397-08002B2CF9AE}" pid="8" name="ndDocumentId">
    <vt:lpwstr>4872-5929-3543</vt:lpwstr>
  </property>
</Properties>
</file>