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CFE7" w14:textId="01F77CBC" w:rsidR="00D83419" w:rsidRPr="00BF3AF6" w:rsidRDefault="002B01FB" w:rsidP="00BF3AF6">
      <w:pPr>
        <w:pStyle w:val="Heading1"/>
      </w:pPr>
      <w:r w:rsidRPr="00BF3AF6">
        <w:t xml:space="preserve">2. </w:t>
      </w:r>
      <w:r w:rsidR="00D56D3B" w:rsidRPr="00BF3AF6">
        <w:t>Project Description</w:t>
      </w:r>
    </w:p>
    <w:p w14:paraId="03C2ABE1" w14:textId="77777777" w:rsidR="002B01FB" w:rsidRPr="009555DC" w:rsidRDefault="002B01FB">
      <w:pPr>
        <w:rPr>
          <w:rFonts w:asciiTheme="minorHAnsi" w:hAnsiTheme="minorHAnsi"/>
          <w:sz w:val="21"/>
          <w:szCs w:val="21"/>
        </w:rPr>
      </w:pPr>
    </w:p>
    <w:p w14:paraId="1E4C770E" w14:textId="5E5E3C63" w:rsidR="009676A0" w:rsidRPr="009C1CD5" w:rsidRDefault="00BD57CF" w:rsidP="003C0B10">
      <w:pPr>
        <w:spacing w:after="120"/>
        <w:jc w:val="both"/>
        <w:rPr>
          <w:rFonts w:asciiTheme="minorHAnsi" w:hAnsiTheme="minorHAnsi"/>
          <w:sz w:val="21"/>
          <w:szCs w:val="21"/>
        </w:rPr>
      </w:pPr>
      <w:r w:rsidRPr="009C1CD5">
        <w:rPr>
          <w:rFonts w:asciiTheme="minorHAnsi" w:hAnsiTheme="minorHAnsi"/>
          <w:sz w:val="21"/>
          <w:szCs w:val="21"/>
        </w:rPr>
        <w:t>Colorectal cancer is the second leading cause of cancer deaths in the United States, resulting in an estimated 53,000 deaths in 2025.</w:t>
      </w:r>
      <w:bookmarkStart w:id="0" w:name="_Ref207177991"/>
      <w:r w:rsidR="00A52C44" w:rsidRPr="009C1CD5">
        <w:rPr>
          <w:rStyle w:val="FootnoteReference"/>
          <w:rFonts w:asciiTheme="minorHAnsi" w:hAnsiTheme="minorHAnsi"/>
          <w:sz w:val="21"/>
          <w:szCs w:val="21"/>
        </w:rPr>
        <w:footnoteReference w:id="1"/>
      </w:r>
      <w:bookmarkEnd w:id="0"/>
      <w:r w:rsidRPr="009C1CD5">
        <w:rPr>
          <w:rFonts w:asciiTheme="minorHAnsi" w:hAnsiTheme="minorHAnsi"/>
          <w:sz w:val="21"/>
          <w:szCs w:val="21"/>
        </w:rPr>
        <w:t xml:space="preserve"> </w:t>
      </w:r>
      <w:r w:rsidR="00A52C44" w:rsidRPr="009C1CD5">
        <w:rPr>
          <w:rFonts w:asciiTheme="minorHAnsi" w:hAnsiTheme="minorHAnsi"/>
          <w:sz w:val="21"/>
          <w:szCs w:val="21"/>
        </w:rPr>
        <w:t xml:space="preserve">Unlike most cancer screening tools, colonoscopy not only detects cancerous polyps, but allows for the removal of precancerous polyps </w:t>
      </w:r>
      <w:r w:rsidR="009676A0" w:rsidRPr="009C1CD5">
        <w:rPr>
          <w:rFonts w:asciiTheme="minorHAnsi" w:hAnsiTheme="minorHAnsi"/>
          <w:sz w:val="21"/>
          <w:szCs w:val="21"/>
        </w:rPr>
        <w:t xml:space="preserve">during the same procedure </w:t>
      </w:r>
      <w:r w:rsidR="00A52C44" w:rsidRPr="009C1CD5">
        <w:rPr>
          <w:rFonts w:asciiTheme="minorHAnsi" w:hAnsiTheme="minorHAnsi"/>
          <w:sz w:val="21"/>
          <w:szCs w:val="21"/>
        </w:rPr>
        <w:t>before they turn into cancer.</w:t>
      </w:r>
      <w:r w:rsidR="009676A0" w:rsidRPr="009C1CD5">
        <w:rPr>
          <w:rStyle w:val="FootnoteReference"/>
          <w:rFonts w:asciiTheme="minorHAnsi" w:hAnsiTheme="minorHAnsi"/>
          <w:sz w:val="21"/>
          <w:szCs w:val="21"/>
        </w:rPr>
        <w:footnoteReference w:id="2"/>
      </w:r>
      <w:r w:rsidR="009676A0" w:rsidRPr="009C1CD5">
        <w:rPr>
          <w:rFonts w:asciiTheme="minorHAnsi" w:hAnsiTheme="minorHAnsi"/>
          <w:sz w:val="21"/>
          <w:szCs w:val="21"/>
        </w:rPr>
        <w:t xml:space="preserve"> Massachusetts currently has one of the highest colorectal cancer screening rates in the United States at 70% across all population</w:t>
      </w:r>
      <w:r w:rsidR="009C1CD5" w:rsidRPr="009C1CD5">
        <w:rPr>
          <w:rFonts w:asciiTheme="minorHAnsi" w:hAnsiTheme="minorHAnsi"/>
          <w:sz w:val="21"/>
          <w:szCs w:val="21"/>
        </w:rPr>
        <w:t>s</w:t>
      </w:r>
      <w:r w:rsidR="0017356C" w:rsidRPr="009C1CD5">
        <w:rPr>
          <w:rFonts w:asciiTheme="minorHAnsi" w:hAnsiTheme="minorHAnsi"/>
          <w:sz w:val="21"/>
          <w:szCs w:val="21"/>
        </w:rPr>
        <w:t xml:space="preserve">, but </w:t>
      </w:r>
      <w:r w:rsidR="009C1CD5" w:rsidRPr="009C1CD5">
        <w:rPr>
          <w:rFonts w:asciiTheme="minorHAnsi" w:hAnsiTheme="minorHAnsi"/>
          <w:sz w:val="21"/>
          <w:szCs w:val="21"/>
        </w:rPr>
        <w:t xml:space="preserve">is </w:t>
      </w:r>
      <w:r w:rsidR="0017356C" w:rsidRPr="009C1CD5">
        <w:rPr>
          <w:rFonts w:asciiTheme="minorHAnsi" w:hAnsiTheme="minorHAnsi"/>
          <w:sz w:val="21"/>
          <w:szCs w:val="21"/>
        </w:rPr>
        <w:t>still well below the national goal of 80%</w:t>
      </w:r>
      <w:r w:rsidR="009676A0" w:rsidRPr="009C1CD5">
        <w:rPr>
          <w:rFonts w:asciiTheme="minorHAnsi" w:hAnsiTheme="minorHAnsi"/>
          <w:sz w:val="21"/>
          <w:szCs w:val="21"/>
        </w:rPr>
        <w:t>.</w:t>
      </w:r>
      <w:r w:rsidR="009676A0" w:rsidRPr="009C1CD5">
        <w:rPr>
          <w:rStyle w:val="FootnoteReference"/>
          <w:rFonts w:asciiTheme="minorHAnsi" w:hAnsiTheme="minorHAnsi"/>
          <w:sz w:val="21"/>
          <w:szCs w:val="21"/>
        </w:rPr>
        <w:footnoteReference w:id="3"/>
      </w:r>
      <w:r w:rsidR="009676A0" w:rsidRPr="009C1CD5">
        <w:rPr>
          <w:rFonts w:asciiTheme="minorHAnsi" w:hAnsiTheme="minorHAnsi"/>
          <w:sz w:val="21"/>
          <w:szCs w:val="21"/>
        </w:rPr>
        <w:t xml:space="preserve"> </w:t>
      </w:r>
      <w:r w:rsidR="00A52C44" w:rsidRPr="009C1CD5">
        <w:rPr>
          <w:rFonts w:asciiTheme="minorHAnsi" w:hAnsiTheme="minorHAnsi"/>
          <w:sz w:val="21"/>
          <w:szCs w:val="21"/>
        </w:rPr>
        <w:t xml:space="preserve">Increasing </w:t>
      </w:r>
      <w:r w:rsidR="009676A0" w:rsidRPr="009C1CD5">
        <w:rPr>
          <w:rFonts w:asciiTheme="minorHAnsi" w:hAnsiTheme="minorHAnsi"/>
          <w:sz w:val="21"/>
          <w:szCs w:val="21"/>
        </w:rPr>
        <w:t xml:space="preserve">colorectal cancer </w:t>
      </w:r>
      <w:r w:rsidR="00A52C44" w:rsidRPr="009C1CD5">
        <w:rPr>
          <w:rFonts w:asciiTheme="minorHAnsi" w:hAnsiTheme="minorHAnsi"/>
          <w:sz w:val="21"/>
          <w:szCs w:val="21"/>
        </w:rPr>
        <w:t>screening prevalence to 80% could reduce deaths from colorectal cancer by 33% by 2030.</w:t>
      </w:r>
      <w:r w:rsidR="009676A0" w:rsidRPr="009C1CD5">
        <w:rPr>
          <w:rStyle w:val="FootnoteReference"/>
          <w:rFonts w:asciiTheme="minorHAnsi" w:hAnsiTheme="minorHAnsi"/>
          <w:sz w:val="21"/>
          <w:szCs w:val="21"/>
        </w:rPr>
        <w:footnoteReference w:id="4"/>
      </w:r>
      <w:r w:rsidR="009676A0" w:rsidRPr="009C1CD5">
        <w:rPr>
          <w:rFonts w:asciiTheme="minorHAnsi" w:hAnsiTheme="minorHAnsi"/>
          <w:sz w:val="21"/>
          <w:szCs w:val="21"/>
        </w:rPr>
        <w:t xml:space="preserve"> </w:t>
      </w:r>
    </w:p>
    <w:p w14:paraId="4022EFDA" w14:textId="021F8E5E" w:rsidR="0017356C" w:rsidRPr="00592B36" w:rsidRDefault="009676A0" w:rsidP="006925D7">
      <w:pPr>
        <w:spacing w:after="120"/>
        <w:jc w:val="both"/>
        <w:rPr>
          <w:rFonts w:asciiTheme="minorHAnsi" w:hAnsiTheme="minorHAnsi"/>
          <w:sz w:val="21"/>
          <w:szCs w:val="21"/>
        </w:rPr>
      </w:pPr>
      <w:r w:rsidRPr="009C1CD5">
        <w:rPr>
          <w:rFonts w:asciiTheme="minorHAnsi" w:hAnsiTheme="minorHAnsi"/>
          <w:sz w:val="21"/>
          <w:szCs w:val="21"/>
        </w:rPr>
        <w:t xml:space="preserve">One of the biggest limiting factors to increasing screening prevalence is access to colonoscopy. </w:t>
      </w:r>
      <w:r w:rsidR="006E391E" w:rsidRPr="009C1CD5">
        <w:rPr>
          <w:rFonts w:asciiTheme="minorHAnsi" w:hAnsiTheme="minorHAnsi"/>
          <w:sz w:val="21"/>
          <w:szCs w:val="21"/>
        </w:rPr>
        <w:t>Per capita, Massachusetts has the fourth fewest ambulatory surgery centers (ASC) in the United States,</w:t>
      </w:r>
      <w:r w:rsidR="006E391E" w:rsidRPr="009C1CD5">
        <w:rPr>
          <w:rStyle w:val="FootnoteReference"/>
          <w:rFonts w:asciiTheme="minorHAnsi" w:hAnsiTheme="minorHAnsi"/>
          <w:sz w:val="21"/>
          <w:szCs w:val="21"/>
        </w:rPr>
        <w:footnoteReference w:id="5"/>
      </w:r>
      <w:r w:rsidR="006E391E" w:rsidRPr="009C1CD5">
        <w:rPr>
          <w:rFonts w:asciiTheme="minorHAnsi" w:hAnsiTheme="minorHAnsi"/>
          <w:sz w:val="21"/>
          <w:szCs w:val="21"/>
        </w:rPr>
        <w:t xml:space="preserve"> resulting in the majority (73%) of ASC-eligible outpatient gastrointestinal</w:t>
      </w:r>
      <w:r w:rsidR="0017356C" w:rsidRPr="009C1CD5">
        <w:rPr>
          <w:rFonts w:asciiTheme="minorHAnsi" w:hAnsiTheme="minorHAnsi"/>
          <w:sz w:val="21"/>
          <w:szCs w:val="21"/>
        </w:rPr>
        <w:t>/endoscopy</w:t>
      </w:r>
      <w:r w:rsidR="006E391E" w:rsidRPr="009C1CD5">
        <w:rPr>
          <w:rFonts w:asciiTheme="minorHAnsi" w:hAnsiTheme="minorHAnsi"/>
          <w:sz w:val="21"/>
          <w:szCs w:val="21"/>
        </w:rPr>
        <w:t xml:space="preserve"> procedures being performed in hospital-based outpatient departments (HOPD).</w:t>
      </w:r>
      <w:bookmarkStart w:id="1" w:name="_Ref207177121"/>
      <w:r w:rsidR="006E391E" w:rsidRPr="009C1CD5">
        <w:rPr>
          <w:rStyle w:val="FootnoteReference"/>
          <w:rFonts w:asciiTheme="minorHAnsi" w:hAnsiTheme="minorHAnsi"/>
          <w:sz w:val="21"/>
          <w:szCs w:val="21"/>
        </w:rPr>
        <w:footnoteReference w:id="6"/>
      </w:r>
      <w:bookmarkEnd w:id="1"/>
      <w:r w:rsidR="006E391E" w:rsidRPr="009C1CD5">
        <w:rPr>
          <w:rFonts w:asciiTheme="minorHAnsi" w:hAnsiTheme="minorHAnsi"/>
          <w:sz w:val="21"/>
          <w:szCs w:val="21"/>
        </w:rPr>
        <w:t xml:space="preserve"> Even more concerning is the growing wait list for colonoscopy in Massachusetts.</w:t>
      </w:r>
      <w:r w:rsidR="0017356C" w:rsidRPr="009C1CD5">
        <w:rPr>
          <w:rStyle w:val="FootnoteReference"/>
          <w:rFonts w:asciiTheme="minorHAnsi" w:hAnsiTheme="minorHAnsi"/>
          <w:sz w:val="21"/>
          <w:szCs w:val="21"/>
        </w:rPr>
        <w:footnoteReference w:id="7"/>
      </w:r>
      <w:r w:rsidR="006E391E" w:rsidRPr="009C1CD5">
        <w:rPr>
          <w:rFonts w:asciiTheme="minorHAnsi" w:hAnsiTheme="minorHAnsi"/>
          <w:sz w:val="21"/>
          <w:szCs w:val="21"/>
        </w:rPr>
        <w:t xml:space="preserve"> </w:t>
      </w:r>
      <w:r w:rsidR="00A42FD3" w:rsidRPr="009C1CD5">
        <w:rPr>
          <w:rFonts w:asciiTheme="minorHAnsi" w:hAnsiTheme="minorHAnsi"/>
          <w:sz w:val="21"/>
          <w:szCs w:val="21"/>
        </w:rPr>
        <w:t xml:space="preserve">As of this Application, </w:t>
      </w:r>
      <w:r w:rsidR="0017356C" w:rsidRPr="009C1CD5">
        <w:rPr>
          <w:rFonts w:asciiTheme="minorHAnsi" w:hAnsiTheme="minorHAnsi"/>
          <w:sz w:val="21"/>
          <w:szCs w:val="21"/>
        </w:rPr>
        <w:t xml:space="preserve">Mass General Brigham’s </w:t>
      </w:r>
      <w:r w:rsidR="00A42FD3" w:rsidRPr="009C1CD5">
        <w:rPr>
          <w:rFonts w:asciiTheme="minorHAnsi" w:hAnsiTheme="minorHAnsi"/>
          <w:sz w:val="21"/>
          <w:szCs w:val="21"/>
        </w:rPr>
        <w:t>two academic medical centers</w:t>
      </w:r>
      <w:r w:rsidR="00390197" w:rsidRPr="009C1CD5">
        <w:rPr>
          <w:rFonts w:asciiTheme="minorHAnsi" w:hAnsiTheme="minorHAnsi"/>
          <w:sz w:val="21"/>
          <w:szCs w:val="21"/>
        </w:rPr>
        <w:t xml:space="preserve"> (</w:t>
      </w:r>
      <w:r w:rsidR="00827DF8" w:rsidRPr="009C1CD5">
        <w:rPr>
          <w:rFonts w:asciiTheme="minorHAnsi" w:hAnsiTheme="minorHAnsi"/>
          <w:sz w:val="21"/>
          <w:szCs w:val="21"/>
        </w:rPr>
        <w:t>AMC</w:t>
      </w:r>
      <w:r w:rsidR="00390197" w:rsidRPr="009C1CD5">
        <w:rPr>
          <w:rFonts w:asciiTheme="minorHAnsi" w:hAnsiTheme="minorHAnsi"/>
          <w:sz w:val="21"/>
          <w:szCs w:val="21"/>
        </w:rPr>
        <w:t xml:space="preserve">), </w:t>
      </w:r>
      <w:r w:rsidR="00A42FD3" w:rsidRPr="009C1CD5">
        <w:rPr>
          <w:rFonts w:asciiTheme="minorHAnsi" w:hAnsiTheme="minorHAnsi"/>
          <w:sz w:val="21"/>
          <w:szCs w:val="21"/>
        </w:rPr>
        <w:t xml:space="preserve">Massachusetts General Hospital (MGH) and Brigham and Women’s Hospital (BWH) </w:t>
      </w:r>
      <w:r w:rsidR="00390197" w:rsidRPr="009C1CD5">
        <w:rPr>
          <w:rFonts w:asciiTheme="minorHAnsi" w:hAnsiTheme="minorHAnsi"/>
          <w:sz w:val="21"/>
          <w:szCs w:val="21"/>
        </w:rPr>
        <w:t>(collectively, the “</w:t>
      </w:r>
      <w:r w:rsidR="00353C7E" w:rsidRPr="009C1CD5">
        <w:rPr>
          <w:rFonts w:asciiTheme="minorHAnsi" w:hAnsiTheme="minorHAnsi"/>
          <w:sz w:val="21"/>
          <w:szCs w:val="21"/>
        </w:rPr>
        <w:t xml:space="preserve">MGB </w:t>
      </w:r>
      <w:r w:rsidR="00390197" w:rsidRPr="009C1CD5">
        <w:rPr>
          <w:rFonts w:asciiTheme="minorHAnsi" w:hAnsiTheme="minorHAnsi"/>
          <w:sz w:val="21"/>
          <w:szCs w:val="21"/>
        </w:rPr>
        <w:t xml:space="preserve">AMCs”) </w:t>
      </w:r>
      <w:r w:rsidR="00A42FD3" w:rsidRPr="009C1CD5">
        <w:rPr>
          <w:rFonts w:asciiTheme="minorHAnsi" w:hAnsiTheme="minorHAnsi"/>
          <w:sz w:val="21"/>
          <w:szCs w:val="21"/>
        </w:rPr>
        <w:t xml:space="preserve">have </w:t>
      </w:r>
      <w:r w:rsidR="00BC7EB8" w:rsidRPr="009C1CD5">
        <w:rPr>
          <w:rFonts w:asciiTheme="minorHAnsi" w:hAnsiTheme="minorHAnsi"/>
          <w:sz w:val="21"/>
          <w:szCs w:val="21"/>
        </w:rPr>
        <w:t>more than 25,000</w:t>
      </w:r>
      <w:r w:rsidR="00A42FD3" w:rsidRPr="009C1CD5">
        <w:rPr>
          <w:rFonts w:asciiTheme="minorHAnsi" w:hAnsiTheme="minorHAnsi"/>
          <w:sz w:val="21"/>
          <w:szCs w:val="21"/>
        </w:rPr>
        <w:t xml:space="preserve"> patients waiting for their </w:t>
      </w:r>
      <w:r w:rsidR="0017356C" w:rsidRPr="009C1CD5">
        <w:rPr>
          <w:rFonts w:asciiTheme="minorHAnsi" w:hAnsiTheme="minorHAnsi"/>
          <w:sz w:val="21"/>
          <w:szCs w:val="21"/>
        </w:rPr>
        <w:t>endoscopy</w:t>
      </w:r>
      <w:r w:rsidR="00A42FD3" w:rsidRPr="009C1CD5">
        <w:rPr>
          <w:rFonts w:asciiTheme="minorHAnsi" w:hAnsiTheme="minorHAnsi"/>
          <w:sz w:val="21"/>
          <w:szCs w:val="21"/>
        </w:rPr>
        <w:t xml:space="preserve"> procedures to be scheduled. </w:t>
      </w:r>
      <w:proofErr w:type="gramStart"/>
      <w:r w:rsidR="00A42FD3" w:rsidRPr="009C1CD5">
        <w:rPr>
          <w:rFonts w:asciiTheme="minorHAnsi" w:hAnsiTheme="minorHAnsi"/>
          <w:sz w:val="21"/>
          <w:szCs w:val="21"/>
        </w:rPr>
        <w:t>The majority of</w:t>
      </w:r>
      <w:proofErr w:type="gramEnd"/>
      <w:r w:rsidR="00A42FD3" w:rsidRPr="009C1CD5">
        <w:rPr>
          <w:rFonts w:asciiTheme="minorHAnsi" w:hAnsiTheme="minorHAnsi"/>
          <w:sz w:val="21"/>
          <w:szCs w:val="21"/>
        </w:rPr>
        <w:t xml:space="preserve"> these cases could be performed </w:t>
      </w:r>
      <w:r w:rsidR="007F73BD" w:rsidRPr="009C1CD5">
        <w:rPr>
          <w:rFonts w:asciiTheme="minorHAnsi" w:hAnsiTheme="minorHAnsi"/>
          <w:sz w:val="21"/>
          <w:szCs w:val="21"/>
        </w:rPr>
        <w:t xml:space="preserve">in an ASC, but due to the limited number of ASCs in the Greater Boston area, patients </w:t>
      </w:r>
      <w:r w:rsidR="00BC7EB8" w:rsidRPr="009C1CD5">
        <w:rPr>
          <w:rFonts w:asciiTheme="minorHAnsi" w:hAnsiTheme="minorHAnsi"/>
          <w:sz w:val="21"/>
          <w:szCs w:val="21"/>
        </w:rPr>
        <w:t>must obtain care</w:t>
      </w:r>
      <w:r w:rsidR="007F73BD" w:rsidRPr="009C1CD5">
        <w:rPr>
          <w:rFonts w:asciiTheme="minorHAnsi" w:hAnsiTheme="minorHAnsi"/>
          <w:sz w:val="21"/>
          <w:szCs w:val="21"/>
        </w:rPr>
        <w:t xml:space="preserve"> at </w:t>
      </w:r>
      <w:r w:rsidR="007C659A" w:rsidRPr="009C1CD5">
        <w:rPr>
          <w:rFonts w:asciiTheme="minorHAnsi" w:hAnsiTheme="minorHAnsi"/>
          <w:sz w:val="21"/>
          <w:szCs w:val="21"/>
        </w:rPr>
        <w:t xml:space="preserve">the main campuses of both </w:t>
      </w:r>
      <w:r w:rsidR="007F73BD" w:rsidRPr="009C1CD5">
        <w:rPr>
          <w:rFonts w:asciiTheme="minorHAnsi" w:hAnsiTheme="minorHAnsi"/>
          <w:sz w:val="21"/>
          <w:szCs w:val="21"/>
        </w:rPr>
        <w:t>MGH and BWH. As a result</w:t>
      </w:r>
      <w:r w:rsidR="007F73BD" w:rsidRPr="009555DC">
        <w:rPr>
          <w:rFonts w:asciiTheme="minorHAnsi" w:hAnsiTheme="minorHAnsi"/>
          <w:sz w:val="21"/>
          <w:szCs w:val="21"/>
        </w:rPr>
        <w:t xml:space="preserve">, the backlog of screening endoscopy cases continues to grow, </w:t>
      </w:r>
      <w:r w:rsidR="00BC7EB8" w:rsidRPr="009555DC">
        <w:rPr>
          <w:rFonts w:asciiTheme="minorHAnsi" w:hAnsiTheme="minorHAnsi"/>
          <w:sz w:val="21"/>
          <w:szCs w:val="21"/>
        </w:rPr>
        <w:t>impacting access for inpatient and emergency cas</w:t>
      </w:r>
      <w:r w:rsidR="00353C7E" w:rsidRPr="009555DC">
        <w:rPr>
          <w:rFonts w:asciiTheme="minorHAnsi" w:hAnsiTheme="minorHAnsi"/>
          <w:sz w:val="21"/>
          <w:szCs w:val="21"/>
        </w:rPr>
        <w:t>es</w:t>
      </w:r>
      <w:r w:rsidR="00BC7EB8" w:rsidRPr="009555DC">
        <w:rPr>
          <w:rFonts w:asciiTheme="minorHAnsi" w:hAnsiTheme="minorHAnsi"/>
          <w:sz w:val="21"/>
          <w:szCs w:val="21"/>
        </w:rPr>
        <w:t xml:space="preserve"> at the AMCs</w:t>
      </w:r>
      <w:r w:rsidR="007F73BD" w:rsidRPr="009555DC">
        <w:rPr>
          <w:rFonts w:asciiTheme="minorHAnsi" w:hAnsiTheme="minorHAnsi"/>
          <w:sz w:val="21"/>
          <w:szCs w:val="21"/>
        </w:rPr>
        <w:t>. Not only are wait times for</w:t>
      </w:r>
      <w:r w:rsidR="00B179DF" w:rsidRPr="009555DC">
        <w:rPr>
          <w:rFonts w:asciiTheme="minorHAnsi" w:hAnsiTheme="minorHAnsi"/>
          <w:sz w:val="21"/>
          <w:szCs w:val="21"/>
        </w:rPr>
        <w:t xml:space="preserve"> screening</w:t>
      </w:r>
      <w:r w:rsidR="007F73BD" w:rsidRPr="009555DC">
        <w:rPr>
          <w:rFonts w:asciiTheme="minorHAnsi" w:hAnsiTheme="minorHAnsi"/>
          <w:sz w:val="21"/>
          <w:szCs w:val="21"/>
        </w:rPr>
        <w:t xml:space="preserve"> colonoscopies </w:t>
      </w:r>
      <w:r w:rsidR="00B179DF" w:rsidRPr="009555DC">
        <w:rPr>
          <w:rFonts w:asciiTheme="minorHAnsi" w:hAnsiTheme="minorHAnsi"/>
          <w:sz w:val="21"/>
          <w:szCs w:val="21"/>
        </w:rPr>
        <w:t>increasing</w:t>
      </w:r>
      <w:r w:rsidR="007F73BD" w:rsidRPr="009555DC">
        <w:rPr>
          <w:rFonts w:asciiTheme="minorHAnsi" w:hAnsiTheme="minorHAnsi"/>
          <w:sz w:val="21"/>
          <w:szCs w:val="21"/>
        </w:rPr>
        <w:t xml:space="preserve">, but inpatients are </w:t>
      </w:r>
      <w:r w:rsidR="00353C7E" w:rsidRPr="009555DC">
        <w:rPr>
          <w:rFonts w:asciiTheme="minorHAnsi" w:hAnsiTheme="minorHAnsi"/>
          <w:sz w:val="21"/>
          <w:szCs w:val="21"/>
        </w:rPr>
        <w:t>requiring</w:t>
      </w:r>
      <w:r w:rsidR="007F73BD" w:rsidRPr="009555DC">
        <w:rPr>
          <w:rFonts w:asciiTheme="minorHAnsi" w:hAnsiTheme="minorHAnsi"/>
          <w:sz w:val="21"/>
          <w:szCs w:val="21"/>
        </w:rPr>
        <w:t xml:space="preserve"> longer</w:t>
      </w:r>
      <w:r w:rsidR="00B179DF" w:rsidRPr="009555DC">
        <w:rPr>
          <w:rFonts w:asciiTheme="minorHAnsi" w:hAnsiTheme="minorHAnsi"/>
          <w:sz w:val="21"/>
          <w:szCs w:val="21"/>
        </w:rPr>
        <w:t xml:space="preserve"> lengths of</w:t>
      </w:r>
      <w:r w:rsidR="007F73BD" w:rsidRPr="009555DC">
        <w:rPr>
          <w:rFonts w:asciiTheme="minorHAnsi" w:hAnsiTheme="minorHAnsi"/>
          <w:sz w:val="21"/>
          <w:szCs w:val="21"/>
        </w:rPr>
        <w:t xml:space="preserve"> stay because </w:t>
      </w:r>
      <w:r w:rsidR="00B179DF" w:rsidRPr="009555DC">
        <w:rPr>
          <w:rFonts w:asciiTheme="minorHAnsi" w:hAnsiTheme="minorHAnsi"/>
          <w:sz w:val="21"/>
          <w:szCs w:val="21"/>
        </w:rPr>
        <w:t xml:space="preserve">of </w:t>
      </w:r>
      <w:proofErr w:type="gramStart"/>
      <w:r w:rsidR="00B179DF" w:rsidRPr="009555DC">
        <w:rPr>
          <w:rFonts w:asciiTheme="minorHAnsi" w:hAnsiTheme="minorHAnsi"/>
          <w:sz w:val="21"/>
          <w:szCs w:val="21"/>
        </w:rPr>
        <w:t>wait</w:t>
      </w:r>
      <w:proofErr w:type="gramEnd"/>
      <w:r w:rsidR="00B179DF" w:rsidRPr="009555DC">
        <w:rPr>
          <w:rFonts w:asciiTheme="minorHAnsi" w:hAnsiTheme="minorHAnsi"/>
          <w:sz w:val="21"/>
          <w:szCs w:val="21"/>
        </w:rPr>
        <w:t xml:space="preserve"> times to receive endoscopy required for discharge</w:t>
      </w:r>
      <w:r w:rsidR="00DF653E" w:rsidRPr="009555DC">
        <w:rPr>
          <w:rFonts w:asciiTheme="minorHAnsi" w:hAnsiTheme="minorHAnsi"/>
          <w:sz w:val="21"/>
          <w:szCs w:val="21"/>
        </w:rPr>
        <w:t xml:space="preserve">. </w:t>
      </w:r>
      <w:r w:rsidR="009C1CD5" w:rsidRPr="009C1CD5">
        <w:rPr>
          <w:rFonts w:asciiTheme="minorHAnsi" w:hAnsiTheme="minorHAnsi"/>
          <w:sz w:val="21"/>
          <w:szCs w:val="21"/>
        </w:rPr>
        <w:t xml:space="preserve">With the current available capacity for endoscopy, MGB is unable to provide timely colorectal cancer screening and intervention for its patient panel. Additional </w:t>
      </w:r>
      <w:r w:rsidR="009C1CD5" w:rsidRPr="00592B36">
        <w:rPr>
          <w:rFonts w:asciiTheme="minorHAnsi" w:hAnsiTheme="minorHAnsi"/>
          <w:sz w:val="21"/>
          <w:szCs w:val="21"/>
        </w:rPr>
        <w:t>endoscopy capacity is critical to improving health outcomes for MGB’s patient panel.  </w:t>
      </w:r>
    </w:p>
    <w:p w14:paraId="6010FF0B" w14:textId="318EE54F" w:rsidR="004A5DBE" w:rsidRDefault="00DF653E" w:rsidP="006925D7">
      <w:pPr>
        <w:spacing w:after="120"/>
        <w:jc w:val="both"/>
        <w:rPr>
          <w:rFonts w:asciiTheme="minorHAnsi" w:hAnsiTheme="minorHAnsi"/>
          <w:sz w:val="21"/>
          <w:szCs w:val="21"/>
        </w:rPr>
      </w:pPr>
      <w:r w:rsidRPr="00592B36">
        <w:rPr>
          <w:rFonts w:asciiTheme="minorHAnsi" w:hAnsiTheme="minorHAnsi"/>
          <w:sz w:val="21"/>
          <w:szCs w:val="21"/>
        </w:rPr>
        <w:t xml:space="preserve">To that end, </w:t>
      </w:r>
      <w:r w:rsidR="00592B36" w:rsidRPr="00592B36">
        <w:rPr>
          <w:rFonts w:asciiTheme="minorHAnsi" w:hAnsiTheme="minorHAnsi"/>
          <w:kern w:val="2"/>
          <w:sz w:val="21"/>
          <w:szCs w:val="21"/>
        </w:rPr>
        <w:t xml:space="preserve">Mass General Brigham Ambulatory Surgery – Cambridge, LLC (the “Applicant”) is filing this Notice of Determination of Need (“Application”) </w:t>
      </w:r>
      <w:r w:rsidR="00592B36">
        <w:rPr>
          <w:rFonts w:asciiTheme="minorHAnsi" w:hAnsiTheme="minorHAnsi"/>
          <w:kern w:val="2"/>
          <w:sz w:val="21"/>
          <w:szCs w:val="21"/>
        </w:rPr>
        <w:t xml:space="preserve">to establish </w:t>
      </w:r>
      <w:r w:rsidR="00592B36" w:rsidRPr="00592B36">
        <w:rPr>
          <w:rFonts w:asciiTheme="minorHAnsi" w:hAnsiTheme="minorHAnsi"/>
          <w:kern w:val="2"/>
          <w:sz w:val="21"/>
          <w:szCs w:val="21"/>
        </w:rPr>
        <w:t>a freestanding single-specialty ASC to be located at 799 Concord Ave, Cambridge, MA 02138 (the “Proposed Project”). The Applicant is owned by New England Surgery Center Holdings, LLC, a joint venture between Mass General Brigham Incorporated (MGB) and Regent Surgical Health, L.L.C. (collectively, the “Applicant Parties”).</w:t>
      </w:r>
    </w:p>
    <w:p w14:paraId="189EC38E" w14:textId="26B00EE2" w:rsidR="00C56BEF" w:rsidRPr="009555DC" w:rsidRDefault="00592B36" w:rsidP="006925D7">
      <w:pPr>
        <w:spacing w:after="120"/>
        <w:jc w:val="both"/>
        <w:rPr>
          <w:rFonts w:asciiTheme="minorHAnsi" w:hAnsiTheme="minorHAnsi"/>
          <w:sz w:val="21"/>
          <w:szCs w:val="21"/>
        </w:rPr>
      </w:pPr>
      <w:r>
        <w:rPr>
          <w:rFonts w:asciiTheme="minorHAnsi" w:hAnsiTheme="minorHAnsi"/>
          <w:sz w:val="21"/>
          <w:szCs w:val="21"/>
        </w:rPr>
        <w:t>The Proposed Project will</w:t>
      </w:r>
      <w:r w:rsidR="006216B9" w:rsidRPr="009555DC">
        <w:rPr>
          <w:rFonts w:asciiTheme="minorHAnsi" w:hAnsiTheme="minorHAnsi"/>
          <w:sz w:val="21"/>
          <w:szCs w:val="21"/>
        </w:rPr>
        <w:t xml:space="preserve"> </w:t>
      </w:r>
      <w:r w:rsidR="00B179DF" w:rsidRPr="009555DC">
        <w:rPr>
          <w:rFonts w:asciiTheme="minorHAnsi" w:hAnsiTheme="minorHAnsi"/>
          <w:sz w:val="21"/>
          <w:szCs w:val="21"/>
        </w:rPr>
        <w:t xml:space="preserve">allow MGB </w:t>
      </w:r>
      <w:r w:rsidR="00C626DB">
        <w:rPr>
          <w:rFonts w:asciiTheme="minorHAnsi" w:hAnsiTheme="minorHAnsi"/>
          <w:sz w:val="21"/>
          <w:szCs w:val="21"/>
        </w:rPr>
        <w:t xml:space="preserve">to decrease </w:t>
      </w:r>
      <w:proofErr w:type="gramStart"/>
      <w:r w:rsidR="00C626DB">
        <w:rPr>
          <w:rFonts w:asciiTheme="minorHAnsi" w:hAnsiTheme="minorHAnsi"/>
          <w:sz w:val="21"/>
          <w:szCs w:val="21"/>
        </w:rPr>
        <w:t>wait</w:t>
      </w:r>
      <w:proofErr w:type="gramEnd"/>
      <w:r w:rsidR="00C626DB">
        <w:rPr>
          <w:rFonts w:asciiTheme="minorHAnsi" w:hAnsiTheme="minorHAnsi"/>
          <w:sz w:val="21"/>
          <w:szCs w:val="21"/>
        </w:rPr>
        <w:t xml:space="preserve"> times for patients needing routine screenings and</w:t>
      </w:r>
      <w:r w:rsidR="00C626DB" w:rsidRPr="009555DC">
        <w:rPr>
          <w:rFonts w:asciiTheme="minorHAnsi" w:hAnsiTheme="minorHAnsi"/>
          <w:sz w:val="21"/>
          <w:szCs w:val="21"/>
        </w:rPr>
        <w:t xml:space="preserve"> </w:t>
      </w:r>
      <w:r w:rsidR="00B179DF" w:rsidRPr="009555DC">
        <w:rPr>
          <w:rFonts w:asciiTheme="minorHAnsi" w:hAnsiTheme="minorHAnsi"/>
          <w:sz w:val="21"/>
          <w:szCs w:val="21"/>
        </w:rPr>
        <w:t>to shift routine screenings that are currently performed at</w:t>
      </w:r>
      <w:r w:rsidR="006216B9" w:rsidRPr="009555DC">
        <w:rPr>
          <w:rFonts w:asciiTheme="minorHAnsi" w:hAnsiTheme="minorHAnsi"/>
          <w:sz w:val="21"/>
          <w:szCs w:val="21"/>
        </w:rPr>
        <w:t xml:space="preserve"> </w:t>
      </w:r>
      <w:r w:rsidR="00DF653E" w:rsidRPr="009555DC">
        <w:rPr>
          <w:rFonts w:asciiTheme="minorHAnsi" w:hAnsiTheme="minorHAnsi"/>
          <w:sz w:val="21"/>
          <w:szCs w:val="21"/>
        </w:rPr>
        <w:t>MGH and BWH</w:t>
      </w:r>
      <w:r w:rsidR="00B179DF" w:rsidRPr="009555DC">
        <w:rPr>
          <w:rFonts w:asciiTheme="minorHAnsi" w:hAnsiTheme="minorHAnsi"/>
          <w:sz w:val="21"/>
          <w:szCs w:val="21"/>
        </w:rPr>
        <w:t xml:space="preserve"> to a more convenient, </w:t>
      </w:r>
      <w:r w:rsidR="00BF74C8" w:rsidRPr="009555DC">
        <w:rPr>
          <w:rFonts w:asciiTheme="minorHAnsi" w:hAnsiTheme="minorHAnsi"/>
          <w:sz w:val="21"/>
          <w:szCs w:val="21"/>
        </w:rPr>
        <w:t>cost-effective</w:t>
      </w:r>
      <w:r w:rsidR="00B179DF" w:rsidRPr="009555DC">
        <w:rPr>
          <w:rFonts w:asciiTheme="minorHAnsi" w:hAnsiTheme="minorHAnsi"/>
          <w:sz w:val="21"/>
          <w:szCs w:val="21"/>
        </w:rPr>
        <w:t xml:space="preserve"> setting</w:t>
      </w:r>
      <w:r w:rsidR="00A409A5" w:rsidRPr="009555DC">
        <w:rPr>
          <w:rFonts w:asciiTheme="minorHAnsi" w:hAnsiTheme="minorHAnsi"/>
          <w:sz w:val="21"/>
          <w:szCs w:val="21"/>
        </w:rPr>
        <w:t xml:space="preserve"> improving access and throughput for cases that must be performed in the hospital setting.</w:t>
      </w:r>
      <w:r w:rsidR="006216B9" w:rsidRPr="009555DC">
        <w:rPr>
          <w:rFonts w:asciiTheme="minorHAnsi" w:hAnsiTheme="minorHAnsi"/>
          <w:sz w:val="21"/>
          <w:szCs w:val="21"/>
        </w:rPr>
        <w:t xml:space="preserve"> The </w:t>
      </w:r>
      <w:r w:rsidR="00353C7E" w:rsidRPr="009555DC">
        <w:rPr>
          <w:rFonts w:asciiTheme="minorHAnsi" w:hAnsiTheme="minorHAnsi"/>
          <w:sz w:val="21"/>
          <w:szCs w:val="21"/>
        </w:rPr>
        <w:t xml:space="preserve">proposed </w:t>
      </w:r>
      <w:r w:rsidR="006216B9" w:rsidRPr="009555DC">
        <w:rPr>
          <w:rFonts w:asciiTheme="minorHAnsi" w:hAnsiTheme="minorHAnsi"/>
          <w:sz w:val="21"/>
          <w:szCs w:val="21"/>
        </w:rPr>
        <w:t xml:space="preserve">ASC will operate three procedure rooms and </w:t>
      </w:r>
      <w:r w:rsidR="00BF74C8" w:rsidRPr="009555DC">
        <w:rPr>
          <w:rFonts w:asciiTheme="minorHAnsi" w:hAnsiTheme="minorHAnsi"/>
          <w:sz w:val="21"/>
          <w:szCs w:val="21"/>
        </w:rPr>
        <w:t xml:space="preserve">ten </w:t>
      </w:r>
      <w:r w:rsidR="006216B9" w:rsidRPr="009555DC">
        <w:rPr>
          <w:rFonts w:asciiTheme="minorHAnsi" w:hAnsiTheme="minorHAnsi"/>
          <w:sz w:val="21"/>
          <w:szCs w:val="21"/>
        </w:rPr>
        <w:t>pre/post-operative bays</w:t>
      </w:r>
      <w:r w:rsidR="00DD1B32" w:rsidRPr="009555DC">
        <w:rPr>
          <w:rFonts w:asciiTheme="minorHAnsi" w:hAnsiTheme="minorHAnsi"/>
          <w:sz w:val="21"/>
          <w:szCs w:val="21"/>
        </w:rPr>
        <w:t xml:space="preserve"> in 6,095 square feet of leased space</w:t>
      </w:r>
      <w:r w:rsidR="006216B9" w:rsidRPr="009555DC">
        <w:rPr>
          <w:rFonts w:asciiTheme="minorHAnsi" w:hAnsiTheme="minorHAnsi"/>
          <w:sz w:val="21"/>
          <w:szCs w:val="21"/>
        </w:rPr>
        <w:t>.</w:t>
      </w:r>
      <w:r w:rsidR="00DD1B32" w:rsidRPr="009555DC">
        <w:rPr>
          <w:rFonts w:asciiTheme="minorHAnsi" w:hAnsiTheme="minorHAnsi"/>
          <w:sz w:val="21"/>
          <w:szCs w:val="21"/>
        </w:rPr>
        <w:t xml:space="preserve"> The Maximum Capital Expenditure is $7,349,450.</w:t>
      </w:r>
      <w:r w:rsidR="006216B9" w:rsidRPr="009555DC">
        <w:rPr>
          <w:rFonts w:asciiTheme="minorHAnsi" w:hAnsiTheme="minorHAnsi"/>
          <w:sz w:val="21"/>
          <w:szCs w:val="21"/>
        </w:rPr>
        <w:t xml:space="preserve"> </w:t>
      </w:r>
      <w:r w:rsidR="00353C7E" w:rsidRPr="009555DC">
        <w:rPr>
          <w:rFonts w:asciiTheme="minorHAnsi" w:hAnsiTheme="minorHAnsi"/>
          <w:sz w:val="21"/>
          <w:szCs w:val="21"/>
        </w:rPr>
        <w:t xml:space="preserve">Upon </w:t>
      </w:r>
      <w:r w:rsidR="00353C7E" w:rsidRPr="00AA4865">
        <w:rPr>
          <w:rFonts w:asciiTheme="minorHAnsi" w:hAnsiTheme="minorHAnsi"/>
          <w:sz w:val="21"/>
          <w:szCs w:val="21"/>
        </w:rPr>
        <w:t>opening</w:t>
      </w:r>
      <w:r w:rsidR="009B4CA2" w:rsidRPr="00AA4865">
        <w:rPr>
          <w:rFonts w:asciiTheme="minorHAnsi" w:hAnsiTheme="minorHAnsi"/>
          <w:sz w:val="21"/>
          <w:szCs w:val="21"/>
        </w:rPr>
        <w:t xml:space="preserve">, the </w:t>
      </w:r>
      <w:r w:rsidR="00353C7E" w:rsidRPr="00AA4865">
        <w:rPr>
          <w:rFonts w:asciiTheme="minorHAnsi" w:hAnsiTheme="minorHAnsi"/>
          <w:sz w:val="21"/>
          <w:szCs w:val="21"/>
        </w:rPr>
        <w:t xml:space="preserve">proposed </w:t>
      </w:r>
      <w:r w:rsidR="009B4CA2" w:rsidRPr="00AA4865">
        <w:rPr>
          <w:rFonts w:asciiTheme="minorHAnsi" w:hAnsiTheme="minorHAnsi"/>
          <w:sz w:val="21"/>
          <w:szCs w:val="21"/>
        </w:rPr>
        <w:t xml:space="preserve">ASC will alleviate </w:t>
      </w:r>
      <w:r w:rsidR="00AA4865" w:rsidRPr="00104B43">
        <w:rPr>
          <w:rFonts w:asciiTheme="minorHAnsi" w:hAnsiTheme="minorHAnsi"/>
          <w:sz w:val="21"/>
          <w:szCs w:val="21"/>
        </w:rPr>
        <w:t xml:space="preserve">some of </w:t>
      </w:r>
      <w:r w:rsidR="00B179DF" w:rsidRPr="00AA4865">
        <w:rPr>
          <w:rFonts w:asciiTheme="minorHAnsi" w:hAnsiTheme="minorHAnsi"/>
          <w:sz w:val="21"/>
          <w:szCs w:val="21"/>
        </w:rPr>
        <w:t xml:space="preserve">the </w:t>
      </w:r>
      <w:r w:rsidR="009B4CA2" w:rsidRPr="00AA4865">
        <w:rPr>
          <w:rFonts w:asciiTheme="minorHAnsi" w:hAnsiTheme="minorHAnsi"/>
          <w:sz w:val="21"/>
          <w:szCs w:val="21"/>
        </w:rPr>
        <w:t xml:space="preserve">growing </w:t>
      </w:r>
      <w:r w:rsidR="00B179DF" w:rsidRPr="00AA4865">
        <w:rPr>
          <w:rFonts w:asciiTheme="minorHAnsi" w:hAnsiTheme="minorHAnsi"/>
          <w:sz w:val="21"/>
          <w:szCs w:val="21"/>
        </w:rPr>
        <w:t>backlog</w:t>
      </w:r>
      <w:r w:rsidR="009B4CA2" w:rsidRPr="00AA4865">
        <w:rPr>
          <w:rFonts w:asciiTheme="minorHAnsi" w:hAnsiTheme="minorHAnsi"/>
          <w:sz w:val="21"/>
          <w:szCs w:val="21"/>
        </w:rPr>
        <w:t xml:space="preserve"> of patients</w:t>
      </w:r>
      <w:r w:rsidR="009B4CA2" w:rsidRPr="009555DC">
        <w:rPr>
          <w:rFonts w:asciiTheme="minorHAnsi" w:hAnsiTheme="minorHAnsi"/>
          <w:sz w:val="21"/>
          <w:szCs w:val="21"/>
        </w:rPr>
        <w:t xml:space="preserve"> who are</w:t>
      </w:r>
      <w:r w:rsidR="00B179DF" w:rsidRPr="009555DC">
        <w:rPr>
          <w:rFonts w:asciiTheme="minorHAnsi" w:hAnsiTheme="minorHAnsi"/>
          <w:sz w:val="21"/>
          <w:szCs w:val="21"/>
        </w:rPr>
        <w:t xml:space="preserve"> over</w:t>
      </w:r>
      <w:r w:rsidR="009B4CA2" w:rsidRPr="009555DC">
        <w:rPr>
          <w:rFonts w:asciiTheme="minorHAnsi" w:hAnsiTheme="minorHAnsi"/>
          <w:sz w:val="21"/>
          <w:szCs w:val="21"/>
        </w:rPr>
        <w:t>due for screening colonoscopies</w:t>
      </w:r>
      <w:r w:rsidR="00353C7E" w:rsidRPr="009555DC">
        <w:rPr>
          <w:rFonts w:asciiTheme="minorHAnsi" w:hAnsiTheme="minorHAnsi"/>
          <w:sz w:val="21"/>
          <w:szCs w:val="21"/>
        </w:rPr>
        <w:t xml:space="preserve"> and achieve</w:t>
      </w:r>
      <w:r w:rsidR="00FB1E79" w:rsidRPr="009555DC">
        <w:rPr>
          <w:rFonts w:asciiTheme="minorHAnsi" w:hAnsiTheme="minorHAnsi"/>
          <w:sz w:val="21"/>
          <w:szCs w:val="21"/>
        </w:rPr>
        <w:t xml:space="preserve"> significant cost savings for </w:t>
      </w:r>
      <w:r w:rsidR="00BF74C8" w:rsidRPr="009555DC">
        <w:rPr>
          <w:rFonts w:asciiTheme="minorHAnsi" w:hAnsiTheme="minorHAnsi"/>
          <w:sz w:val="21"/>
          <w:szCs w:val="21"/>
        </w:rPr>
        <w:t xml:space="preserve">the </w:t>
      </w:r>
      <w:r w:rsidR="00FB1E79" w:rsidRPr="009555DC">
        <w:rPr>
          <w:rFonts w:asciiTheme="minorHAnsi" w:hAnsiTheme="minorHAnsi"/>
          <w:sz w:val="21"/>
          <w:szCs w:val="21"/>
        </w:rPr>
        <w:t>payers</w:t>
      </w:r>
      <w:r w:rsidR="00BF74C8" w:rsidRPr="009555DC">
        <w:rPr>
          <w:rFonts w:asciiTheme="minorHAnsi" w:hAnsiTheme="minorHAnsi"/>
          <w:sz w:val="21"/>
          <w:szCs w:val="21"/>
        </w:rPr>
        <w:t xml:space="preserve">, including </w:t>
      </w:r>
      <w:r w:rsidR="00FB1E79" w:rsidRPr="009555DC">
        <w:rPr>
          <w:rFonts w:asciiTheme="minorHAnsi" w:hAnsiTheme="minorHAnsi"/>
          <w:sz w:val="21"/>
          <w:szCs w:val="21"/>
        </w:rPr>
        <w:t>patients</w:t>
      </w:r>
      <w:r w:rsidR="00BF74C8" w:rsidRPr="009555DC">
        <w:rPr>
          <w:rFonts w:asciiTheme="minorHAnsi" w:hAnsiTheme="minorHAnsi"/>
          <w:sz w:val="21"/>
          <w:szCs w:val="21"/>
        </w:rPr>
        <w:t xml:space="preserve">, of endoscopy procedures </w:t>
      </w:r>
      <w:r w:rsidR="00B179DF" w:rsidRPr="009555DC">
        <w:rPr>
          <w:rFonts w:asciiTheme="minorHAnsi" w:hAnsiTheme="minorHAnsi"/>
          <w:sz w:val="21"/>
          <w:szCs w:val="21"/>
        </w:rPr>
        <w:t>compared to</w:t>
      </w:r>
      <w:r w:rsidR="00FB1E79" w:rsidRPr="009555DC">
        <w:rPr>
          <w:rFonts w:asciiTheme="minorHAnsi" w:hAnsiTheme="minorHAnsi"/>
          <w:sz w:val="21"/>
          <w:szCs w:val="21"/>
        </w:rPr>
        <w:t xml:space="preserve"> </w:t>
      </w:r>
      <w:r w:rsidR="00B179DF" w:rsidRPr="009555DC">
        <w:rPr>
          <w:rFonts w:asciiTheme="minorHAnsi" w:hAnsiTheme="minorHAnsi"/>
          <w:sz w:val="21"/>
          <w:szCs w:val="21"/>
        </w:rPr>
        <w:t>the</w:t>
      </w:r>
      <w:r w:rsidR="00FB1E79" w:rsidRPr="009555DC">
        <w:rPr>
          <w:rFonts w:asciiTheme="minorHAnsi" w:hAnsiTheme="minorHAnsi"/>
          <w:sz w:val="21"/>
          <w:szCs w:val="21"/>
        </w:rPr>
        <w:t xml:space="preserve"> AMC</w:t>
      </w:r>
      <w:r w:rsidR="00B179DF" w:rsidRPr="009555DC">
        <w:rPr>
          <w:rFonts w:asciiTheme="minorHAnsi" w:hAnsiTheme="minorHAnsi"/>
          <w:sz w:val="21"/>
          <w:szCs w:val="21"/>
        </w:rPr>
        <w:t xml:space="preserve"> setting</w:t>
      </w:r>
      <w:r w:rsidR="00FB1E79" w:rsidRPr="009555DC">
        <w:rPr>
          <w:rFonts w:asciiTheme="minorHAnsi" w:hAnsiTheme="minorHAnsi"/>
          <w:sz w:val="21"/>
          <w:szCs w:val="21"/>
        </w:rPr>
        <w:t xml:space="preserve">. Simultaneously, the shift of cases to the </w:t>
      </w:r>
      <w:r w:rsidR="00353C7E" w:rsidRPr="009555DC">
        <w:rPr>
          <w:rFonts w:asciiTheme="minorHAnsi" w:hAnsiTheme="minorHAnsi"/>
          <w:sz w:val="21"/>
          <w:szCs w:val="21"/>
        </w:rPr>
        <w:t xml:space="preserve">proposed </w:t>
      </w:r>
      <w:r w:rsidR="00FB1E79" w:rsidRPr="009555DC">
        <w:rPr>
          <w:rFonts w:asciiTheme="minorHAnsi" w:hAnsiTheme="minorHAnsi"/>
          <w:sz w:val="21"/>
          <w:szCs w:val="21"/>
        </w:rPr>
        <w:t xml:space="preserve">ASC will </w:t>
      </w:r>
      <w:r w:rsidR="00FB1E79" w:rsidRPr="009555DC">
        <w:rPr>
          <w:rFonts w:asciiTheme="minorHAnsi" w:hAnsiTheme="minorHAnsi"/>
          <w:sz w:val="21"/>
          <w:szCs w:val="21"/>
        </w:rPr>
        <w:lastRenderedPageBreak/>
        <w:t xml:space="preserve">create capacity at MGH and BWH </w:t>
      </w:r>
      <w:r w:rsidR="00A409A5" w:rsidRPr="009555DC">
        <w:rPr>
          <w:rFonts w:asciiTheme="minorHAnsi" w:hAnsiTheme="minorHAnsi"/>
          <w:sz w:val="21"/>
          <w:szCs w:val="21"/>
        </w:rPr>
        <w:t xml:space="preserve">to </w:t>
      </w:r>
      <w:r w:rsidR="00B179DF" w:rsidRPr="009555DC">
        <w:rPr>
          <w:rFonts w:asciiTheme="minorHAnsi" w:hAnsiTheme="minorHAnsi"/>
          <w:sz w:val="21"/>
          <w:szCs w:val="21"/>
        </w:rPr>
        <w:t>address emergency and inpatient needs in a timely manner</w:t>
      </w:r>
      <w:r w:rsidR="00FB1E79" w:rsidRPr="009555DC">
        <w:rPr>
          <w:rFonts w:asciiTheme="minorHAnsi" w:hAnsiTheme="minorHAnsi"/>
          <w:sz w:val="21"/>
          <w:szCs w:val="21"/>
        </w:rPr>
        <w:t xml:space="preserve">. </w:t>
      </w:r>
      <w:r w:rsidR="007C659A">
        <w:rPr>
          <w:rFonts w:asciiTheme="minorHAnsi" w:hAnsiTheme="minorHAnsi"/>
          <w:sz w:val="21"/>
          <w:szCs w:val="21"/>
        </w:rPr>
        <w:t>T</w:t>
      </w:r>
      <w:r w:rsidR="006925D7" w:rsidRPr="009555DC">
        <w:rPr>
          <w:rFonts w:asciiTheme="minorHAnsi" w:hAnsiTheme="minorHAnsi"/>
          <w:sz w:val="21"/>
          <w:szCs w:val="21"/>
        </w:rPr>
        <w:t xml:space="preserve">he </w:t>
      </w:r>
      <w:r w:rsidR="00353C7E" w:rsidRPr="009555DC">
        <w:rPr>
          <w:rFonts w:asciiTheme="minorHAnsi" w:hAnsiTheme="minorHAnsi"/>
          <w:sz w:val="21"/>
          <w:szCs w:val="21"/>
        </w:rPr>
        <w:t xml:space="preserve">proposed </w:t>
      </w:r>
      <w:r w:rsidR="006925D7" w:rsidRPr="009555DC">
        <w:rPr>
          <w:rFonts w:asciiTheme="minorHAnsi" w:hAnsiTheme="minorHAnsi"/>
          <w:sz w:val="21"/>
          <w:szCs w:val="21"/>
        </w:rPr>
        <w:t xml:space="preserve">ASC will contribute to and promote </w:t>
      </w:r>
      <w:r w:rsidR="00353C7E" w:rsidRPr="009555DC">
        <w:rPr>
          <w:rFonts w:asciiTheme="minorHAnsi" w:hAnsiTheme="minorHAnsi"/>
          <w:sz w:val="21"/>
          <w:szCs w:val="21"/>
        </w:rPr>
        <w:t xml:space="preserve">adherence to </w:t>
      </w:r>
      <w:r w:rsidR="006925D7" w:rsidRPr="009555DC">
        <w:rPr>
          <w:rFonts w:asciiTheme="minorHAnsi" w:hAnsiTheme="minorHAnsi"/>
          <w:sz w:val="21"/>
          <w:szCs w:val="21"/>
        </w:rPr>
        <w:t xml:space="preserve">MGB’s, the Commonwealth’s, and national cancer screening recommendations by creating </w:t>
      </w:r>
      <w:r w:rsidR="00BC7EB8" w:rsidRPr="009555DC">
        <w:rPr>
          <w:rFonts w:asciiTheme="minorHAnsi" w:hAnsiTheme="minorHAnsi"/>
          <w:sz w:val="21"/>
          <w:szCs w:val="21"/>
        </w:rPr>
        <w:t>improved</w:t>
      </w:r>
      <w:r w:rsidR="00BF74C8" w:rsidRPr="009555DC">
        <w:rPr>
          <w:rFonts w:asciiTheme="minorHAnsi" w:hAnsiTheme="minorHAnsi"/>
          <w:sz w:val="21"/>
          <w:szCs w:val="21"/>
        </w:rPr>
        <w:t xml:space="preserve"> </w:t>
      </w:r>
      <w:r w:rsidR="006925D7" w:rsidRPr="009555DC">
        <w:rPr>
          <w:rFonts w:asciiTheme="minorHAnsi" w:hAnsiTheme="minorHAnsi"/>
          <w:sz w:val="21"/>
          <w:szCs w:val="21"/>
        </w:rPr>
        <w:t xml:space="preserve">access to endoscopy. </w:t>
      </w:r>
    </w:p>
    <w:p w14:paraId="5152CD16" w14:textId="35C5E64C" w:rsidR="006925D7" w:rsidRPr="009555DC" w:rsidRDefault="006925D7" w:rsidP="006925D7">
      <w:pPr>
        <w:spacing w:after="120"/>
        <w:jc w:val="both"/>
        <w:rPr>
          <w:rFonts w:asciiTheme="minorHAnsi" w:hAnsiTheme="minorHAnsi"/>
          <w:sz w:val="21"/>
          <w:szCs w:val="21"/>
        </w:rPr>
      </w:pPr>
      <w:r w:rsidRPr="009555DC">
        <w:rPr>
          <w:rFonts w:asciiTheme="minorHAnsi" w:hAnsiTheme="minorHAnsi"/>
          <w:sz w:val="21"/>
          <w:szCs w:val="21"/>
        </w:rPr>
        <w:t xml:space="preserve">As detailed throughout this Application, </w:t>
      </w:r>
      <w:r w:rsidR="00CB6D3B" w:rsidRPr="009555DC">
        <w:rPr>
          <w:rFonts w:asciiTheme="minorHAnsi" w:hAnsiTheme="minorHAnsi"/>
          <w:sz w:val="21"/>
          <w:szCs w:val="21"/>
        </w:rPr>
        <w:t xml:space="preserve">there is a need for dedicated outpatient procedure rooms to address a growing backlog of endoscopy that will continue to </w:t>
      </w:r>
      <w:r w:rsidR="00B179DF" w:rsidRPr="009555DC">
        <w:rPr>
          <w:rFonts w:asciiTheme="minorHAnsi" w:hAnsiTheme="minorHAnsi"/>
          <w:sz w:val="21"/>
          <w:szCs w:val="21"/>
        </w:rPr>
        <w:t>increase</w:t>
      </w:r>
      <w:r w:rsidR="00CB6D3B" w:rsidRPr="009555DC">
        <w:rPr>
          <w:rFonts w:asciiTheme="minorHAnsi" w:hAnsiTheme="minorHAnsi"/>
          <w:sz w:val="21"/>
          <w:szCs w:val="21"/>
        </w:rPr>
        <w:t xml:space="preserve"> as screening guidelines evolve based on cancer incidence rates. Further, the Proposed Project </w:t>
      </w:r>
      <w:r w:rsidR="00BC7EB8" w:rsidRPr="009555DC">
        <w:rPr>
          <w:rFonts w:asciiTheme="minorHAnsi" w:hAnsiTheme="minorHAnsi"/>
          <w:sz w:val="21"/>
          <w:szCs w:val="21"/>
        </w:rPr>
        <w:t>offers a more</w:t>
      </w:r>
      <w:r w:rsidR="00CB6D3B" w:rsidRPr="009555DC">
        <w:rPr>
          <w:rFonts w:asciiTheme="minorHAnsi" w:hAnsiTheme="minorHAnsi"/>
          <w:sz w:val="21"/>
          <w:szCs w:val="21"/>
        </w:rPr>
        <w:t xml:space="preserve"> cost</w:t>
      </w:r>
      <w:r w:rsidR="001D1459" w:rsidRPr="009555DC">
        <w:rPr>
          <w:rFonts w:asciiTheme="minorHAnsi" w:hAnsiTheme="minorHAnsi"/>
          <w:sz w:val="21"/>
          <w:szCs w:val="21"/>
        </w:rPr>
        <w:t>-effective option because the cost of procedures performed in an ASC are significantly lower compared to a hospital</w:t>
      </w:r>
      <w:r w:rsidR="00B179DF" w:rsidRPr="009555DC">
        <w:rPr>
          <w:rFonts w:asciiTheme="minorHAnsi" w:hAnsiTheme="minorHAnsi"/>
          <w:sz w:val="21"/>
          <w:szCs w:val="21"/>
        </w:rPr>
        <w:t xml:space="preserve"> setting</w:t>
      </w:r>
      <w:r w:rsidR="001D1459" w:rsidRPr="009555DC">
        <w:rPr>
          <w:rFonts w:asciiTheme="minorHAnsi" w:hAnsiTheme="minorHAnsi"/>
          <w:sz w:val="21"/>
          <w:szCs w:val="21"/>
        </w:rPr>
        <w:t xml:space="preserve">.  Not only will the Proposed Project provide cost savings per procedure, but it will contribute to overall cost containment through timely diagnosis and treatment, often within the same endoscopy case. </w:t>
      </w:r>
      <w:r w:rsidR="007C659A">
        <w:rPr>
          <w:rFonts w:asciiTheme="minorHAnsi" w:hAnsiTheme="minorHAnsi"/>
          <w:sz w:val="21"/>
          <w:szCs w:val="21"/>
        </w:rPr>
        <w:t>T</w:t>
      </w:r>
      <w:r w:rsidR="00A56A35" w:rsidRPr="009555DC">
        <w:rPr>
          <w:rFonts w:asciiTheme="minorHAnsi" w:hAnsiTheme="minorHAnsi"/>
          <w:sz w:val="21"/>
          <w:szCs w:val="21"/>
        </w:rPr>
        <w:t>he</w:t>
      </w:r>
      <w:r w:rsidR="00353C7E" w:rsidRPr="009555DC">
        <w:rPr>
          <w:rFonts w:asciiTheme="minorHAnsi" w:hAnsiTheme="minorHAnsi"/>
          <w:sz w:val="21"/>
          <w:szCs w:val="21"/>
        </w:rPr>
        <w:t xml:space="preserve"> proposed</w:t>
      </w:r>
      <w:r w:rsidR="00A56A35" w:rsidRPr="009555DC">
        <w:rPr>
          <w:rFonts w:asciiTheme="minorHAnsi" w:hAnsiTheme="minorHAnsi"/>
          <w:sz w:val="21"/>
          <w:szCs w:val="21"/>
        </w:rPr>
        <w:t xml:space="preserve"> ASC will deliver </w:t>
      </w:r>
      <w:r w:rsidR="00353C7E" w:rsidRPr="009555DC">
        <w:rPr>
          <w:rFonts w:asciiTheme="minorHAnsi" w:hAnsiTheme="minorHAnsi"/>
          <w:sz w:val="21"/>
          <w:szCs w:val="21"/>
        </w:rPr>
        <w:t xml:space="preserve">equally </w:t>
      </w:r>
      <w:r w:rsidR="00A56A35" w:rsidRPr="009555DC">
        <w:rPr>
          <w:rFonts w:asciiTheme="minorHAnsi" w:hAnsiTheme="minorHAnsi"/>
          <w:sz w:val="21"/>
          <w:szCs w:val="21"/>
        </w:rPr>
        <w:t xml:space="preserve">high-quality care in </w:t>
      </w:r>
      <w:r w:rsidR="00BC7EB8" w:rsidRPr="009555DC">
        <w:rPr>
          <w:rFonts w:asciiTheme="minorHAnsi" w:hAnsiTheme="minorHAnsi"/>
          <w:sz w:val="21"/>
          <w:szCs w:val="21"/>
        </w:rPr>
        <w:t>a lower</w:t>
      </w:r>
      <w:r w:rsidR="00A56A35" w:rsidRPr="009555DC">
        <w:rPr>
          <w:rFonts w:asciiTheme="minorHAnsi" w:hAnsiTheme="minorHAnsi"/>
          <w:sz w:val="21"/>
          <w:szCs w:val="21"/>
        </w:rPr>
        <w:t xml:space="preserve"> cost setting</w:t>
      </w:r>
      <w:r w:rsidR="00353C7E" w:rsidRPr="009555DC">
        <w:rPr>
          <w:rFonts w:asciiTheme="minorHAnsi" w:hAnsiTheme="minorHAnsi"/>
          <w:sz w:val="21"/>
          <w:szCs w:val="21"/>
        </w:rPr>
        <w:t xml:space="preserve"> </w:t>
      </w:r>
      <w:r w:rsidR="007C659A">
        <w:rPr>
          <w:rFonts w:asciiTheme="minorHAnsi" w:hAnsiTheme="minorHAnsi"/>
          <w:sz w:val="21"/>
          <w:szCs w:val="21"/>
        </w:rPr>
        <w:t>as</w:t>
      </w:r>
      <w:r w:rsidR="00353C7E" w:rsidRPr="009555DC">
        <w:rPr>
          <w:rFonts w:asciiTheme="minorHAnsi" w:hAnsiTheme="minorHAnsi"/>
          <w:sz w:val="21"/>
          <w:szCs w:val="21"/>
        </w:rPr>
        <w:t xml:space="preserve"> the MGB </w:t>
      </w:r>
      <w:proofErr w:type="gramStart"/>
      <w:r w:rsidR="00353C7E" w:rsidRPr="009555DC">
        <w:rPr>
          <w:rFonts w:asciiTheme="minorHAnsi" w:hAnsiTheme="minorHAnsi"/>
          <w:sz w:val="21"/>
          <w:szCs w:val="21"/>
        </w:rPr>
        <w:t>AMCs</w:t>
      </w:r>
      <w:r w:rsidR="00A56A35" w:rsidRPr="009555DC">
        <w:rPr>
          <w:rFonts w:asciiTheme="minorHAnsi" w:hAnsiTheme="minorHAnsi"/>
          <w:sz w:val="21"/>
          <w:szCs w:val="21"/>
        </w:rPr>
        <w:t>,</w:t>
      </w:r>
      <w:proofErr w:type="gramEnd"/>
      <w:r w:rsidR="00A56A35" w:rsidRPr="009555DC">
        <w:rPr>
          <w:rFonts w:asciiTheme="minorHAnsi" w:hAnsiTheme="minorHAnsi"/>
          <w:sz w:val="21"/>
          <w:szCs w:val="21"/>
        </w:rPr>
        <w:t xml:space="preserve"> </w:t>
      </w:r>
      <w:r w:rsidR="007C659A">
        <w:rPr>
          <w:rFonts w:asciiTheme="minorHAnsi" w:hAnsiTheme="minorHAnsi"/>
          <w:sz w:val="21"/>
          <w:szCs w:val="21"/>
        </w:rPr>
        <w:t xml:space="preserve">therefore </w:t>
      </w:r>
      <w:r w:rsidR="00A56A35" w:rsidRPr="009555DC">
        <w:rPr>
          <w:rFonts w:asciiTheme="minorHAnsi" w:hAnsiTheme="minorHAnsi"/>
          <w:sz w:val="21"/>
          <w:szCs w:val="21"/>
        </w:rPr>
        <w:t xml:space="preserve">the Proposed Project provides the best option to improve access to outpatient endoscopy </w:t>
      </w:r>
      <w:r w:rsidR="00BC7EB8" w:rsidRPr="009555DC">
        <w:rPr>
          <w:rFonts w:asciiTheme="minorHAnsi" w:hAnsiTheme="minorHAnsi"/>
          <w:sz w:val="21"/>
          <w:szCs w:val="21"/>
        </w:rPr>
        <w:t>for the Patient Panel.</w:t>
      </w:r>
      <w:r w:rsidR="00A56A35" w:rsidRPr="009555DC">
        <w:rPr>
          <w:rFonts w:asciiTheme="minorHAnsi" w:hAnsiTheme="minorHAnsi"/>
          <w:sz w:val="21"/>
          <w:szCs w:val="21"/>
        </w:rPr>
        <w:t xml:space="preserve"> </w:t>
      </w:r>
    </w:p>
    <w:p w14:paraId="181D4BCE" w14:textId="1849D453" w:rsidR="006925D7" w:rsidRPr="009555DC" w:rsidRDefault="006B2AF7" w:rsidP="006B2AF7">
      <w:pPr>
        <w:spacing w:after="120"/>
        <w:jc w:val="both"/>
        <w:rPr>
          <w:rFonts w:asciiTheme="minorHAnsi" w:hAnsiTheme="minorHAnsi"/>
          <w:sz w:val="21"/>
          <w:szCs w:val="21"/>
        </w:rPr>
      </w:pPr>
      <w:r w:rsidRPr="009555DC">
        <w:rPr>
          <w:rFonts w:asciiTheme="minorHAnsi" w:hAnsiTheme="minorHAnsi"/>
          <w:sz w:val="21"/>
          <w:szCs w:val="21"/>
        </w:rPr>
        <w:t xml:space="preserve">In summary, the Proposed Project will meet an identified need for the Patient Panel by expanding access to routine endoscopy in an ASC. </w:t>
      </w:r>
      <w:r w:rsidR="00CB6D3B" w:rsidRPr="009555DC">
        <w:rPr>
          <w:rFonts w:asciiTheme="minorHAnsi" w:hAnsiTheme="minorHAnsi"/>
          <w:sz w:val="21"/>
          <w:szCs w:val="21"/>
        </w:rPr>
        <w:t>The proposed ASC will provide p</w:t>
      </w:r>
      <w:r w:rsidRPr="009555DC">
        <w:rPr>
          <w:rFonts w:asciiTheme="minorHAnsi" w:hAnsiTheme="minorHAnsi"/>
          <w:sz w:val="21"/>
          <w:szCs w:val="21"/>
        </w:rPr>
        <w:t xml:space="preserve">atients </w:t>
      </w:r>
      <w:r w:rsidR="00CB6D3B" w:rsidRPr="009555DC">
        <w:rPr>
          <w:rFonts w:asciiTheme="minorHAnsi" w:hAnsiTheme="minorHAnsi"/>
          <w:sz w:val="21"/>
          <w:szCs w:val="21"/>
        </w:rPr>
        <w:t>with</w:t>
      </w:r>
      <w:r w:rsidRPr="009555DC">
        <w:rPr>
          <w:rFonts w:asciiTheme="minorHAnsi" w:hAnsiTheme="minorHAnsi"/>
          <w:sz w:val="21"/>
          <w:szCs w:val="21"/>
        </w:rPr>
        <w:t xml:space="preserve"> more timely access to </w:t>
      </w:r>
      <w:r w:rsidR="00CB6D3B" w:rsidRPr="009555DC">
        <w:rPr>
          <w:rFonts w:asciiTheme="minorHAnsi" w:hAnsiTheme="minorHAnsi"/>
          <w:sz w:val="21"/>
          <w:szCs w:val="21"/>
        </w:rPr>
        <w:t>high-quality</w:t>
      </w:r>
      <w:r w:rsidRPr="009555DC">
        <w:rPr>
          <w:rFonts w:asciiTheme="minorHAnsi" w:hAnsiTheme="minorHAnsi"/>
          <w:sz w:val="21"/>
          <w:szCs w:val="21"/>
        </w:rPr>
        <w:t xml:space="preserve"> endoscopy, improving their ability to receive screening colonoscopy which contributes to not only the timely diagnosis of colorectal cancer, but also the </w:t>
      </w:r>
      <w:r w:rsidR="00353C7E" w:rsidRPr="009555DC">
        <w:rPr>
          <w:rFonts w:asciiTheme="minorHAnsi" w:hAnsiTheme="minorHAnsi"/>
          <w:sz w:val="21"/>
          <w:szCs w:val="21"/>
        </w:rPr>
        <w:t xml:space="preserve">successful </w:t>
      </w:r>
      <w:r w:rsidRPr="009555DC">
        <w:rPr>
          <w:rFonts w:asciiTheme="minorHAnsi" w:hAnsiTheme="minorHAnsi"/>
          <w:sz w:val="21"/>
          <w:szCs w:val="21"/>
        </w:rPr>
        <w:t xml:space="preserve">treatment of such cancers. Moreover, the provision of screening colonoscopies at the proposed ASC will reduce </w:t>
      </w:r>
      <w:r w:rsidR="00CB6D3B" w:rsidRPr="009555DC">
        <w:rPr>
          <w:rFonts w:asciiTheme="minorHAnsi" w:hAnsiTheme="minorHAnsi"/>
          <w:sz w:val="21"/>
          <w:szCs w:val="21"/>
        </w:rPr>
        <w:t xml:space="preserve">endoscopy </w:t>
      </w:r>
      <w:r w:rsidRPr="009555DC">
        <w:rPr>
          <w:rFonts w:asciiTheme="minorHAnsi" w:hAnsiTheme="minorHAnsi"/>
          <w:sz w:val="21"/>
          <w:szCs w:val="21"/>
        </w:rPr>
        <w:t xml:space="preserve">volume at the </w:t>
      </w:r>
      <w:r w:rsidR="00353C7E" w:rsidRPr="009555DC">
        <w:rPr>
          <w:rFonts w:asciiTheme="minorHAnsi" w:hAnsiTheme="minorHAnsi"/>
          <w:sz w:val="21"/>
          <w:szCs w:val="21"/>
        </w:rPr>
        <w:t xml:space="preserve">MGB </w:t>
      </w:r>
      <w:r w:rsidRPr="009555DC">
        <w:rPr>
          <w:rFonts w:asciiTheme="minorHAnsi" w:hAnsiTheme="minorHAnsi"/>
          <w:sz w:val="21"/>
          <w:szCs w:val="21"/>
        </w:rPr>
        <w:t>AMCs, in turn</w:t>
      </w:r>
      <w:r w:rsidR="00B179DF" w:rsidRPr="009555DC">
        <w:rPr>
          <w:rFonts w:asciiTheme="minorHAnsi" w:hAnsiTheme="minorHAnsi"/>
          <w:sz w:val="21"/>
          <w:szCs w:val="21"/>
        </w:rPr>
        <w:t>,</w:t>
      </w:r>
      <w:r w:rsidRPr="009555DC">
        <w:rPr>
          <w:rFonts w:asciiTheme="minorHAnsi" w:hAnsiTheme="minorHAnsi"/>
          <w:sz w:val="21"/>
          <w:szCs w:val="21"/>
        </w:rPr>
        <w:t xml:space="preserve"> allowing endoscopy cases that must be performed </w:t>
      </w:r>
      <w:r w:rsidR="00B179DF" w:rsidRPr="009555DC">
        <w:rPr>
          <w:rFonts w:asciiTheme="minorHAnsi" w:hAnsiTheme="minorHAnsi"/>
          <w:sz w:val="21"/>
          <w:szCs w:val="21"/>
        </w:rPr>
        <w:t>in the hospital</w:t>
      </w:r>
      <w:r w:rsidRPr="009555DC">
        <w:rPr>
          <w:rFonts w:asciiTheme="minorHAnsi" w:hAnsiTheme="minorHAnsi"/>
          <w:sz w:val="21"/>
          <w:szCs w:val="21"/>
        </w:rPr>
        <w:t xml:space="preserve"> to be done more quickly, not only improving treatment time </w:t>
      </w:r>
      <w:r w:rsidR="00CB6D3B" w:rsidRPr="009555DC">
        <w:rPr>
          <w:rFonts w:asciiTheme="minorHAnsi" w:hAnsiTheme="minorHAnsi"/>
          <w:sz w:val="21"/>
          <w:szCs w:val="21"/>
        </w:rPr>
        <w:t xml:space="preserve">and throughput </w:t>
      </w:r>
      <w:r w:rsidRPr="009555DC">
        <w:rPr>
          <w:rFonts w:asciiTheme="minorHAnsi" w:hAnsiTheme="minorHAnsi"/>
          <w:sz w:val="21"/>
          <w:szCs w:val="21"/>
        </w:rPr>
        <w:t xml:space="preserve">but reducing inpatient lengths of stay and </w:t>
      </w:r>
      <w:r w:rsidR="00B179DF" w:rsidRPr="009555DC">
        <w:rPr>
          <w:rFonts w:asciiTheme="minorHAnsi" w:hAnsiTheme="minorHAnsi"/>
          <w:sz w:val="21"/>
          <w:szCs w:val="21"/>
        </w:rPr>
        <w:t xml:space="preserve">overall </w:t>
      </w:r>
      <w:r w:rsidRPr="009555DC">
        <w:rPr>
          <w:rFonts w:asciiTheme="minorHAnsi" w:hAnsiTheme="minorHAnsi"/>
          <w:sz w:val="21"/>
          <w:szCs w:val="21"/>
        </w:rPr>
        <w:t xml:space="preserve">costs as a result. </w:t>
      </w:r>
      <w:r w:rsidR="00CB6D3B" w:rsidRPr="009555DC">
        <w:rPr>
          <w:rFonts w:asciiTheme="minorHAnsi" w:hAnsiTheme="minorHAnsi"/>
          <w:sz w:val="21"/>
          <w:szCs w:val="21"/>
        </w:rPr>
        <w:t>The Applicant respectfully requests the Department find that each factor of review is met and recommend approval of this Application for Determination of Need.</w:t>
      </w:r>
    </w:p>
    <w:p w14:paraId="5D0687B4" w14:textId="77777777" w:rsidR="003B0A62" w:rsidRPr="009555DC" w:rsidRDefault="003B0A62" w:rsidP="006B2AF7">
      <w:pPr>
        <w:spacing w:after="120"/>
        <w:jc w:val="both"/>
        <w:rPr>
          <w:rFonts w:asciiTheme="minorHAnsi" w:hAnsiTheme="minorHAnsi"/>
          <w:sz w:val="21"/>
          <w:szCs w:val="21"/>
        </w:rPr>
      </w:pPr>
    </w:p>
    <w:p w14:paraId="4AB9F9EC" w14:textId="77777777" w:rsidR="00A43A52" w:rsidRPr="009555DC" w:rsidRDefault="00A43A52" w:rsidP="00C95CDD">
      <w:pPr>
        <w:pStyle w:val="Heading1"/>
        <w:rPr>
          <w:rFonts w:eastAsia="Calibri"/>
        </w:rPr>
      </w:pPr>
      <w:r w:rsidRPr="009555DC">
        <w:rPr>
          <w:rFonts w:eastAsia="Calibri"/>
        </w:rPr>
        <w:t>Factor 1: Applicant Patient Panel Need, Public Health Values and Operational Objectives</w:t>
      </w:r>
    </w:p>
    <w:p w14:paraId="5BB5AF32" w14:textId="77777777" w:rsidR="00A43A52" w:rsidRPr="00C95CDD" w:rsidRDefault="00A43A52" w:rsidP="00C95CDD">
      <w:pPr>
        <w:pStyle w:val="Heading2"/>
      </w:pPr>
      <w:r w:rsidRPr="00C95CDD">
        <w:t>F1.</w:t>
      </w:r>
      <w:proofErr w:type="gramStart"/>
      <w:r w:rsidRPr="00C95CDD">
        <w:t>a.i</w:t>
      </w:r>
      <w:proofErr w:type="gramEnd"/>
      <w:r w:rsidRPr="00C95CDD">
        <w:tab/>
      </w:r>
      <w:r w:rsidRPr="00C95CDD">
        <w:tab/>
      </w:r>
      <w:r w:rsidRPr="00C95CDD">
        <w:rPr>
          <w:b/>
          <w:bCs w:val="0"/>
        </w:rPr>
        <w:t>Patient Panel:</w:t>
      </w:r>
    </w:p>
    <w:p w14:paraId="640EF08C" w14:textId="77777777" w:rsidR="00A43A52" w:rsidRPr="009555DC" w:rsidRDefault="00A43A52" w:rsidP="00A43A52">
      <w:pPr>
        <w:spacing w:after="120"/>
        <w:ind w:left="1440"/>
        <w:jc w:val="both"/>
        <w:rPr>
          <w:rFonts w:ascii="Aptos" w:hAnsi="Aptos" w:cs="Arial"/>
          <w:bCs/>
          <w:i/>
          <w:iCs/>
          <w:sz w:val="21"/>
          <w:szCs w:val="21"/>
        </w:rPr>
      </w:pPr>
      <w:r w:rsidRPr="009555DC">
        <w:rPr>
          <w:rFonts w:ascii="Aptos" w:hAnsi="Aptos" w:cs="Arial"/>
          <w:bCs/>
          <w:i/>
          <w:iCs/>
          <w:sz w:val="21"/>
          <w:szCs w:val="21"/>
        </w:rPr>
        <w:t xml:space="preserve">Describe your existing Patient Panel, including incidence or prevalence of disease or behavioral risk factors, acuity mix, noted health disparities, geographic breakdown expressed in zip codes or other appropriate </w:t>
      </w:r>
      <w:proofErr w:type="gramStart"/>
      <w:r w:rsidRPr="009555DC">
        <w:rPr>
          <w:rFonts w:ascii="Aptos" w:hAnsi="Aptos" w:cs="Arial"/>
          <w:bCs/>
          <w:i/>
          <w:iCs/>
          <w:sz w:val="21"/>
          <w:szCs w:val="21"/>
        </w:rPr>
        <w:t>measure</w:t>
      </w:r>
      <w:proofErr w:type="gramEnd"/>
      <w:r w:rsidRPr="009555DC">
        <w:rPr>
          <w:rFonts w:ascii="Aptos" w:hAnsi="Aptos" w:cs="Arial"/>
          <w:bCs/>
          <w:i/>
          <w:iCs/>
          <w:sz w:val="21"/>
          <w:szCs w:val="21"/>
        </w:rPr>
        <w:t>, demographics including age, gender and sexual identity, race, ethnicity, socioeconomic status and other priority populations relevant to the Applicant's existing patient panel and payer mix.</w:t>
      </w:r>
    </w:p>
    <w:p w14:paraId="2C2F0D77" w14:textId="77777777" w:rsidR="00A43A52" w:rsidRPr="009555DC" w:rsidRDefault="00A43A52" w:rsidP="00A43A52">
      <w:pPr>
        <w:pStyle w:val="ListParagraph"/>
        <w:numPr>
          <w:ilvl w:val="0"/>
          <w:numId w:val="5"/>
        </w:numPr>
        <w:suppressAutoHyphens w:val="0"/>
        <w:autoSpaceDE w:val="0"/>
        <w:autoSpaceDN w:val="0"/>
        <w:spacing w:after="120"/>
        <w:ind w:left="360" w:hanging="360"/>
        <w:contextualSpacing w:val="0"/>
        <w:rPr>
          <w:rFonts w:asciiTheme="minorHAnsi" w:hAnsiTheme="minorHAnsi"/>
          <w:kern w:val="2"/>
          <w:sz w:val="21"/>
          <w:szCs w:val="21"/>
        </w:rPr>
      </w:pPr>
      <w:r w:rsidRPr="009555DC">
        <w:rPr>
          <w:rFonts w:asciiTheme="minorHAnsi" w:hAnsiTheme="minorHAnsi"/>
          <w:kern w:val="2"/>
          <w:sz w:val="21"/>
          <w:szCs w:val="21"/>
          <w:u w:val="single"/>
        </w:rPr>
        <w:t>Overview of Patient Panel Selection</w:t>
      </w:r>
    </w:p>
    <w:p w14:paraId="2530B649" w14:textId="7A957CF9" w:rsidR="00347ABB" w:rsidRPr="009555DC" w:rsidRDefault="004A5DBE" w:rsidP="00347ABB">
      <w:pPr>
        <w:pStyle w:val="BodyText"/>
        <w:widowControl/>
        <w:spacing w:after="120"/>
        <w:ind w:right="116"/>
        <w:jc w:val="both"/>
        <w:rPr>
          <w:rFonts w:asciiTheme="minorHAnsi" w:hAnsiTheme="minorHAnsi" w:cs="Times New Roman"/>
          <w:kern w:val="2"/>
          <w:sz w:val="21"/>
          <w:szCs w:val="21"/>
        </w:rPr>
      </w:pPr>
      <w:r w:rsidRPr="004A5DBE">
        <w:rPr>
          <w:rFonts w:asciiTheme="minorHAnsi" w:hAnsiTheme="minorHAnsi" w:cs="Times New Roman"/>
          <w:kern w:val="2"/>
          <w:sz w:val="21"/>
          <w:szCs w:val="21"/>
        </w:rPr>
        <w:t xml:space="preserve">The Applicant is owned by New England Surgery Center Holdings, LLC, a joint venture </w:t>
      </w:r>
      <w:r>
        <w:rPr>
          <w:rFonts w:asciiTheme="minorHAnsi" w:hAnsiTheme="minorHAnsi" w:cs="Times New Roman"/>
          <w:kern w:val="2"/>
          <w:sz w:val="21"/>
          <w:szCs w:val="21"/>
        </w:rPr>
        <w:t xml:space="preserve">between MGB </w:t>
      </w:r>
      <w:r w:rsidRPr="004A5DBE">
        <w:rPr>
          <w:rFonts w:asciiTheme="minorHAnsi" w:hAnsiTheme="minorHAnsi" w:cs="Times New Roman"/>
          <w:kern w:val="2"/>
          <w:sz w:val="21"/>
          <w:szCs w:val="21"/>
        </w:rPr>
        <w:t xml:space="preserve">and Regent Surgical Health, L.L.C. </w:t>
      </w:r>
      <w:r w:rsidR="00347ABB" w:rsidRPr="009555DC">
        <w:rPr>
          <w:rFonts w:asciiTheme="minorHAnsi" w:hAnsiTheme="minorHAnsi" w:cs="Times New Roman"/>
          <w:kern w:val="2"/>
          <w:sz w:val="21"/>
          <w:szCs w:val="21"/>
        </w:rPr>
        <w:t xml:space="preserve">As the Applicant is newly formed and does not have its own patient panel, the Applicant relied on certain historical data from MGH and </w:t>
      </w:r>
      <w:r w:rsidR="00F713D1" w:rsidRPr="009555DC">
        <w:rPr>
          <w:rFonts w:asciiTheme="minorHAnsi" w:hAnsiTheme="minorHAnsi" w:cs="Times New Roman"/>
          <w:kern w:val="2"/>
          <w:sz w:val="21"/>
          <w:szCs w:val="21"/>
        </w:rPr>
        <w:t>B</w:t>
      </w:r>
      <w:r w:rsidR="00347ABB" w:rsidRPr="009555DC">
        <w:rPr>
          <w:rFonts w:asciiTheme="minorHAnsi" w:hAnsiTheme="minorHAnsi" w:cs="Times New Roman"/>
          <w:kern w:val="2"/>
          <w:sz w:val="21"/>
          <w:szCs w:val="21"/>
        </w:rPr>
        <w:t>WH to determine the need for the Proposed Project.</w:t>
      </w:r>
    </w:p>
    <w:p w14:paraId="58CDE67C" w14:textId="740FFA00" w:rsidR="00347ABB" w:rsidRPr="009555DC" w:rsidRDefault="00347ABB" w:rsidP="00347ABB">
      <w:pPr>
        <w:pStyle w:val="BodyText"/>
        <w:widowControl/>
        <w:spacing w:after="120"/>
        <w:ind w:right="116"/>
        <w:jc w:val="both"/>
        <w:rPr>
          <w:rFonts w:asciiTheme="minorHAnsi" w:hAnsiTheme="minorHAnsi" w:cs="Times New Roman"/>
          <w:kern w:val="2"/>
          <w:sz w:val="21"/>
          <w:szCs w:val="21"/>
        </w:rPr>
      </w:pPr>
      <w:r w:rsidRPr="009555DC">
        <w:rPr>
          <w:rFonts w:asciiTheme="minorHAnsi" w:hAnsiTheme="minorHAnsi" w:cs="Times New Roman"/>
          <w:kern w:val="2"/>
          <w:sz w:val="21"/>
          <w:szCs w:val="21"/>
        </w:rPr>
        <w:t xml:space="preserve">Specifically, the Applicant reviewed historical outpatient endoscopy volume that would have been appropriate for treatment in an ASC. This data was further narrowed by patient zip codes to better illustrate the need for endoscopy </w:t>
      </w:r>
      <w:r w:rsidR="00A06C4E" w:rsidRPr="009555DC">
        <w:rPr>
          <w:rFonts w:asciiTheme="minorHAnsi" w:hAnsiTheme="minorHAnsi" w:cs="Times New Roman"/>
          <w:kern w:val="2"/>
          <w:sz w:val="21"/>
          <w:szCs w:val="21"/>
        </w:rPr>
        <w:t>by the MGB AMC’s patients</w:t>
      </w:r>
      <w:r w:rsidRPr="009555DC">
        <w:rPr>
          <w:rFonts w:asciiTheme="minorHAnsi" w:hAnsiTheme="minorHAnsi" w:cs="Times New Roman"/>
          <w:kern w:val="2"/>
          <w:sz w:val="21"/>
          <w:szCs w:val="21"/>
        </w:rPr>
        <w:t xml:space="preserve">. Towns with the highest need for outpatient endoscopy currently receiving care at the </w:t>
      </w:r>
      <w:r w:rsidR="00A06C4E" w:rsidRPr="009555DC">
        <w:rPr>
          <w:rFonts w:asciiTheme="minorHAnsi" w:hAnsiTheme="minorHAnsi" w:cs="Times New Roman"/>
          <w:kern w:val="2"/>
          <w:sz w:val="21"/>
          <w:szCs w:val="21"/>
        </w:rPr>
        <w:t xml:space="preserve">MGB </w:t>
      </w:r>
      <w:r w:rsidRPr="009555DC">
        <w:rPr>
          <w:rFonts w:asciiTheme="minorHAnsi" w:hAnsiTheme="minorHAnsi" w:cs="Times New Roman"/>
          <w:kern w:val="2"/>
          <w:sz w:val="21"/>
          <w:szCs w:val="21"/>
        </w:rPr>
        <w:t>AMCs include Arlington, Belmont, Boston, Brookline, Cambridge, Chelsea, Everett, Malden, Medford, Newton, Revere, Somerville, Watertown, and Winthrop (collectively, the “Proposed Service Area”). A detailed breakdown of zip codes is provided in Table 2.</w:t>
      </w:r>
    </w:p>
    <w:p w14:paraId="342DD2D2" w14:textId="77777777" w:rsidR="00A43A52" w:rsidRPr="009555DC" w:rsidRDefault="00A43A52" w:rsidP="00A43A52">
      <w:pPr>
        <w:pStyle w:val="BodyText"/>
        <w:widowControl/>
        <w:spacing w:after="120"/>
        <w:ind w:left="-1" w:right="116"/>
        <w:jc w:val="both"/>
        <w:rPr>
          <w:rFonts w:asciiTheme="minorHAnsi" w:hAnsiTheme="minorHAnsi" w:cs="Times New Roman"/>
          <w:kern w:val="2"/>
          <w:sz w:val="21"/>
          <w:szCs w:val="21"/>
        </w:rPr>
      </w:pPr>
      <w:r w:rsidRPr="009555DC">
        <w:rPr>
          <w:rFonts w:asciiTheme="minorHAnsi" w:hAnsiTheme="minorHAnsi" w:cs="Times New Roman"/>
          <w:kern w:val="2"/>
          <w:sz w:val="21"/>
          <w:szCs w:val="21"/>
        </w:rPr>
        <w:t xml:space="preserve">Using this proposed service area, the Applicant notes the following of its Patient Panel: </w:t>
      </w:r>
    </w:p>
    <w:p w14:paraId="5CFD9801" w14:textId="16A75AE8" w:rsidR="00A43A52" w:rsidRPr="009555DC" w:rsidRDefault="00A43A52" w:rsidP="00D16084">
      <w:pPr>
        <w:pStyle w:val="BodyText"/>
        <w:widowControl/>
        <w:numPr>
          <w:ilvl w:val="0"/>
          <w:numId w:val="6"/>
        </w:numPr>
        <w:spacing w:after="120"/>
        <w:ind w:right="116"/>
        <w:rPr>
          <w:rFonts w:asciiTheme="minorHAnsi" w:hAnsiTheme="minorHAnsi" w:cs="Times New Roman"/>
          <w:color w:val="000000" w:themeColor="text1"/>
          <w:kern w:val="2"/>
          <w:sz w:val="21"/>
          <w:szCs w:val="21"/>
        </w:rPr>
      </w:pPr>
      <w:r w:rsidRPr="009555DC">
        <w:rPr>
          <w:rFonts w:asciiTheme="minorHAnsi" w:hAnsiTheme="minorHAnsi" w:cs="Times New Roman"/>
          <w:color w:val="000000" w:themeColor="text1"/>
          <w:kern w:val="2"/>
          <w:sz w:val="21"/>
          <w:szCs w:val="21"/>
          <w:u w:val="single"/>
        </w:rPr>
        <w:t>Age</w:t>
      </w:r>
      <w:r w:rsidRPr="009555DC">
        <w:rPr>
          <w:rFonts w:asciiTheme="minorHAnsi" w:hAnsiTheme="minorHAnsi" w:cs="Times New Roman"/>
          <w:color w:val="000000" w:themeColor="text1"/>
          <w:kern w:val="2"/>
          <w:sz w:val="21"/>
          <w:szCs w:val="21"/>
        </w:rPr>
        <w:t xml:space="preserve">: </w:t>
      </w:r>
      <w:r w:rsidR="00FD5B44" w:rsidRPr="009555DC">
        <w:rPr>
          <w:rFonts w:asciiTheme="minorHAnsi" w:hAnsiTheme="minorHAnsi" w:cs="Times New Roman"/>
          <w:color w:val="000000" w:themeColor="text1"/>
          <w:kern w:val="2"/>
          <w:sz w:val="21"/>
          <w:szCs w:val="21"/>
        </w:rPr>
        <w:t>More than 75% of the Patient Panel was between the ages of 40 and 80 in FY202</w:t>
      </w:r>
      <w:r w:rsidR="00A06C4E" w:rsidRPr="009555DC">
        <w:rPr>
          <w:rFonts w:asciiTheme="minorHAnsi" w:hAnsiTheme="minorHAnsi" w:cs="Times New Roman"/>
          <w:color w:val="000000" w:themeColor="text1"/>
          <w:kern w:val="2"/>
          <w:sz w:val="21"/>
          <w:szCs w:val="21"/>
        </w:rPr>
        <w:t>4</w:t>
      </w:r>
      <w:r w:rsidR="00FD5B44" w:rsidRPr="009555DC">
        <w:rPr>
          <w:rFonts w:asciiTheme="minorHAnsi" w:hAnsiTheme="minorHAnsi" w:cs="Times New Roman"/>
          <w:color w:val="000000" w:themeColor="text1"/>
          <w:kern w:val="2"/>
          <w:sz w:val="21"/>
          <w:szCs w:val="21"/>
        </w:rPr>
        <w:t xml:space="preserve">, with 37% of the Patient Panel between the ages of 40 and 60. </w:t>
      </w:r>
    </w:p>
    <w:p w14:paraId="07BD56C7" w14:textId="6BD6D18D" w:rsidR="00A43A52" w:rsidRPr="009555DC" w:rsidRDefault="00A43A52" w:rsidP="00D16084">
      <w:pPr>
        <w:pStyle w:val="BodyText"/>
        <w:widowControl/>
        <w:numPr>
          <w:ilvl w:val="0"/>
          <w:numId w:val="6"/>
        </w:numPr>
        <w:spacing w:after="120"/>
        <w:ind w:right="116"/>
        <w:rPr>
          <w:rFonts w:asciiTheme="minorHAnsi" w:hAnsiTheme="minorHAnsi" w:cs="Times New Roman"/>
          <w:color w:val="000000" w:themeColor="text1"/>
          <w:kern w:val="2"/>
          <w:sz w:val="21"/>
          <w:szCs w:val="21"/>
        </w:rPr>
      </w:pPr>
      <w:r w:rsidRPr="0066595B">
        <w:rPr>
          <w:rFonts w:asciiTheme="minorHAnsi" w:hAnsiTheme="minorHAnsi" w:cs="Times New Roman"/>
          <w:color w:val="000000" w:themeColor="text1"/>
          <w:kern w:val="2"/>
          <w:sz w:val="21"/>
          <w:szCs w:val="21"/>
          <w:u w:val="single"/>
        </w:rPr>
        <w:lastRenderedPageBreak/>
        <w:t>Race/ Ethnicity</w:t>
      </w:r>
      <w:r w:rsidRPr="009555DC">
        <w:rPr>
          <w:rFonts w:asciiTheme="minorHAnsi" w:hAnsiTheme="minorHAnsi" w:cs="Times New Roman"/>
          <w:color w:val="000000" w:themeColor="text1"/>
          <w:kern w:val="2"/>
          <w:sz w:val="21"/>
          <w:szCs w:val="21"/>
        </w:rPr>
        <w:t xml:space="preserve">: </w:t>
      </w:r>
      <w:proofErr w:type="gramStart"/>
      <w:r w:rsidRPr="009555DC">
        <w:rPr>
          <w:rFonts w:asciiTheme="minorHAnsi" w:hAnsiTheme="minorHAnsi" w:cs="Times New Roman"/>
          <w:color w:val="000000" w:themeColor="text1"/>
          <w:kern w:val="2"/>
          <w:sz w:val="21"/>
          <w:szCs w:val="21"/>
        </w:rPr>
        <w:t>The majority of</w:t>
      </w:r>
      <w:proofErr w:type="gramEnd"/>
      <w:r w:rsidRPr="009555DC">
        <w:rPr>
          <w:rFonts w:asciiTheme="minorHAnsi" w:hAnsiTheme="minorHAnsi" w:cs="Times New Roman"/>
          <w:color w:val="000000" w:themeColor="text1"/>
          <w:kern w:val="2"/>
          <w:sz w:val="21"/>
          <w:szCs w:val="21"/>
        </w:rPr>
        <w:t xml:space="preserve"> patients (6</w:t>
      </w:r>
      <w:r w:rsidR="00A06C4E" w:rsidRPr="009555DC">
        <w:rPr>
          <w:rFonts w:asciiTheme="minorHAnsi" w:hAnsiTheme="minorHAnsi" w:cs="Times New Roman"/>
          <w:color w:val="000000" w:themeColor="text1"/>
          <w:kern w:val="2"/>
          <w:sz w:val="21"/>
          <w:szCs w:val="21"/>
        </w:rPr>
        <w:t>7</w:t>
      </w:r>
      <w:r w:rsidRPr="009555DC">
        <w:rPr>
          <w:rFonts w:asciiTheme="minorHAnsi" w:hAnsiTheme="minorHAnsi" w:cs="Times New Roman"/>
          <w:color w:val="000000" w:themeColor="text1"/>
          <w:kern w:val="2"/>
          <w:sz w:val="21"/>
          <w:szCs w:val="21"/>
        </w:rPr>
        <w:t>%) self-identified as White</w:t>
      </w:r>
      <w:r w:rsidR="00A06C4E" w:rsidRPr="009555DC">
        <w:rPr>
          <w:rFonts w:asciiTheme="minorHAnsi" w:hAnsiTheme="minorHAnsi" w:cs="Times New Roman"/>
          <w:color w:val="000000" w:themeColor="text1"/>
          <w:kern w:val="2"/>
          <w:sz w:val="21"/>
          <w:szCs w:val="21"/>
        </w:rPr>
        <w:t xml:space="preserve">, </w:t>
      </w:r>
      <w:r w:rsidR="007C659A" w:rsidRPr="009555DC">
        <w:rPr>
          <w:rFonts w:asciiTheme="minorHAnsi" w:hAnsiTheme="minorHAnsi" w:cs="Times New Roman"/>
          <w:color w:val="000000" w:themeColor="text1"/>
          <w:kern w:val="2"/>
          <w:sz w:val="21"/>
          <w:szCs w:val="21"/>
        </w:rPr>
        <w:t>16% of patients identified as Hispanic/ Latino</w:t>
      </w:r>
      <w:r w:rsidR="007C659A">
        <w:rPr>
          <w:rFonts w:asciiTheme="minorHAnsi" w:hAnsiTheme="minorHAnsi" w:cs="Times New Roman"/>
          <w:color w:val="000000" w:themeColor="text1"/>
          <w:kern w:val="2"/>
          <w:sz w:val="21"/>
          <w:szCs w:val="21"/>
        </w:rPr>
        <w:t xml:space="preserve">, </w:t>
      </w:r>
      <w:r w:rsidR="00A06C4E" w:rsidRPr="009555DC">
        <w:rPr>
          <w:rFonts w:asciiTheme="minorHAnsi" w:hAnsiTheme="minorHAnsi" w:cs="Times New Roman"/>
          <w:color w:val="000000" w:themeColor="text1"/>
          <w:kern w:val="2"/>
          <w:sz w:val="21"/>
          <w:szCs w:val="21"/>
        </w:rPr>
        <w:t>10</w:t>
      </w:r>
      <w:r w:rsidRPr="009555DC">
        <w:rPr>
          <w:rFonts w:asciiTheme="minorHAnsi" w:hAnsiTheme="minorHAnsi" w:cs="Times New Roman"/>
          <w:color w:val="000000" w:themeColor="text1"/>
          <w:kern w:val="2"/>
          <w:sz w:val="21"/>
          <w:szCs w:val="21"/>
        </w:rPr>
        <w:t>% of patients identified as African American</w:t>
      </w:r>
      <w:r w:rsidR="00A06C4E" w:rsidRPr="009555DC">
        <w:rPr>
          <w:rFonts w:asciiTheme="minorHAnsi" w:hAnsiTheme="minorHAnsi" w:cs="Times New Roman"/>
          <w:color w:val="000000" w:themeColor="text1"/>
          <w:kern w:val="2"/>
          <w:sz w:val="21"/>
          <w:szCs w:val="21"/>
        </w:rPr>
        <w:t>, and 7% identified as Asian</w:t>
      </w:r>
      <w:r w:rsidRPr="009555DC">
        <w:rPr>
          <w:rFonts w:asciiTheme="minorHAnsi" w:hAnsiTheme="minorHAnsi" w:cs="Times New Roman"/>
          <w:color w:val="000000" w:themeColor="text1"/>
          <w:kern w:val="2"/>
          <w:sz w:val="21"/>
          <w:szCs w:val="21"/>
        </w:rPr>
        <w:t>.</w:t>
      </w:r>
    </w:p>
    <w:p w14:paraId="0516FE6D" w14:textId="65217683" w:rsidR="00D16084" w:rsidRPr="009555DC" w:rsidRDefault="00A43A52" w:rsidP="00D16084">
      <w:pPr>
        <w:pStyle w:val="BodyText"/>
        <w:widowControl/>
        <w:numPr>
          <w:ilvl w:val="0"/>
          <w:numId w:val="6"/>
        </w:numPr>
        <w:spacing w:after="120"/>
        <w:ind w:right="116"/>
        <w:rPr>
          <w:rFonts w:asciiTheme="minorHAnsi" w:hAnsiTheme="minorHAnsi" w:cs="Times New Roman"/>
          <w:color w:val="000000" w:themeColor="text1"/>
          <w:kern w:val="2"/>
          <w:sz w:val="21"/>
          <w:szCs w:val="21"/>
        </w:rPr>
      </w:pPr>
      <w:r w:rsidRPr="009555DC">
        <w:rPr>
          <w:rFonts w:asciiTheme="minorHAnsi" w:hAnsiTheme="minorHAnsi" w:cs="Times New Roman"/>
          <w:color w:val="000000" w:themeColor="text1"/>
          <w:kern w:val="2"/>
          <w:sz w:val="21"/>
          <w:szCs w:val="21"/>
          <w:u w:val="single"/>
        </w:rPr>
        <w:t>Payer Mix</w:t>
      </w:r>
      <w:r w:rsidRPr="009555DC">
        <w:rPr>
          <w:rFonts w:asciiTheme="minorHAnsi" w:hAnsiTheme="minorHAnsi" w:cs="Times New Roman"/>
          <w:color w:val="000000" w:themeColor="text1"/>
          <w:kern w:val="2"/>
          <w:sz w:val="21"/>
          <w:szCs w:val="21"/>
        </w:rPr>
        <w:t xml:space="preserve">: </w:t>
      </w:r>
      <w:r w:rsidR="00FD5B44" w:rsidRPr="009555DC">
        <w:rPr>
          <w:rFonts w:asciiTheme="minorHAnsi" w:hAnsiTheme="minorHAnsi" w:cs="Times New Roman"/>
          <w:color w:val="000000" w:themeColor="text1"/>
          <w:kern w:val="2"/>
          <w:sz w:val="21"/>
          <w:szCs w:val="21"/>
        </w:rPr>
        <w:t xml:space="preserve">Public payers </w:t>
      </w:r>
      <w:r w:rsidR="00736837" w:rsidRPr="009555DC">
        <w:rPr>
          <w:rFonts w:asciiTheme="minorHAnsi" w:hAnsiTheme="minorHAnsi" w:cs="Times New Roman"/>
          <w:color w:val="000000" w:themeColor="text1"/>
          <w:kern w:val="2"/>
          <w:sz w:val="21"/>
          <w:szCs w:val="21"/>
        </w:rPr>
        <w:t xml:space="preserve">represent </w:t>
      </w:r>
      <w:r w:rsidR="00FD5B44" w:rsidRPr="009555DC">
        <w:rPr>
          <w:rFonts w:asciiTheme="minorHAnsi" w:hAnsiTheme="minorHAnsi" w:cs="Times New Roman"/>
          <w:color w:val="000000" w:themeColor="text1"/>
          <w:kern w:val="2"/>
          <w:sz w:val="21"/>
          <w:szCs w:val="21"/>
        </w:rPr>
        <w:t>roughly 40% of the Patient Panel payer mix, with a</w:t>
      </w:r>
      <w:r w:rsidRPr="009555DC">
        <w:rPr>
          <w:rFonts w:asciiTheme="minorHAnsi" w:hAnsiTheme="minorHAnsi" w:cs="Times New Roman"/>
          <w:color w:val="000000" w:themeColor="text1"/>
          <w:kern w:val="2"/>
          <w:sz w:val="21"/>
          <w:szCs w:val="21"/>
        </w:rPr>
        <w:t>lmost 30% Medicare (Medicare Fee for Service and Managed Medicare)</w:t>
      </w:r>
      <w:r w:rsidR="00FD5B44" w:rsidRPr="009555DC">
        <w:rPr>
          <w:rFonts w:asciiTheme="minorHAnsi" w:hAnsiTheme="minorHAnsi" w:cs="Times New Roman"/>
          <w:color w:val="000000" w:themeColor="text1"/>
          <w:kern w:val="2"/>
          <w:sz w:val="21"/>
          <w:szCs w:val="21"/>
        </w:rPr>
        <w:t xml:space="preserve"> and </w:t>
      </w:r>
      <w:r w:rsidRPr="009555DC">
        <w:rPr>
          <w:rFonts w:asciiTheme="minorHAnsi" w:hAnsiTheme="minorHAnsi" w:cs="Times New Roman"/>
          <w:color w:val="000000" w:themeColor="text1"/>
          <w:kern w:val="2"/>
          <w:sz w:val="21"/>
          <w:szCs w:val="21"/>
        </w:rPr>
        <w:t>1</w:t>
      </w:r>
      <w:r w:rsidR="00A06C4E" w:rsidRPr="009555DC">
        <w:rPr>
          <w:rFonts w:asciiTheme="minorHAnsi" w:hAnsiTheme="minorHAnsi" w:cs="Times New Roman"/>
          <w:color w:val="000000" w:themeColor="text1"/>
          <w:kern w:val="2"/>
          <w:sz w:val="21"/>
          <w:szCs w:val="21"/>
        </w:rPr>
        <w:t>0</w:t>
      </w:r>
      <w:r w:rsidRPr="009555DC">
        <w:rPr>
          <w:rFonts w:asciiTheme="minorHAnsi" w:hAnsiTheme="minorHAnsi" w:cs="Times New Roman"/>
          <w:color w:val="000000" w:themeColor="text1"/>
          <w:kern w:val="2"/>
          <w:sz w:val="21"/>
          <w:szCs w:val="21"/>
        </w:rPr>
        <w:t>% Medicaid (MassHealth primary and Managed Medicaid)</w:t>
      </w:r>
      <w:r w:rsidR="00FD5B44" w:rsidRPr="009555DC">
        <w:rPr>
          <w:rFonts w:asciiTheme="minorHAnsi" w:hAnsiTheme="minorHAnsi" w:cs="Times New Roman"/>
          <w:color w:val="000000" w:themeColor="text1"/>
          <w:kern w:val="2"/>
          <w:sz w:val="21"/>
          <w:szCs w:val="21"/>
        </w:rPr>
        <w:t>.</w:t>
      </w:r>
    </w:p>
    <w:p w14:paraId="5B874523" w14:textId="7643F783" w:rsidR="00D16084" w:rsidRPr="009555DC" w:rsidRDefault="00A43A52" w:rsidP="00D16084">
      <w:pPr>
        <w:pStyle w:val="BodyText"/>
        <w:widowControl/>
        <w:numPr>
          <w:ilvl w:val="0"/>
          <w:numId w:val="6"/>
        </w:numPr>
        <w:spacing w:after="120"/>
        <w:ind w:right="116"/>
        <w:rPr>
          <w:rFonts w:asciiTheme="minorHAnsi" w:hAnsiTheme="minorHAnsi" w:cs="Times New Roman"/>
          <w:color w:val="000000" w:themeColor="text1"/>
          <w:kern w:val="2"/>
          <w:sz w:val="21"/>
          <w:szCs w:val="21"/>
        </w:rPr>
      </w:pPr>
      <w:r w:rsidRPr="009555DC">
        <w:rPr>
          <w:rFonts w:asciiTheme="minorHAnsi" w:hAnsiTheme="minorHAnsi" w:cs="Times New Roman"/>
          <w:color w:val="000000" w:themeColor="text1"/>
          <w:kern w:val="2"/>
          <w:sz w:val="21"/>
          <w:szCs w:val="21"/>
          <w:u w:val="single"/>
        </w:rPr>
        <w:t>Geographic Origin</w:t>
      </w:r>
      <w:r w:rsidRPr="009555DC">
        <w:rPr>
          <w:rFonts w:asciiTheme="minorHAnsi" w:hAnsiTheme="minorHAnsi" w:cs="Times New Roman"/>
          <w:color w:val="000000" w:themeColor="text1"/>
          <w:kern w:val="2"/>
          <w:sz w:val="21"/>
          <w:szCs w:val="21"/>
        </w:rPr>
        <w:t xml:space="preserve">: </w:t>
      </w:r>
      <w:r w:rsidR="00FD5B44" w:rsidRPr="009555DC">
        <w:rPr>
          <w:rFonts w:asciiTheme="minorHAnsi" w:hAnsiTheme="minorHAnsi" w:cs="Times New Roman"/>
          <w:color w:val="000000" w:themeColor="text1"/>
          <w:kern w:val="2"/>
          <w:sz w:val="21"/>
          <w:szCs w:val="21"/>
        </w:rPr>
        <w:t xml:space="preserve">75% of the Patient Panel </w:t>
      </w:r>
      <w:r w:rsidR="00736837" w:rsidRPr="009555DC">
        <w:rPr>
          <w:rFonts w:asciiTheme="minorHAnsi" w:hAnsiTheme="minorHAnsi" w:cs="Times New Roman"/>
          <w:color w:val="000000" w:themeColor="text1"/>
          <w:kern w:val="2"/>
          <w:sz w:val="21"/>
          <w:szCs w:val="21"/>
        </w:rPr>
        <w:t xml:space="preserve">reside </w:t>
      </w:r>
      <w:r w:rsidR="00FD5B44" w:rsidRPr="009555DC">
        <w:rPr>
          <w:rFonts w:asciiTheme="minorHAnsi" w:hAnsiTheme="minorHAnsi" w:cs="Times New Roman"/>
          <w:color w:val="000000" w:themeColor="text1"/>
          <w:kern w:val="2"/>
          <w:sz w:val="21"/>
          <w:szCs w:val="21"/>
        </w:rPr>
        <w:t>in Boston, Cambridge</w:t>
      </w:r>
      <w:r w:rsidR="00F348BF" w:rsidRPr="009555DC">
        <w:rPr>
          <w:rFonts w:asciiTheme="minorHAnsi" w:hAnsiTheme="minorHAnsi" w:cs="Times New Roman"/>
          <w:color w:val="000000" w:themeColor="text1"/>
          <w:kern w:val="2"/>
          <w:sz w:val="21"/>
          <w:szCs w:val="21"/>
        </w:rPr>
        <w:t xml:space="preserve">, </w:t>
      </w:r>
      <w:r w:rsidR="00FD5B44" w:rsidRPr="009555DC">
        <w:rPr>
          <w:rFonts w:asciiTheme="minorHAnsi" w:hAnsiTheme="minorHAnsi" w:cs="Times New Roman"/>
          <w:color w:val="000000" w:themeColor="text1"/>
          <w:kern w:val="2"/>
          <w:sz w:val="21"/>
          <w:szCs w:val="21"/>
        </w:rPr>
        <w:t xml:space="preserve">Revere, </w:t>
      </w:r>
      <w:r w:rsidR="00F348BF" w:rsidRPr="009555DC">
        <w:rPr>
          <w:rFonts w:asciiTheme="minorHAnsi" w:hAnsiTheme="minorHAnsi" w:cs="Times New Roman"/>
          <w:color w:val="000000" w:themeColor="text1"/>
          <w:kern w:val="2"/>
          <w:sz w:val="21"/>
          <w:szCs w:val="21"/>
        </w:rPr>
        <w:t xml:space="preserve">Chelsea, </w:t>
      </w:r>
      <w:r w:rsidR="00FD5B44" w:rsidRPr="009555DC">
        <w:rPr>
          <w:rFonts w:asciiTheme="minorHAnsi" w:hAnsiTheme="minorHAnsi" w:cs="Times New Roman"/>
          <w:color w:val="000000" w:themeColor="text1"/>
          <w:kern w:val="2"/>
          <w:sz w:val="21"/>
          <w:szCs w:val="21"/>
        </w:rPr>
        <w:t xml:space="preserve">Somerville, and </w:t>
      </w:r>
      <w:r w:rsidR="00F348BF" w:rsidRPr="009555DC">
        <w:rPr>
          <w:rFonts w:asciiTheme="minorHAnsi" w:hAnsiTheme="minorHAnsi" w:cs="Times New Roman"/>
          <w:color w:val="000000" w:themeColor="text1"/>
          <w:kern w:val="2"/>
          <w:sz w:val="21"/>
          <w:szCs w:val="21"/>
        </w:rPr>
        <w:t>Brookline</w:t>
      </w:r>
      <w:r w:rsidR="00347ABB" w:rsidRPr="009555DC">
        <w:rPr>
          <w:rFonts w:asciiTheme="minorHAnsi" w:hAnsiTheme="minorHAnsi" w:cs="Times New Roman"/>
          <w:color w:val="000000" w:themeColor="text1"/>
          <w:kern w:val="2"/>
          <w:sz w:val="21"/>
          <w:szCs w:val="21"/>
        </w:rPr>
        <w:t>.</w:t>
      </w:r>
    </w:p>
    <w:p w14:paraId="5543C758" w14:textId="624408EB" w:rsidR="00A43A52" w:rsidRPr="009555DC" w:rsidRDefault="00A43A52" w:rsidP="00D16084">
      <w:pPr>
        <w:pStyle w:val="BodyText"/>
        <w:widowControl/>
        <w:spacing w:after="120"/>
        <w:ind w:right="116"/>
        <w:rPr>
          <w:rFonts w:asciiTheme="minorHAnsi" w:hAnsiTheme="minorHAnsi" w:cs="Times New Roman"/>
          <w:kern w:val="2"/>
          <w:sz w:val="21"/>
          <w:szCs w:val="21"/>
          <w:highlight w:val="yellow"/>
        </w:rPr>
      </w:pPr>
      <w:r w:rsidRPr="009555DC">
        <w:rPr>
          <w:rFonts w:asciiTheme="minorHAnsi" w:hAnsiTheme="minorHAnsi" w:cs="Times New Roman"/>
          <w:kern w:val="2"/>
          <w:sz w:val="21"/>
          <w:szCs w:val="21"/>
        </w:rPr>
        <w:t xml:space="preserve">The tables below </w:t>
      </w:r>
      <w:r w:rsidR="00973856" w:rsidRPr="009555DC">
        <w:rPr>
          <w:rFonts w:asciiTheme="minorHAnsi" w:hAnsiTheme="minorHAnsi" w:cs="Times New Roman"/>
          <w:kern w:val="2"/>
          <w:sz w:val="21"/>
          <w:szCs w:val="21"/>
        </w:rPr>
        <w:t>reflect</w:t>
      </w:r>
      <w:r w:rsidRPr="009555DC">
        <w:rPr>
          <w:rFonts w:asciiTheme="minorHAnsi" w:hAnsiTheme="minorHAnsi" w:cs="Times New Roman"/>
          <w:kern w:val="2"/>
          <w:sz w:val="21"/>
          <w:szCs w:val="21"/>
        </w:rPr>
        <w:t xml:space="preserve"> historical BWH and MGH </w:t>
      </w:r>
      <w:r w:rsidR="00F348BF" w:rsidRPr="009555DC">
        <w:rPr>
          <w:rFonts w:asciiTheme="minorHAnsi" w:hAnsiTheme="minorHAnsi" w:cs="Times New Roman"/>
          <w:kern w:val="2"/>
          <w:sz w:val="21"/>
          <w:szCs w:val="21"/>
        </w:rPr>
        <w:t xml:space="preserve">patients </w:t>
      </w:r>
      <w:r w:rsidRPr="009555DC">
        <w:rPr>
          <w:rFonts w:asciiTheme="minorHAnsi" w:hAnsiTheme="minorHAnsi" w:cs="Times New Roman"/>
          <w:kern w:val="2"/>
          <w:sz w:val="21"/>
          <w:szCs w:val="21"/>
        </w:rPr>
        <w:t xml:space="preserve">who would </w:t>
      </w:r>
      <w:r w:rsidR="00F348BF" w:rsidRPr="009555DC">
        <w:rPr>
          <w:rFonts w:asciiTheme="minorHAnsi" w:hAnsiTheme="minorHAnsi" w:cs="Times New Roman"/>
          <w:kern w:val="2"/>
          <w:sz w:val="21"/>
          <w:szCs w:val="21"/>
        </w:rPr>
        <w:t>have been</w:t>
      </w:r>
      <w:r w:rsidRPr="009555DC">
        <w:rPr>
          <w:rFonts w:asciiTheme="minorHAnsi" w:hAnsiTheme="minorHAnsi" w:cs="Times New Roman"/>
          <w:kern w:val="2"/>
          <w:sz w:val="21"/>
          <w:szCs w:val="21"/>
        </w:rPr>
        <w:t xml:space="preserve"> eligible to have </w:t>
      </w:r>
      <w:r w:rsidR="00F348BF" w:rsidRPr="009555DC">
        <w:rPr>
          <w:rFonts w:asciiTheme="minorHAnsi" w:hAnsiTheme="minorHAnsi" w:cs="Times New Roman"/>
          <w:kern w:val="2"/>
          <w:sz w:val="21"/>
          <w:szCs w:val="21"/>
        </w:rPr>
        <w:t>their</w:t>
      </w:r>
      <w:r w:rsidRPr="009555DC">
        <w:rPr>
          <w:rFonts w:asciiTheme="minorHAnsi" w:hAnsiTheme="minorHAnsi" w:cs="Times New Roman"/>
          <w:kern w:val="2"/>
          <w:sz w:val="21"/>
          <w:szCs w:val="21"/>
        </w:rPr>
        <w:t xml:space="preserve"> endoscopy procedures</w:t>
      </w:r>
      <w:r w:rsidRPr="009555DC">
        <w:rPr>
          <w:rStyle w:val="FootnoteReference"/>
          <w:rFonts w:asciiTheme="minorHAnsi" w:hAnsiTheme="minorHAnsi"/>
          <w:kern w:val="2"/>
          <w:sz w:val="21"/>
          <w:szCs w:val="21"/>
        </w:rPr>
        <w:footnoteReference w:id="8"/>
      </w:r>
      <w:r w:rsidRPr="009555DC">
        <w:rPr>
          <w:rFonts w:asciiTheme="minorHAnsi" w:hAnsiTheme="minorHAnsi" w:cs="Times New Roman"/>
          <w:kern w:val="2"/>
          <w:sz w:val="21"/>
          <w:szCs w:val="21"/>
        </w:rPr>
        <w:t xml:space="preserve"> performed in an ASC. </w:t>
      </w:r>
    </w:p>
    <w:p w14:paraId="24435BB4" w14:textId="77777777" w:rsidR="00A43A52" w:rsidRPr="009555DC" w:rsidRDefault="00A43A52" w:rsidP="00A43A52">
      <w:pPr>
        <w:pStyle w:val="BodyText"/>
        <w:widowControl/>
        <w:spacing w:after="120"/>
        <w:ind w:right="116"/>
        <w:jc w:val="both"/>
        <w:rPr>
          <w:rFonts w:asciiTheme="minorHAnsi" w:hAnsiTheme="minorHAnsi" w:cs="Times New Roman"/>
          <w:b/>
          <w:bCs/>
          <w:kern w:val="2"/>
          <w:sz w:val="21"/>
          <w:szCs w:val="21"/>
        </w:rPr>
      </w:pPr>
    </w:p>
    <w:p w14:paraId="4721CEF9" w14:textId="77777777" w:rsidR="00A43A52" w:rsidRPr="009555DC" w:rsidRDefault="00A43A52" w:rsidP="00A43A52">
      <w:pPr>
        <w:pStyle w:val="BodyText"/>
        <w:widowControl/>
        <w:spacing w:after="120"/>
        <w:ind w:right="116"/>
        <w:jc w:val="both"/>
        <w:rPr>
          <w:rFonts w:asciiTheme="minorHAnsi" w:hAnsiTheme="minorHAnsi" w:cs="Times New Roman"/>
          <w:b/>
          <w:bCs/>
          <w:kern w:val="2"/>
          <w:sz w:val="21"/>
          <w:szCs w:val="21"/>
        </w:rPr>
      </w:pPr>
    </w:p>
    <w:p w14:paraId="770E0457" w14:textId="7095AD92" w:rsidR="00A43A52" w:rsidRPr="009555DC" w:rsidRDefault="00A43A52" w:rsidP="00A43A52">
      <w:pPr>
        <w:pStyle w:val="BodyText"/>
        <w:widowControl/>
        <w:spacing w:after="120"/>
        <w:ind w:right="116"/>
        <w:jc w:val="both"/>
        <w:rPr>
          <w:rFonts w:asciiTheme="minorHAnsi" w:hAnsiTheme="minorHAnsi" w:cs="Times New Roman"/>
          <w:b/>
          <w:bCs/>
          <w:kern w:val="2"/>
          <w:sz w:val="21"/>
          <w:szCs w:val="21"/>
        </w:rPr>
      </w:pPr>
    </w:p>
    <w:p w14:paraId="6FC96E4C" w14:textId="77777777" w:rsidR="00A43A52" w:rsidRPr="009555DC" w:rsidRDefault="00A43A52" w:rsidP="00A43A52">
      <w:pPr>
        <w:pStyle w:val="BodyText"/>
        <w:widowControl/>
        <w:spacing w:after="120"/>
        <w:ind w:right="116"/>
        <w:jc w:val="both"/>
        <w:rPr>
          <w:rFonts w:asciiTheme="minorHAnsi" w:hAnsiTheme="minorHAnsi" w:cs="Times New Roman"/>
          <w:b/>
          <w:bCs/>
          <w:kern w:val="2"/>
          <w:sz w:val="21"/>
          <w:szCs w:val="21"/>
        </w:rPr>
        <w:sectPr w:rsidR="00A43A52" w:rsidRPr="009555DC" w:rsidSect="00A43A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D993AA5" w14:textId="47CA4BFD" w:rsidR="00A43A52" w:rsidRPr="009555DC" w:rsidRDefault="00A43A52" w:rsidP="00A43A52">
      <w:pPr>
        <w:pStyle w:val="BodyText"/>
        <w:widowControl/>
        <w:spacing w:after="120"/>
        <w:ind w:right="116" w:hanging="360"/>
        <w:jc w:val="both"/>
        <w:rPr>
          <w:rFonts w:asciiTheme="minorHAnsi" w:hAnsiTheme="minorHAnsi" w:cs="Times New Roman"/>
          <w:b/>
          <w:bCs/>
          <w:kern w:val="2"/>
          <w:sz w:val="21"/>
          <w:szCs w:val="21"/>
        </w:rPr>
      </w:pPr>
    </w:p>
    <w:p w14:paraId="169D07FD" w14:textId="77777777" w:rsidR="00763772" w:rsidRPr="009555DC" w:rsidRDefault="00763772" w:rsidP="00763772">
      <w:pPr>
        <w:rPr>
          <w:sz w:val="21"/>
          <w:szCs w:val="21"/>
        </w:rPr>
      </w:pPr>
    </w:p>
    <w:tbl>
      <w:tblPr>
        <w:tblW w:w="14040" w:type="dxa"/>
        <w:tblInd w:w="-365" w:type="dxa"/>
        <w:tblLayout w:type="fixed"/>
        <w:tblLook w:val="04A0" w:firstRow="1" w:lastRow="0" w:firstColumn="1" w:lastColumn="0" w:noHBand="0" w:noVBand="1"/>
      </w:tblPr>
      <w:tblGrid>
        <w:gridCol w:w="6210"/>
        <w:gridCol w:w="1305"/>
        <w:gridCol w:w="1305"/>
        <w:gridCol w:w="1305"/>
        <w:gridCol w:w="1305"/>
        <w:gridCol w:w="1305"/>
        <w:gridCol w:w="1305"/>
      </w:tblGrid>
      <w:tr w:rsidR="00763772" w:rsidRPr="009555DC" w14:paraId="1B88F460" w14:textId="77777777" w:rsidTr="00CD76A8">
        <w:trPr>
          <w:cantSplit/>
          <w:trHeight w:val="310"/>
          <w:tblHeader/>
        </w:trPr>
        <w:tc>
          <w:tcPr>
            <w:tcW w:w="6210" w:type="dxa"/>
            <w:tcBorders>
              <w:top w:val="single" w:sz="4" w:space="0" w:color="auto"/>
              <w:left w:val="single" w:sz="4" w:space="0" w:color="auto"/>
              <w:bottom w:val="nil"/>
              <w:right w:val="nil"/>
            </w:tcBorders>
            <w:shd w:val="clear" w:color="auto" w:fill="0F4761" w:themeFill="accent1" w:themeFillShade="BF"/>
            <w:noWrap/>
            <w:vAlign w:val="center"/>
            <w:hideMark/>
          </w:tcPr>
          <w:p w14:paraId="21482A7C" w14:textId="77777777" w:rsidR="00763772" w:rsidRPr="009555DC" w:rsidRDefault="00763772" w:rsidP="00062791">
            <w:pPr>
              <w:pStyle w:val="BodyText"/>
              <w:widowControl/>
              <w:spacing w:after="120"/>
              <w:ind w:right="116" w:hanging="1"/>
              <w:rPr>
                <w:rFonts w:ascii="Aptos" w:hAnsi="Aptos" w:cs="Times New Roman"/>
                <w:b/>
                <w:bCs/>
                <w:color w:val="FFFFFF" w:themeColor="background1"/>
                <w:kern w:val="2"/>
                <w:sz w:val="20"/>
                <w:szCs w:val="20"/>
              </w:rPr>
            </w:pPr>
            <w:r w:rsidRPr="009555DC">
              <w:rPr>
                <w:rFonts w:ascii="Aptos" w:hAnsi="Aptos" w:cs="Times New Roman"/>
                <w:b/>
                <w:bCs/>
                <w:kern w:val="2"/>
                <w:sz w:val="20"/>
                <w:szCs w:val="20"/>
              </w:rPr>
              <w:t>Table 1: Patient Panel Demographics Data</w:t>
            </w:r>
          </w:p>
        </w:tc>
        <w:tc>
          <w:tcPr>
            <w:tcW w:w="1305" w:type="dxa"/>
            <w:tcBorders>
              <w:top w:val="single" w:sz="4" w:space="0" w:color="auto"/>
              <w:left w:val="single" w:sz="4" w:space="0" w:color="auto"/>
              <w:bottom w:val="nil"/>
              <w:right w:val="nil"/>
            </w:tcBorders>
            <w:shd w:val="clear" w:color="auto" w:fill="0F4761" w:themeFill="accent1" w:themeFillShade="BF"/>
            <w:noWrap/>
            <w:vAlign w:val="center"/>
            <w:hideMark/>
          </w:tcPr>
          <w:p w14:paraId="6892AC03" w14:textId="77777777" w:rsidR="00763772" w:rsidRPr="009555DC" w:rsidRDefault="00763772" w:rsidP="00062791">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FY22 Count</w:t>
            </w:r>
          </w:p>
        </w:tc>
        <w:tc>
          <w:tcPr>
            <w:tcW w:w="1305" w:type="dxa"/>
            <w:tcBorders>
              <w:top w:val="single" w:sz="4" w:space="0" w:color="auto"/>
              <w:left w:val="nil"/>
              <w:bottom w:val="nil"/>
              <w:right w:val="single" w:sz="4" w:space="0" w:color="auto"/>
            </w:tcBorders>
            <w:shd w:val="clear" w:color="auto" w:fill="0F4761" w:themeFill="accent1" w:themeFillShade="BF"/>
            <w:noWrap/>
            <w:vAlign w:val="center"/>
            <w:hideMark/>
          </w:tcPr>
          <w:p w14:paraId="5DDDEE8B" w14:textId="77777777" w:rsidR="00763772" w:rsidRPr="009555DC" w:rsidRDefault="00763772" w:rsidP="00062791">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FY22 %</w:t>
            </w:r>
          </w:p>
        </w:tc>
        <w:tc>
          <w:tcPr>
            <w:tcW w:w="1305" w:type="dxa"/>
            <w:tcBorders>
              <w:top w:val="single" w:sz="4" w:space="0" w:color="auto"/>
              <w:left w:val="nil"/>
              <w:bottom w:val="nil"/>
              <w:right w:val="nil"/>
            </w:tcBorders>
            <w:shd w:val="clear" w:color="auto" w:fill="0F4761" w:themeFill="accent1" w:themeFillShade="BF"/>
            <w:noWrap/>
            <w:vAlign w:val="center"/>
            <w:hideMark/>
          </w:tcPr>
          <w:p w14:paraId="26152337" w14:textId="77777777" w:rsidR="00763772" w:rsidRPr="009555DC" w:rsidRDefault="00763772" w:rsidP="00062791">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FY23 Count</w:t>
            </w:r>
          </w:p>
        </w:tc>
        <w:tc>
          <w:tcPr>
            <w:tcW w:w="1305" w:type="dxa"/>
            <w:tcBorders>
              <w:top w:val="single" w:sz="4" w:space="0" w:color="auto"/>
              <w:left w:val="nil"/>
              <w:bottom w:val="nil"/>
              <w:right w:val="nil"/>
            </w:tcBorders>
            <w:shd w:val="clear" w:color="auto" w:fill="0F4761" w:themeFill="accent1" w:themeFillShade="BF"/>
            <w:noWrap/>
            <w:vAlign w:val="center"/>
            <w:hideMark/>
          </w:tcPr>
          <w:p w14:paraId="13F4AADB" w14:textId="77777777" w:rsidR="00763772" w:rsidRPr="009555DC" w:rsidRDefault="00763772" w:rsidP="00062791">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FY23 %</w:t>
            </w:r>
          </w:p>
        </w:tc>
        <w:tc>
          <w:tcPr>
            <w:tcW w:w="1305" w:type="dxa"/>
            <w:tcBorders>
              <w:top w:val="single" w:sz="4" w:space="0" w:color="auto"/>
              <w:left w:val="single" w:sz="4" w:space="0" w:color="auto"/>
              <w:bottom w:val="nil"/>
              <w:right w:val="nil"/>
            </w:tcBorders>
            <w:shd w:val="clear" w:color="auto" w:fill="0F4761" w:themeFill="accent1" w:themeFillShade="BF"/>
            <w:noWrap/>
            <w:vAlign w:val="center"/>
            <w:hideMark/>
          </w:tcPr>
          <w:p w14:paraId="2C4B5E0A" w14:textId="77777777" w:rsidR="00763772" w:rsidRPr="009555DC" w:rsidRDefault="00763772" w:rsidP="00062791">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FY24 Count</w:t>
            </w:r>
          </w:p>
        </w:tc>
        <w:tc>
          <w:tcPr>
            <w:tcW w:w="1305" w:type="dxa"/>
            <w:tcBorders>
              <w:top w:val="single" w:sz="4" w:space="0" w:color="auto"/>
              <w:left w:val="nil"/>
              <w:bottom w:val="nil"/>
              <w:right w:val="single" w:sz="4" w:space="0" w:color="auto"/>
            </w:tcBorders>
            <w:shd w:val="clear" w:color="auto" w:fill="0F4761" w:themeFill="accent1" w:themeFillShade="BF"/>
            <w:noWrap/>
            <w:vAlign w:val="center"/>
            <w:hideMark/>
          </w:tcPr>
          <w:p w14:paraId="62636E3D" w14:textId="77777777" w:rsidR="00763772" w:rsidRPr="009555DC" w:rsidRDefault="00763772" w:rsidP="00062791">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FY24 %</w:t>
            </w:r>
          </w:p>
        </w:tc>
      </w:tr>
      <w:tr w:rsidR="00763772" w:rsidRPr="009555DC" w14:paraId="2BA93B3A"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7013D506" w14:textId="77777777" w:rsidR="00763772" w:rsidRPr="009555DC" w:rsidRDefault="00763772" w:rsidP="00062791">
            <w:pPr>
              <w:suppressAutoHyphens w:val="0"/>
              <w:rPr>
                <w:rFonts w:ascii="Aptos" w:hAnsi="Aptos" w:cs="Calibri"/>
                <w:color w:val="000000" w:themeColor="text1"/>
                <w:sz w:val="20"/>
                <w:szCs w:val="20"/>
              </w:rPr>
            </w:pPr>
            <w:r w:rsidRPr="009555DC">
              <w:rPr>
                <w:rFonts w:ascii="Aptos" w:hAnsi="Aptos" w:cs="Calibri"/>
                <w:b/>
                <w:bCs/>
                <w:color w:val="000000" w:themeColor="text1"/>
                <w:sz w:val="20"/>
                <w:szCs w:val="20"/>
              </w:rPr>
              <w:t>Total Unique Outpatient Endoscopy Patients</w:t>
            </w:r>
          </w:p>
        </w:tc>
        <w:tc>
          <w:tcPr>
            <w:tcW w:w="1305"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43E03254" w14:textId="77777777" w:rsidR="00763772" w:rsidRPr="009555DC" w:rsidRDefault="00763772" w:rsidP="00062791">
            <w:pPr>
              <w:suppressAutoHyphens w:val="0"/>
              <w:jc w:val="center"/>
              <w:rPr>
                <w:rFonts w:ascii="Aptos" w:hAnsi="Aptos"/>
                <w:color w:val="000000" w:themeColor="text1"/>
                <w:sz w:val="20"/>
                <w:szCs w:val="20"/>
              </w:rPr>
            </w:pPr>
            <w:r w:rsidRPr="009555DC">
              <w:rPr>
                <w:rFonts w:ascii="Aptos Narrow" w:hAnsi="Aptos Narrow"/>
                <w:b/>
                <w:bCs/>
                <w:color w:val="000000" w:themeColor="text1"/>
                <w:sz w:val="20"/>
                <w:szCs w:val="20"/>
              </w:rPr>
              <w:t>8,184</w:t>
            </w:r>
          </w:p>
        </w:tc>
        <w:tc>
          <w:tcPr>
            <w:tcW w:w="1305"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0AF790C4" w14:textId="77777777" w:rsidR="00763772" w:rsidRPr="009555DC" w:rsidRDefault="00763772" w:rsidP="00062791">
            <w:pPr>
              <w:suppressAutoHyphens w:val="0"/>
              <w:jc w:val="center"/>
              <w:rPr>
                <w:rFonts w:ascii="Aptos" w:hAnsi="Aptos"/>
                <w:color w:val="000000" w:themeColor="text1"/>
                <w:sz w:val="20"/>
                <w:szCs w:val="20"/>
              </w:rPr>
            </w:pPr>
            <w:r w:rsidRPr="009555DC">
              <w:rPr>
                <w:rFonts w:ascii="Aptos" w:hAnsi="Aptos" w:cs="Calibri"/>
                <w:b/>
                <w:bCs/>
                <w:color w:val="000000" w:themeColor="text1"/>
                <w:sz w:val="20"/>
                <w:szCs w:val="20"/>
              </w:rPr>
              <w:t>100%</w:t>
            </w:r>
          </w:p>
        </w:tc>
        <w:tc>
          <w:tcPr>
            <w:tcW w:w="1305"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56797748" w14:textId="77777777" w:rsidR="00763772" w:rsidRPr="009555DC" w:rsidRDefault="00763772" w:rsidP="00062791">
            <w:pPr>
              <w:suppressAutoHyphens w:val="0"/>
              <w:jc w:val="center"/>
              <w:rPr>
                <w:rFonts w:ascii="Aptos" w:hAnsi="Aptos"/>
                <w:color w:val="000000" w:themeColor="text1"/>
                <w:sz w:val="20"/>
                <w:szCs w:val="20"/>
              </w:rPr>
            </w:pPr>
            <w:r w:rsidRPr="009555DC">
              <w:rPr>
                <w:rFonts w:ascii="Aptos Narrow" w:hAnsi="Aptos Narrow"/>
                <w:b/>
                <w:bCs/>
                <w:color w:val="000000" w:themeColor="text1"/>
                <w:sz w:val="20"/>
                <w:szCs w:val="20"/>
              </w:rPr>
              <w:t>8,422</w:t>
            </w:r>
          </w:p>
        </w:tc>
        <w:tc>
          <w:tcPr>
            <w:tcW w:w="1305"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0CE1FB52" w14:textId="77777777" w:rsidR="00763772" w:rsidRPr="009555DC" w:rsidRDefault="00763772" w:rsidP="00062791">
            <w:pPr>
              <w:suppressAutoHyphens w:val="0"/>
              <w:jc w:val="center"/>
              <w:rPr>
                <w:rFonts w:ascii="Aptos" w:hAnsi="Aptos"/>
                <w:color w:val="000000" w:themeColor="text1"/>
                <w:sz w:val="20"/>
                <w:szCs w:val="20"/>
              </w:rPr>
            </w:pPr>
            <w:r w:rsidRPr="009555DC">
              <w:rPr>
                <w:rFonts w:ascii="Aptos" w:hAnsi="Aptos" w:cs="Calibri"/>
                <w:b/>
                <w:bCs/>
                <w:color w:val="000000" w:themeColor="text1"/>
                <w:sz w:val="20"/>
                <w:szCs w:val="20"/>
              </w:rPr>
              <w:t>100%</w:t>
            </w:r>
          </w:p>
        </w:tc>
        <w:tc>
          <w:tcPr>
            <w:tcW w:w="1305"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54733D6C" w14:textId="77777777" w:rsidR="00763772" w:rsidRPr="009555DC" w:rsidRDefault="00763772" w:rsidP="00062791">
            <w:pPr>
              <w:suppressAutoHyphens w:val="0"/>
              <w:jc w:val="center"/>
              <w:rPr>
                <w:rFonts w:ascii="Aptos" w:hAnsi="Aptos"/>
                <w:color w:val="000000" w:themeColor="text1"/>
                <w:sz w:val="20"/>
                <w:szCs w:val="20"/>
              </w:rPr>
            </w:pPr>
            <w:r w:rsidRPr="009555DC">
              <w:rPr>
                <w:rFonts w:ascii="Aptos Narrow" w:hAnsi="Aptos Narrow"/>
                <w:b/>
                <w:bCs/>
                <w:color w:val="000000" w:themeColor="text1"/>
                <w:sz w:val="20"/>
                <w:szCs w:val="20"/>
              </w:rPr>
              <w:t>7,716</w:t>
            </w:r>
          </w:p>
        </w:tc>
        <w:tc>
          <w:tcPr>
            <w:tcW w:w="1305"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640840C2" w14:textId="77777777" w:rsidR="00763772" w:rsidRPr="009555DC" w:rsidRDefault="00763772" w:rsidP="00062791">
            <w:pPr>
              <w:suppressAutoHyphens w:val="0"/>
              <w:jc w:val="center"/>
              <w:rPr>
                <w:rFonts w:ascii="Aptos" w:hAnsi="Aptos"/>
                <w:color w:val="000000" w:themeColor="text1"/>
                <w:sz w:val="20"/>
                <w:szCs w:val="20"/>
              </w:rPr>
            </w:pPr>
            <w:r w:rsidRPr="009555DC">
              <w:rPr>
                <w:rFonts w:ascii="Aptos" w:hAnsi="Aptos" w:cs="Calibri"/>
                <w:b/>
                <w:bCs/>
                <w:color w:val="000000" w:themeColor="text1"/>
                <w:sz w:val="20"/>
                <w:szCs w:val="20"/>
              </w:rPr>
              <w:t>100%</w:t>
            </w:r>
          </w:p>
        </w:tc>
      </w:tr>
      <w:tr w:rsidR="00763772" w:rsidRPr="009555DC" w14:paraId="48339D22"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1F75D" w14:textId="68FA8DAA" w:rsidR="00763772" w:rsidRPr="009555DC" w:rsidRDefault="00763772" w:rsidP="00062791">
            <w:pPr>
              <w:suppressAutoHyphens w:val="0"/>
              <w:rPr>
                <w:rFonts w:ascii="Aptos" w:hAnsi="Aptos" w:cs="Calibri"/>
                <w:color w:val="000000"/>
                <w:sz w:val="20"/>
                <w:szCs w:val="20"/>
              </w:rPr>
            </w:pPr>
            <w:r w:rsidRPr="009555DC">
              <w:rPr>
                <w:rFonts w:ascii="Aptos" w:hAnsi="Aptos" w:cs="Calibri"/>
                <w:color w:val="000000"/>
                <w:sz w:val="20"/>
                <w:szCs w:val="20"/>
              </w:rPr>
              <w:t>Gender: Female</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8B75B6"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4,529</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2FB988"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ED7E42"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4,625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117A5F"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908AE5"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4,299</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2D3AC0"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56%</w:t>
            </w:r>
          </w:p>
        </w:tc>
      </w:tr>
      <w:tr w:rsidR="00763772" w:rsidRPr="009555DC" w14:paraId="6E194E79"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002D4" w14:textId="77777777" w:rsidR="00763772" w:rsidRPr="009555DC" w:rsidRDefault="00763772" w:rsidP="00062791">
            <w:pPr>
              <w:suppressAutoHyphens w:val="0"/>
              <w:rPr>
                <w:rFonts w:ascii="Aptos" w:hAnsi="Aptos" w:cs="Calibri"/>
                <w:color w:val="000000"/>
                <w:sz w:val="20"/>
                <w:szCs w:val="20"/>
              </w:rPr>
            </w:pPr>
            <w:r w:rsidRPr="009555DC">
              <w:rPr>
                <w:rFonts w:ascii="Aptos" w:hAnsi="Aptos" w:cs="Calibri"/>
                <w:color w:val="000000"/>
                <w:sz w:val="20"/>
                <w:szCs w:val="20"/>
              </w:rPr>
              <w:t>Gender: Male &amp; Other/Unknown</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198B49"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3,655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012433"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D6603D"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3,797</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36E858"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F7C25E7"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3,417</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C6CFA9"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44%</w:t>
            </w:r>
          </w:p>
        </w:tc>
      </w:tr>
      <w:tr w:rsidR="00763772" w:rsidRPr="009555DC" w14:paraId="3B22EC3A"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E46E1E" w14:textId="77777777"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Age: 0-20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615FF8"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160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AB9C96"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2%</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A30B1F"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187</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EE7BEE"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2%</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1520DD"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190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9AC276"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2%</w:t>
            </w:r>
          </w:p>
        </w:tc>
      </w:tr>
      <w:tr w:rsidR="00763772" w:rsidRPr="009555DC" w14:paraId="7867E4E8"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CD5239" w14:textId="77777777"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Age: 20-40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D836C9"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1,096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BAB44E"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13%</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A3F4C4"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1,100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F1FAA4"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13%</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292D95"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1,133</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C69C52"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15%</w:t>
            </w:r>
          </w:p>
        </w:tc>
      </w:tr>
      <w:tr w:rsidR="00763772" w:rsidRPr="009555DC" w14:paraId="69B59F91"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5806E" w14:textId="77777777"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Age: 40-60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DCE861"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3,264</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CBCB13"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3A58B7"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3,349</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6A42E3"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94F993"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2,820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374097"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37%</w:t>
            </w:r>
          </w:p>
        </w:tc>
      </w:tr>
      <w:tr w:rsidR="00763772" w:rsidRPr="009555DC" w14:paraId="105F4EF2"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B77F26" w14:textId="77777777"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Age: 60-80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95D036"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3,168</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6187BF"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39%</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A1AC51"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3,388</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5C51B4"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B73BA8"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3,186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7890FF"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41%</w:t>
            </w:r>
          </w:p>
        </w:tc>
      </w:tr>
      <w:tr w:rsidR="00763772" w:rsidRPr="009555DC" w14:paraId="3EF03454"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645841" w14:textId="77777777"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Age: 80-100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9A9440"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496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361E89"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3E4BF5"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398</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F4B5D7"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F0F005"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387</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34AD7B"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w:t>
            </w:r>
          </w:p>
        </w:tc>
      </w:tr>
      <w:tr w:rsidR="00763772" w:rsidRPr="009555DC" w14:paraId="640438F3"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462E5" w14:textId="77777777"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Race: White</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229FA4"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5,281</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53361C"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4FC0B7"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5,585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A0FF93"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79951A"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5,132</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59D318"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67%</w:t>
            </w:r>
          </w:p>
        </w:tc>
      </w:tr>
      <w:tr w:rsidR="00763772" w:rsidRPr="009555DC" w14:paraId="2F2D2C33"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2A2E4A" w14:textId="77777777"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Race: Black or African American</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3ECA17"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962</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DB9BEA"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12%</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F92564"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860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C4ECF"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84119"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779</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B65D7C"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10%</w:t>
            </w:r>
          </w:p>
        </w:tc>
      </w:tr>
      <w:tr w:rsidR="00763772" w:rsidRPr="009555DC" w14:paraId="1D10E8E5"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5654F" w14:textId="77777777"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Race: Asian</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C7E29"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596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50CB7A"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7%</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9AE655"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677</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830AA5"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8%</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3C2585"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555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7852E5"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7%</w:t>
            </w:r>
          </w:p>
        </w:tc>
      </w:tr>
      <w:tr w:rsidR="00763772" w:rsidRPr="009555DC" w14:paraId="040A9E02" w14:textId="77777777" w:rsidTr="00CD76A8">
        <w:trPr>
          <w:cantSplit/>
          <w:trHeight w:val="287"/>
        </w:trPr>
        <w:tc>
          <w:tcPr>
            <w:tcW w:w="6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C6053" w14:textId="0BF0D75C" w:rsidR="00763772" w:rsidRPr="009555DC" w:rsidRDefault="00763772" w:rsidP="00062791">
            <w:pPr>
              <w:suppressAutoHyphens w:val="0"/>
              <w:rPr>
                <w:rFonts w:ascii="Aptos" w:hAnsi="Aptos" w:cs="Calibri"/>
                <w:color w:val="000000"/>
                <w:sz w:val="20"/>
                <w:szCs w:val="20"/>
              </w:rPr>
            </w:pPr>
            <w:r w:rsidRPr="009555DC">
              <w:rPr>
                <w:rFonts w:ascii="Aptos" w:hAnsi="Aptos"/>
                <w:color w:val="000000"/>
                <w:sz w:val="20"/>
                <w:szCs w:val="20"/>
              </w:rPr>
              <w:t>Race: Other/Unknown</w:t>
            </w:r>
            <w:r w:rsidRPr="009555DC">
              <w:rPr>
                <w:rStyle w:val="FootnoteReference"/>
                <w:rFonts w:ascii="Aptos" w:hAnsi="Aptos"/>
                <w:color w:val="000000"/>
                <w:sz w:val="20"/>
                <w:szCs w:val="20"/>
              </w:rPr>
              <w:footnoteReference w:id="9"/>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C8377B" w14:textId="1D65659C"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1,335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52FAB" w14:textId="7C23D251" w:rsidR="00763772" w:rsidRPr="009555DC" w:rsidRDefault="008477FF" w:rsidP="00062791">
            <w:pPr>
              <w:suppressAutoHyphens w:val="0"/>
              <w:jc w:val="center"/>
              <w:rPr>
                <w:rFonts w:ascii="Aptos" w:hAnsi="Aptos" w:cs="Calibri"/>
                <w:color w:val="000000"/>
                <w:sz w:val="20"/>
                <w:szCs w:val="20"/>
              </w:rPr>
            </w:pPr>
            <w:r w:rsidRPr="009555DC">
              <w:rPr>
                <w:rFonts w:ascii="Aptos" w:hAnsi="Aptos"/>
                <w:color w:val="000000"/>
                <w:sz w:val="20"/>
                <w:szCs w:val="20"/>
              </w:rPr>
              <w:t>16</w:t>
            </w:r>
            <w:r w:rsidR="00763772" w:rsidRPr="009555DC">
              <w:rPr>
                <w:rFonts w:ascii="Aptos" w:hAnsi="Aptos"/>
                <w:color w:val="000000"/>
                <w:sz w:val="20"/>
                <w:szCs w:val="20"/>
              </w:rPr>
              <w:t>%</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027FA0" w14:textId="77DFA90C"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1,300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6E210" w14:textId="56FA752C" w:rsidR="00763772" w:rsidRPr="009555DC" w:rsidRDefault="008477FF" w:rsidP="00062791">
            <w:pPr>
              <w:suppressAutoHyphens w:val="0"/>
              <w:jc w:val="center"/>
              <w:rPr>
                <w:rFonts w:ascii="Aptos" w:hAnsi="Aptos" w:cs="Calibri"/>
                <w:color w:val="000000"/>
                <w:sz w:val="20"/>
                <w:szCs w:val="20"/>
              </w:rPr>
            </w:pPr>
            <w:r w:rsidRPr="009555DC">
              <w:rPr>
                <w:rFonts w:ascii="Aptos" w:hAnsi="Aptos"/>
                <w:color w:val="000000"/>
                <w:sz w:val="20"/>
                <w:szCs w:val="20"/>
              </w:rPr>
              <w:t>15</w:t>
            </w:r>
            <w:r w:rsidR="00763772" w:rsidRPr="009555DC">
              <w:rPr>
                <w:rFonts w:ascii="Aptos" w:hAnsi="Aptos"/>
                <w:color w:val="000000"/>
                <w:sz w:val="20"/>
                <w:szCs w:val="20"/>
              </w:rPr>
              <w:t>%</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7B377B" w14:textId="37888948"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1,250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0C684F" w14:textId="2E5AB5BB" w:rsidR="00763772" w:rsidRPr="009555DC" w:rsidRDefault="008477FF" w:rsidP="00062791">
            <w:pPr>
              <w:suppressAutoHyphens w:val="0"/>
              <w:jc w:val="center"/>
              <w:rPr>
                <w:rFonts w:ascii="Aptos" w:hAnsi="Aptos" w:cs="Calibri"/>
                <w:color w:val="000000"/>
                <w:sz w:val="20"/>
                <w:szCs w:val="20"/>
              </w:rPr>
            </w:pPr>
            <w:r w:rsidRPr="009555DC">
              <w:rPr>
                <w:rFonts w:ascii="Aptos" w:hAnsi="Aptos"/>
                <w:color w:val="000000"/>
                <w:sz w:val="20"/>
                <w:szCs w:val="20"/>
              </w:rPr>
              <w:t>16</w:t>
            </w:r>
            <w:r w:rsidR="00763772" w:rsidRPr="009555DC">
              <w:rPr>
                <w:rFonts w:ascii="Aptos" w:hAnsi="Aptos"/>
                <w:color w:val="000000"/>
                <w:sz w:val="20"/>
                <w:szCs w:val="20"/>
              </w:rPr>
              <w:t>%</w:t>
            </w:r>
          </w:p>
        </w:tc>
      </w:tr>
      <w:tr w:rsidR="00763772" w:rsidRPr="009555DC" w14:paraId="4CCF830D"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C5738" w14:textId="77777777" w:rsidR="00763772" w:rsidRPr="009555DC" w:rsidRDefault="00763772" w:rsidP="00062791">
            <w:pPr>
              <w:suppressAutoHyphens w:val="0"/>
              <w:rPr>
                <w:rFonts w:ascii="Aptos" w:hAnsi="Aptos" w:cs="Calibri"/>
                <w:color w:val="000000"/>
                <w:sz w:val="20"/>
                <w:szCs w:val="20"/>
              </w:rPr>
            </w:pPr>
            <w:r w:rsidRPr="009555DC">
              <w:rPr>
                <w:rFonts w:ascii="Aptos" w:hAnsi="Aptos" w:cs="Calibri"/>
                <w:color w:val="000000"/>
                <w:sz w:val="20"/>
                <w:szCs w:val="20"/>
              </w:rPr>
              <w:t>Ethnicity: Hispanic</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AC46E"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1,365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9E7592"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17%</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113210"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1,281</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BA695A"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15%</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687DDB"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1,210</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B1246E"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16%</w:t>
            </w:r>
          </w:p>
        </w:tc>
      </w:tr>
      <w:tr w:rsidR="00763772" w:rsidRPr="009555DC" w14:paraId="6B50C837"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E36390" w14:textId="77777777" w:rsidR="00763772" w:rsidRPr="009555DC" w:rsidRDefault="00763772" w:rsidP="00062791">
            <w:pPr>
              <w:suppressAutoHyphens w:val="0"/>
              <w:rPr>
                <w:rFonts w:ascii="Aptos" w:hAnsi="Aptos" w:cs="Calibri"/>
                <w:color w:val="000000"/>
                <w:sz w:val="20"/>
                <w:szCs w:val="20"/>
              </w:rPr>
            </w:pPr>
            <w:r w:rsidRPr="009555DC">
              <w:rPr>
                <w:rFonts w:ascii="Aptos" w:hAnsi="Aptos" w:cs="Calibri"/>
                <w:color w:val="000000"/>
                <w:sz w:val="20"/>
                <w:szCs w:val="20"/>
              </w:rPr>
              <w:t>Ethnicity: Not Hispanic</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6F5CFC"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6,353</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4F08F1"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78%</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16AD69"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6,674</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078743"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79%</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DCE152"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6,008</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BCC14F"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78%</w:t>
            </w:r>
          </w:p>
        </w:tc>
      </w:tr>
      <w:tr w:rsidR="00763772" w:rsidRPr="009555DC" w14:paraId="7D937CDE" w14:textId="77777777"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1DE1FD" w14:textId="77777777" w:rsidR="00763772" w:rsidRPr="009555DC" w:rsidRDefault="00763772" w:rsidP="00062791">
            <w:pPr>
              <w:suppressAutoHyphens w:val="0"/>
              <w:rPr>
                <w:rFonts w:ascii="Aptos" w:hAnsi="Aptos" w:cs="Calibri"/>
                <w:color w:val="000000"/>
                <w:sz w:val="20"/>
                <w:szCs w:val="20"/>
              </w:rPr>
            </w:pPr>
            <w:r w:rsidRPr="009555DC">
              <w:rPr>
                <w:rFonts w:ascii="Aptos" w:hAnsi="Aptos" w:cs="Calibri"/>
                <w:color w:val="000000"/>
                <w:sz w:val="20"/>
                <w:szCs w:val="20"/>
              </w:rPr>
              <w:t>Ethnicity: Other</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737210"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466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EBB0C6"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E9510E"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467</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7579C"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48C71F"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498</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0BED17" w14:textId="77777777" w:rsidR="00763772" w:rsidRPr="009555DC" w:rsidRDefault="00763772" w:rsidP="00062791">
            <w:pPr>
              <w:suppressAutoHyphens w:val="0"/>
              <w:jc w:val="center"/>
              <w:rPr>
                <w:rFonts w:ascii="Aptos" w:hAnsi="Aptos" w:cs="Calibri"/>
                <w:color w:val="000000"/>
                <w:sz w:val="20"/>
                <w:szCs w:val="20"/>
              </w:rPr>
            </w:pPr>
            <w:r w:rsidRPr="009555DC">
              <w:rPr>
                <w:rFonts w:ascii="Aptos" w:hAnsi="Aptos"/>
                <w:color w:val="000000"/>
                <w:sz w:val="20"/>
                <w:szCs w:val="20"/>
              </w:rPr>
              <w:t>6%</w:t>
            </w:r>
          </w:p>
        </w:tc>
      </w:tr>
    </w:tbl>
    <w:p w14:paraId="1470E491" w14:textId="77777777" w:rsidR="002973CA" w:rsidRPr="009555DC" w:rsidRDefault="002973CA" w:rsidP="00A43A52">
      <w:pPr>
        <w:pStyle w:val="BodyText"/>
        <w:widowControl/>
        <w:spacing w:after="120"/>
        <w:ind w:right="116"/>
        <w:jc w:val="both"/>
        <w:rPr>
          <w:rFonts w:asciiTheme="minorHAnsi" w:hAnsiTheme="minorHAnsi" w:cs="Times New Roman"/>
          <w:b/>
          <w:bCs/>
          <w:kern w:val="2"/>
          <w:sz w:val="21"/>
          <w:szCs w:val="21"/>
        </w:rPr>
      </w:pPr>
    </w:p>
    <w:tbl>
      <w:tblPr>
        <w:tblW w:w="10170" w:type="dxa"/>
        <w:tblInd w:w="-365" w:type="dxa"/>
        <w:tblLayout w:type="fixed"/>
        <w:tblLook w:val="04A0" w:firstRow="1" w:lastRow="0" w:firstColumn="1" w:lastColumn="0" w:noHBand="0" w:noVBand="1"/>
      </w:tblPr>
      <w:tblGrid>
        <w:gridCol w:w="6210"/>
        <w:gridCol w:w="1320"/>
        <w:gridCol w:w="1320"/>
        <w:gridCol w:w="1320"/>
      </w:tblGrid>
      <w:tr w:rsidR="006E67AD" w:rsidRPr="009555DC" w14:paraId="57F2FED7" w14:textId="03D7425D" w:rsidTr="00CD76A8">
        <w:trPr>
          <w:cantSplit/>
          <w:trHeight w:val="310"/>
          <w:tblHeader/>
        </w:trPr>
        <w:tc>
          <w:tcPr>
            <w:tcW w:w="6210"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tcPr>
          <w:p w14:paraId="6630EC1A" w14:textId="34F4C228" w:rsidR="006E67AD" w:rsidRPr="009555DC" w:rsidRDefault="006E67AD" w:rsidP="00DA2DF9">
            <w:pPr>
              <w:suppressAutoHyphens w:val="0"/>
              <w:rPr>
                <w:rFonts w:asciiTheme="minorHAnsi" w:hAnsiTheme="minorHAnsi" w:cs="Calibri"/>
                <w:color w:val="000000"/>
                <w:sz w:val="20"/>
                <w:szCs w:val="20"/>
              </w:rPr>
            </w:pPr>
            <w:r w:rsidRPr="009555DC">
              <w:rPr>
                <w:rFonts w:asciiTheme="minorHAnsi" w:hAnsiTheme="minorHAnsi"/>
                <w:b/>
                <w:bCs/>
                <w:kern w:val="2"/>
                <w:sz w:val="20"/>
                <w:szCs w:val="20"/>
              </w:rPr>
              <w:t xml:space="preserve">Table 2: Patient Panel </w:t>
            </w:r>
            <w:r w:rsidRPr="009555DC">
              <w:rPr>
                <w:rFonts w:asciiTheme="minorHAnsi" w:hAnsiTheme="minorHAnsi"/>
                <w:b/>
                <w:bCs/>
                <w:color w:val="FFFFFF" w:themeColor="background1"/>
                <w:kern w:val="2"/>
                <w:sz w:val="20"/>
                <w:szCs w:val="20"/>
              </w:rPr>
              <w:t>Payer Data</w:t>
            </w:r>
          </w:p>
        </w:tc>
        <w:tc>
          <w:tcPr>
            <w:tcW w:w="1320"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tcPr>
          <w:p w14:paraId="11DAE297" w14:textId="14D8FAAD"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b/>
                <w:bCs/>
                <w:color w:val="FFFFFF" w:themeColor="background1"/>
                <w:sz w:val="20"/>
                <w:szCs w:val="20"/>
              </w:rPr>
              <w:t>FY22 %</w:t>
            </w:r>
          </w:p>
        </w:tc>
        <w:tc>
          <w:tcPr>
            <w:tcW w:w="1320"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tcPr>
          <w:p w14:paraId="74199DA2" w14:textId="75DE4B6D" w:rsidR="006E67AD" w:rsidRPr="009555DC" w:rsidRDefault="006E67AD" w:rsidP="00DA2DF9">
            <w:pPr>
              <w:suppressAutoHyphens w:val="0"/>
              <w:jc w:val="center"/>
              <w:rPr>
                <w:rFonts w:asciiTheme="minorHAnsi" w:hAnsiTheme="minorHAnsi" w:cs="Calibri"/>
                <w:b/>
                <w:bCs/>
                <w:color w:val="FFFFFF" w:themeColor="background1"/>
                <w:sz w:val="20"/>
                <w:szCs w:val="20"/>
              </w:rPr>
            </w:pPr>
            <w:r w:rsidRPr="009555DC">
              <w:rPr>
                <w:rFonts w:asciiTheme="minorHAnsi" w:hAnsiTheme="minorHAnsi" w:cs="Calibri"/>
                <w:b/>
                <w:bCs/>
                <w:color w:val="FFFFFF" w:themeColor="background1"/>
                <w:sz w:val="20"/>
                <w:szCs w:val="20"/>
              </w:rPr>
              <w:t>FY23 %</w:t>
            </w:r>
          </w:p>
        </w:tc>
        <w:tc>
          <w:tcPr>
            <w:tcW w:w="1320"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tcPr>
          <w:p w14:paraId="32688F02" w14:textId="6C061D7A" w:rsidR="006E67AD" w:rsidRPr="009555DC" w:rsidRDefault="006E67AD" w:rsidP="00DA2DF9">
            <w:pPr>
              <w:suppressAutoHyphens w:val="0"/>
              <w:jc w:val="center"/>
              <w:rPr>
                <w:rFonts w:asciiTheme="minorHAnsi" w:hAnsiTheme="minorHAnsi" w:cs="Calibri"/>
                <w:b/>
                <w:bCs/>
                <w:color w:val="FFFFFF" w:themeColor="background1"/>
                <w:sz w:val="20"/>
                <w:szCs w:val="20"/>
              </w:rPr>
            </w:pPr>
            <w:r w:rsidRPr="009555DC">
              <w:rPr>
                <w:rFonts w:asciiTheme="minorHAnsi" w:hAnsiTheme="minorHAnsi" w:cs="Calibri"/>
                <w:b/>
                <w:bCs/>
                <w:color w:val="FFFFFF" w:themeColor="background1"/>
                <w:sz w:val="20"/>
                <w:szCs w:val="20"/>
              </w:rPr>
              <w:t>FY24 %</w:t>
            </w:r>
          </w:p>
        </w:tc>
      </w:tr>
      <w:tr w:rsidR="006E67AD" w:rsidRPr="009555DC" w14:paraId="47C4BBD7" w14:textId="704316CA"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3916" w14:textId="77777777" w:rsidR="006E67AD" w:rsidRPr="009555DC" w:rsidRDefault="006E67AD" w:rsidP="00DA2DF9">
            <w:pPr>
              <w:suppressAutoHyphens w:val="0"/>
              <w:rPr>
                <w:rFonts w:asciiTheme="minorHAnsi" w:hAnsiTheme="minorHAnsi" w:cs="Calibri"/>
                <w:b/>
                <w:bCs/>
                <w:sz w:val="20"/>
                <w:szCs w:val="20"/>
              </w:rPr>
            </w:pPr>
            <w:r w:rsidRPr="009555DC">
              <w:rPr>
                <w:rFonts w:asciiTheme="minorHAnsi" w:hAnsiTheme="minorHAnsi" w:cs="Calibri"/>
                <w:color w:val="000000"/>
                <w:sz w:val="20"/>
                <w:szCs w:val="20"/>
              </w:rPr>
              <w:t>Payer: Commercial</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0F35E4" w14:textId="67489975"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59%</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58CE4622" w14:textId="56180CA0"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6</w:t>
            </w:r>
            <w:r w:rsidR="00854409" w:rsidRPr="009555DC">
              <w:rPr>
                <w:rFonts w:asciiTheme="minorHAnsi" w:hAnsiTheme="minorHAnsi" w:cs="Calibri"/>
                <w:color w:val="000000"/>
                <w:sz w:val="20"/>
                <w:szCs w:val="20"/>
              </w:rPr>
              <w:t>1</w:t>
            </w:r>
            <w:r w:rsidRPr="009555DC">
              <w:rPr>
                <w:rFonts w:asciiTheme="minorHAnsi" w:hAnsiTheme="minorHAnsi" w:cs="Calibri"/>
                <w:color w:val="00000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57F44BCD" w14:textId="4E6475D7" w:rsidR="006E67AD" w:rsidRPr="009555DC" w:rsidRDefault="00854409"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60</w:t>
            </w:r>
            <w:r w:rsidR="006E67AD" w:rsidRPr="009555DC">
              <w:rPr>
                <w:rFonts w:asciiTheme="minorHAnsi" w:hAnsiTheme="minorHAnsi" w:cs="Calibri"/>
                <w:color w:val="000000"/>
                <w:sz w:val="20"/>
                <w:szCs w:val="20"/>
              </w:rPr>
              <w:t>%</w:t>
            </w:r>
          </w:p>
        </w:tc>
      </w:tr>
      <w:tr w:rsidR="006E67AD" w:rsidRPr="009555DC" w14:paraId="5EC84A56" w14:textId="520CCE50"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6709A2" w14:textId="77777777" w:rsidR="006E67AD" w:rsidRPr="009555DC" w:rsidRDefault="006E67AD" w:rsidP="00DA2DF9">
            <w:pPr>
              <w:suppressAutoHyphens w:val="0"/>
              <w:rPr>
                <w:rFonts w:asciiTheme="minorHAnsi" w:hAnsiTheme="minorHAnsi" w:cs="Calibri"/>
                <w:color w:val="000000"/>
                <w:sz w:val="20"/>
                <w:szCs w:val="20"/>
              </w:rPr>
            </w:pPr>
            <w:r w:rsidRPr="009555DC">
              <w:rPr>
                <w:rFonts w:asciiTheme="minorHAnsi" w:hAnsiTheme="minorHAnsi" w:cs="Calibri"/>
                <w:color w:val="000000"/>
                <w:sz w:val="20"/>
                <w:szCs w:val="20"/>
              </w:rPr>
              <w:t>Payer: Medicare</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EF0912" w14:textId="4F11DC5C"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2</w:t>
            </w:r>
            <w:r w:rsidR="00854409" w:rsidRPr="009555DC">
              <w:rPr>
                <w:rFonts w:asciiTheme="minorHAnsi" w:hAnsiTheme="minorHAnsi" w:cs="Calibri"/>
                <w:color w:val="000000"/>
                <w:sz w:val="20"/>
                <w:szCs w:val="20"/>
              </w:rPr>
              <w:t>1</w:t>
            </w:r>
            <w:r w:rsidRPr="009555DC">
              <w:rPr>
                <w:rFonts w:asciiTheme="minorHAnsi" w:hAnsiTheme="minorHAnsi" w:cs="Calibri"/>
                <w:color w:val="00000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5053C0E8" w14:textId="165FBF77"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20%</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34F74A0E" w14:textId="19F0F64B"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19%</w:t>
            </w:r>
          </w:p>
        </w:tc>
      </w:tr>
      <w:tr w:rsidR="006E67AD" w:rsidRPr="009555DC" w14:paraId="4E161C90" w14:textId="0DE0BA41"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D8AD2B" w14:textId="77777777" w:rsidR="006E67AD" w:rsidRPr="009555DC" w:rsidRDefault="006E67AD" w:rsidP="00DA2DF9">
            <w:pPr>
              <w:suppressAutoHyphens w:val="0"/>
              <w:rPr>
                <w:rFonts w:asciiTheme="minorHAnsi" w:hAnsiTheme="minorHAnsi" w:cs="Calibri"/>
                <w:color w:val="000000"/>
                <w:sz w:val="20"/>
                <w:szCs w:val="20"/>
              </w:rPr>
            </w:pPr>
            <w:r w:rsidRPr="009555DC">
              <w:rPr>
                <w:rFonts w:asciiTheme="minorHAnsi" w:hAnsiTheme="minorHAnsi" w:cs="Calibri"/>
                <w:color w:val="000000"/>
                <w:sz w:val="20"/>
                <w:szCs w:val="20"/>
              </w:rPr>
              <w:t>Payer: Medicare Managed</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6DCB37" w14:textId="5CB271A2"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7%</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015607D0" w14:textId="479B322F"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8%</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4722040C" w14:textId="3465B11E"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9%</w:t>
            </w:r>
          </w:p>
        </w:tc>
      </w:tr>
      <w:tr w:rsidR="006E67AD" w:rsidRPr="009555DC" w14:paraId="2958CFC9" w14:textId="7F020B49"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29AD3" w14:textId="77777777" w:rsidR="006E67AD" w:rsidRPr="009555DC" w:rsidRDefault="006E67AD" w:rsidP="00DA2DF9">
            <w:pPr>
              <w:suppressAutoHyphens w:val="0"/>
              <w:rPr>
                <w:rFonts w:asciiTheme="minorHAnsi" w:hAnsiTheme="minorHAnsi" w:cs="Calibri"/>
                <w:color w:val="000000"/>
                <w:sz w:val="20"/>
                <w:szCs w:val="20"/>
              </w:rPr>
            </w:pPr>
            <w:r w:rsidRPr="009555DC">
              <w:rPr>
                <w:rFonts w:asciiTheme="minorHAnsi" w:hAnsiTheme="minorHAnsi" w:cs="Calibri"/>
                <w:color w:val="000000"/>
                <w:sz w:val="20"/>
                <w:szCs w:val="20"/>
              </w:rPr>
              <w:t>Payer: Medicaid</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D16BDB" w14:textId="087F96E0"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1</w:t>
            </w:r>
            <w:r w:rsidR="00854409" w:rsidRPr="009555DC">
              <w:rPr>
                <w:rFonts w:asciiTheme="minorHAnsi" w:hAnsiTheme="minorHAnsi" w:cs="Calibri"/>
                <w:color w:val="000000"/>
                <w:sz w:val="20"/>
                <w:szCs w:val="20"/>
              </w:rPr>
              <w:t>2</w:t>
            </w:r>
            <w:r w:rsidRPr="009555DC">
              <w:rPr>
                <w:rFonts w:asciiTheme="minorHAnsi" w:hAnsiTheme="minorHAnsi" w:cs="Calibri"/>
                <w:color w:val="00000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0C77E1F0" w14:textId="354EC6EE"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6%</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61691E1D" w14:textId="3A28E05A" w:rsidR="006E67AD" w:rsidRPr="009555DC" w:rsidRDefault="00854409"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3</w:t>
            </w:r>
            <w:r w:rsidR="006E67AD" w:rsidRPr="009555DC">
              <w:rPr>
                <w:rFonts w:asciiTheme="minorHAnsi" w:hAnsiTheme="minorHAnsi" w:cs="Calibri"/>
                <w:color w:val="000000"/>
                <w:sz w:val="20"/>
                <w:szCs w:val="20"/>
              </w:rPr>
              <w:t>%</w:t>
            </w:r>
          </w:p>
        </w:tc>
      </w:tr>
      <w:tr w:rsidR="006E67AD" w:rsidRPr="009555DC" w14:paraId="59A4EBAD" w14:textId="18B536F3"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281D06" w14:textId="77777777" w:rsidR="006E67AD" w:rsidRPr="009555DC" w:rsidRDefault="006E67AD" w:rsidP="00DA2DF9">
            <w:pPr>
              <w:suppressAutoHyphens w:val="0"/>
              <w:rPr>
                <w:rFonts w:asciiTheme="minorHAnsi" w:hAnsiTheme="minorHAnsi" w:cs="Calibri"/>
                <w:color w:val="000000"/>
                <w:sz w:val="20"/>
                <w:szCs w:val="20"/>
              </w:rPr>
            </w:pPr>
            <w:r w:rsidRPr="009555DC">
              <w:rPr>
                <w:rFonts w:asciiTheme="minorHAnsi" w:hAnsiTheme="minorHAnsi" w:cs="Calibri"/>
                <w:color w:val="000000"/>
                <w:sz w:val="20"/>
                <w:szCs w:val="20"/>
              </w:rPr>
              <w:t>Payer: Medicaid Managed</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F0E3F" w14:textId="7EBC9628" w:rsidR="006E67AD" w:rsidRPr="009555DC" w:rsidRDefault="00854409"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1</w:t>
            </w:r>
            <w:r w:rsidR="006E67AD" w:rsidRPr="009555DC">
              <w:rPr>
                <w:rFonts w:asciiTheme="minorHAnsi" w:hAnsiTheme="minorHAnsi" w:cs="Calibri"/>
                <w:color w:val="00000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7B09B7C7" w14:textId="2010A6B4"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4%</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25818848" w14:textId="6A8A4F0D" w:rsidR="006E67AD" w:rsidRPr="009555DC" w:rsidRDefault="006E67AD"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7%</w:t>
            </w:r>
          </w:p>
        </w:tc>
      </w:tr>
      <w:tr w:rsidR="006E67AD" w:rsidRPr="009555DC" w14:paraId="4D456FEE" w14:textId="7555F37E"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F23DF7" w14:textId="77777777" w:rsidR="006E67AD" w:rsidRPr="009555DC" w:rsidRDefault="006E67AD" w:rsidP="00DA2DF9">
            <w:pPr>
              <w:suppressAutoHyphens w:val="0"/>
              <w:rPr>
                <w:rFonts w:asciiTheme="minorHAnsi" w:hAnsiTheme="minorHAnsi" w:cs="Calibri"/>
                <w:color w:val="000000"/>
                <w:sz w:val="20"/>
                <w:szCs w:val="20"/>
              </w:rPr>
            </w:pPr>
            <w:r w:rsidRPr="009555DC">
              <w:rPr>
                <w:rFonts w:asciiTheme="minorHAnsi" w:hAnsiTheme="minorHAnsi" w:cs="Calibri"/>
                <w:color w:val="000000"/>
                <w:sz w:val="20"/>
                <w:szCs w:val="20"/>
              </w:rPr>
              <w:t>Payer: Other</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BF76F1" w14:textId="74812569" w:rsidR="006E67AD" w:rsidRPr="009555DC" w:rsidRDefault="00854409"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1</w:t>
            </w:r>
            <w:r w:rsidR="006E67AD" w:rsidRPr="009555DC">
              <w:rPr>
                <w:rFonts w:asciiTheme="minorHAnsi" w:hAnsiTheme="minorHAnsi" w:cs="Calibri"/>
                <w:color w:val="00000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7D6B1198" w14:textId="1A8FD5A5" w:rsidR="006E67AD" w:rsidRPr="009555DC" w:rsidRDefault="00854409"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1</w:t>
            </w:r>
            <w:r w:rsidR="006E67AD" w:rsidRPr="009555DC">
              <w:rPr>
                <w:rFonts w:asciiTheme="minorHAnsi" w:hAnsiTheme="minorHAnsi" w:cs="Calibri"/>
                <w:color w:val="00000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7AF01D38" w14:textId="22F3AEBD" w:rsidR="006E67AD" w:rsidRPr="009555DC" w:rsidRDefault="00854409" w:rsidP="00DA2DF9">
            <w:pPr>
              <w:suppressAutoHyphens w:val="0"/>
              <w:jc w:val="center"/>
              <w:rPr>
                <w:rFonts w:asciiTheme="minorHAnsi" w:hAnsiTheme="minorHAnsi" w:cs="Calibri"/>
                <w:color w:val="000000"/>
                <w:sz w:val="20"/>
                <w:szCs w:val="20"/>
              </w:rPr>
            </w:pPr>
            <w:r w:rsidRPr="009555DC">
              <w:rPr>
                <w:rFonts w:asciiTheme="minorHAnsi" w:hAnsiTheme="minorHAnsi" w:cs="Calibri"/>
                <w:color w:val="000000"/>
                <w:sz w:val="20"/>
                <w:szCs w:val="20"/>
              </w:rPr>
              <w:t>2</w:t>
            </w:r>
            <w:r w:rsidR="006E67AD" w:rsidRPr="009555DC">
              <w:rPr>
                <w:rFonts w:asciiTheme="minorHAnsi" w:hAnsiTheme="minorHAnsi" w:cs="Calibri"/>
                <w:color w:val="000000"/>
                <w:sz w:val="20"/>
                <w:szCs w:val="20"/>
              </w:rPr>
              <w:t>%</w:t>
            </w:r>
          </w:p>
        </w:tc>
      </w:tr>
      <w:tr w:rsidR="006E67AD" w:rsidRPr="009555DC" w14:paraId="2D36B340" w14:textId="689DE2FB" w:rsidTr="00CD76A8">
        <w:trPr>
          <w:cantSplit/>
          <w:trHeight w:val="310"/>
        </w:trPr>
        <w:tc>
          <w:tcPr>
            <w:tcW w:w="6210" w:type="dxa"/>
            <w:tcBorders>
              <w:top w:val="single" w:sz="4" w:space="0" w:color="auto"/>
              <w:left w:val="single" w:sz="4" w:space="0" w:color="auto"/>
              <w:bottom w:val="single" w:sz="4" w:space="0" w:color="auto"/>
              <w:right w:val="single" w:sz="4" w:space="0" w:color="auto"/>
            </w:tcBorders>
            <w:shd w:val="clear" w:color="auto" w:fill="156082" w:themeFill="accent1"/>
            <w:noWrap/>
            <w:vAlign w:val="center"/>
          </w:tcPr>
          <w:p w14:paraId="74DA6F87" w14:textId="0382491C" w:rsidR="006E67AD" w:rsidRPr="009555DC" w:rsidRDefault="006E67AD" w:rsidP="00F23D83">
            <w:pPr>
              <w:suppressAutoHyphens w:val="0"/>
              <w:rPr>
                <w:rFonts w:asciiTheme="minorHAnsi" w:hAnsiTheme="minorHAnsi" w:cs="Calibri"/>
                <w:color w:val="FFFFFF" w:themeColor="background1"/>
                <w:sz w:val="21"/>
                <w:szCs w:val="21"/>
              </w:rPr>
            </w:pPr>
            <w:r w:rsidRPr="009555DC">
              <w:rPr>
                <w:rFonts w:asciiTheme="minorHAnsi" w:hAnsiTheme="minorHAnsi" w:cs="Calibri"/>
                <w:b/>
                <w:bCs/>
                <w:color w:val="FFFFFF" w:themeColor="background1"/>
                <w:sz w:val="21"/>
                <w:szCs w:val="21"/>
              </w:rPr>
              <w:t xml:space="preserve">Total  </w:t>
            </w:r>
          </w:p>
        </w:tc>
        <w:tc>
          <w:tcPr>
            <w:tcW w:w="1320" w:type="dxa"/>
            <w:tcBorders>
              <w:top w:val="single" w:sz="4" w:space="0" w:color="auto"/>
              <w:left w:val="single" w:sz="4" w:space="0" w:color="auto"/>
              <w:bottom w:val="single" w:sz="4" w:space="0" w:color="auto"/>
              <w:right w:val="single" w:sz="4" w:space="0" w:color="auto"/>
            </w:tcBorders>
            <w:shd w:val="clear" w:color="auto" w:fill="156082" w:themeFill="accent1"/>
            <w:noWrap/>
            <w:vAlign w:val="center"/>
          </w:tcPr>
          <w:p w14:paraId="1B5E162C" w14:textId="20CD3162" w:rsidR="006E67AD" w:rsidRPr="009555DC" w:rsidRDefault="006E67AD" w:rsidP="00F23D83">
            <w:pPr>
              <w:suppressAutoHyphens w:val="0"/>
              <w:jc w:val="center"/>
              <w:rPr>
                <w:rFonts w:asciiTheme="minorHAnsi" w:hAnsiTheme="minorHAnsi" w:cs="Calibri"/>
                <w:color w:val="FFFFFF" w:themeColor="background1"/>
                <w:sz w:val="21"/>
                <w:szCs w:val="21"/>
              </w:rPr>
            </w:pPr>
            <w:r w:rsidRPr="009555DC">
              <w:rPr>
                <w:rFonts w:asciiTheme="minorHAnsi" w:hAnsiTheme="minorHAnsi" w:cs="Calibri"/>
                <w:b/>
                <w:bCs/>
                <w:color w:val="FFFFFF" w:themeColor="background1"/>
                <w:sz w:val="21"/>
                <w:szCs w:val="21"/>
              </w:rPr>
              <w:t>100%</w:t>
            </w:r>
          </w:p>
        </w:tc>
        <w:tc>
          <w:tcPr>
            <w:tcW w:w="1320"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0C1997EB" w14:textId="33F0EC78" w:rsidR="006E67AD" w:rsidRPr="009555DC" w:rsidRDefault="006E67AD" w:rsidP="00F23D83">
            <w:pPr>
              <w:suppressAutoHyphens w:val="0"/>
              <w:jc w:val="center"/>
              <w:rPr>
                <w:rFonts w:asciiTheme="minorHAnsi" w:hAnsiTheme="minorHAnsi" w:cs="Calibri"/>
                <w:b/>
                <w:bCs/>
                <w:color w:val="FFFFFF" w:themeColor="background1"/>
                <w:sz w:val="21"/>
                <w:szCs w:val="21"/>
              </w:rPr>
            </w:pPr>
            <w:r w:rsidRPr="009555DC">
              <w:rPr>
                <w:rFonts w:asciiTheme="minorHAnsi" w:hAnsiTheme="minorHAnsi" w:cs="Calibri"/>
                <w:b/>
                <w:bCs/>
                <w:color w:val="FFFFFF" w:themeColor="background1"/>
                <w:sz w:val="21"/>
                <w:szCs w:val="21"/>
              </w:rPr>
              <w:t>100%</w:t>
            </w:r>
          </w:p>
        </w:tc>
        <w:tc>
          <w:tcPr>
            <w:tcW w:w="1320"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28C0E687" w14:textId="3FA82B49" w:rsidR="006E67AD" w:rsidRPr="009555DC" w:rsidRDefault="006E67AD" w:rsidP="00F23D83">
            <w:pPr>
              <w:suppressAutoHyphens w:val="0"/>
              <w:jc w:val="center"/>
              <w:rPr>
                <w:rFonts w:asciiTheme="minorHAnsi" w:hAnsiTheme="minorHAnsi" w:cs="Calibri"/>
                <w:b/>
                <w:bCs/>
                <w:color w:val="FFFFFF" w:themeColor="background1"/>
                <w:sz w:val="21"/>
                <w:szCs w:val="21"/>
              </w:rPr>
            </w:pPr>
            <w:r w:rsidRPr="009555DC">
              <w:rPr>
                <w:rFonts w:asciiTheme="minorHAnsi" w:hAnsiTheme="minorHAnsi" w:cs="Calibri"/>
                <w:b/>
                <w:bCs/>
                <w:color w:val="FFFFFF" w:themeColor="background1"/>
                <w:sz w:val="21"/>
                <w:szCs w:val="21"/>
              </w:rPr>
              <w:t>100%</w:t>
            </w:r>
          </w:p>
        </w:tc>
      </w:tr>
    </w:tbl>
    <w:p w14:paraId="523439E7" w14:textId="77777777" w:rsidR="002973CA" w:rsidRPr="009555DC" w:rsidRDefault="002973CA" w:rsidP="00A43A52">
      <w:pPr>
        <w:pStyle w:val="BodyText"/>
        <w:widowControl/>
        <w:spacing w:after="120"/>
        <w:ind w:right="116"/>
        <w:jc w:val="both"/>
        <w:rPr>
          <w:rFonts w:asciiTheme="minorHAnsi" w:hAnsiTheme="minorHAnsi" w:cs="Times New Roman"/>
          <w:b/>
          <w:bCs/>
          <w:kern w:val="2"/>
          <w:sz w:val="21"/>
          <w:szCs w:val="21"/>
        </w:rPr>
        <w:sectPr w:rsidR="002973CA" w:rsidRPr="009555DC" w:rsidSect="00A43A52">
          <w:pgSz w:w="15840" w:h="12240" w:orient="landscape"/>
          <w:pgMar w:top="1440" w:right="1440" w:bottom="1440" w:left="1440" w:header="720" w:footer="720" w:gutter="0"/>
          <w:cols w:space="720"/>
          <w:docGrid w:linePitch="360"/>
        </w:sectPr>
      </w:pPr>
    </w:p>
    <w:p w14:paraId="389E2A36" w14:textId="75C91FE4" w:rsidR="00A43A52" w:rsidRPr="009555DC" w:rsidRDefault="00A43A52" w:rsidP="00A43A52">
      <w:pPr>
        <w:pStyle w:val="BodyText"/>
        <w:widowControl/>
        <w:spacing w:after="120"/>
        <w:ind w:right="116"/>
        <w:jc w:val="both"/>
        <w:rPr>
          <w:rFonts w:asciiTheme="minorHAnsi" w:hAnsiTheme="minorHAnsi" w:cs="Times New Roman"/>
          <w:b/>
          <w:bCs/>
          <w:kern w:val="2"/>
          <w:sz w:val="21"/>
          <w:szCs w:val="21"/>
        </w:rPr>
      </w:pPr>
    </w:p>
    <w:tbl>
      <w:tblPr>
        <w:tblW w:w="137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1260"/>
        <w:gridCol w:w="960"/>
        <w:gridCol w:w="960"/>
        <w:gridCol w:w="960"/>
        <w:gridCol w:w="960"/>
        <w:gridCol w:w="960"/>
        <w:gridCol w:w="960"/>
      </w:tblGrid>
      <w:tr w:rsidR="00012D3F" w:rsidRPr="009555DC" w14:paraId="2C4A0374" w14:textId="57261A0D" w:rsidTr="00580E73">
        <w:trPr>
          <w:cantSplit/>
          <w:trHeight w:val="310"/>
          <w:tblHeader/>
        </w:trPr>
        <w:tc>
          <w:tcPr>
            <w:tcW w:w="6750" w:type="dxa"/>
            <w:tcBorders>
              <w:bottom w:val="single" w:sz="4" w:space="0" w:color="auto"/>
            </w:tcBorders>
            <w:shd w:val="clear" w:color="auto" w:fill="0F4761" w:themeFill="accent1" w:themeFillShade="BF"/>
            <w:vAlign w:val="bottom"/>
          </w:tcPr>
          <w:p w14:paraId="5EA26318" w14:textId="77777777" w:rsidR="00012D3F" w:rsidRPr="009555DC" w:rsidRDefault="00012D3F" w:rsidP="006826FD">
            <w:pPr>
              <w:suppressAutoHyphens w:val="0"/>
              <w:rPr>
                <w:rFonts w:ascii="Aptos" w:hAnsi="Aptos"/>
                <w:b/>
                <w:bCs/>
                <w:kern w:val="2"/>
                <w:sz w:val="20"/>
                <w:szCs w:val="20"/>
              </w:rPr>
            </w:pPr>
            <w:bookmarkStart w:id="3" w:name="_Hlk204260624"/>
            <w:r w:rsidRPr="009555DC">
              <w:rPr>
                <w:rFonts w:ascii="Aptos" w:hAnsi="Aptos"/>
                <w:b/>
                <w:bCs/>
                <w:kern w:val="2"/>
                <w:sz w:val="20"/>
                <w:szCs w:val="20"/>
              </w:rPr>
              <w:t>Table 3: Patient Panel Geographic Origin</w:t>
            </w:r>
          </w:p>
          <w:p w14:paraId="26C6248C" w14:textId="78FC0657" w:rsidR="00012D3F" w:rsidRPr="009555DC" w:rsidRDefault="00012D3F" w:rsidP="006826FD">
            <w:pPr>
              <w:suppressAutoHyphens w:val="0"/>
              <w:jc w:val="right"/>
              <w:rPr>
                <w:rFonts w:ascii="Aptos" w:hAnsi="Aptos" w:cs="Calibri"/>
                <w:b/>
                <w:bCs/>
                <w:color w:val="FFFFFF"/>
                <w:sz w:val="20"/>
                <w:szCs w:val="20"/>
              </w:rPr>
            </w:pPr>
            <w:r w:rsidRPr="009555DC">
              <w:rPr>
                <w:rFonts w:ascii="Aptos" w:hAnsi="Aptos"/>
                <w:b/>
                <w:bCs/>
                <w:kern w:val="2"/>
                <w:sz w:val="20"/>
                <w:szCs w:val="20"/>
              </w:rPr>
              <w:t>Zip Code(s)</w:t>
            </w:r>
          </w:p>
        </w:tc>
        <w:tc>
          <w:tcPr>
            <w:tcW w:w="1260" w:type="dxa"/>
            <w:tcBorders>
              <w:bottom w:val="single" w:sz="4" w:space="0" w:color="auto"/>
            </w:tcBorders>
            <w:shd w:val="clear" w:color="auto" w:fill="0F4761" w:themeFill="accent1" w:themeFillShade="BF"/>
            <w:vAlign w:val="bottom"/>
          </w:tcPr>
          <w:p w14:paraId="1A74DAEA" w14:textId="77777777"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b/>
                <w:bCs/>
                <w:color w:val="FFFFFF" w:themeColor="background1"/>
                <w:sz w:val="20"/>
                <w:szCs w:val="20"/>
              </w:rPr>
              <w:t>Town</w:t>
            </w:r>
          </w:p>
        </w:tc>
        <w:tc>
          <w:tcPr>
            <w:tcW w:w="960" w:type="dxa"/>
            <w:tcBorders>
              <w:bottom w:val="single" w:sz="4" w:space="0" w:color="auto"/>
            </w:tcBorders>
            <w:shd w:val="clear" w:color="auto" w:fill="0F4761" w:themeFill="accent1" w:themeFillShade="BF"/>
            <w:noWrap/>
            <w:vAlign w:val="bottom"/>
            <w:hideMark/>
          </w:tcPr>
          <w:p w14:paraId="20D21E6C" w14:textId="78217BA1"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b/>
                <w:bCs/>
                <w:color w:val="FFFFFF"/>
                <w:sz w:val="20"/>
                <w:szCs w:val="20"/>
              </w:rPr>
              <w:t>FY2022</w:t>
            </w:r>
          </w:p>
          <w:p w14:paraId="0FFF0480" w14:textId="490A0798" w:rsidR="00012D3F" w:rsidRPr="009555DC" w:rsidRDefault="00012D3F" w:rsidP="006826FD">
            <w:pPr>
              <w:suppressAutoHyphens w:val="0"/>
              <w:jc w:val="center"/>
              <w:rPr>
                <w:rFonts w:ascii="Aptos" w:hAnsi="Aptos" w:cs="Calibri"/>
                <w:i/>
                <w:iCs/>
                <w:color w:val="FFFFFF"/>
                <w:sz w:val="20"/>
                <w:szCs w:val="20"/>
              </w:rPr>
            </w:pPr>
            <w:r w:rsidRPr="009555DC">
              <w:rPr>
                <w:rFonts w:ascii="Aptos" w:hAnsi="Aptos" w:cs="Calibri"/>
                <w:i/>
                <w:iCs/>
                <w:color w:val="FFFFFF"/>
                <w:sz w:val="20"/>
                <w:szCs w:val="20"/>
              </w:rPr>
              <w:t>Count</w:t>
            </w:r>
          </w:p>
        </w:tc>
        <w:tc>
          <w:tcPr>
            <w:tcW w:w="960" w:type="dxa"/>
            <w:tcBorders>
              <w:bottom w:val="single" w:sz="4" w:space="0" w:color="auto"/>
            </w:tcBorders>
            <w:shd w:val="clear" w:color="auto" w:fill="0F4761" w:themeFill="accent1" w:themeFillShade="BF"/>
            <w:noWrap/>
            <w:vAlign w:val="bottom"/>
            <w:hideMark/>
          </w:tcPr>
          <w:p w14:paraId="0981EF8E" w14:textId="242C1B55"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b/>
                <w:bCs/>
                <w:color w:val="FFFFFF"/>
                <w:sz w:val="20"/>
                <w:szCs w:val="20"/>
              </w:rPr>
              <w:t xml:space="preserve">FY2022 </w:t>
            </w:r>
          </w:p>
          <w:p w14:paraId="455C4C89" w14:textId="437E3E1B" w:rsidR="00012D3F" w:rsidRPr="009555DC" w:rsidRDefault="00012D3F" w:rsidP="006826FD">
            <w:pPr>
              <w:suppressAutoHyphens w:val="0"/>
              <w:jc w:val="center"/>
              <w:rPr>
                <w:rFonts w:ascii="Aptos" w:hAnsi="Aptos" w:cs="Calibri"/>
                <w:i/>
                <w:iCs/>
                <w:color w:val="FFFFFF"/>
                <w:sz w:val="20"/>
                <w:szCs w:val="20"/>
              </w:rPr>
            </w:pPr>
            <w:r w:rsidRPr="009555DC">
              <w:rPr>
                <w:rFonts w:ascii="Aptos" w:hAnsi="Aptos" w:cs="Calibri"/>
                <w:i/>
                <w:iCs/>
                <w:color w:val="FFFFFF"/>
                <w:sz w:val="20"/>
                <w:szCs w:val="20"/>
              </w:rPr>
              <w:t>Percent</w:t>
            </w:r>
          </w:p>
        </w:tc>
        <w:tc>
          <w:tcPr>
            <w:tcW w:w="960" w:type="dxa"/>
            <w:tcBorders>
              <w:bottom w:val="single" w:sz="4" w:space="0" w:color="auto"/>
            </w:tcBorders>
            <w:shd w:val="clear" w:color="auto" w:fill="0F4761" w:themeFill="accent1" w:themeFillShade="BF"/>
            <w:noWrap/>
            <w:vAlign w:val="bottom"/>
            <w:hideMark/>
          </w:tcPr>
          <w:p w14:paraId="00F0F9CB" w14:textId="5FFC7E1B"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b/>
                <w:bCs/>
                <w:color w:val="FFFFFF"/>
                <w:sz w:val="20"/>
                <w:szCs w:val="20"/>
              </w:rPr>
              <w:t xml:space="preserve">FY23 </w:t>
            </w:r>
            <w:r w:rsidRPr="009555DC">
              <w:rPr>
                <w:rFonts w:ascii="Aptos" w:hAnsi="Aptos" w:cs="Calibri"/>
                <w:i/>
                <w:iCs/>
                <w:color w:val="FFFFFF"/>
                <w:sz w:val="20"/>
                <w:szCs w:val="20"/>
              </w:rPr>
              <w:t>Count</w:t>
            </w:r>
          </w:p>
        </w:tc>
        <w:tc>
          <w:tcPr>
            <w:tcW w:w="960" w:type="dxa"/>
            <w:tcBorders>
              <w:bottom w:val="single" w:sz="4" w:space="0" w:color="auto"/>
            </w:tcBorders>
            <w:shd w:val="clear" w:color="auto" w:fill="0F4761" w:themeFill="accent1" w:themeFillShade="BF"/>
            <w:noWrap/>
            <w:vAlign w:val="bottom"/>
            <w:hideMark/>
          </w:tcPr>
          <w:p w14:paraId="5EA9203A" w14:textId="77777777"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b/>
                <w:bCs/>
                <w:color w:val="FFFFFF"/>
                <w:sz w:val="20"/>
                <w:szCs w:val="20"/>
              </w:rPr>
              <w:t xml:space="preserve">FY23 </w:t>
            </w:r>
          </w:p>
          <w:p w14:paraId="37AB81F1" w14:textId="194649A2"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i/>
                <w:iCs/>
                <w:color w:val="FFFFFF"/>
                <w:sz w:val="20"/>
                <w:szCs w:val="20"/>
              </w:rPr>
              <w:t>Percent</w:t>
            </w:r>
          </w:p>
        </w:tc>
        <w:tc>
          <w:tcPr>
            <w:tcW w:w="960" w:type="dxa"/>
            <w:tcBorders>
              <w:bottom w:val="single" w:sz="4" w:space="0" w:color="auto"/>
            </w:tcBorders>
            <w:shd w:val="clear" w:color="auto" w:fill="0F4761" w:themeFill="accent1" w:themeFillShade="BF"/>
            <w:noWrap/>
            <w:vAlign w:val="bottom"/>
            <w:hideMark/>
          </w:tcPr>
          <w:p w14:paraId="49A4BFEF" w14:textId="3C0CFFA6"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b/>
                <w:bCs/>
                <w:color w:val="FFFFFF"/>
                <w:sz w:val="20"/>
                <w:szCs w:val="20"/>
              </w:rPr>
              <w:t xml:space="preserve">FY24 </w:t>
            </w:r>
            <w:r w:rsidRPr="009555DC">
              <w:rPr>
                <w:rFonts w:ascii="Aptos" w:hAnsi="Aptos" w:cs="Calibri"/>
                <w:i/>
                <w:iCs/>
                <w:color w:val="FFFFFF"/>
                <w:sz w:val="20"/>
                <w:szCs w:val="20"/>
              </w:rPr>
              <w:t>Count</w:t>
            </w:r>
          </w:p>
        </w:tc>
        <w:tc>
          <w:tcPr>
            <w:tcW w:w="960" w:type="dxa"/>
            <w:tcBorders>
              <w:bottom w:val="single" w:sz="4" w:space="0" w:color="auto"/>
            </w:tcBorders>
            <w:shd w:val="clear" w:color="auto" w:fill="0F4761" w:themeFill="accent1" w:themeFillShade="BF"/>
            <w:noWrap/>
            <w:vAlign w:val="bottom"/>
            <w:hideMark/>
          </w:tcPr>
          <w:p w14:paraId="38558D49" w14:textId="77777777"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b/>
                <w:bCs/>
                <w:color w:val="FFFFFF"/>
                <w:sz w:val="20"/>
                <w:szCs w:val="20"/>
              </w:rPr>
              <w:t xml:space="preserve">FY24 </w:t>
            </w:r>
          </w:p>
          <w:p w14:paraId="506420C5" w14:textId="451A0335" w:rsidR="00012D3F" w:rsidRPr="009555DC" w:rsidRDefault="00012D3F" w:rsidP="006826FD">
            <w:pPr>
              <w:suppressAutoHyphens w:val="0"/>
              <w:jc w:val="center"/>
              <w:rPr>
                <w:rFonts w:ascii="Aptos" w:hAnsi="Aptos" w:cs="Calibri"/>
                <w:b/>
                <w:bCs/>
                <w:color w:val="FFFFFF"/>
                <w:sz w:val="20"/>
                <w:szCs w:val="20"/>
              </w:rPr>
            </w:pPr>
            <w:r w:rsidRPr="009555DC">
              <w:rPr>
                <w:rFonts w:ascii="Aptos" w:hAnsi="Aptos" w:cs="Calibri"/>
                <w:i/>
                <w:iCs/>
                <w:color w:val="FFFFFF"/>
                <w:sz w:val="20"/>
                <w:szCs w:val="20"/>
              </w:rPr>
              <w:t>Percent</w:t>
            </w:r>
          </w:p>
        </w:tc>
      </w:tr>
      <w:tr w:rsidR="00F348BF" w:rsidRPr="009555DC" w14:paraId="6C015605" w14:textId="3CC909F9" w:rsidTr="00580E73">
        <w:trPr>
          <w:cantSplit/>
          <w:trHeight w:val="310"/>
        </w:trPr>
        <w:tc>
          <w:tcPr>
            <w:tcW w:w="6750" w:type="dxa"/>
            <w:vAlign w:val="center"/>
          </w:tcPr>
          <w:p w14:paraId="2E734379" w14:textId="180471AB" w:rsidR="00F348BF" w:rsidRPr="009555DC" w:rsidRDefault="00F348BF" w:rsidP="00F348BF">
            <w:pPr>
              <w:suppressAutoHyphens w:val="0"/>
              <w:jc w:val="right"/>
              <w:rPr>
                <w:rFonts w:asciiTheme="minorHAnsi" w:hAnsiTheme="minorHAnsi" w:cs="Calibri"/>
                <w:b/>
                <w:bCs/>
                <w:sz w:val="20"/>
                <w:szCs w:val="20"/>
              </w:rPr>
            </w:pPr>
            <w:bookmarkStart w:id="4" w:name="_Hlk204260584"/>
            <w:r w:rsidRPr="009555DC">
              <w:rPr>
                <w:rFonts w:asciiTheme="minorHAnsi" w:hAnsiTheme="minorHAnsi"/>
                <w:b/>
                <w:bCs/>
                <w:color w:val="000000"/>
                <w:sz w:val="20"/>
                <w:szCs w:val="20"/>
              </w:rPr>
              <w:t xml:space="preserve">02108, 02109, 02110, 02111, 02113, 02114, 02115, 02118, 02199, 02210, 02215, 02130, 02131, 02124, 02127, 02136, 02125, 02119, 02121, 02126, 02122, 02134, 02135, 02129 </w:t>
            </w:r>
          </w:p>
        </w:tc>
        <w:tc>
          <w:tcPr>
            <w:tcW w:w="1260" w:type="dxa"/>
            <w:vAlign w:val="bottom"/>
          </w:tcPr>
          <w:p w14:paraId="16F033A1" w14:textId="7D897499"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sz w:val="20"/>
                <w:szCs w:val="20"/>
              </w:rPr>
              <w:t>Boston</w:t>
            </w:r>
          </w:p>
        </w:tc>
        <w:tc>
          <w:tcPr>
            <w:tcW w:w="960" w:type="dxa"/>
            <w:noWrap/>
            <w:vAlign w:val="bottom"/>
          </w:tcPr>
          <w:p w14:paraId="17F96395" w14:textId="2FB82943"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3,574</w:t>
            </w:r>
          </w:p>
        </w:tc>
        <w:tc>
          <w:tcPr>
            <w:tcW w:w="960" w:type="dxa"/>
            <w:noWrap/>
            <w:vAlign w:val="bottom"/>
          </w:tcPr>
          <w:p w14:paraId="556E1887" w14:textId="12AA8040"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44%</w:t>
            </w:r>
          </w:p>
        </w:tc>
        <w:tc>
          <w:tcPr>
            <w:tcW w:w="960" w:type="dxa"/>
            <w:noWrap/>
            <w:vAlign w:val="bottom"/>
          </w:tcPr>
          <w:p w14:paraId="7BAFE53B" w14:textId="4713B04D"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3,448</w:t>
            </w:r>
          </w:p>
        </w:tc>
        <w:tc>
          <w:tcPr>
            <w:tcW w:w="960" w:type="dxa"/>
            <w:noWrap/>
            <w:vAlign w:val="bottom"/>
          </w:tcPr>
          <w:p w14:paraId="25FA01BF" w14:textId="48D89C09"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41%</w:t>
            </w:r>
          </w:p>
        </w:tc>
        <w:tc>
          <w:tcPr>
            <w:tcW w:w="960" w:type="dxa"/>
            <w:noWrap/>
            <w:vAlign w:val="bottom"/>
          </w:tcPr>
          <w:p w14:paraId="0321B2DD" w14:textId="42BD4640"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3,28</w:t>
            </w:r>
            <w:r w:rsidR="00E11FB3">
              <w:rPr>
                <w:rFonts w:asciiTheme="minorHAnsi" w:hAnsiTheme="minorHAnsi"/>
                <w:b/>
                <w:bCs/>
                <w:color w:val="000000"/>
                <w:sz w:val="20"/>
                <w:szCs w:val="20"/>
              </w:rPr>
              <w:t>6</w:t>
            </w:r>
          </w:p>
        </w:tc>
        <w:tc>
          <w:tcPr>
            <w:tcW w:w="960" w:type="dxa"/>
            <w:noWrap/>
            <w:vAlign w:val="bottom"/>
          </w:tcPr>
          <w:p w14:paraId="3ED77DC9" w14:textId="0DB93373"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43%</w:t>
            </w:r>
          </w:p>
        </w:tc>
      </w:tr>
      <w:tr w:rsidR="00F348BF" w:rsidRPr="009555DC" w14:paraId="4A8DF10F" w14:textId="1F3BCB89" w:rsidTr="00580E73">
        <w:trPr>
          <w:cantSplit/>
          <w:trHeight w:val="310"/>
        </w:trPr>
        <w:tc>
          <w:tcPr>
            <w:tcW w:w="6750" w:type="dxa"/>
            <w:vAlign w:val="center"/>
          </w:tcPr>
          <w:p w14:paraId="0A4DF209" w14:textId="5C0D5189" w:rsidR="00F348BF" w:rsidRPr="009555DC" w:rsidRDefault="00F348BF" w:rsidP="00F348BF">
            <w:pPr>
              <w:suppressAutoHyphens w:val="0"/>
              <w:jc w:val="right"/>
              <w:rPr>
                <w:rFonts w:asciiTheme="minorHAnsi" w:hAnsiTheme="minorHAnsi" w:cs="Calibri"/>
                <w:b/>
                <w:bCs/>
                <w:sz w:val="20"/>
                <w:szCs w:val="20"/>
              </w:rPr>
            </w:pPr>
            <w:r w:rsidRPr="009555DC">
              <w:rPr>
                <w:rFonts w:asciiTheme="minorHAnsi" w:hAnsiTheme="minorHAnsi"/>
                <w:b/>
                <w:bCs/>
                <w:color w:val="000000"/>
                <w:sz w:val="20"/>
                <w:szCs w:val="20"/>
              </w:rPr>
              <w:t>02138, 02139, 02140, 02141, 02142</w:t>
            </w:r>
          </w:p>
        </w:tc>
        <w:tc>
          <w:tcPr>
            <w:tcW w:w="1260" w:type="dxa"/>
            <w:vAlign w:val="bottom"/>
          </w:tcPr>
          <w:p w14:paraId="6B4AEC41" w14:textId="05FDDDF9"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sz w:val="20"/>
                <w:szCs w:val="20"/>
              </w:rPr>
              <w:t>Cambridge</w:t>
            </w:r>
          </w:p>
        </w:tc>
        <w:tc>
          <w:tcPr>
            <w:tcW w:w="960" w:type="dxa"/>
            <w:noWrap/>
            <w:vAlign w:val="bottom"/>
          </w:tcPr>
          <w:p w14:paraId="3456612A" w14:textId="14F77176"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687</w:t>
            </w:r>
          </w:p>
        </w:tc>
        <w:tc>
          <w:tcPr>
            <w:tcW w:w="960" w:type="dxa"/>
            <w:noWrap/>
            <w:vAlign w:val="bottom"/>
          </w:tcPr>
          <w:p w14:paraId="70DA634B" w14:textId="73C8758F"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8%</w:t>
            </w:r>
          </w:p>
        </w:tc>
        <w:tc>
          <w:tcPr>
            <w:tcW w:w="960" w:type="dxa"/>
            <w:noWrap/>
            <w:vAlign w:val="bottom"/>
          </w:tcPr>
          <w:p w14:paraId="052028B0" w14:textId="6C52E9E7"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763</w:t>
            </w:r>
          </w:p>
        </w:tc>
        <w:tc>
          <w:tcPr>
            <w:tcW w:w="960" w:type="dxa"/>
            <w:noWrap/>
            <w:vAlign w:val="bottom"/>
          </w:tcPr>
          <w:p w14:paraId="3DC5A5E7" w14:textId="43E445F8"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9%</w:t>
            </w:r>
          </w:p>
        </w:tc>
        <w:tc>
          <w:tcPr>
            <w:tcW w:w="960" w:type="dxa"/>
            <w:noWrap/>
            <w:vAlign w:val="bottom"/>
          </w:tcPr>
          <w:p w14:paraId="627A7112" w14:textId="275D0919"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691</w:t>
            </w:r>
          </w:p>
        </w:tc>
        <w:tc>
          <w:tcPr>
            <w:tcW w:w="960" w:type="dxa"/>
            <w:noWrap/>
            <w:vAlign w:val="bottom"/>
          </w:tcPr>
          <w:p w14:paraId="0E50BDCC" w14:textId="3732BAEE"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9%</w:t>
            </w:r>
          </w:p>
        </w:tc>
      </w:tr>
      <w:tr w:rsidR="00F348BF" w:rsidRPr="009555DC" w14:paraId="115C3F9C" w14:textId="6F6F2E37" w:rsidTr="00580E73">
        <w:trPr>
          <w:cantSplit/>
          <w:trHeight w:val="310"/>
        </w:trPr>
        <w:tc>
          <w:tcPr>
            <w:tcW w:w="6750" w:type="dxa"/>
            <w:vAlign w:val="bottom"/>
          </w:tcPr>
          <w:p w14:paraId="42659DE5" w14:textId="0FF03B9E" w:rsidR="00F348BF" w:rsidRPr="009555DC" w:rsidRDefault="00F348BF" w:rsidP="00F348BF">
            <w:pPr>
              <w:suppressAutoHyphens w:val="0"/>
              <w:jc w:val="right"/>
              <w:rPr>
                <w:rFonts w:asciiTheme="minorHAnsi" w:hAnsiTheme="minorHAnsi" w:cs="Calibri"/>
                <w:b/>
                <w:bCs/>
                <w:sz w:val="20"/>
                <w:szCs w:val="20"/>
              </w:rPr>
            </w:pPr>
            <w:r w:rsidRPr="009555DC">
              <w:rPr>
                <w:rFonts w:asciiTheme="minorHAnsi" w:hAnsiTheme="minorHAnsi"/>
                <w:b/>
                <w:bCs/>
                <w:color w:val="000000"/>
                <w:sz w:val="20"/>
                <w:szCs w:val="20"/>
              </w:rPr>
              <w:t>02151</w:t>
            </w:r>
          </w:p>
        </w:tc>
        <w:tc>
          <w:tcPr>
            <w:tcW w:w="1260" w:type="dxa"/>
            <w:vAlign w:val="bottom"/>
          </w:tcPr>
          <w:p w14:paraId="4F67450A" w14:textId="0E2BE216"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sz w:val="20"/>
                <w:szCs w:val="20"/>
              </w:rPr>
              <w:t>Revere</w:t>
            </w:r>
          </w:p>
        </w:tc>
        <w:tc>
          <w:tcPr>
            <w:tcW w:w="960" w:type="dxa"/>
            <w:noWrap/>
            <w:vAlign w:val="bottom"/>
          </w:tcPr>
          <w:p w14:paraId="47D06B39" w14:textId="303A14CD"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612</w:t>
            </w:r>
          </w:p>
        </w:tc>
        <w:tc>
          <w:tcPr>
            <w:tcW w:w="960" w:type="dxa"/>
            <w:noWrap/>
            <w:vAlign w:val="bottom"/>
          </w:tcPr>
          <w:p w14:paraId="21AE3456" w14:textId="3F3CDC3B"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7%</w:t>
            </w:r>
          </w:p>
        </w:tc>
        <w:tc>
          <w:tcPr>
            <w:tcW w:w="960" w:type="dxa"/>
            <w:noWrap/>
            <w:vAlign w:val="bottom"/>
          </w:tcPr>
          <w:p w14:paraId="331A9DC9" w14:textId="1CD9A285"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708</w:t>
            </w:r>
          </w:p>
        </w:tc>
        <w:tc>
          <w:tcPr>
            <w:tcW w:w="960" w:type="dxa"/>
            <w:noWrap/>
            <w:vAlign w:val="bottom"/>
          </w:tcPr>
          <w:p w14:paraId="1F23F9FE" w14:textId="643C8F0C"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8%</w:t>
            </w:r>
          </w:p>
        </w:tc>
        <w:tc>
          <w:tcPr>
            <w:tcW w:w="960" w:type="dxa"/>
            <w:noWrap/>
            <w:vAlign w:val="bottom"/>
          </w:tcPr>
          <w:p w14:paraId="423A542C" w14:textId="0248AB2F"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628</w:t>
            </w:r>
          </w:p>
        </w:tc>
        <w:tc>
          <w:tcPr>
            <w:tcW w:w="960" w:type="dxa"/>
            <w:noWrap/>
            <w:vAlign w:val="bottom"/>
          </w:tcPr>
          <w:p w14:paraId="52BC0016" w14:textId="38DBEC29"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8%</w:t>
            </w:r>
          </w:p>
        </w:tc>
      </w:tr>
      <w:tr w:rsidR="00F348BF" w:rsidRPr="009555DC" w14:paraId="7AD50938" w14:textId="2F2A421A" w:rsidTr="00580E73">
        <w:trPr>
          <w:cantSplit/>
          <w:trHeight w:val="310"/>
        </w:trPr>
        <w:tc>
          <w:tcPr>
            <w:tcW w:w="6750" w:type="dxa"/>
            <w:tcBorders>
              <w:bottom w:val="single" w:sz="4" w:space="0" w:color="auto"/>
            </w:tcBorders>
            <w:vAlign w:val="bottom"/>
          </w:tcPr>
          <w:p w14:paraId="1B010191" w14:textId="448D169F" w:rsidR="00F348BF" w:rsidRPr="009555DC" w:rsidRDefault="00F348BF" w:rsidP="00F348BF">
            <w:pPr>
              <w:suppressAutoHyphens w:val="0"/>
              <w:jc w:val="right"/>
              <w:rPr>
                <w:rFonts w:asciiTheme="minorHAnsi" w:hAnsiTheme="minorHAnsi" w:cs="Calibri"/>
                <w:b/>
                <w:bCs/>
                <w:sz w:val="20"/>
                <w:szCs w:val="20"/>
              </w:rPr>
            </w:pPr>
            <w:r w:rsidRPr="009555DC">
              <w:rPr>
                <w:rFonts w:asciiTheme="minorHAnsi" w:hAnsiTheme="minorHAnsi"/>
                <w:b/>
                <w:bCs/>
                <w:color w:val="000000"/>
                <w:sz w:val="20"/>
                <w:szCs w:val="20"/>
              </w:rPr>
              <w:t>02150</w:t>
            </w:r>
          </w:p>
        </w:tc>
        <w:tc>
          <w:tcPr>
            <w:tcW w:w="1260" w:type="dxa"/>
            <w:tcBorders>
              <w:bottom w:val="single" w:sz="4" w:space="0" w:color="auto"/>
            </w:tcBorders>
            <w:vAlign w:val="bottom"/>
          </w:tcPr>
          <w:p w14:paraId="10A5CC81" w14:textId="73A9A72D"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sz w:val="20"/>
                <w:szCs w:val="20"/>
              </w:rPr>
              <w:t>Chelsea</w:t>
            </w:r>
          </w:p>
        </w:tc>
        <w:tc>
          <w:tcPr>
            <w:tcW w:w="960" w:type="dxa"/>
            <w:tcBorders>
              <w:bottom w:val="single" w:sz="4" w:space="0" w:color="auto"/>
            </w:tcBorders>
            <w:noWrap/>
            <w:vAlign w:val="bottom"/>
          </w:tcPr>
          <w:p w14:paraId="43A32683" w14:textId="67FFC2AD"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435</w:t>
            </w:r>
          </w:p>
        </w:tc>
        <w:tc>
          <w:tcPr>
            <w:tcW w:w="960" w:type="dxa"/>
            <w:tcBorders>
              <w:bottom w:val="single" w:sz="4" w:space="0" w:color="auto"/>
            </w:tcBorders>
            <w:noWrap/>
            <w:vAlign w:val="bottom"/>
          </w:tcPr>
          <w:p w14:paraId="65094B86" w14:textId="59DC5943"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c>
          <w:tcPr>
            <w:tcW w:w="960" w:type="dxa"/>
            <w:tcBorders>
              <w:bottom w:val="single" w:sz="4" w:space="0" w:color="auto"/>
            </w:tcBorders>
            <w:noWrap/>
            <w:vAlign w:val="bottom"/>
          </w:tcPr>
          <w:p w14:paraId="30A34F03" w14:textId="75594730"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462</w:t>
            </w:r>
          </w:p>
        </w:tc>
        <w:tc>
          <w:tcPr>
            <w:tcW w:w="960" w:type="dxa"/>
            <w:tcBorders>
              <w:bottom w:val="single" w:sz="4" w:space="0" w:color="auto"/>
            </w:tcBorders>
            <w:noWrap/>
            <w:vAlign w:val="bottom"/>
          </w:tcPr>
          <w:p w14:paraId="041AFF2F" w14:textId="7D0CF332"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c>
          <w:tcPr>
            <w:tcW w:w="960" w:type="dxa"/>
            <w:tcBorders>
              <w:bottom w:val="single" w:sz="4" w:space="0" w:color="auto"/>
            </w:tcBorders>
            <w:noWrap/>
            <w:vAlign w:val="bottom"/>
          </w:tcPr>
          <w:p w14:paraId="1ABC606E" w14:textId="74DAC19E"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413</w:t>
            </w:r>
          </w:p>
        </w:tc>
        <w:tc>
          <w:tcPr>
            <w:tcW w:w="960" w:type="dxa"/>
            <w:tcBorders>
              <w:bottom w:val="single" w:sz="4" w:space="0" w:color="auto"/>
            </w:tcBorders>
            <w:noWrap/>
            <w:vAlign w:val="bottom"/>
          </w:tcPr>
          <w:p w14:paraId="47CC11D6" w14:textId="0742BF5E"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r>
      <w:tr w:rsidR="00F348BF" w:rsidRPr="009555DC" w14:paraId="6DF7BCE4" w14:textId="43A7D992" w:rsidTr="00580E73">
        <w:trPr>
          <w:cantSplit/>
          <w:trHeight w:val="310"/>
        </w:trPr>
        <w:tc>
          <w:tcPr>
            <w:tcW w:w="6750" w:type="dxa"/>
            <w:tcBorders>
              <w:top w:val="single" w:sz="4" w:space="0" w:color="auto"/>
              <w:left w:val="single" w:sz="4" w:space="0" w:color="auto"/>
              <w:bottom w:val="single" w:sz="4" w:space="0" w:color="auto"/>
              <w:right w:val="single" w:sz="4" w:space="0" w:color="auto"/>
            </w:tcBorders>
            <w:vAlign w:val="bottom"/>
          </w:tcPr>
          <w:p w14:paraId="59CF9850" w14:textId="4E7F6C3F" w:rsidR="00F348BF" w:rsidRPr="009555DC" w:rsidRDefault="00F348BF" w:rsidP="00F348BF">
            <w:pPr>
              <w:suppressAutoHyphens w:val="0"/>
              <w:jc w:val="right"/>
              <w:rPr>
                <w:rFonts w:asciiTheme="minorHAnsi" w:hAnsiTheme="minorHAnsi" w:cs="Calibri"/>
                <w:b/>
                <w:bCs/>
                <w:sz w:val="20"/>
                <w:szCs w:val="20"/>
              </w:rPr>
            </w:pPr>
            <w:r w:rsidRPr="009555DC">
              <w:rPr>
                <w:rFonts w:asciiTheme="minorHAnsi" w:hAnsiTheme="minorHAnsi"/>
                <w:b/>
                <w:bCs/>
                <w:color w:val="000000"/>
                <w:sz w:val="20"/>
                <w:szCs w:val="20"/>
              </w:rPr>
              <w:t>02144, 02143, 02145</w:t>
            </w:r>
          </w:p>
        </w:tc>
        <w:tc>
          <w:tcPr>
            <w:tcW w:w="1260" w:type="dxa"/>
            <w:tcBorders>
              <w:top w:val="single" w:sz="4" w:space="0" w:color="auto"/>
              <w:left w:val="single" w:sz="4" w:space="0" w:color="auto"/>
              <w:bottom w:val="single" w:sz="4" w:space="0" w:color="auto"/>
              <w:right w:val="single" w:sz="4" w:space="0" w:color="auto"/>
            </w:tcBorders>
            <w:vAlign w:val="bottom"/>
          </w:tcPr>
          <w:p w14:paraId="0C130F5B" w14:textId="09689351"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sz w:val="20"/>
                <w:szCs w:val="20"/>
              </w:rPr>
              <w:t>Somerville</w:t>
            </w:r>
          </w:p>
        </w:tc>
        <w:tc>
          <w:tcPr>
            <w:tcW w:w="960" w:type="dxa"/>
            <w:tcBorders>
              <w:top w:val="single" w:sz="4" w:space="0" w:color="auto"/>
              <w:left w:val="single" w:sz="4" w:space="0" w:color="auto"/>
              <w:bottom w:val="single" w:sz="4" w:space="0" w:color="auto"/>
              <w:right w:val="single" w:sz="4" w:space="0" w:color="auto"/>
            </w:tcBorders>
            <w:noWrap/>
            <w:vAlign w:val="bottom"/>
          </w:tcPr>
          <w:p w14:paraId="5240C4D0" w14:textId="26B41B18"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397</w:t>
            </w:r>
          </w:p>
        </w:tc>
        <w:tc>
          <w:tcPr>
            <w:tcW w:w="960" w:type="dxa"/>
            <w:tcBorders>
              <w:top w:val="single" w:sz="4" w:space="0" w:color="auto"/>
              <w:left w:val="single" w:sz="4" w:space="0" w:color="auto"/>
              <w:bottom w:val="single" w:sz="4" w:space="0" w:color="auto"/>
              <w:right w:val="single" w:sz="4" w:space="0" w:color="auto"/>
            </w:tcBorders>
            <w:noWrap/>
            <w:vAlign w:val="bottom"/>
          </w:tcPr>
          <w:p w14:paraId="19CB4697" w14:textId="6680260F"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noWrap/>
            <w:vAlign w:val="bottom"/>
          </w:tcPr>
          <w:p w14:paraId="265FDF55" w14:textId="5D40EC15"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454</w:t>
            </w:r>
          </w:p>
        </w:tc>
        <w:tc>
          <w:tcPr>
            <w:tcW w:w="960" w:type="dxa"/>
            <w:tcBorders>
              <w:top w:val="single" w:sz="4" w:space="0" w:color="auto"/>
              <w:left w:val="single" w:sz="4" w:space="0" w:color="auto"/>
              <w:bottom w:val="single" w:sz="4" w:space="0" w:color="auto"/>
              <w:right w:val="single" w:sz="4" w:space="0" w:color="auto"/>
            </w:tcBorders>
            <w:noWrap/>
            <w:vAlign w:val="bottom"/>
          </w:tcPr>
          <w:p w14:paraId="47077680" w14:textId="1EADCB48"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noWrap/>
            <w:vAlign w:val="bottom"/>
          </w:tcPr>
          <w:p w14:paraId="0459F64D" w14:textId="0C5C40FB"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408</w:t>
            </w:r>
          </w:p>
        </w:tc>
        <w:tc>
          <w:tcPr>
            <w:tcW w:w="960" w:type="dxa"/>
            <w:tcBorders>
              <w:top w:val="single" w:sz="4" w:space="0" w:color="auto"/>
              <w:left w:val="single" w:sz="4" w:space="0" w:color="auto"/>
              <w:bottom w:val="single" w:sz="4" w:space="0" w:color="auto"/>
              <w:right w:val="single" w:sz="4" w:space="0" w:color="auto"/>
            </w:tcBorders>
            <w:noWrap/>
            <w:vAlign w:val="bottom"/>
          </w:tcPr>
          <w:p w14:paraId="0A4AADBC" w14:textId="4A359D06"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r>
      <w:tr w:rsidR="00F348BF" w:rsidRPr="009555DC" w14:paraId="16B21893" w14:textId="07BC5BC7" w:rsidTr="00580E73">
        <w:trPr>
          <w:cantSplit/>
          <w:trHeight w:val="310"/>
        </w:trPr>
        <w:tc>
          <w:tcPr>
            <w:tcW w:w="6750" w:type="dxa"/>
            <w:tcBorders>
              <w:top w:val="single" w:sz="4" w:space="0" w:color="auto"/>
              <w:left w:val="single" w:sz="4" w:space="0" w:color="auto"/>
              <w:bottom w:val="single" w:sz="4" w:space="0" w:color="auto"/>
              <w:right w:val="single" w:sz="4" w:space="0" w:color="auto"/>
            </w:tcBorders>
            <w:vAlign w:val="bottom"/>
          </w:tcPr>
          <w:p w14:paraId="54166E7D" w14:textId="0BE84985" w:rsidR="00F348BF" w:rsidRPr="009555DC" w:rsidRDefault="00F348BF" w:rsidP="00F348BF">
            <w:pPr>
              <w:suppressAutoHyphens w:val="0"/>
              <w:jc w:val="right"/>
              <w:rPr>
                <w:rFonts w:asciiTheme="minorHAnsi" w:hAnsiTheme="minorHAnsi" w:cs="Calibri"/>
                <w:b/>
                <w:bCs/>
                <w:sz w:val="20"/>
                <w:szCs w:val="20"/>
              </w:rPr>
            </w:pPr>
            <w:r w:rsidRPr="009555DC">
              <w:rPr>
                <w:rFonts w:asciiTheme="minorHAnsi" w:hAnsiTheme="minorHAnsi"/>
                <w:b/>
                <w:bCs/>
                <w:color w:val="000000"/>
                <w:sz w:val="20"/>
                <w:szCs w:val="20"/>
              </w:rPr>
              <w:t>02445, 02446</w:t>
            </w:r>
          </w:p>
        </w:tc>
        <w:tc>
          <w:tcPr>
            <w:tcW w:w="1260" w:type="dxa"/>
            <w:tcBorders>
              <w:top w:val="single" w:sz="4" w:space="0" w:color="auto"/>
              <w:left w:val="single" w:sz="4" w:space="0" w:color="auto"/>
              <w:bottom w:val="single" w:sz="4" w:space="0" w:color="auto"/>
              <w:right w:val="single" w:sz="4" w:space="0" w:color="auto"/>
            </w:tcBorders>
            <w:vAlign w:val="bottom"/>
          </w:tcPr>
          <w:p w14:paraId="7B998E65" w14:textId="6959248B"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sz w:val="20"/>
                <w:szCs w:val="20"/>
              </w:rPr>
              <w:t>Brookline</w:t>
            </w:r>
          </w:p>
        </w:tc>
        <w:tc>
          <w:tcPr>
            <w:tcW w:w="960" w:type="dxa"/>
            <w:tcBorders>
              <w:top w:val="single" w:sz="4" w:space="0" w:color="auto"/>
              <w:left w:val="single" w:sz="4" w:space="0" w:color="auto"/>
              <w:bottom w:val="single" w:sz="4" w:space="0" w:color="auto"/>
              <w:right w:val="single" w:sz="4" w:space="0" w:color="auto"/>
            </w:tcBorders>
            <w:noWrap/>
            <w:vAlign w:val="bottom"/>
          </w:tcPr>
          <w:p w14:paraId="4CF8A27D" w14:textId="05D5BFBB"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404</w:t>
            </w:r>
          </w:p>
        </w:tc>
        <w:tc>
          <w:tcPr>
            <w:tcW w:w="960" w:type="dxa"/>
            <w:tcBorders>
              <w:top w:val="single" w:sz="4" w:space="0" w:color="auto"/>
              <w:left w:val="single" w:sz="4" w:space="0" w:color="auto"/>
              <w:bottom w:val="single" w:sz="4" w:space="0" w:color="auto"/>
              <w:right w:val="single" w:sz="4" w:space="0" w:color="auto"/>
            </w:tcBorders>
            <w:noWrap/>
            <w:vAlign w:val="bottom"/>
          </w:tcPr>
          <w:p w14:paraId="797E8187" w14:textId="74292686"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noWrap/>
            <w:vAlign w:val="bottom"/>
          </w:tcPr>
          <w:p w14:paraId="053C1C5F" w14:textId="69B7C85B"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389</w:t>
            </w:r>
          </w:p>
        </w:tc>
        <w:tc>
          <w:tcPr>
            <w:tcW w:w="960" w:type="dxa"/>
            <w:tcBorders>
              <w:top w:val="single" w:sz="4" w:space="0" w:color="auto"/>
              <w:left w:val="single" w:sz="4" w:space="0" w:color="auto"/>
              <w:bottom w:val="single" w:sz="4" w:space="0" w:color="auto"/>
              <w:right w:val="single" w:sz="4" w:space="0" w:color="auto"/>
            </w:tcBorders>
            <w:noWrap/>
            <w:vAlign w:val="bottom"/>
          </w:tcPr>
          <w:p w14:paraId="6E191398" w14:textId="4A8E37A1"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noWrap/>
            <w:vAlign w:val="bottom"/>
          </w:tcPr>
          <w:p w14:paraId="53119911" w14:textId="4CF8FCE5"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389</w:t>
            </w:r>
          </w:p>
        </w:tc>
        <w:tc>
          <w:tcPr>
            <w:tcW w:w="960" w:type="dxa"/>
            <w:tcBorders>
              <w:top w:val="single" w:sz="4" w:space="0" w:color="auto"/>
              <w:left w:val="single" w:sz="4" w:space="0" w:color="auto"/>
              <w:bottom w:val="single" w:sz="4" w:space="0" w:color="auto"/>
              <w:right w:val="single" w:sz="4" w:space="0" w:color="auto"/>
            </w:tcBorders>
            <w:noWrap/>
            <w:vAlign w:val="bottom"/>
          </w:tcPr>
          <w:p w14:paraId="6529FBE9" w14:textId="070ABC21"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b/>
                <w:bCs/>
                <w:color w:val="000000"/>
                <w:sz w:val="20"/>
                <w:szCs w:val="20"/>
              </w:rPr>
              <w:t>5%</w:t>
            </w:r>
          </w:p>
        </w:tc>
      </w:tr>
      <w:tr w:rsidR="00F348BF" w:rsidRPr="009555DC" w14:paraId="5D23D868" w14:textId="7C83AAC2" w:rsidTr="00580E73">
        <w:trPr>
          <w:cantSplit/>
          <w:trHeight w:val="310"/>
        </w:trPr>
        <w:tc>
          <w:tcPr>
            <w:tcW w:w="6750" w:type="dxa"/>
            <w:tcBorders>
              <w:top w:val="single" w:sz="4" w:space="0" w:color="auto"/>
              <w:left w:val="single" w:sz="4" w:space="0" w:color="auto"/>
              <w:bottom w:val="single" w:sz="4" w:space="0" w:color="auto"/>
              <w:right w:val="single" w:sz="4" w:space="0" w:color="auto"/>
            </w:tcBorders>
            <w:vAlign w:val="bottom"/>
          </w:tcPr>
          <w:p w14:paraId="17A7F6BD" w14:textId="1BDBCF4D" w:rsidR="00F348BF" w:rsidRPr="009555DC" w:rsidRDefault="00F348BF" w:rsidP="00F348BF">
            <w:pPr>
              <w:suppressAutoHyphens w:val="0"/>
              <w:jc w:val="right"/>
              <w:rPr>
                <w:rFonts w:asciiTheme="minorHAnsi" w:hAnsiTheme="minorHAnsi" w:cs="Calibri"/>
                <w:sz w:val="20"/>
                <w:szCs w:val="20"/>
              </w:rPr>
            </w:pPr>
            <w:r w:rsidRPr="009555DC">
              <w:rPr>
                <w:rFonts w:asciiTheme="minorHAnsi" w:hAnsiTheme="minorHAnsi"/>
                <w:color w:val="000000"/>
                <w:sz w:val="20"/>
                <w:szCs w:val="20"/>
              </w:rPr>
              <w:t>02155</w:t>
            </w:r>
          </w:p>
        </w:tc>
        <w:tc>
          <w:tcPr>
            <w:tcW w:w="1260" w:type="dxa"/>
            <w:tcBorders>
              <w:top w:val="single" w:sz="4" w:space="0" w:color="auto"/>
              <w:left w:val="single" w:sz="4" w:space="0" w:color="auto"/>
              <w:bottom w:val="single" w:sz="4" w:space="0" w:color="auto"/>
              <w:right w:val="single" w:sz="4" w:space="0" w:color="auto"/>
            </w:tcBorders>
            <w:vAlign w:val="bottom"/>
          </w:tcPr>
          <w:p w14:paraId="21B17453" w14:textId="5AAC788A"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sz w:val="20"/>
                <w:szCs w:val="20"/>
              </w:rPr>
              <w:t>Medford</w:t>
            </w:r>
          </w:p>
        </w:tc>
        <w:tc>
          <w:tcPr>
            <w:tcW w:w="960" w:type="dxa"/>
            <w:tcBorders>
              <w:top w:val="single" w:sz="4" w:space="0" w:color="auto"/>
              <w:left w:val="single" w:sz="4" w:space="0" w:color="auto"/>
              <w:bottom w:val="single" w:sz="4" w:space="0" w:color="auto"/>
              <w:right w:val="single" w:sz="4" w:space="0" w:color="auto"/>
            </w:tcBorders>
            <w:noWrap/>
            <w:vAlign w:val="bottom"/>
          </w:tcPr>
          <w:p w14:paraId="2FC84874" w14:textId="41DFF6C9"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373</w:t>
            </w:r>
          </w:p>
        </w:tc>
        <w:tc>
          <w:tcPr>
            <w:tcW w:w="960" w:type="dxa"/>
            <w:tcBorders>
              <w:top w:val="single" w:sz="4" w:space="0" w:color="auto"/>
              <w:left w:val="single" w:sz="4" w:space="0" w:color="auto"/>
              <w:bottom w:val="single" w:sz="4" w:space="0" w:color="auto"/>
              <w:right w:val="single" w:sz="4" w:space="0" w:color="auto"/>
            </w:tcBorders>
            <w:noWrap/>
            <w:vAlign w:val="bottom"/>
          </w:tcPr>
          <w:p w14:paraId="31905BBD" w14:textId="480B4AB8"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noWrap/>
            <w:vAlign w:val="bottom"/>
          </w:tcPr>
          <w:p w14:paraId="0A1C3416" w14:textId="743E5C8B"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389</w:t>
            </w:r>
          </w:p>
        </w:tc>
        <w:tc>
          <w:tcPr>
            <w:tcW w:w="960" w:type="dxa"/>
            <w:tcBorders>
              <w:top w:val="single" w:sz="4" w:space="0" w:color="auto"/>
              <w:left w:val="single" w:sz="4" w:space="0" w:color="auto"/>
              <w:bottom w:val="single" w:sz="4" w:space="0" w:color="auto"/>
              <w:right w:val="single" w:sz="4" w:space="0" w:color="auto"/>
            </w:tcBorders>
            <w:noWrap/>
            <w:vAlign w:val="bottom"/>
          </w:tcPr>
          <w:p w14:paraId="7706DBF9" w14:textId="17712953"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noWrap/>
            <w:vAlign w:val="bottom"/>
          </w:tcPr>
          <w:p w14:paraId="5D31D132" w14:textId="6B4B0D1F"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350</w:t>
            </w:r>
          </w:p>
        </w:tc>
        <w:tc>
          <w:tcPr>
            <w:tcW w:w="960" w:type="dxa"/>
            <w:tcBorders>
              <w:top w:val="single" w:sz="4" w:space="0" w:color="auto"/>
              <w:left w:val="single" w:sz="4" w:space="0" w:color="auto"/>
              <w:bottom w:val="single" w:sz="4" w:space="0" w:color="auto"/>
              <w:right w:val="single" w:sz="4" w:space="0" w:color="auto"/>
            </w:tcBorders>
            <w:noWrap/>
            <w:vAlign w:val="bottom"/>
          </w:tcPr>
          <w:p w14:paraId="5B33612D" w14:textId="39435267"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5%</w:t>
            </w:r>
          </w:p>
        </w:tc>
      </w:tr>
      <w:tr w:rsidR="00F348BF" w:rsidRPr="009555DC" w14:paraId="0131E8B0" w14:textId="71818951" w:rsidTr="00580E73">
        <w:trPr>
          <w:cantSplit/>
          <w:trHeight w:val="310"/>
        </w:trPr>
        <w:tc>
          <w:tcPr>
            <w:tcW w:w="6750" w:type="dxa"/>
            <w:tcBorders>
              <w:top w:val="single" w:sz="4" w:space="0" w:color="auto"/>
              <w:left w:val="single" w:sz="4" w:space="0" w:color="auto"/>
              <w:bottom w:val="single" w:sz="4" w:space="0" w:color="auto"/>
              <w:right w:val="single" w:sz="4" w:space="0" w:color="auto"/>
            </w:tcBorders>
            <w:vAlign w:val="bottom"/>
          </w:tcPr>
          <w:p w14:paraId="4331FE8C" w14:textId="25992F7C" w:rsidR="00F348BF" w:rsidRPr="009555DC" w:rsidRDefault="00F348BF" w:rsidP="00F348BF">
            <w:pPr>
              <w:suppressAutoHyphens w:val="0"/>
              <w:jc w:val="right"/>
              <w:rPr>
                <w:rFonts w:asciiTheme="minorHAnsi" w:hAnsiTheme="minorHAnsi" w:cs="Calibri"/>
                <w:sz w:val="20"/>
                <w:szCs w:val="20"/>
              </w:rPr>
            </w:pPr>
            <w:r w:rsidRPr="009555DC">
              <w:rPr>
                <w:rFonts w:asciiTheme="minorHAnsi" w:hAnsiTheme="minorHAnsi"/>
                <w:color w:val="000000"/>
                <w:sz w:val="20"/>
                <w:szCs w:val="20"/>
              </w:rPr>
              <w:t>02149</w:t>
            </w:r>
          </w:p>
        </w:tc>
        <w:tc>
          <w:tcPr>
            <w:tcW w:w="1260" w:type="dxa"/>
            <w:tcBorders>
              <w:top w:val="single" w:sz="4" w:space="0" w:color="auto"/>
              <w:left w:val="single" w:sz="4" w:space="0" w:color="auto"/>
              <w:bottom w:val="single" w:sz="4" w:space="0" w:color="auto"/>
              <w:right w:val="single" w:sz="4" w:space="0" w:color="auto"/>
            </w:tcBorders>
            <w:vAlign w:val="bottom"/>
          </w:tcPr>
          <w:p w14:paraId="6FFF28DB" w14:textId="00BF6A5D"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sz w:val="20"/>
                <w:szCs w:val="20"/>
              </w:rPr>
              <w:t>Everett</w:t>
            </w:r>
          </w:p>
        </w:tc>
        <w:tc>
          <w:tcPr>
            <w:tcW w:w="960" w:type="dxa"/>
            <w:tcBorders>
              <w:top w:val="single" w:sz="4" w:space="0" w:color="auto"/>
              <w:left w:val="single" w:sz="4" w:space="0" w:color="auto"/>
              <w:bottom w:val="single" w:sz="4" w:space="0" w:color="auto"/>
              <w:right w:val="single" w:sz="4" w:space="0" w:color="auto"/>
            </w:tcBorders>
            <w:noWrap/>
            <w:vAlign w:val="bottom"/>
          </w:tcPr>
          <w:p w14:paraId="2ACF5E42" w14:textId="66BD01DF"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320</w:t>
            </w:r>
          </w:p>
        </w:tc>
        <w:tc>
          <w:tcPr>
            <w:tcW w:w="960" w:type="dxa"/>
            <w:tcBorders>
              <w:top w:val="single" w:sz="4" w:space="0" w:color="auto"/>
              <w:left w:val="single" w:sz="4" w:space="0" w:color="auto"/>
              <w:bottom w:val="single" w:sz="4" w:space="0" w:color="auto"/>
              <w:right w:val="single" w:sz="4" w:space="0" w:color="auto"/>
            </w:tcBorders>
            <w:noWrap/>
            <w:vAlign w:val="bottom"/>
          </w:tcPr>
          <w:p w14:paraId="705FD7D3" w14:textId="7BFDBAA6"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noWrap/>
            <w:vAlign w:val="bottom"/>
          </w:tcPr>
          <w:p w14:paraId="27E7AF4B" w14:textId="4FEE6F0F"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331</w:t>
            </w:r>
          </w:p>
        </w:tc>
        <w:tc>
          <w:tcPr>
            <w:tcW w:w="960" w:type="dxa"/>
            <w:tcBorders>
              <w:top w:val="single" w:sz="4" w:space="0" w:color="auto"/>
              <w:left w:val="single" w:sz="4" w:space="0" w:color="auto"/>
              <w:bottom w:val="single" w:sz="4" w:space="0" w:color="auto"/>
              <w:right w:val="single" w:sz="4" w:space="0" w:color="auto"/>
            </w:tcBorders>
            <w:noWrap/>
            <w:vAlign w:val="bottom"/>
          </w:tcPr>
          <w:p w14:paraId="7E3C8A9D" w14:textId="09277CED"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noWrap/>
            <w:vAlign w:val="bottom"/>
          </w:tcPr>
          <w:p w14:paraId="739E95FA" w14:textId="4AF047D8"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321</w:t>
            </w:r>
          </w:p>
        </w:tc>
        <w:tc>
          <w:tcPr>
            <w:tcW w:w="960" w:type="dxa"/>
            <w:tcBorders>
              <w:top w:val="single" w:sz="4" w:space="0" w:color="auto"/>
              <w:left w:val="single" w:sz="4" w:space="0" w:color="auto"/>
              <w:bottom w:val="single" w:sz="4" w:space="0" w:color="auto"/>
              <w:right w:val="single" w:sz="4" w:space="0" w:color="auto"/>
            </w:tcBorders>
            <w:noWrap/>
            <w:vAlign w:val="bottom"/>
          </w:tcPr>
          <w:p w14:paraId="25EC9C38" w14:textId="7F0108B3" w:rsidR="00F348BF" w:rsidRPr="009555DC" w:rsidRDefault="00F348BF" w:rsidP="00F348BF">
            <w:pPr>
              <w:suppressAutoHyphens w:val="0"/>
              <w:jc w:val="center"/>
              <w:rPr>
                <w:rFonts w:asciiTheme="minorHAnsi" w:hAnsiTheme="minorHAnsi" w:cs="Calibri"/>
                <w:b/>
                <w:bCs/>
                <w:sz w:val="20"/>
                <w:szCs w:val="20"/>
              </w:rPr>
            </w:pPr>
            <w:r w:rsidRPr="009555DC">
              <w:rPr>
                <w:rFonts w:asciiTheme="minorHAnsi" w:hAnsiTheme="minorHAnsi"/>
                <w:color w:val="000000"/>
                <w:sz w:val="20"/>
                <w:szCs w:val="20"/>
              </w:rPr>
              <w:t>4%</w:t>
            </w:r>
          </w:p>
        </w:tc>
      </w:tr>
      <w:tr w:rsidR="00F348BF" w:rsidRPr="009555DC" w14:paraId="4C7F4443" w14:textId="4AE65564" w:rsidTr="00580E73">
        <w:trPr>
          <w:cantSplit/>
          <w:trHeight w:val="310"/>
        </w:trPr>
        <w:tc>
          <w:tcPr>
            <w:tcW w:w="6750" w:type="dxa"/>
            <w:tcBorders>
              <w:top w:val="single" w:sz="4" w:space="0" w:color="auto"/>
            </w:tcBorders>
            <w:vAlign w:val="bottom"/>
          </w:tcPr>
          <w:p w14:paraId="72B86154" w14:textId="4A601BBF" w:rsidR="00F348BF" w:rsidRPr="009555DC" w:rsidRDefault="00F348BF" w:rsidP="00F348BF">
            <w:pPr>
              <w:suppressAutoHyphens w:val="0"/>
              <w:jc w:val="right"/>
              <w:rPr>
                <w:rFonts w:asciiTheme="minorHAnsi" w:hAnsiTheme="minorHAnsi" w:cs="Calibri"/>
                <w:sz w:val="20"/>
                <w:szCs w:val="20"/>
              </w:rPr>
            </w:pPr>
            <w:r w:rsidRPr="009555DC">
              <w:rPr>
                <w:rFonts w:asciiTheme="minorHAnsi" w:hAnsiTheme="minorHAnsi"/>
                <w:color w:val="000000"/>
                <w:sz w:val="20"/>
                <w:szCs w:val="20"/>
              </w:rPr>
              <w:t>02152</w:t>
            </w:r>
          </w:p>
        </w:tc>
        <w:tc>
          <w:tcPr>
            <w:tcW w:w="1260" w:type="dxa"/>
            <w:tcBorders>
              <w:top w:val="single" w:sz="4" w:space="0" w:color="auto"/>
            </w:tcBorders>
            <w:vAlign w:val="bottom"/>
          </w:tcPr>
          <w:p w14:paraId="267AD8F7" w14:textId="64153D6F"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sz w:val="20"/>
                <w:szCs w:val="20"/>
              </w:rPr>
              <w:t>Winthrop</w:t>
            </w:r>
          </w:p>
        </w:tc>
        <w:tc>
          <w:tcPr>
            <w:tcW w:w="960" w:type="dxa"/>
            <w:tcBorders>
              <w:top w:val="single" w:sz="4" w:space="0" w:color="auto"/>
            </w:tcBorders>
            <w:noWrap/>
            <w:vAlign w:val="bottom"/>
          </w:tcPr>
          <w:p w14:paraId="51E24E13" w14:textId="65B7B60F"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314</w:t>
            </w:r>
          </w:p>
        </w:tc>
        <w:tc>
          <w:tcPr>
            <w:tcW w:w="960" w:type="dxa"/>
            <w:tcBorders>
              <w:top w:val="single" w:sz="4" w:space="0" w:color="auto"/>
            </w:tcBorders>
            <w:noWrap/>
            <w:vAlign w:val="bottom"/>
          </w:tcPr>
          <w:p w14:paraId="71DA20A4" w14:textId="53D0412E"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4%</w:t>
            </w:r>
          </w:p>
        </w:tc>
        <w:tc>
          <w:tcPr>
            <w:tcW w:w="960" w:type="dxa"/>
            <w:tcBorders>
              <w:top w:val="single" w:sz="4" w:space="0" w:color="auto"/>
            </w:tcBorders>
            <w:noWrap/>
            <w:vAlign w:val="bottom"/>
          </w:tcPr>
          <w:p w14:paraId="58232970" w14:textId="7761527B"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298</w:t>
            </w:r>
          </w:p>
        </w:tc>
        <w:tc>
          <w:tcPr>
            <w:tcW w:w="960" w:type="dxa"/>
            <w:tcBorders>
              <w:top w:val="single" w:sz="4" w:space="0" w:color="auto"/>
            </w:tcBorders>
            <w:noWrap/>
            <w:vAlign w:val="bottom"/>
          </w:tcPr>
          <w:p w14:paraId="57F9A340" w14:textId="6BA6318A"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4%</w:t>
            </w:r>
          </w:p>
        </w:tc>
        <w:tc>
          <w:tcPr>
            <w:tcW w:w="960" w:type="dxa"/>
            <w:tcBorders>
              <w:top w:val="single" w:sz="4" w:space="0" w:color="auto"/>
            </w:tcBorders>
            <w:noWrap/>
            <w:vAlign w:val="bottom"/>
          </w:tcPr>
          <w:p w14:paraId="1EF8A7DE" w14:textId="61C77AE2"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314</w:t>
            </w:r>
          </w:p>
        </w:tc>
        <w:tc>
          <w:tcPr>
            <w:tcW w:w="960" w:type="dxa"/>
            <w:tcBorders>
              <w:top w:val="single" w:sz="4" w:space="0" w:color="auto"/>
            </w:tcBorders>
            <w:noWrap/>
            <w:vAlign w:val="bottom"/>
          </w:tcPr>
          <w:p w14:paraId="444CAC6A" w14:textId="3CC224C4"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4%</w:t>
            </w:r>
          </w:p>
        </w:tc>
      </w:tr>
      <w:tr w:rsidR="00F348BF" w:rsidRPr="009555DC" w14:paraId="036426D1" w14:textId="057F5475" w:rsidTr="00580E73">
        <w:trPr>
          <w:cantSplit/>
          <w:trHeight w:val="310"/>
        </w:trPr>
        <w:tc>
          <w:tcPr>
            <w:tcW w:w="6750" w:type="dxa"/>
            <w:vAlign w:val="bottom"/>
          </w:tcPr>
          <w:p w14:paraId="75F751E3" w14:textId="1DE2C8D5" w:rsidR="00F348BF" w:rsidRPr="009555DC" w:rsidRDefault="00F348BF" w:rsidP="00F348BF">
            <w:pPr>
              <w:suppressAutoHyphens w:val="0"/>
              <w:jc w:val="right"/>
              <w:rPr>
                <w:rFonts w:asciiTheme="minorHAnsi" w:hAnsiTheme="minorHAnsi" w:cs="Calibri"/>
                <w:sz w:val="20"/>
                <w:szCs w:val="20"/>
              </w:rPr>
            </w:pPr>
            <w:r w:rsidRPr="009555DC">
              <w:rPr>
                <w:rFonts w:asciiTheme="minorHAnsi" w:hAnsiTheme="minorHAnsi"/>
                <w:color w:val="000000"/>
                <w:sz w:val="20"/>
                <w:szCs w:val="20"/>
              </w:rPr>
              <w:t>02148</w:t>
            </w:r>
          </w:p>
        </w:tc>
        <w:tc>
          <w:tcPr>
            <w:tcW w:w="1260" w:type="dxa"/>
            <w:vAlign w:val="bottom"/>
          </w:tcPr>
          <w:p w14:paraId="2C0D5EF0" w14:textId="203F505F"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sz w:val="20"/>
                <w:szCs w:val="20"/>
              </w:rPr>
              <w:t>Malden</w:t>
            </w:r>
          </w:p>
        </w:tc>
        <w:tc>
          <w:tcPr>
            <w:tcW w:w="960" w:type="dxa"/>
            <w:noWrap/>
            <w:vAlign w:val="bottom"/>
          </w:tcPr>
          <w:p w14:paraId="17FFDF34" w14:textId="7F0945EC"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348</w:t>
            </w:r>
          </w:p>
        </w:tc>
        <w:tc>
          <w:tcPr>
            <w:tcW w:w="960" w:type="dxa"/>
            <w:noWrap/>
            <w:vAlign w:val="bottom"/>
          </w:tcPr>
          <w:p w14:paraId="4E228257" w14:textId="21CC5CF5"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4%</w:t>
            </w:r>
          </w:p>
        </w:tc>
        <w:tc>
          <w:tcPr>
            <w:tcW w:w="960" w:type="dxa"/>
            <w:noWrap/>
            <w:vAlign w:val="bottom"/>
          </w:tcPr>
          <w:p w14:paraId="1CEF2324" w14:textId="3816DDF9"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324</w:t>
            </w:r>
          </w:p>
        </w:tc>
        <w:tc>
          <w:tcPr>
            <w:tcW w:w="960" w:type="dxa"/>
            <w:noWrap/>
            <w:vAlign w:val="bottom"/>
          </w:tcPr>
          <w:p w14:paraId="1D23E642" w14:textId="604E716C"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4%</w:t>
            </w:r>
          </w:p>
        </w:tc>
        <w:tc>
          <w:tcPr>
            <w:tcW w:w="960" w:type="dxa"/>
            <w:noWrap/>
            <w:vAlign w:val="bottom"/>
          </w:tcPr>
          <w:p w14:paraId="05454513" w14:textId="3C621F84"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272</w:t>
            </w:r>
          </w:p>
        </w:tc>
        <w:tc>
          <w:tcPr>
            <w:tcW w:w="960" w:type="dxa"/>
            <w:noWrap/>
            <w:vAlign w:val="bottom"/>
          </w:tcPr>
          <w:p w14:paraId="4D77AE3D" w14:textId="1B5FD848"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4%</w:t>
            </w:r>
          </w:p>
        </w:tc>
      </w:tr>
      <w:tr w:rsidR="00F348BF" w:rsidRPr="009555DC" w14:paraId="69CF2514" w14:textId="4565133D" w:rsidTr="00580E73">
        <w:trPr>
          <w:cantSplit/>
          <w:trHeight w:val="310"/>
        </w:trPr>
        <w:tc>
          <w:tcPr>
            <w:tcW w:w="6750" w:type="dxa"/>
            <w:vAlign w:val="bottom"/>
          </w:tcPr>
          <w:p w14:paraId="3431CC6F" w14:textId="37FB20CF" w:rsidR="00F348BF" w:rsidRPr="009555DC" w:rsidRDefault="00F348BF" w:rsidP="00F348BF">
            <w:pPr>
              <w:suppressAutoHyphens w:val="0"/>
              <w:jc w:val="right"/>
              <w:rPr>
                <w:rFonts w:asciiTheme="minorHAnsi" w:hAnsiTheme="minorHAnsi" w:cs="Calibri"/>
                <w:sz w:val="20"/>
                <w:szCs w:val="20"/>
              </w:rPr>
            </w:pPr>
            <w:r w:rsidRPr="009555DC">
              <w:rPr>
                <w:rFonts w:asciiTheme="minorHAnsi" w:hAnsiTheme="minorHAnsi"/>
                <w:color w:val="000000"/>
                <w:sz w:val="20"/>
                <w:szCs w:val="20"/>
              </w:rPr>
              <w:t>02474, 02476</w:t>
            </w:r>
          </w:p>
        </w:tc>
        <w:tc>
          <w:tcPr>
            <w:tcW w:w="1260" w:type="dxa"/>
            <w:vAlign w:val="bottom"/>
          </w:tcPr>
          <w:p w14:paraId="757C941D" w14:textId="382665F0"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sz w:val="20"/>
                <w:szCs w:val="20"/>
              </w:rPr>
              <w:t>Arlington</w:t>
            </w:r>
          </w:p>
        </w:tc>
        <w:tc>
          <w:tcPr>
            <w:tcW w:w="960" w:type="dxa"/>
            <w:noWrap/>
            <w:vAlign w:val="bottom"/>
          </w:tcPr>
          <w:p w14:paraId="474B1BEA" w14:textId="46F90704"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254</w:t>
            </w:r>
          </w:p>
        </w:tc>
        <w:tc>
          <w:tcPr>
            <w:tcW w:w="960" w:type="dxa"/>
            <w:noWrap/>
            <w:vAlign w:val="bottom"/>
          </w:tcPr>
          <w:p w14:paraId="277AB1C2" w14:textId="5A8EFB85"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3%</w:t>
            </w:r>
          </w:p>
        </w:tc>
        <w:tc>
          <w:tcPr>
            <w:tcW w:w="960" w:type="dxa"/>
            <w:noWrap/>
            <w:vAlign w:val="bottom"/>
          </w:tcPr>
          <w:p w14:paraId="29021979" w14:textId="3A53F9B4"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286</w:t>
            </w:r>
          </w:p>
        </w:tc>
        <w:tc>
          <w:tcPr>
            <w:tcW w:w="960" w:type="dxa"/>
            <w:noWrap/>
            <w:vAlign w:val="bottom"/>
          </w:tcPr>
          <w:p w14:paraId="5098010F" w14:textId="429F46CE"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3%</w:t>
            </w:r>
          </w:p>
        </w:tc>
        <w:tc>
          <w:tcPr>
            <w:tcW w:w="960" w:type="dxa"/>
            <w:noWrap/>
            <w:vAlign w:val="bottom"/>
          </w:tcPr>
          <w:p w14:paraId="726D8EF0" w14:textId="736C338F"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233</w:t>
            </w:r>
          </w:p>
        </w:tc>
        <w:tc>
          <w:tcPr>
            <w:tcW w:w="960" w:type="dxa"/>
            <w:noWrap/>
            <w:vAlign w:val="bottom"/>
          </w:tcPr>
          <w:p w14:paraId="70117C01" w14:textId="1902F647"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3%</w:t>
            </w:r>
          </w:p>
        </w:tc>
      </w:tr>
      <w:tr w:rsidR="00F348BF" w:rsidRPr="009555DC" w14:paraId="25688DE8" w14:textId="7C983248" w:rsidTr="00580E73">
        <w:trPr>
          <w:cantSplit/>
          <w:trHeight w:val="310"/>
        </w:trPr>
        <w:tc>
          <w:tcPr>
            <w:tcW w:w="6750" w:type="dxa"/>
            <w:vAlign w:val="bottom"/>
          </w:tcPr>
          <w:p w14:paraId="4ACE4DB3" w14:textId="34217FA1" w:rsidR="00F348BF" w:rsidRPr="009555DC" w:rsidRDefault="00F348BF" w:rsidP="00F348BF">
            <w:pPr>
              <w:suppressAutoHyphens w:val="0"/>
              <w:jc w:val="right"/>
              <w:rPr>
                <w:rFonts w:asciiTheme="minorHAnsi" w:hAnsiTheme="minorHAnsi" w:cs="Calibri"/>
                <w:sz w:val="20"/>
                <w:szCs w:val="20"/>
              </w:rPr>
            </w:pPr>
            <w:r w:rsidRPr="009555DC">
              <w:rPr>
                <w:rFonts w:asciiTheme="minorHAnsi" w:hAnsiTheme="minorHAnsi"/>
                <w:color w:val="000000"/>
                <w:sz w:val="20"/>
                <w:szCs w:val="20"/>
              </w:rPr>
              <w:t>02478</w:t>
            </w:r>
          </w:p>
        </w:tc>
        <w:tc>
          <w:tcPr>
            <w:tcW w:w="1260" w:type="dxa"/>
            <w:vAlign w:val="bottom"/>
          </w:tcPr>
          <w:p w14:paraId="6787B945" w14:textId="042A1C5B"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sz w:val="20"/>
                <w:szCs w:val="20"/>
              </w:rPr>
              <w:t>Belmont</w:t>
            </w:r>
          </w:p>
        </w:tc>
        <w:tc>
          <w:tcPr>
            <w:tcW w:w="960" w:type="dxa"/>
            <w:noWrap/>
            <w:vAlign w:val="bottom"/>
          </w:tcPr>
          <w:p w14:paraId="5CDB85D3" w14:textId="21AEC90D"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169</w:t>
            </w:r>
          </w:p>
        </w:tc>
        <w:tc>
          <w:tcPr>
            <w:tcW w:w="960" w:type="dxa"/>
            <w:noWrap/>
            <w:vAlign w:val="bottom"/>
          </w:tcPr>
          <w:p w14:paraId="6CA9CFDC" w14:textId="4963C799"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w:t>
            </w:r>
          </w:p>
        </w:tc>
        <w:tc>
          <w:tcPr>
            <w:tcW w:w="960" w:type="dxa"/>
            <w:noWrap/>
            <w:vAlign w:val="bottom"/>
          </w:tcPr>
          <w:p w14:paraId="49980D74" w14:textId="13ED0430"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253</w:t>
            </w:r>
          </w:p>
        </w:tc>
        <w:tc>
          <w:tcPr>
            <w:tcW w:w="960" w:type="dxa"/>
            <w:noWrap/>
            <w:vAlign w:val="bottom"/>
          </w:tcPr>
          <w:p w14:paraId="6948EF95" w14:textId="06C6637B"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3%</w:t>
            </w:r>
          </w:p>
        </w:tc>
        <w:tc>
          <w:tcPr>
            <w:tcW w:w="960" w:type="dxa"/>
            <w:noWrap/>
            <w:vAlign w:val="bottom"/>
          </w:tcPr>
          <w:p w14:paraId="2E1C1C2B" w14:textId="03E32873"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168</w:t>
            </w:r>
          </w:p>
        </w:tc>
        <w:tc>
          <w:tcPr>
            <w:tcW w:w="960" w:type="dxa"/>
            <w:noWrap/>
            <w:vAlign w:val="bottom"/>
          </w:tcPr>
          <w:p w14:paraId="07716CD3" w14:textId="3C93712F"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w:t>
            </w:r>
          </w:p>
        </w:tc>
      </w:tr>
      <w:tr w:rsidR="00F348BF" w:rsidRPr="009555DC" w14:paraId="2829CD3C" w14:textId="692FF3EC" w:rsidTr="00580E73">
        <w:trPr>
          <w:cantSplit/>
          <w:trHeight w:val="310"/>
        </w:trPr>
        <w:tc>
          <w:tcPr>
            <w:tcW w:w="6750" w:type="dxa"/>
            <w:vAlign w:val="bottom"/>
          </w:tcPr>
          <w:p w14:paraId="3718BA0D" w14:textId="5E8E92DE" w:rsidR="00F348BF" w:rsidRPr="009555DC" w:rsidRDefault="00F348BF" w:rsidP="00F348BF">
            <w:pPr>
              <w:suppressAutoHyphens w:val="0"/>
              <w:jc w:val="right"/>
              <w:rPr>
                <w:rFonts w:asciiTheme="minorHAnsi" w:hAnsiTheme="minorHAnsi" w:cs="Calibri"/>
                <w:sz w:val="20"/>
                <w:szCs w:val="20"/>
              </w:rPr>
            </w:pPr>
            <w:r w:rsidRPr="009555DC">
              <w:rPr>
                <w:rFonts w:asciiTheme="minorHAnsi" w:hAnsiTheme="minorHAnsi"/>
                <w:color w:val="000000"/>
                <w:sz w:val="20"/>
                <w:szCs w:val="20"/>
              </w:rPr>
              <w:t>02464</w:t>
            </w:r>
          </w:p>
        </w:tc>
        <w:tc>
          <w:tcPr>
            <w:tcW w:w="1260" w:type="dxa"/>
            <w:vAlign w:val="bottom"/>
          </w:tcPr>
          <w:p w14:paraId="4AA6441D" w14:textId="1EA53740"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sz w:val="20"/>
                <w:szCs w:val="20"/>
              </w:rPr>
              <w:t>Newton</w:t>
            </w:r>
          </w:p>
        </w:tc>
        <w:tc>
          <w:tcPr>
            <w:tcW w:w="960" w:type="dxa"/>
            <w:noWrap/>
            <w:vAlign w:val="bottom"/>
          </w:tcPr>
          <w:p w14:paraId="678FD9A2" w14:textId="7F69F4C2"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152</w:t>
            </w:r>
          </w:p>
        </w:tc>
        <w:tc>
          <w:tcPr>
            <w:tcW w:w="960" w:type="dxa"/>
            <w:noWrap/>
            <w:vAlign w:val="bottom"/>
          </w:tcPr>
          <w:p w14:paraId="149D1889" w14:textId="1EDFAAC5"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w:t>
            </w:r>
          </w:p>
        </w:tc>
        <w:tc>
          <w:tcPr>
            <w:tcW w:w="960" w:type="dxa"/>
            <w:noWrap/>
            <w:vAlign w:val="bottom"/>
          </w:tcPr>
          <w:p w14:paraId="69C2FCD5" w14:textId="05A6F773"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150</w:t>
            </w:r>
          </w:p>
        </w:tc>
        <w:tc>
          <w:tcPr>
            <w:tcW w:w="960" w:type="dxa"/>
            <w:noWrap/>
            <w:vAlign w:val="bottom"/>
          </w:tcPr>
          <w:p w14:paraId="786A7900" w14:textId="716FACDF"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w:t>
            </w:r>
          </w:p>
        </w:tc>
        <w:tc>
          <w:tcPr>
            <w:tcW w:w="960" w:type="dxa"/>
            <w:noWrap/>
            <w:vAlign w:val="bottom"/>
          </w:tcPr>
          <w:p w14:paraId="27B0FE58" w14:textId="6447ECC2"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130</w:t>
            </w:r>
          </w:p>
        </w:tc>
        <w:tc>
          <w:tcPr>
            <w:tcW w:w="960" w:type="dxa"/>
            <w:noWrap/>
            <w:vAlign w:val="bottom"/>
          </w:tcPr>
          <w:p w14:paraId="4C1A4DDC" w14:textId="3652B128"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w:t>
            </w:r>
          </w:p>
        </w:tc>
      </w:tr>
      <w:tr w:rsidR="00F348BF" w:rsidRPr="009555DC" w14:paraId="3A300F8A" w14:textId="20E2C484" w:rsidTr="00580E73">
        <w:trPr>
          <w:cantSplit/>
          <w:trHeight w:val="310"/>
        </w:trPr>
        <w:tc>
          <w:tcPr>
            <w:tcW w:w="6750" w:type="dxa"/>
            <w:vAlign w:val="bottom"/>
          </w:tcPr>
          <w:p w14:paraId="57A50705" w14:textId="43455B9B" w:rsidR="00F348BF" w:rsidRPr="009555DC" w:rsidRDefault="00F348BF" w:rsidP="00F348BF">
            <w:pPr>
              <w:suppressAutoHyphens w:val="0"/>
              <w:jc w:val="right"/>
              <w:rPr>
                <w:rFonts w:asciiTheme="minorHAnsi" w:hAnsiTheme="minorHAnsi" w:cs="Calibri"/>
                <w:sz w:val="20"/>
                <w:szCs w:val="20"/>
              </w:rPr>
            </w:pPr>
            <w:r w:rsidRPr="009555DC">
              <w:rPr>
                <w:rFonts w:asciiTheme="minorHAnsi" w:hAnsiTheme="minorHAnsi"/>
                <w:color w:val="000000"/>
                <w:sz w:val="20"/>
                <w:szCs w:val="20"/>
              </w:rPr>
              <w:t>02472</w:t>
            </w:r>
          </w:p>
        </w:tc>
        <w:tc>
          <w:tcPr>
            <w:tcW w:w="1260" w:type="dxa"/>
            <w:vAlign w:val="bottom"/>
          </w:tcPr>
          <w:p w14:paraId="710B2627" w14:textId="56D81C7A"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sz w:val="20"/>
                <w:szCs w:val="20"/>
              </w:rPr>
              <w:t>Watertown</w:t>
            </w:r>
          </w:p>
        </w:tc>
        <w:tc>
          <w:tcPr>
            <w:tcW w:w="960" w:type="dxa"/>
            <w:noWrap/>
            <w:vAlign w:val="bottom"/>
          </w:tcPr>
          <w:p w14:paraId="53C3901E" w14:textId="1D632DD7"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145</w:t>
            </w:r>
          </w:p>
        </w:tc>
        <w:tc>
          <w:tcPr>
            <w:tcW w:w="960" w:type="dxa"/>
            <w:noWrap/>
            <w:vAlign w:val="bottom"/>
          </w:tcPr>
          <w:p w14:paraId="107CA2BF" w14:textId="00E25093"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w:t>
            </w:r>
          </w:p>
        </w:tc>
        <w:tc>
          <w:tcPr>
            <w:tcW w:w="960" w:type="dxa"/>
            <w:noWrap/>
            <w:vAlign w:val="bottom"/>
          </w:tcPr>
          <w:p w14:paraId="187C36AE" w14:textId="0539C51D"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167</w:t>
            </w:r>
          </w:p>
        </w:tc>
        <w:tc>
          <w:tcPr>
            <w:tcW w:w="960" w:type="dxa"/>
            <w:noWrap/>
            <w:vAlign w:val="bottom"/>
          </w:tcPr>
          <w:p w14:paraId="704A7B03" w14:textId="144B955F"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2%</w:t>
            </w:r>
          </w:p>
        </w:tc>
        <w:tc>
          <w:tcPr>
            <w:tcW w:w="960" w:type="dxa"/>
            <w:noWrap/>
            <w:vAlign w:val="bottom"/>
          </w:tcPr>
          <w:p w14:paraId="745E1F11" w14:textId="32AE2673"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113</w:t>
            </w:r>
          </w:p>
        </w:tc>
        <w:tc>
          <w:tcPr>
            <w:tcW w:w="960" w:type="dxa"/>
            <w:noWrap/>
            <w:vAlign w:val="bottom"/>
          </w:tcPr>
          <w:p w14:paraId="59DACE7A" w14:textId="5E05E88B" w:rsidR="00F348BF" w:rsidRPr="009555DC" w:rsidRDefault="00F348BF" w:rsidP="00F348BF">
            <w:pPr>
              <w:suppressAutoHyphens w:val="0"/>
              <w:jc w:val="center"/>
              <w:rPr>
                <w:rFonts w:asciiTheme="minorHAnsi" w:hAnsiTheme="minorHAnsi" w:cs="Calibri"/>
                <w:sz w:val="20"/>
                <w:szCs w:val="20"/>
              </w:rPr>
            </w:pPr>
            <w:r w:rsidRPr="009555DC">
              <w:rPr>
                <w:rFonts w:asciiTheme="minorHAnsi" w:hAnsiTheme="minorHAnsi"/>
                <w:color w:val="000000"/>
                <w:sz w:val="20"/>
                <w:szCs w:val="20"/>
              </w:rPr>
              <w:t>1%</w:t>
            </w:r>
          </w:p>
        </w:tc>
      </w:tr>
      <w:bookmarkEnd w:id="4"/>
      <w:tr w:rsidR="00F348BF" w:rsidRPr="009555DC" w14:paraId="6E77F265" w14:textId="74CAB80E" w:rsidTr="00580E73">
        <w:trPr>
          <w:cantSplit/>
          <w:trHeight w:val="310"/>
        </w:trPr>
        <w:tc>
          <w:tcPr>
            <w:tcW w:w="6750" w:type="dxa"/>
            <w:shd w:val="clear" w:color="auto" w:fill="156082" w:themeFill="accent1"/>
            <w:vAlign w:val="bottom"/>
          </w:tcPr>
          <w:p w14:paraId="5C62467F" w14:textId="77777777" w:rsidR="00F348BF" w:rsidRPr="009555DC" w:rsidRDefault="00F348BF" w:rsidP="00F348BF">
            <w:pPr>
              <w:suppressAutoHyphens w:val="0"/>
              <w:jc w:val="right"/>
              <w:rPr>
                <w:rFonts w:ascii="Aptos" w:hAnsi="Aptos" w:cs="Calibri"/>
                <w:b/>
                <w:bCs/>
                <w:color w:val="FFFFFF" w:themeColor="background1"/>
                <w:sz w:val="20"/>
                <w:szCs w:val="20"/>
              </w:rPr>
            </w:pPr>
          </w:p>
        </w:tc>
        <w:tc>
          <w:tcPr>
            <w:tcW w:w="1260" w:type="dxa"/>
            <w:shd w:val="clear" w:color="auto" w:fill="156082" w:themeFill="accent1"/>
            <w:vAlign w:val="bottom"/>
          </w:tcPr>
          <w:p w14:paraId="4137549F" w14:textId="3F6E8980" w:rsidR="00F348BF" w:rsidRPr="009555DC" w:rsidRDefault="00F348BF" w:rsidP="00F348BF">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Total</w:t>
            </w:r>
          </w:p>
        </w:tc>
        <w:tc>
          <w:tcPr>
            <w:tcW w:w="960" w:type="dxa"/>
            <w:shd w:val="clear" w:color="auto" w:fill="156082" w:themeFill="accent1"/>
            <w:noWrap/>
            <w:vAlign w:val="bottom"/>
          </w:tcPr>
          <w:p w14:paraId="02B6337A" w14:textId="37A8BAF1" w:rsidR="00F348BF" w:rsidRPr="009555DC" w:rsidRDefault="00F348BF" w:rsidP="00F348BF">
            <w:pPr>
              <w:suppressAutoHyphens w:val="0"/>
              <w:jc w:val="center"/>
              <w:rPr>
                <w:rFonts w:ascii="Aptos" w:hAnsi="Aptos" w:cs="Calibri"/>
                <w:b/>
                <w:bCs/>
                <w:color w:val="FFFFFF" w:themeColor="background1"/>
                <w:sz w:val="20"/>
                <w:szCs w:val="20"/>
              </w:rPr>
            </w:pPr>
            <w:r w:rsidRPr="009555DC">
              <w:rPr>
                <w:rFonts w:ascii="Aptos Narrow" w:hAnsi="Aptos Narrow"/>
                <w:b/>
                <w:bCs/>
                <w:color w:val="FFFFFF" w:themeColor="background1"/>
                <w:sz w:val="20"/>
                <w:szCs w:val="20"/>
              </w:rPr>
              <w:t>8,184</w:t>
            </w:r>
          </w:p>
        </w:tc>
        <w:tc>
          <w:tcPr>
            <w:tcW w:w="960" w:type="dxa"/>
            <w:shd w:val="clear" w:color="auto" w:fill="156082" w:themeFill="accent1"/>
            <w:noWrap/>
            <w:vAlign w:val="bottom"/>
          </w:tcPr>
          <w:p w14:paraId="22E18F63" w14:textId="5F188A96" w:rsidR="00F348BF" w:rsidRPr="009555DC" w:rsidRDefault="00F348BF" w:rsidP="00F348BF">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100%</w:t>
            </w:r>
          </w:p>
        </w:tc>
        <w:tc>
          <w:tcPr>
            <w:tcW w:w="960" w:type="dxa"/>
            <w:shd w:val="clear" w:color="auto" w:fill="156082" w:themeFill="accent1"/>
            <w:noWrap/>
            <w:vAlign w:val="bottom"/>
          </w:tcPr>
          <w:p w14:paraId="4246880F" w14:textId="4B8990EE" w:rsidR="00F348BF" w:rsidRPr="009555DC" w:rsidRDefault="00F348BF" w:rsidP="00F348BF">
            <w:pPr>
              <w:suppressAutoHyphens w:val="0"/>
              <w:jc w:val="center"/>
              <w:rPr>
                <w:rFonts w:ascii="Aptos" w:hAnsi="Aptos" w:cs="Calibri"/>
                <w:b/>
                <w:bCs/>
                <w:color w:val="FFFFFF" w:themeColor="background1"/>
                <w:sz w:val="20"/>
                <w:szCs w:val="20"/>
              </w:rPr>
            </w:pPr>
            <w:r w:rsidRPr="009555DC">
              <w:rPr>
                <w:rFonts w:ascii="Aptos Narrow" w:hAnsi="Aptos Narrow"/>
                <w:b/>
                <w:bCs/>
                <w:color w:val="FFFFFF" w:themeColor="background1"/>
                <w:sz w:val="20"/>
                <w:szCs w:val="20"/>
              </w:rPr>
              <w:t>8,422</w:t>
            </w:r>
          </w:p>
        </w:tc>
        <w:tc>
          <w:tcPr>
            <w:tcW w:w="960" w:type="dxa"/>
            <w:shd w:val="clear" w:color="auto" w:fill="156082" w:themeFill="accent1"/>
            <w:noWrap/>
            <w:vAlign w:val="bottom"/>
          </w:tcPr>
          <w:p w14:paraId="26DE6FAF" w14:textId="7789DEA3" w:rsidR="00F348BF" w:rsidRPr="009555DC" w:rsidRDefault="00F348BF" w:rsidP="00F348BF">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100%</w:t>
            </w:r>
          </w:p>
        </w:tc>
        <w:tc>
          <w:tcPr>
            <w:tcW w:w="960" w:type="dxa"/>
            <w:shd w:val="clear" w:color="auto" w:fill="156082" w:themeFill="accent1"/>
            <w:noWrap/>
            <w:vAlign w:val="center"/>
          </w:tcPr>
          <w:p w14:paraId="3E6F43F2" w14:textId="7F2F0DCB" w:rsidR="00F348BF" w:rsidRPr="009555DC" w:rsidRDefault="00F348BF" w:rsidP="00F348BF">
            <w:pPr>
              <w:suppressAutoHyphens w:val="0"/>
              <w:jc w:val="center"/>
              <w:rPr>
                <w:rFonts w:ascii="Aptos" w:hAnsi="Aptos" w:cs="Calibri"/>
                <w:b/>
                <w:bCs/>
                <w:color w:val="FFFFFF" w:themeColor="background1"/>
                <w:sz w:val="20"/>
                <w:szCs w:val="20"/>
              </w:rPr>
            </w:pPr>
            <w:r w:rsidRPr="009555DC">
              <w:rPr>
                <w:rFonts w:ascii="Aptos Narrow" w:hAnsi="Aptos Narrow"/>
                <w:b/>
                <w:bCs/>
                <w:color w:val="FFFFFF" w:themeColor="background1"/>
                <w:sz w:val="20"/>
                <w:szCs w:val="20"/>
              </w:rPr>
              <w:t>7,716</w:t>
            </w:r>
          </w:p>
        </w:tc>
        <w:tc>
          <w:tcPr>
            <w:tcW w:w="960" w:type="dxa"/>
            <w:shd w:val="clear" w:color="auto" w:fill="156082" w:themeFill="accent1"/>
            <w:noWrap/>
            <w:vAlign w:val="center"/>
          </w:tcPr>
          <w:p w14:paraId="4D8E7DAB" w14:textId="4B312B3E" w:rsidR="00F348BF" w:rsidRPr="009555DC" w:rsidRDefault="00F348BF" w:rsidP="00F348BF">
            <w:pPr>
              <w:suppressAutoHyphens w:val="0"/>
              <w:jc w:val="center"/>
              <w:rPr>
                <w:rFonts w:ascii="Aptos" w:hAnsi="Aptos" w:cs="Calibri"/>
                <w:b/>
                <w:bCs/>
                <w:color w:val="FFFFFF" w:themeColor="background1"/>
                <w:sz w:val="20"/>
                <w:szCs w:val="20"/>
              </w:rPr>
            </w:pPr>
            <w:r w:rsidRPr="009555DC">
              <w:rPr>
                <w:rFonts w:ascii="Aptos" w:hAnsi="Aptos" w:cs="Calibri"/>
                <w:b/>
                <w:bCs/>
                <w:color w:val="FFFFFF" w:themeColor="background1"/>
                <w:sz w:val="20"/>
                <w:szCs w:val="20"/>
              </w:rPr>
              <w:t>100%</w:t>
            </w:r>
          </w:p>
        </w:tc>
      </w:tr>
      <w:bookmarkEnd w:id="3"/>
    </w:tbl>
    <w:p w14:paraId="67FF642C" w14:textId="31A68D20" w:rsidR="00A43A52" w:rsidRPr="009555DC" w:rsidRDefault="00A43A52" w:rsidP="00FD5B44">
      <w:pPr>
        <w:suppressAutoHyphens w:val="0"/>
        <w:rPr>
          <w:rFonts w:asciiTheme="minorHAnsi" w:hAnsiTheme="minorHAnsi"/>
          <w:b/>
          <w:bCs/>
          <w:kern w:val="2"/>
          <w:sz w:val="21"/>
          <w:szCs w:val="21"/>
        </w:rPr>
      </w:pPr>
    </w:p>
    <w:p w14:paraId="7BBEB68E" w14:textId="77777777" w:rsidR="00A43A52" w:rsidRPr="009555DC" w:rsidRDefault="00A43A52" w:rsidP="006B2AF7">
      <w:pPr>
        <w:spacing w:after="120"/>
        <w:jc w:val="both"/>
        <w:rPr>
          <w:rFonts w:asciiTheme="minorHAnsi" w:hAnsiTheme="minorHAnsi"/>
          <w:sz w:val="21"/>
          <w:szCs w:val="21"/>
        </w:rPr>
      </w:pPr>
    </w:p>
    <w:p w14:paraId="3510DB75" w14:textId="77777777" w:rsidR="00AB47C8" w:rsidRPr="009555DC" w:rsidRDefault="00AB47C8" w:rsidP="00E27321">
      <w:pPr>
        <w:spacing w:after="120"/>
        <w:jc w:val="both"/>
        <w:rPr>
          <w:rFonts w:ascii="Aptos" w:eastAsia="Calibri" w:hAnsi="Aptos" w:cs="Arial"/>
          <w:bCs/>
          <w:sz w:val="21"/>
          <w:szCs w:val="21"/>
        </w:rPr>
        <w:sectPr w:rsidR="00AB47C8" w:rsidRPr="009555DC" w:rsidSect="007215C8">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cols w:space="720"/>
          <w:docGrid w:linePitch="360"/>
        </w:sectPr>
      </w:pPr>
    </w:p>
    <w:p w14:paraId="7F11FA67" w14:textId="77777777" w:rsidR="00E27321" w:rsidRPr="009555DC" w:rsidRDefault="00E27321" w:rsidP="00C95CDD">
      <w:pPr>
        <w:pStyle w:val="Heading2"/>
        <w:rPr>
          <w:rFonts w:eastAsia="Arial"/>
          <w:u w:val="single"/>
        </w:rPr>
      </w:pPr>
      <w:r w:rsidRPr="009555DC">
        <w:lastRenderedPageBreak/>
        <w:t>F1.</w:t>
      </w:r>
      <w:proofErr w:type="gramStart"/>
      <w:r w:rsidRPr="009555DC">
        <w:t>a.ii</w:t>
      </w:r>
      <w:proofErr w:type="gramEnd"/>
      <w:r w:rsidRPr="009555DC">
        <w:tab/>
      </w:r>
      <w:r w:rsidRPr="009555DC">
        <w:tab/>
      </w:r>
      <w:r w:rsidRPr="00C95CDD">
        <w:rPr>
          <w:b/>
          <w:bCs w:val="0"/>
        </w:rPr>
        <w:t>Need by Patient Panel:</w:t>
      </w:r>
    </w:p>
    <w:p w14:paraId="6FC04F7B" w14:textId="77777777" w:rsidR="00E27321" w:rsidRPr="009555DC" w:rsidRDefault="00E27321" w:rsidP="00E27321">
      <w:pPr>
        <w:spacing w:after="120"/>
        <w:ind w:left="1440"/>
        <w:jc w:val="both"/>
        <w:rPr>
          <w:rFonts w:ascii="Aptos" w:hAnsi="Aptos" w:cs="Arial"/>
          <w:bCs/>
          <w:i/>
          <w:iCs/>
          <w:sz w:val="21"/>
          <w:szCs w:val="21"/>
        </w:rPr>
      </w:pPr>
      <w:r w:rsidRPr="009555DC">
        <w:rPr>
          <w:rFonts w:ascii="Aptos" w:hAnsi="Aptos" w:cs="Arial"/>
          <w:bCs/>
          <w:i/>
          <w:iCs/>
          <w:sz w:val="21"/>
          <w:szCs w:val="21"/>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7464D8F6" w14:textId="0FEE1223" w:rsidR="00B00841" w:rsidRPr="009555DC" w:rsidRDefault="00E27321" w:rsidP="00E27321">
      <w:pPr>
        <w:spacing w:after="120"/>
        <w:jc w:val="both"/>
        <w:rPr>
          <w:rFonts w:asciiTheme="minorHAnsi" w:hAnsiTheme="minorHAnsi"/>
          <w:sz w:val="21"/>
          <w:szCs w:val="21"/>
        </w:rPr>
      </w:pPr>
      <w:r w:rsidRPr="009555DC">
        <w:rPr>
          <w:rFonts w:asciiTheme="minorHAnsi" w:hAnsiTheme="minorHAnsi"/>
          <w:sz w:val="21"/>
          <w:szCs w:val="21"/>
        </w:rPr>
        <w:t>In 2025, an estimated 154,2</w:t>
      </w:r>
      <w:r w:rsidR="00AA4865">
        <w:rPr>
          <w:rFonts w:asciiTheme="minorHAnsi" w:hAnsiTheme="minorHAnsi"/>
          <w:sz w:val="21"/>
          <w:szCs w:val="21"/>
        </w:rPr>
        <w:t>70</w:t>
      </w:r>
      <w:r w:rsidRPr="009555DC">
        <w:rPr>
          <w:rFonts w:asciiTheme="minorHAnsi" w:hAnsiTheme="minorHAnsi"/>
          <w:sz w:val="21"/>
          <w:szCs w:val="21"/>
        </w:rPr>
        <w:t xml:space="preserve"> adults will be diagnosed with colorectal cancer and more than 50,000 people will die from </w:t>
      </w:r>
      <w:r w:rsidR="00BF74C8" w:rsidRPr="009555DC">
        <w:rPr>
          <w:rFonts w:asciiTheme="minorHAnsi" w:hAnsiTheme="minorHAnsi"/>
          <w:sz w:val="21"/>
          <w:szCs w:val="21"/>
        </w:rPr>
        <w:t>the disease</w:t>
      </w:r>
      <w:r w:rsidRPr="009555DC">
        <w:rPr>
          <w:rFonts w:asciiTheme="minorHAnsi" w:hAnsiTheme="minorHAnsi"/>
          <w:sz w:val="21"/>
          <w:szCs w:val="21"/>
        </w:rPr>
        <w:t>.</w:t>
      </w:r>
      <w:r w:rsidR="00854409" w:rsidRPr="009555DC">
        <w:rPr>
          <w:rStyle w:val="FootnoteReference"/>
          <w:rFonts w:asciiTheme="minorHAnsi" w:hAnsiTheme="minorHAnsi"/>
          <w:sz w:val="21"/>
          <w:szCs w:val="21"/>
        </w:rPr>
        <w:footnoteReference w:id="10"/>
      </w:r>
      <w:r w:rsidRPr="009555DC">
        <w:rPr>
          <w:rFonts w:asciiTheme="minorHAnsi" w:hAnsiTheme="minorHAnsi"/>
          <w:sz w:val="21"/>
          <w:szCs w:val="21"/>
        </w:rPr>
        <w:t xml:space="preserve"> </w:t>
      </w:r>
      <w:bookmarkStart w:id="5" w:name="_Hlk206590349"/>
      <w:r w:rsidR="0008778C" w:rsidRPr="009555DC">
        <w:rPr>
          <w:rFonts w:asciiTheme="minorHAnsi" w:hAnsiTheme="minorHAnsi"/>
          <w:sz w:val="21"/>
          <w:szCs w:val="21"/>
        </w:rPr>
        <w:t>Fortunately, colonoscopy is not only a highly effective screening  t</w:t>
      </w:r>
      <w:r w:rsidR="005F2D8C" w:rsidRPr="009555DC">
        <w:rPr>
          <w:rFonts w:asciiTheme="minorHAnsi" w:hAnsiTheme="minorHAnsi"/>
          <w:sz w:val="21"/>
          <w:szCs w:val="21"/>
        </w:rPr>
        <w:t>ool</w:t>
      </w:r>
      <w:r w:rsidR="0008778C" w:rsidRPr="009555DC">
        <w:rPr>
          <w:rFonts w:asciiTheme="minorHAnsi" w:hAnsiTheme="minorHAnsi"/>
          <w:sz w:val="21"/>
          <w:szCs w:val="21"/>
        </w:rPr>
        <w:t xml:space="preserve"> but is associated with as much as a 69% decrease in new cases of colorectal cancer and an 88% decrease in the risk of death from it.</w:t>
      </w:r>
      <w:r w:rsidR="0008778C" w:rsidRPr="009555DC">
        <w:rPr>
          <w:rStyle w:val="FootnoteReference"/>
          <w:rFonts w:asciiTheme="minorHAnsi" w:hAnsiTheme="minorHAnsi"/>
          <w:sz w:val="21"/>
          <w:szCs w:val="21"/>
        </w:rPr>
        <w:footnoteReference w:id="11"/>
      </w:r>
      <w:r w:rsidR="0008778C" w:rsidRPr="009555DC">
        <w:rPr>
          <w:rFonts w:asciiTheme="minorHAnsi" w:hAnsiTheme="minorHAnsi"/>
          <w:sz w:val="21"/>
          <w:szCs w:val="21"/>
        </w:rPr>
        <w:t xml:space="preserve"> </w:t>
      </w:r>
      <w:bookmarkEnd w:id="5"/>
      <w:r w:rsidR="00B00841" w:rsidRPr="009555DC">
        <w:rPr>
          <w:rFonts w:asciiTheme="minorHAnsi" w:hAnsiTheme="minorHAnsi"/>
          <w:sz w:val="21"/>
          <w:szCs w:val="21"/>
        </w:rPr>
        <w:t>At the start of the COVID-19 pandemic,</w:t>
      </w:r>
      <w:r w:rsidR="00E62D93" w:rsidRPr="009555DC">
        <w:rPr>
          <w:rFonts w:asciiTheme="minorHAnsi" w:hAnsiTheme="minorHAnsi"/>
          <w:sz w:val="21"/>
          <w:szCs w:val="21"/>
        </w:rPr>
        <w:t xml:space="preserve"> the</w:t>
      </w:r>
      <w:r w:rsidR="00B00841" w:rsidRPr="009555DC">
        <w:rPr>
          <w:rFonts w:asciiTheme="minorHAnsi" w:hAnsiTheme="minorHAnsi"/>
          <w:sz w:val="21"/>
          <w:szCs w:val="21"/>
        </w:rPr>
        <w:t xml:space="preserve"> </w:t>
      </w:r>
      <w:r w:rsidR="005F2D8C" w:rsidRPr="009555DC">
        <w:rPr>
          <w:rFonts w:asciiTheme="minorHAnsi" w:hAnsiTheme="minorHAnsi"/>
          <w:sz w:val="21"/>
          <w:szCs w:val="21"/>
        </w:rPr>
        <w:t xml:space="preserve">colorectal </w:t>
      </w:r>
      <w:r w:rsidR="00B00841" w:rsidRPr="009555DC">
        <w:rPr>
          <w:rFonts w:asciiTheme="minorHAnsi" w:hAnsiTheme="minorHAnsi"/>
          <w:sz w:val="21"/>
          <w:szCs w:val="21"/>
        </w:rPr>
        <w:t>cancer screening rate in and around Boston was 72%.</w:t>
      </w:r>
      <w:r w:rsidR="00B00841" w:rsidRPr="009555DC">
        <w:rPr>
          <w:rStyle w:val="FootnoteReference"/>
          <w:rFonts w:asciiTheme="minorHAnsi" w:hAnsiTheme="minorHAnsi"/>
          <w:sz w:val="21"/>
          <w:szCs w:val="21"/>
        </w:rPr>
        <w:footnoteReference w:id="12"/>
      </w:r>
      <w:r w:rsidR="00B00841" w:rsidRPr="009555DC">
        <w:rPr>
          <w:rFonts w:asciiTheme="minorHAnsi" w:hAnsiTheme="minorHAnsi"/>
          <w:sz w:val="21"/>
          <w:szCs w:val="21"/>
        </w:rPr>
        <w:t xml:space="preserve"> </w:t>
      </w:r>
      <w:r w:rsidR="005F2D8C" w:rsidRPr="009555DC">
        <w:rPr>
          <w:rFonts w:asciiTheme="minorHAnsi" w:hAnsiTheme="minorHAnsi"/>
          <w:sz w:val="21"/>
          <w:szCs w:val="21"/>
        </w:rPr>
        <w:t>By 2023</w:t>
      </w:r>
      <w:r w:rsidR="00B00841" w:rsidRPr="009555DC">
        <w:rPr>
          <w:rFonts w:asciiTheme="minorHAnsi" w:hAnsiTheme="minorHAnsi"/>
          <w:sz w:val="21"/>
          <w:szCs w:val="21"/>
        </w:rPr>
        <w:t>, the rate dropped to 67% due in large part to the restrictions placed on non-essential surgeries during the pandemic</w:t>
      </w:r>
      <w:r w:rsidR="00E44B3A" w:rsidRPr="009555DC">
        <w:rPr>
          <w:rFonts w:asciiTheme="minorHAnsi" w:hAnsiTheme="minorHAnsi"/>
          <w:sz w:val="21"/>
          <w:szCs w:val="21"/>
        </w:rPr>
        <w:t>,</w:t>
      </w:r>
      <w:r w:rsidR="00E44B3A" w:rsidRPr="009555DC">
        <w:rPr>
          <w:rStyle w:val="FootnoteReference"/>
          <w:rFonts w:asciiTheme="minorHAnsi" w:hAnsiTheme="minorHAnsi"/>
          <w:sz w:val="21"/>
          <w:szCs w:val="21"/>
        </w:rPr>
        <w:footnoteReference w:id="13"/>
      </w:r>
      <w:r w:rsidR="00E44B3A" w:rsidRPr="009555DC">
        <w:rPr>
          <w:rFonts w:asciiTheme="minorHAnsi" w:hAnsiTheme="minorHAnsi"/>
          <w:sz w:val="21"/>
          <w:szCs w:val="21"/>
        </w:rPr>
        <w:t xml:space="preserve"> ongoing staffing challenges</w:t>
      </w:r>
      <w:r w:rsidR="00A22244">
        <w:rPr>
          <w:rFonts w:asciiTheme="minorHAnsi" w:hAnsiTheme="minorHAnsi"/>
          <w:sz w:val="21"/>
          <w:szCs w:val="21"/>
        </w:rPr>
        <w:t>,</w:t>
      </w:r>
      <w:r w:rsidR="00E44B3A" w:rsidRPr="009555DC">
        <w:rPr>
          <w:rStyle w:val="FootnoteReference"/>
          <w:rFonts w:asciiTheme="minorHAnsi" w:hAnsiTheme="minorHAnsi"/>
          <w:sz w:val="21"/>
          <w:szCs w:val="21"/>
        </w:rPr>
        <w:footnoteReference w:id="14"/>
      </w:r>
      <w:r w:rsidR="00E44B3A" w:rsidRPr="009555DC">
        <w:rPr>
          <w:rFonts w:asciiTheme="minorHAnsi" w:hAnsiTheme="minorHAnsi"/>
          <w:sz w:val="21"/>
          <w:szCs w:val="21"/>
        </w:rPr>
        <w:t xml:space="preserve"> and IV shortages</w:t>
      </w:r>
      <w:r w:rsidR="00E44B3A" w:rsidRPr="009555DC">
        <w:rPr>
          <w:rStyle w:val="FootnoteReference"/>
          <w:rFonts w:asciiTheme="minorHAnsi" w:hAnsiTheme="minorHAnsi"/>
          <w:sz w:val="21"/>
          <w:szCs w:val="21"/>
        </w:rPr>
        <w:footnoteReference w:id="15"/>
      </w:r>
      <w:r w:rsidR="00B00841" w:rsidRPr="009555DC">
        <w:rPr>
          <w:rFonts w:asciiTheme="minorHAnsi" w:hAnsiTheme="minorHAnsi"/>
          <w:sz w:val="21"/>
          <w:szCs w:val="21"/>
        </w:rPr>
        <w:t xml:space="preserve">. As colonoscopies were cancelled, the backlog of cases at MGH and BWH continued to grow as more adults </w:t>
      </w:r>
      <w:r w:rsidR="00B242F6" w:rsidRPr="009555DC">
        <w:rPr>
          <w:rFonts w:asciiTheme="minorHAnsi" w:hAnsiTheme="minorHAnsi"/>
          <w:sz w:val="21"/>
          <w:szCs w:val="21"/>
        </w:rPr>
        <w:t xml:space="preserve">became eligible by virtue of </w:t>
      </w:r>
      <w:r w:rsidR="00B00841" w:rsidRPr="009555DC">
        <w:rPr>
          <w:rFonts w:asciiTheme="minorHAnsi" w:hAnsiTheme="minorHAnsi"/>
          <w:sz w:val="21"/>
          <w:szCs w:val="21"/>
        </w:rPr>
        <w:t>turn</w:t>
      </w:r>
      <w:r w:rsidR="00B242F6" w:rsidRPr="009555DC">
        <w:rPr>
          <w:rFonts w:asciiTheme="minorHAnsi" w:hAnsiTheme="minorHAnsi"/>
          <w:sz w:val="21"/>
          <w:szCs w:val="21"/>
        </w:rPr>
        <w:t>ing</w:t>
      </w:r>
      <w:r w:rsidR="00B00841" w:rsidRPr="009555DC">
        <w:rPr>
          <w:rFonts w:asciiTheme="minorHAnsi" w:hAnsiTheme="minorHAnsi"/>
          <w:sz w:val="21"/>
          <w:szCs w:val="21"/>
        </w:rPr>
        <w:t xml:space="preserve"> 45, the age at which average-risk adults should start </w:t>
      </w:r>
      <w:r w:rsidR="00F000AC" w:rsidRPr="009555DC">
        <w:rPr>
          <w:rFonts w:asciiTheme="minorHAnsi" w:hAnsiTheme="minorHAnsi"/>
          <w:sz w:val="21"/>
          <w:szCs w:val="21"/>
        </w:rPr>
        <w:t xml:space="preserve">having </w:t>
      </w:r>
      <w:r w:rsidR="00B00841" w:rsidRPr="009555DC">
        <w:rPr>
          <w:rFonts w:asciiTheme="minorHAnsi" w:hAnsiTheme="minorHAnsi"/>
          <w:sz w:val="21"/>
          <w:szCs w:val="21"/>
        </w:rPr>
        <w:t>screening colonoscopies.</w:t>
      </w:r>
      <w:bookmarkStart w:id="6" w:name="_Ref207178110"/>
      <w:r w:rsidR="00B242F6" w:rsidRPr="009555DC">
        <w:rPr>
          <w:rStyle w:val="FootnoteReference"/>
          <w:rFonts w:asciiTheme="minorHAnsi" w:hAnsiTheme="minorHAnsi"/>
          <w:sz w:val="21"/>
          <w:szCs w:val="21"/>
        </w:rPr>
        <w:footnoteReference w:id="16"/>
      </w:r>
      <w:bookmarkEnd w:id="6"/>
      <w:r w:rsidR="00B00841" w:rsidRPr="009555DC">
        <w:rPr>
          <w:rFonts w:asciiTheme="minorHAnsi" w:hAnsiTheme="minorHAnsi"/>
          <w:sz w:val="21"/>
          <w:szCs w:val="21"/>
        </w:rPr>
        <w:t xml:space="preserve"> </w:t>
      </w:r>
      <w:r w:rsidR="0008778C" w:rsidRPr="009555DC">
        <w:rPr>
          <w:rFonts w:asciiTheme="minorHAnsi" w:hAnsiTheme="minorHAnsi"/>
          <w:sz w:val="21"/>
          <w:szCs w:val="21"/>
        </w:rPr>
        <w:t>However, while cancer rates typically increase with age, colorectal cancer rates have increased 2% annually since the 1990s among younger adults 20-39, contributing further to the need for colonoscopy</w:t>
      </w:r>
      <w:r w:rsidR="005F2D8C" w:rsidRPr="009555DC">
        <w:rPr>
          <w:rFonts w:asciiTheme="minorHAnsi" w:hAnsiTheme="minorHAnsi"/>
          <w:sz w:val="21"/>
          <w:szCs w:val="21"/>
        </w:rPr>
        <w:t xml:space="preserve"> across ages</w:t>
      </w:r>
      <w:r w:rsidR="0008778C" w:rsidRPr="009555DC">
        <w:rPr>
          <w:rFonts w:asciiTheme="minorHAnsi" w:hAnsiTheme="minorHAnsi"/>
          <w:sz w:val="21"/>
          <w:szCs w:val="21"/>
        </w:rPr>
        <w:t>.</w:t>
      </w:r>
      <w:r w:rsidR="0008778C" w:rsidRPr="009555DC">
        <w:rPr>
          <w:rStyle w:val="FootnoteReference"/>
          <w:rFonts w:asciiTheme="minorHAnsi" w:hAnsiTheme="minorHAnsi"/>
          <w:sz w:val="21"/>
          <w:szCs w:val="21"/>
        </w:rPr>
        <w:footnoteReference w:id="17"/>
      </w:r>
      <w:r w:rsidR="0008778C" w:rsidRPr="009555DC">
        <w:rPr>
          <w:rFonts w:asciiTheme="minorHAnsi" w:hAnsiTheme="minorHAnsi"/>
          <w:sz w:val="21"/>
          <w:szCs w:val="21"/>
        </w:rPr>
        <w:t xml:space="preserve"> </w:t>
      </w:r>
      <w:r w:rsidR="00B00841" w:rsidRPr="009555DC">
        <w:rPr>
          <w:rFonts w:asciiTheme="minorHAnsi" w:hAnsiTheme="minorHAnsi"/>
          <w:sz w:val="21"/>
          <w:szCs w:val="21"/>
        </w:rPr>
        <w:t xml:space="preserve">By July 2025, the number of adults waiting to be scheduled for a routine endoscopy procedure </w:t>
      </w:r>
      <w:r w:rsidR="0008778C" w:rsidRPr="009555DC">
        <w:rPr>
          <w:rFonts w:asciiTheme="minorHAnsi" w:hAnsiTheme="minorHAnsi"/>
          <w:sz w:val="21"/>
          <w:szCs w:val="21"/>
        </w:rPr>
        <w:t xml:space="preserve">at the </w:t>
      </w:r>
      <w:r w:rsidR="00F000AC" w:rsidRPr="009555DC">
        <w:rPr>
          <w:rFonts w:asciiTheme="minorHAnsi" w:hAnsiTheme="minorHAnsi"/>
          <w:sz w:val="21"/>
          <w:szCs w:val="21"/>
        </w:rPr>
        <w:t xml:space="preserve">MGH and BWH </w:t>
      </w:r>
      <w:r w:rsidR="0008778C" w:rsidRPr="009555DC">
        <w:rPr>
          <w:rFonts w:asciiTheme="minorHAnsi" w:hAnsiTheme="minorHAnsi"/>
          <w:sz w:val="21"/>
          <w:szCs w:val="21"/>
        </w:rPr>
        <w:t xml:space="preserve">alone </w:t>
      </w:r>
      <w:r w:rsidR="00B00841" w:rsidRPr="009555DC">
        <w:rPr>
          <w:rFonts w:asciiTheme="minorHAnsi" w:hAnsiTheme="minorHAnsi"/>
          <w:sz w:val="21"/>
          <w:szCs w:val="21"/>
        </w:rPr>
        <w:t>had grown to more than 25,000</w:t>
      </w:r>
      <w:r w:rsidR="00E44B3A" w:rsidRPr="009555DC">
        <w:rPr>
          <w:rFonts w:asciiTheme="minorHAnsi" w:hAnsiTheme="minorHAnsi"/>
          <w:sz w:val="21"/>
          <w:szCs w:val="21"/>
        </w:rPr>
        <w:t xml:space="preserve"> while the wait list across all sites includes more than 45,000 MGB patients. </w:t>
      </w:r>
    </w:p>
    <w:p w14:paraId="45BDFB90" w14:textId="4FE8C97B" w:rsidR="00E27321" w:rsidRPr="009555DC" w:rsidRDefault="00E27321" w:rsidP="00E27321">
      <w:pPr>
        <w:spacing w:after="120"/>
        <w:jc w:val="both"/>
        <w:rPr>
          <w:rFonts w:asciiTheme="minorHAnsi" w:hAnsiTheme="minorHAnsi"/>
          <w:sz w:val="21"/>
          <w:szCs w:val="21"/>
        </w:rPr>
      </w:pPr>
      <w:r w:rsidRPr="009555DC">
        <w:rPr>
          <w:rFonts w:asciiTheme="minorHAnsi" w:hAnsiTheme="minorHAnsi"/>
          <w:sz w:val="21"/>
          <w:szCs w:val="21"/>
        </w:rPr>
        <w:t xml:space="preserve">To </w:t>
      </w:r>
      <w:r w:rsidR="005F2D8C" w:rsidRPr="009555DC">
        <w:rPr>
          <w:rFonts w:asciiTheme="minorHAnsi" w:hAnsiTheme="minorHAnsi"/>
          <w:sz w:val="21"/>
          <w:szCs w:val="21"/>
        </w:rPr>
        <w:t>address the need for endoscopy by the Patient Panel</w:t>
      </w:r>
      <w:r w:rsidRPr="009555DC">
        <w:rPr>
          <w:rFonts w:asciiTheme="minorHAnsi" w:hAnsiTheme="minorHAnsi"/>
          <w:sz w:val="21"/>
          <w:szCs w:val="21"/>
        </w:rPr>
        <w:t xml:space="preserve">, the Applicant seeks to establish a new, freestanding ASC in Cambridge </w:t>
      </w:r>
      <w:r w:rsidR="004B3EBB" w:rsidRPr="009555DC">
        <w:rPr>
          <w:rFonts w:asciiTheme="minorHAnsi" w:hAnsiTheme="minorHAnsi"/>
          <w:sz w:val="21"/>
          <w:szCs w:val="21"/>
        </w:rPr>
        <w:t>to</w:t>
      </w:r>
      <w:r w:rsidRPr="009555DC">
        <w:rPr>
          <w:rFonts w:asciiTheme="minorHAnsi" w:hAnsiTheme="minorHAnsi"/>
          <w:sz w:val="21"/>
          <w:szCs w:val="21"/>
        </w:rPr>
        <w:t xml:space="preserve"> improve access to outpatient endoscopy</w:t>
      </w:r>
      <w:r w:rsidR="0008778C" w:rsidRPr="009555DC">
        <w:rPr>
          <w:rFonts w:asciiTheme="minorHAnsi" w:hAnsiTheme="minorHAnsi"/>
          <w:sz w:val="21"/>
          <w:szCs w:val="21"/>
        </w:rPr>
        <w:t>, in turn reducing</w:t>
      </w:r>
      <w:r w:rsidRPr="009555DC">
        <w:rPr>
          <w:rFonts w:asciiTheme="minorHAnsi" w:hAnsiTheme="minorHAnsi"/>
          <w:sz w:val="21"/>
          <w:szCs w:val="21"/>
        </w:rPr>
        <w:t xml:space="preserve"> </w:t>
      </w:r>
      <w:proofErr w:type="gramStart"/>
      <w:r w:rsidRPr="009555DC">
        <w:rPr>
          <w:rFonts w:asciiTheme="minorHAnsi" w:hAnsiTheme="minorHAnsi"/>
          <w:sz w:val="21"/>
          <w:szCs w:val="21"/>
        </w:rPr>
        <w:t>wait</w:t>
      </w:r>
      <w:proofErr w:type="gramEnd"/>
      <w:r w:rsidRPr="009555DC">
        <w:rPr>
          <w:rFonts w:asciiTheme="minorHAnsi" w:hAnsiTheme="minorHAnsi"/>
          <w:sz w:val="21"/>
          <w:szCs w:val="21"/>
        </w:rPr>
        <w:t xml:space="preserve"> times</w:t>
      </w:r>
      <w:r w:rsidR="0008778C" w:rsidRPr="009555DC">
        <w:rPr>
          <w:rFonts w:asciiTheme="minorHAnsi" w:hAnsiTheme="minorHAnsi"/>
          <w:sz w:val="21"/>
          <w:szCs w:val="21"/>
        </w:rPr>
        <w:t xml:space="preserve"> while also</w:t>
      </w:r>
      <w:r w:rsidRPr="009555DC">
        <w:rPr>
          <w:rFonts w:asciiTheme="minorHAnsi" w:hAnsiTheme="minorHAnsi"/>
          <w:sz w:val="21"/>
          <w:szCs w:val="21"/>
        </w:rPr>
        <w:t xml:space="preserve"> </w:t>
      </w:r>
      <w:r w:rsidR="0008778C" w:rsidRPr="009555DC">
        <w:rPr>
          <w:rFonts w:asciiTheme="minorHAnsi" w:hAnsiTheme="minorHAnsi"/>
          <w:sz w:val="21"/>
          <w:szCs w:val="21"/>
        </w:rPr>
        <w:t>offering cost savings</w:t>
      </w:r>
      <w:r w:rsidRPr="009555DC">
        <w:rPr>
          <w:rFonts w:asciiTheme="minorHAnsi" w:hAnsiTheme="minorHAnsi"/>
          <w:sz w:val="21"/>
          <w:szCs w:val="21"/>
        </w:rPr>
        <w:t xml:space="preserve"> and a more convenient setting. Improving access </w:t>
      </w:r>
      <w:r w:rsidR="00C72F06" w:rsidRPr="009555DC">
        <w:rPr>
          <w:rFonts w:asciiTheme="minorHAnsi" w:hAnsiTheme="minorHAnsi"/>
          <w:sz w:val="21"/>
          <w:szCs w:val="21"/>
        </w:rPr>
        <w:t xml:space="preserve">to endoscopy </w:t>
      </w:r>
      <w:r w:rsidRPr="009555DC">
        <w:rPr>
          <w:rFonts w:asciiTheme="minorHAnsi" w:hAnsiTheme="minorHAnsi"/>
          <w:sz w:val="21"/>
          <w:szCs w:val="21"/>
        </w:rPr>
        <w:t xml:space="preserve">is necessary for improving colorectal screening adherence. Without improved access through the expansion of </w:t>
      </w:r>
      <w:r w:rsidR="00C72F06" w:rsidRPr="009555DC">
        <w:rPr>
          <w:rFonts w:asciiTheme="minorHAnsi" w:hAnsiTheme="minorHAnsi"/>
          <w:sz w:val="21"/>
          <w:szCs w:val="21"/>
        </w:rPr>
        <w:t xml:space="preserve">ASC </w:t>
      </w:r>
      <w:r w:rsidRPr="009555DC">
        <w:rPr>
          <w:rFonts w:asciiTheme="minorHAnsi" w:hAnsiTheme="minorHAnsi"/>
          <w:sz w:val="21"/>
          <w:szCs w:val="21"/>
        </w:rPr>
        <w:t xml:space="preserve">operating capacity, Massachusetts cannot </w:t>
      </w:r>
      <w:r w:rsidR="00C72F06" w:rsidRPr="009555DC">
        <w:rPr>
          <w:rFonts w:asciiTheme="minorHAnsi" w:hAnsiTheme="minorHAnsi"/>
          <w:sz w:val="21"/>
          <w:szCs w:val="21"/>
        </w:rPr>
        <w:t xml:space="preserve">meaningfully </w:t>
      </w:r>
      <w:r w:rsidRPr="009555DC">
        <w:rPr>
          <w:rFonts w:asciiTheme="minorHAnsi" w:hAnsiTheme="minorHAnsi"/>
          <w:sz w:val="21"/>
          <w:szCs w:val="21"/>
        </w:rPr>
        <w:t xml:space="preserve">improve screening adherence </w:t>
      </w:r>
      <w:r w:rsidR="00C72F06" w:rsidRPr="009555DC">
        <w:rPr>
          <w:rFonts w:asciiTheme="minorHAnsi" w:hAnsiTheme="minorHAnsi"/>
          <w:sz w:val="21"/>
          <w:szCs w:val="21"/>
        </w:rPr>
        <w:t>which directly impacts health outcomes</w:t>
      </w:r>
      <w:r w:rsidRPr="009555DC">
        <w:rPr>
          <w:rFonts w:asciiTheme="minorHAnsi" w:hAnsiTheme="minorHAnsi"/>
          <w:sz w:val="21"/>
          <w:szCs w:val="21"/>
        </w:rPr>
        <w:t>. Moreover, the availability of a dedicated endoscopy ASC</w:t>
      </w:r>
      <w:r w:rsidR="00F000AC" w:rsidRPr="009555DC">
        <w:rPr>
          <w:rFonts w:asciiTheme="minorHAnsi" w:hAnsiTheme="minorHAnsi"/>
          <w:sz w:val="21"/>
          <w:szCs w:val="21"/>
        </w:rPr>
        <w:t xml:space="preserve"> for MGB patients</w:t>
      </w:r>
      <w:r w:rsidRPr="009555DC">
        <w:rPr>
          <w:rFonts w:asciiTheme="minorHAnsi" w:hAnsiTheme="minorHAnsi"/>
          <w:sz w:val="21"/>
          <w:szCs w:val="21"/>
        </w:rPr>
        <w:t xml:space="preserve"> in the community will </w:t>
      </w:r>
      <w:r w:rsidR="00016FBE">
        <w:rPr>
          <w:rFonts w:asciiTheme="minorHAnsi" w:hAnsiTheme="minorHAnsi"/>
          <w:sz w:val="21"/>
          <w:szCs w:val="21"/>
        </w:rPr>
        <w:t>decrease outpatient cases</w:t>
      </w:r>
      <w:r w:rsidR="00C72F06" w:rsidRPr="009555DC">
        <w:rPr>
          <w:rFonts w:asciiTheme="minorHAnsi" w:hAnsiTheme="minorHAnsi"/>
          <w:sz w:val="21"/>
          <w:szCs w:val="21"/>
        </w:rPr>
        <w:t xml:space="preserve"> at the</w:t>
      </w:r>
      <w:r w:rsidR="00F000AC" w:rsidRPr="009555DC">
        <w:rPr>
          <w:rFonts w:asciiTheme="minorHAnsi" w:hAnsiTheme="minorHAnsi"/>
          <w:sz w:val="21"/>
          <w:szCs w:val="21"/>
        </w:rPr>
        <w:t xml:space="preserve"> MGB</w:t>
      </w:r>
      <w:r w:rsidR="00C72F06" w:rsidRPr="009555DC">
        <w:rPr>
          <w:rFonts w:asciiTheme="minorHAnsi" w:hAnsiTheme="minorHAnsi"/>
          <w:sz w:val="21"/>
          <w:szCs w:val="21"/>
        </w:rPr>
        <w:t xml:space="preserve"> AMCs, </w:t>
      </w:r>
      <w:r w:rsidRPr="009555DC">
        <w:rPr>
          <w:rFonts w:asciiTheme="minorHAnsi" w:hAnsiTheme="minorHAnsi"/>
          <w:sz w:val="21"/>
          <w:szCs w:val="21"/>
        </w:rPr>
        <w:t xml:space="preserve">freeing up </w:t>
      </w:r>
      <w:r w:rsidR="00C72F06" w:rsidRPr="009555DC">
        <w:rPr>
          <w:rFonts w:asciiTheme="minorHAnsi" w:hAnsiTheme="minorHAnsi"/>
          <w:sz w:val="21"/>
          <w:szCs w:val="21"/>
        </w:rPr>
        <w:t>endoscopy rooms</w:t>
      </w:r>
      <w:r w:rsidRPr="009555DC">
        <w:rPr>
          <w:rFonts w:asciiTheme="minorHAnsi" w:hAnsiTheme="minorHAnsi"/>
          <w:sz w:val="21"/>
          <w:szCs w:val="21"/>
        </w:rPr>
        <w:t xml:space="preserve"> for higher acuity patients </w:t>
      </w:r>
      <w:r w:rsidR="00C72F06" w:rsidRPr="009555DC">
        <w:rPr>
          <w:rFonts w:asciiTheme="minorHAnsi" w:hAnsiTheme="minorHAnsi"/>
          <w:sz w:val="21"/>
          <w:szCs w:val="21"/>
        </w:rPr>
        <w:t>and procedures</w:t>
      </w:r>
      <w:r w:rsidRPr="009555DC">
        <w:rPr>
          <w:rFonts w:asciiTheme="minorHAnsi" w:hAnsiTheme="minorHAnsi"/>
          <w:sz w:val="21"/>
          <w:szCs w:val="21"/>
        </w:rPr>
        <w:t xml:space="preserve">. Independently and collectively, these objectives are imperative for better public health outcomes and cost containment. </w:t>
      </w:r>
    </w:p>
    <w:p w14:paraId="24689117" w14:textId="5B8CC606" w:rsidR="00E27321" w:rsidRPr="009555DC" w:rsidRDefault="00E27321" w:rsidP="00E27321">
      <w:pPr>
        <w:spacing w:after="120"/>
        <w:jc w:val="both"/>
        <w:rPr>
          <w:rFonts w:asciiTheme="minorHAnsi" w:hAnsiTheme="minorHAnsi"/>
          <w:sz w:val="21"/>
          <w:szCs w:val="21"/>
        </w:rPr>
      </w:pPr>
      <w:r w:rsidRPr="009555DC">
        <w:rPr>
          <w:rFonts w:asciiTheme="minorHAnsi" w:hAnsiTheme="minorHAnsi"/>
          <w:sz w:val="21"/>
          <w:szCs w:val="21"/>
        </w:rPr>
        <w:t xml:space="preserve">In FY2024, </w:t>
      </w:r>
      <w:r w:rsidR="00E43ED7" w:rsidRPr="009555DC">
        <w:rPr>
          <w:rFonts w:asciiTheme="minorHAnsi" w:hAnsiTheme="minorHAnsi"/>
          <w:sz w:val="21"/>
          <w:szCs w:val="21"/>
        </w:rPr>
        <w:t>the</w:t>
      </w:r>
      <w:r w:rsidR="00F000AC" w:rsidRPr="009555DC">
        <w:rPr>
          <w:rFonts w:asciiTheme="minorHAnsi" w:hAnsiTheme="minorHAnsi"/>
          <w:sz w:val="21"/>
          <w:szCs w:val="21"/>
        </w:rPr>
        <w:t xml:space="preserve"> MGB</w:t>
      </w:r>
      <w:r w:rsidR="00E43ED7" w:rsidRPr="009555DC">
        <w:rPr>
          <w:rFonts w:asciiTheme="minorHAnsi" w:hAnsiTheme="minorHAnsi"/>
          <w:sz w:val="21"/>
          <w:szCs w:val="21"/>
        </w:rPr>
        <w:t xml:space="preserve"> AMCs performed 35,195 endoscopy procedures, including 29,723 outpatient procedures</w:t>
      </w:r>
      <w:r w:rsidRPr="009555DC">
        <w:rPr>
          <w:rFonts w:asciiTheme="minorHAnsi" w:hAnsiTheme="minorHAnsi"/>
          <w:sz w:val="21"/>
          <w:szCs w:val="21"/>
        </w:rPr>
        <w:t xml:space="preserve">. </w:t>
      </w:r>
      <w:r w:rsidR="00F000AC" w:rsidRPr="009555DC">
        <w:rPr>
          <w:rFonts w:asciiTheme="minorHAnsi" w:hAnsiTheme="minorHAnsi"/>
          <w:sz w:val="21"/>
          <w:szCs w:val="21"/>
        </w:rPr>
        <w:t xml:space="preserve">Of those, </w:t>
      </w:r>
      <w:r w:rsidR="00AC6E62" w:rsidRPr="009555DC">
        <w:rPr>
          <w:rFonts w:asciiTheme="minorHAnsi" w:hAnsiTheme="minorHAnsi"/>
          <w:sz w:val="21"/>
          <w:szCs w:val="21"/>
        </w:rPr>
        <w:t>99% were eligible to be performed in an ASC</w:t>
      </w:r>
      <w:r w:rsidRPr="009555DC">
        <w:rPr>
          <w:rFonts w:asciiTheme="minorHAnsi" w:hAnsiTheme="minorHAnsi"/>
          <w:sz w:val="21"/>
          <w:szCs w:val="21"/>
        </w:rPr>
        <w:t xml:space="preserve">. At the time of this Application, there </w:t>
      </w:r>
      <w:r w:rsidRPr="009555DC">
        <w:rPr>
          <w:rFonts w:asciiTheme="minorHAnsi" w:hAnsiTheme="minorHAnsi"/>
          <w:sz w:val="21"/>
          <w:szCs w:val="21"/>
        </w:rPr>
        <w:lastRenderedPageBreak/>
        <w:t xml:space="preserve">is only one dedicated endoscopy ASC in Boston. As a result, MGB’s </w:t>
      </w:r>
      <w:r w:rsidR="00F000AC" w:rsidRPr="009555DC">
        <w:rPr>
          <w:rFonts w:asciiTheme="minorHAnsi" w:hAnsiTheme="minorHAnsi"/>
          <w:sz w:val="21"/>
          <w:szCs w:val="21"/>
        </w:rPr>
        <w:t>metro-</w:t>
      </w:r>
      <w:r w:rsidRPr="009555DC">
        <w:rPr>
          <w:rFonts w:asciiTheme="minorHAnsi" w:hAnsiTheme="minorHAnsi"/>
          <w:sz w:val="21"/>
          <w:szCs w:val="21"/>
        </w:rPr>
        <w:t>Boston patients do not have non-</w:t>
      </w:r>
      <w:r w:rsidR="00F000AC" w:rsidRPr="009555DC">
        <w:rPr>
          <w:rFonts w:asciiTheme="minorHAnsi" w:hAnsiTheme="minorHAnsi"/>
          <w:sz w:val="21"/>
          <w:szCs w:val="21"/>
        </w:rPr>
        <w:t xml:space="preserve">hospital </w:t>
      </w:r>
      <w:r w:rsidRPr="009555DC">
        <w:rPr>
          <w:rFonts w:asciiTheme="minorHAnsi" w:hAnsiTheme="minorHAnsi"/>
          <w:sz w:val="21"/>
          <w:szCs w:val="21"/>
        </w:rPr>
        <w:t xml:space="preserve">options for endoscopy at a time when routine and diagnostic colonoscopy is more needed than any previous </w:t>
      </w:r>
      <w:proofErr w:type="gramStart"/>
      <w:r w:rsidRPr="009555DC">
        <w:rPr>
          <w:rFonts w:asciiTheme="minorHAnsi" w:hAnsiTheme="minorHAnsi"/>
          <w:sz w:val="21"/>
          <w:szCs w:val="21"/>
        </w:rPr>
        <w:t>time period</w:t>
      </w:r>
      <w:proofErr w:type="gramEnd"/>
      <w:r w:rsidRPr="009555DC">
        <w:rPr>
          <w:rFonts w:asciiTheme="minorHAnsi" w:hAnsiTheme="minorHAnsi"/>
          <w:sz w:val="21"/>
          <w:szCs w:val="21"/>
        </w:rPr>
        <w:t xml:space="preserve"> due to rising colorectal cancer rates in younger adults</w:t>
      </w:r>
      <w:r w:rsidR="00F000AC" w:rsidRPr="009555DC">
        <w:rPr>
          <w:rFonts w:asciiTheme="minorHAnsi" w:hAnsiTheme="minorHAnsi"/>
          <w:sz w:val="21"/>
          <w:szCs w:val="21"/>
        </w:rPr>
        <w:t xml:space="preserve"> and changes to screening guidelines</w:t>
      </w:r>
      <w:r w:rsidRPr="009555DC">
        <w:rPr>
          <w:rFonts w:asciiTheme="minorHAnsi" w:hAnsiTheme="minorHAnsi"/>
          <w:sz w:val="21"/>
          <w:szCs w:val="21"/>
        </w:rPr>
        <w:t xml:space="preserve">. </w:t>
      </w:r>
    </w:p>
    <w:p w14:paraId="5A92E7A9" w14:textId="37A9D97F" w:rsidR="00E27321" w:rsidRPr="009555DC" w:rsidRDefault="00E27321" w:rsidP="00E27321">
      <w:pPr>
        <w:spacing w:after="120"/>
        <w:jc w:val="both"/>
        <w:rPr>
          <w:rFonts w:asciiTheme="minorHAnsi" w:hAnsiTheme="minorHAnsi"/>
          <w:sz w:val="21"/>
          <w:szCs w:val="21"/>
        </w:rPr>
      </w:pPr>
      <w:r w:rsidRPr="009555DC">
        <w:rPr>
          <w:rFonts w:asciiTheme="minorHAnsi" w:hAnsiTheme="minorHAnsi"/>
          <w:sz w:val="21"/>
          <w:szCs w:val="21"/>
        </w:rPr>
        <w:t xml:space="preserve">Specifically, the Proposed </w:t>
      </w:r>
      <w:r w:rsidR="004B3EBB" w:rsidRPr="009555DC">
        <w:rPr>
          <w:rFonts w:asciiTheme="minorHAnsi" w:hAnsiTheme="minorHAnsi"/>
          <w:sz w:val="21"/>
          <w:szCs w:val="21"/>
        </w:rPr>
        <w:t>Project</w:t>
      </w:r>
      <w:r w:rsidRPr="009555DC">
        <w:rPr>
          <w:rFonts w:asciiTheme="minorHAnsi" w:hAnsiTheme="minorHAnsi"/>
          <w:sz w:val="21"/>
          <w:szCs w:val="21"/>
        </w:rPr>
        <w:t xml:space="preserve"> is needed to address four objectives. </w:t>
      </w:r>
      <w:r w:rsidR="00016FBE">
        <w:rPr>
          <w:rFonts w:asciiTheme="minorHAnsi" w:hAnsiTheme="minorHAnsi"/>
          <w:sz w:val="21"/>
          <w:szCs w:val="21"/>
        </w:rPr>
        <w:t>As</w:t>
      </w:r>
      <w:r w:rsidR="00016FBE" w:rsidRPr="009555DC">
        <w:rPr>
          <w:rFonts w:asciiTheme="minorHAnsi" w:hAnsiTheme="minorHAnsi"/>
          <w:sz w:val="21"/>
          <w:szCs w:val="21"/>
        </w:rPr>
        <w:t xml:space="preserve"> of </w:t>
      </w:r>
      <w:r w:rsidR="00016FBE">
        <w:rPr>
          <w:rFonts w:asciiTheme="minorHAnsi" w:hAnsiTheme="minorHAnsi"/>
          <w:sz w:val="21"/>
          <w:szCs w:val="21"/>
        </w:rPr>
        <w:t>July 30, 2025</w:t>
      </w:r>
      <w:r w:rsidR="00016FBE" w:rsidRPr="009555DC">
        <w:rPr>
          <w:rFonts w:asciiTheme="minorHAnsi" w:hAnsiTheme="minorHAnsi"/>
          <w:sz w:val="21"/>
          <w:szCs w:val="21"/>
        </w:rPr>
        <w:t>,</w:t>
      </w:r>
      <w:bookmarkStart w:id="7" w:name="_Hlk204091588"/>
      <w:r w:rsidRPr="009555DC">
        <w:rPr>
          <w:rFonts w:asciiTheme="minorHAnsi" w:hAnsiTheme="minorHAnsi"/>
          <w:sz w:val="21"/>
          <w:szCs w:val="21"/>
        </w:rPr>
        <w:t xml:space="preserve"> </w:t>
      </w:r>
      <w:r w:rsidR="003238A3" w:rsidRPr="009555DC">
        <w:rPr>
          <w:rFonts w:asciiTheme="minorHAnsi" w:hAnsiTheme="minorHAnsi"/>
          <w:sz w:val="21"/>
          <w:szCs w:val="21"/>
        </w:rPr>
        <w:t xml:space="preserve">26,586 </w:t>
      </w:r>
      <w:r w:rsidR="00D74561" w:rsidRPr="009555DC">
        <w:rPr>
          <w:rFonts w:asciiTheme="minorHAnsi" w:hAnsiTheme="minorHAnsi"/>
          <w:sz w:val="21"/>
          <w:szCs w:val="21"/>
        </w:rPr>
        <w:t xml:space="preserve">MGB </w:t>
      </w:r>
      <w:r w:rsidRPr="009555DC">
        <w:rPr>
          <w:rFonts w:asciiTheme="minorHAnsi" w:hAnsiTheme="minorHAnsi"/>
          <w:sz w:val="21"/>
          <w:szCs w:val="21"/>
        </w:rPr>
        <w:t xml:space="preserve">patients are waiting for their endoscopy procedure to be scheduled at MGH and BWH. </w:t>
      </w:r>
      <w:bookmarkEnd w:id="7"/>
      <w:r w:rsidRPr="009555DC">
        <w:rPr>
          <w:rFonts w:asciiTheme="minorHAnsi" w:hAnsiTheme="minorHAnsi"/>
          <w:sz w:val="21"/>
          <w:szCs w:val="21"/>
        </w:rPr>
        <w:t xml:space="preserve">Additional capacity is needed to </w:t>
      </w:r>
      <w:r w:rsidR="00016FBE">
        <w:rPr>
          <w:rFonts w:asciiTheme="minorHAnsi" w:hAnsiTheme="minorHAnsi"/>
          <w:sz w:val="21"/>
          <w:szCs w:val="21"/>
        </w:rPr>
        <w:t xml:space="preserve">(1) </w:t>
      </w:r>
      <w:r w:rsidRPr="009555DC">
        <w:rPr>
          <w:rFonts w:asciiTheme="minorHAnsi" w:hAnsiTheme="minorHAnsi"/>
          <w:sz w:val="21"/>
          <w:szCs w:val="21"/>
        </w:rPr>
        <w:t>address th</w:t>
      </w:r>
      <w:r w:rsidR="004B3EBB" w:rsidRPr="009555DC">
        <w:rPr>
          <w:rFonts w:asciiTheme="minorHAnsi" w:hAnsiTheme="minorHAnsi"/>
          <w:sz w:val="21"/>
          <w:szCs w:val="21"/>
        </w:rPr>
        <w:t>is</w:t>
      </w:r>
      <w:r w:rsidRPr="009555DC">
        <w:rPr>
          <w:rFonts w:asciiTheme="minorHAnsi" w:hAnsiTheme="minorHAnsi"/>
          <w:sz w:val="21"/>
          <w:szCs w:val="21"/>
        </w:rPr>
        <w:t xml:space="preserve"> growing backlog of </w:t>
      </w:r>
      <w:r w:rsidR="00F000AC" w:rsidRPr="009555DC">
        <w:rPr>
          <w:rFonts w:asciiTheme="minorHAnsi" w:hAnsiTheme="minorHAnsi"/>
          <w:sz w:val="21"/>
          <w:szCs w:val="21"/>
        </w:rPr>
        <w:t>MGB</w:t>
      </w:r>
      <w:r w:rsidR="00016FBE">
        <w:rPr>
          <w:rFonts w:asciiTheme="minorHAnsi" w:hAnsiTheme="minorHAnsi"/>
          <w:sz w:val="21"/>
          <w:szCs w:val="21"/>
        </w:rPr>
        <w:t xml:space="preserve">’s outpatient </w:t>
      </w:r>
      <w:r w:rsidRPr="009555DC">
        <w:rPr>
          <w:rFonts w:asciiTheme="minorHAnsi" w:hAnsiTheme="minorHAnsi"/>
          <w:sz w:val="21"/>
          <w:szCs w:val="21"/>
        </w:rPr>
        <w:t>endoscopy cases</w:t>
      </w:r>
      <w:r w:rsidR="00D152AA" w:rsidRPr="009555DC">
        <w:rPr>
          <w:rFonts w:asciiTheme="minorHAnsi" w:hAnsiTheme="minorHAnsi"/>
          <w:sz w:val="21"/>
          <w:szCs w:val="21"/>
        </w:rPr>
        <w:t xml:space="preserve"> and </w:t>
      </w:r>
      <w:r w:rsidR="00016FBE">
        <w:rPr>
          <w:rFonts w:asciiTheme="minorHAnsi" w:hAnsiTheme="minorHAnsi"/>
          <w:sz w:val="21"/>
          <w:szCs w:val="21"/>
        </w:rPr>
        <w:t xml:space="preserve">(2) </w:t>
      </w:r>
      <w:r w:rsidR="00D152AA" w:rsidRPr="009555DC">
        <w:rPr>
          <w:rFonts w:asciiTheme="minorHAnsi" w:hAnsiTheme="minorHAnsi"/>
          <w:sz w:val="21"/>
          <w:szCs w:val="21"/>
        </w:rPr>
        <w:t>simultaneously</w:t>
      </w:r>
      <w:r w:rsidRPr="009555DC">
        <w:rPr>
          <w:rFonts w:asciiTheme="minorHAnsi" w:hAnsiTheme="minorHAnsi"/>
          <w:sz w:val="21"/>
          <w:szCs w:val="21"/>
        </w:rPr>
        <w:t xml:space="preserve"> alleviate capacity constraints </w:t>
      </w:r>
      <w:r w:rsidR="00D152AA" w:rsidRPr="009555DC">
        <w:rPr>
          <w:rFonts w:asciiTheme="minorHAnsi" w:hAnsiTheme="minorHAnsi"/>
          <w:sz w:val="21"/>
          <w:szCs w:val="21"/>
        </w:rPr>
        <w:t xml:space="preserve">that will allow </w:t>
      </w:r>
      <w:r w:rsidRPr="009555DC">
        <w:rPr>
          <w:rFonts w:asciiTheme="minorHAnsi" w:hAnsiTheme="minorHAnsi"/>
          <w:sz w:val="21"/>
          <w:szCs w:val="21"/>
        </w:rPr>
        <w:t xml:space="preserve">emergent and inpatient cases </w:t>
      </w:r>
      <w:r w:rsidR="00D152AA" w:rsidRPr="009555DC">
        <w:rPr>
          <w:rFonts w:asciiTheme="minorHAnsi" w:hAnsiTheme="minorHAnsi"/>
          <w:sz w:val="21"/>
          <w:szCs w:val="21"/>
        </w:rPr>
        <w:t xml:space="preserve">at the </w:t>
      </w:r>
      <w:r w:rsidR="004B3EBB" w:rsidRPr="009555DC">
        <w:rPr>
          <w:rFonts w:asciiTheme="minorHAnsi" w:hAnsiTheme="minorHAnsi"/>
          <w:sz w:val="21"/>
          <w:szCs w:val="21"/>
        </w:rPr>
        <w:t xml:space="preserve">MGB </w:t>
      </w:r>
      <w:r w:rsidR="00D152AA" w:rsidRPr="009555DC">
        <w:rPr>
          <w:rFonts w:asciiTheme="minorHAnsi" w:hAnsiTheme="minorHAnsi"/>
          <w:sz w:val="21"/>
          <w:szCs w:val="21"/>
        </w:rPr>
        <w:t xml:space="preserve">AMCs </w:t>
      </w:r>
      <w:r w:rsidRPr="009555DC">
        <w:rPr>
          <w:rFonts w:asciiTheme="minorHAnsi" w:hAnsiTheme="minorHAnsi"/>
          <w:sz w:val="21"/>
          <w:szCs w:val="21"/>
        </w:rPr>
        <w:t xml:space="preserve">to be performed </w:t>
      </w:r>
      <w:r w:rsidR="0066595B">
        <w:rPr>
          <w:rFonts w:asciiTheme="minorHAnsi" w:hAnsiTheme="minorHAnsi"/>
          <w:sz w:val="21"/>
          <w:szCs w:val="21"/>
        </w:rPr>
        <w:t>sooner</w:t>
      </w:r>
      <w:r w:rsidRPr="009555DC">
        <w:rPr>
          <w:rFonts w:asciiTheme="minorHAnsi" w:hAnsiTheme="minorHAnsi"/>
          <w:sz w:val="21"/>
          <w:szCs w:val="21"/>
        </w:rPr>
        <w:t>.</w:t>
      </w:r>
      <w:r w:rsidR="00016FBE">
        <w:rPr>
          <w:rFonts w:asciiTheme="minorHAnsi" w:hAnsiTheme="minorHAnsi"/>
          <w:sz w:val="21"/>
          <w:szCs w:val="21"/>
        </w:rPr>
        <w:t xml:space="preserve"> </w:t>
      </w:r>
      <w:r w:rsidRPr="009555DC">
        <w:rPr>
          <w:rFonts w:asciiTheme="minorHAnsi" w:hAnsiTheme="minorHAnsi"/>
          <w:sz w:val="21"/>
          <w:szCs w:val="21"/>
        </w:rPr>
        <w:t>Third, the</w:t>
      </w:r>
      <w:r w:rsidR="004B3EBB" w:rsidRPr="009555DC">
        <w:rPr>
          <w:rFonts w:asciiTheme="minorHAnsi" w:hAnsiTheme="minorHAnsi"/>
          <w:sz w:val="21"/>
          <w:szCs w:val="21"/>
        </w:rPr>
        <w:t xml:space="preserve"> proposed</w:t>
      </w:r>
      <w:r w:rsidRPr="009555DC">
        <w:rPr>
          <w:rFonts w:asciiTheme="minorHAnsi" w:hAnsiTheme="minorHAnsi"/>
          <w:sz w:val="21"/>
          <w:szCs w:val="21"/>
        </w:rPr>
        <w:t xml:space="preserve"> ASC will significantly reduce costs for patients and payers compared to </w:t>
      </w:r>
      <w:r w:rsidR="00D152AA" w:rsidRPr="009555DC">
        <w:rPr>
          <w:rFonts w:asciiTheme="minorHAnsi" w:hAnsiTheme="minorHAnsi"/>
          <w:sz w:val="21"/>
          <w:szCs w:val="21"/>
        </w:rPr>
        <w:t xml:space="preserve">endoscopy at the </w:t>
      </w:r>
      <w:r w:rsidR="004B3EBB" w:rsidRPr="009555DC">
        <w:rPr>
          <w:rFonts w:asciiTheme="minorHAnsi" w:hAnsiTheme="minorHAnsi"/>
          <w:sz w:val="21"/>
          <w:szCs w:val="21"/>
        </w:rPr>
        <w:t xml:space="preserve">MGB </w:t>
      </w:r>
      <w:r w:rsidRPr="009555DC">
        <w:rPr>
          <w:rFonts w:asciiTheme="minorHAnsi" w:hAnsiTheme="minorHAnsi"/>
          <w:sz w:val="21"/>
          <w:szCs w:val="21"/>
        </w:rPr>
        <w:t xml:space="preserve">AMCs. Lastly, </w:t>
      </w:r>
      <w:r w:rsidR="00D152AA" w:rsidRPr="009555DC">
        <w:rPr>
          <w:rFonts w:asciiTheme="minorHAnsi" w:hAnsiTheme="minorHAnsi"/>
          <w:sz w:val="21"/>
          <w:szCs w:val="21"/>
        </w:rPr>
        <w:t>improving access to endoscopy</w:t>
      </w:r>
      <w:r w:rsidRPr="009555DC">
        <w:rPr>
          <w:rFonts w:asciiTheme="minorHAnsi" w:hAnsiTheme="minorHAnsi"/>
          <w:sz w:val="21"/>
          <w:szCs w:val="21"/>
        </w:rPr>
        <w:t xml:space="preserve"> is crucial </w:t>
      </w:r>
      <w:proofErr w:type="gramStart"/>
      <w:r w:rsidRPr="009555DC">
        <w:rPr>
          <w:rFonts w:asciiTheme="minorHAnsi" w:hAnsiTheme="minorHAnsi"/>
          <w:sz w:val="21"/>
          <w:szCs w:val="21"/>
        </w:rPr>
        <w:t>in light of</w:t>
      </w:r>
      <w:proofErr w:type="gramEnd"/>
      <w:r w:rsidRPr="009555DC">
        <w:rPr>
          <w:rFonts w:asciiTheme="minorHAnsi" w:hAnsiTheme="minorHAnsi"/>
          <w:sz w:val="21"/>
          <w:szCs w:val="21"/>
        </w:rPr>
        <w:t xml:space="preserve"> rising colorectal cancer rates and the importance of timely screening adherence. As </w:t>
      </w:r>
      <w:r w:rsidR="00D152AA" w:rsidRPr="009555DC">
        <w:rPr>
          <w:rFonts w:asciiTheme="minorHAnsi" w:hAnsiTheme="minorHAnsi"/>
          <w:sz w:val="21"/>
          <w:szCs w:val="21"/>
        </w:rPr>
        <w:t>supported by</w:t>
      </w:r>
      <w:r w:rsidRPr="009555DC">
        <w:rPr>
          <w:rFonts w:asciiTheme="minorHAnsi" w:hAnsiTheme="minorHAnsi"/>
          <w:sz w:val="21"/>
          <w:szCs w:val="21"/>
        </w:rPr>
        <w:t xml:space="preserve"> the data provided below, </w:t>
      </w:r>
      <w:r w:rsidR="00D152AA" w:rsidRPr="009555DC">
        <w:rPr>
          <w:rFonts w:asciiTheme="minorHAnsi" w:hAnsiTheme="minorHAnsi"/>
          <w:sz w:val="21"/>
          <w:szCs w:val="21"/>
        </w:rPr>
        <w:t xml:space="preserve">the proposed ASC will offer </w:t>
      </w:r>
      <w:r w:rsidR="00C72F06" w:rsidRPr="009555DC">
        <w:rPr>
          <w:rFonts w:asciiTheme="minorHAnsi" w:hAnsiTheme="minorHAnsi"/>
          <w:sz w:val="21"/>
          <w:szCs w:val="21"/>
        </w:rPr>
        <w:t>additional</w:t>
      </w:r>
      <w:r w:rsidR="00BF74C8" w:rsidRPr="009555DC">
        <w:rPr>
          <w:rFonts w:asciiTheme="minorHAnsi" w:hAnsiTheme="minorHAnsi"/>
          <w:sz w:val="21"/>
          <w:szCs w:val="21"/>
        </w:rPr>
        <w:t xml:space="preserve"> capacity </w:t>
      </w:r>
      <w:r w:rsidR="00D152AA" w:rsidRPr="009555DC">
        <w:rPr>
          <w:rFonts w:asciiTheme="minorHAnsi" w:hAnsiTheme="minorHAnsi"/>
          <w:sz w:val="21"/>
          <w:szCs w:val="21"/>
        </w:rPr>
        <w:t>and</w:t>
      </w:r>
      <w:r w:rsidRPr="009555DC">
        <w:rPr>
          <w:rFonts w:asciiTheme="minorHAnsi" w:hAnsiTheme="minorHAnsi"/>
          <w:sz w:val="21"/>
          <w:szCs w:val="21"/>
        </w:rPr>
        <w:t xml:space="preserve"> timel</w:t>
      </w:r>
      <w:r w:rsidR="00F000AC" w:rsidRPr="009555DC">
        <w:rPr>
          <w:rFonts w:asciiTheme="minorHAnsi" w:hAnsiTheme="minorHAnsi"/>
          <w:sz w:val="21"/>
          <w:szCs w:val="21"/>
        </w:rPr>
        <w:t>ier</w:t>
      </w:r>
      <w:r w:rsidRPr="009555DC">
        <w:rPr>
          <w:rFonts w:asciiTheme="minorHAnsi" w:hAnsiTheme="minorHAnsi"/>
          <w:sz w:val="21"/>
          <w:szCs w:val="21"/>
        </w:rPr>
        <w:t xml:space="preserve"> access to high-quality endoscopy at a lower cost while </w:t>
      </w:r>
      <w:r w:rsidR="00BF74C8" w:rsidRPr="009555DC">
        <w:rPr>
          <w:rFonts w:asciiTheme="minorHAnsi" w:hAnsiTheme="minorHAnsi"/>
          <w:sz w:val="21"/>
          <w:szCs w:val="21"/>
        </w:rPr>
        <w:t>simultaneously creating more</w:t>
      </w:r>
      <w:r w:rsidRPr="009555DC">
        <w:rPr>
          <w:rFonts w:asciiTheme="minorHAnsi" w:hAnsiTheme="minorHAnsi"/>
          <w:sz w:val="21"/>
          <w:szCs w:val="21"/>
        </w:rPr>
        <w:t xml:space="preserve"> capacity </w:t>
      </w:r>
      <w:r w:rsidR="00BF74C8" w:rsidRPr="009555DC">
        <w:rPr>
          <w:rFonts w:asciiTheme="minorHAnsi" w:hAnsiTheme="minorHAnsi"/>
          <w:sz w:val="21"/>
          <w:szCs w:val="21"/>
        </w:rPr>
        <w:t xml:space="preserve">at the </w:t>
      </w:r>
      <w:r w:rsidR="004B3EBB" w:rsidRPr="009555DC">
        <w:rPr>
          <w:rFonts w:asciiTheme="minorHAnsi" w:hAnsiTheme="minorHAnsi"/>
          <w:sz w:val="21"/>
          <w:szCs w:val="21"/>
        </w:rPr>
        <w:t xml:space="preserve">MGB </w:t>
      </w:r>
      <w:r w:rsidR="00BF74C8" w:rsidRPr="009555DC">
        <w:rPr>
          <w:rFonts w:asciiTheme="minorHAnsi" w:hAnsiTheme="minorHAnsi"/>
          <w:sz w:val="21"/>
          <w:szCs w:val="21"/>
        </w:rPr>
        <w:t xml:space="preserve">AMCs for </w:t>
      </w:r>
      <w:r w:rsidR="00F000AC" w:rsidRPr="009555DC">
        <w:rPr>
          <w:rFonts w:asciiTheme="minorHAnsi" w:hAnsiTheme="minorHAnsi"/>
          <w:sz w:val="21"/>
          <w:szCs w:val="21"/>
        </w:rPr>
        <w:t>inpatient and emergency cases</w:t>
      </w:r>
      <w:r w:rsidRPr="009555DC">
        <w:rPr>
          <w:rFonts w:asciiTheme="minorHAnsi" w:hAnsiTheme="minorHAnsi"/>
          <w:sz w:val="21"/>
          <w:szCs w:val="21"/>
        </w:rPr>
        <w:t xml:space="preserve">. </w:t>
      </w:r>
    </w:p>
    <w:p w14:paraId="50CE2319" w14:textId="77777777" w:rsidR="00E27321" w:rsidRPr="009555DC" w:rsidRDefault="00E27321" w:rsidP="00E27321">
      <w:pPr>
        <w:pStyle w:val="ListParagraph"/>
        <w:numPr>
          <w:ilvl w:val="0"/>
          <w:numId w:val="7"/>
        </w:numPr>
        <w:spacing w:after="120"/>
        <w:contextualSpacing w:val="0"/>
        <w:rPr>
          <w:rFonts w:asciiTheme="minorHAnsi" w:hAnsiTheme="minorHAnsi"/>
          <w:b/>
          <w:bCs/>
          <w:sz w:val="21"/>
          <w:szCs w:val="21"/>
        </w:rPr>
      </w:pPr>
      <w:r w:rsidRPr="009555DC">
        <w:rPr>
          <w:rFonts w:asciiTheme="minorHAnsi" w:hAnsiTheme="minorHAnsi"/>
          <w:b/>
          <w:bCs/>
          <w:sz w:val="21"/>
          <w:szCs w:val="21"/>
        </w:rPr>
        <w:t xml:space="preserve">Historical Utilization </w:t>
      </w:r>
    </w:p>
    <w:p w14:paraId="0F2554B8" w14:textId="22D533AE" w:rsidR="00E27321" w:rsidRPr="009555DC" w:rsidRDefault="00E27321" w:rsidP="00E27321">
      <w:pPr>
        <w:jc w:val="both"/>
        <w:rPr>
          <w:rFonts w:asciiTheme="minorHAnsi" w:hAnsiTheme="minorHAnsi"/>
          <w:sz w:val="21"/>
          <w:szCs w:val="21"/>
        </w:rPr>
      </w:pPr>
      <w:r w:rsidRPr="009555DC">
        <w:rPr>
          <w:rFonts w:asciiTheme="minorHAnsi" w:hAnsiTheme="minorHAnsi"/>
          <w:sz w:val="21"/>
          <w:szCs w:val="21"/>
        </w:rPr>
        <w:t>In FY2024,</w:t>
      </w:r>
      <w:r w:rsidR="005B5C5D" w:rsidRPr="009555DC">
        <w:rPr>
          <w:rFonts w:asciiTheme="minorHAnsi" w:hAnsiTheme="minorHAnsi"/>
          <w:sz w:val="21"/>
          <w:szCs w:val="21"/>
        </w:rPr>
        <w:t xml:space="preserve"> MGB and BWH performed</w:t>
      </w:r>
      <w:r w:rsidRPr="009555DC">
        <w:rPr>
          <w:rFonts w:asciiTheme="minorHAnsi" w:hAnsiTheme="minorHAnsi"/>
          <w:sz w:val="21"/>
          <w:szCs w:val="21"/>
        </w:rPr>
        <w:t xml:space="preserve"> </w:t>
      </w:r>
      <w:r w:rsidR="009555DC">
        <w:rPr>
          <w:rFonts w:asciiTheme="minorHAnsi" w:hAnsiTheme="minorHAnsi"/>
          <w:sz w:val="21"/>
          <w:szCs w:val="21"/>
        </w:rPr>
        <w:t xml:space="preserve">20,117 </w:t>
      </w:r>
      <w:r w:rsidR="004B3EBB" w:rsidRPr="009555DC">
        <w:rPr>
          <w:rFonts w:asciiTheme="minorHAnsi" w:hAnsiTheme="minorHAnsi"/>
          <w:sz w:val="21"/>
          <w:szCs w:val="21"/>
        </w:rPr>
        <w:t xml:space="preserve">endoscopy procedures which </w:t>
      </w:r>
      <w:r w:rsidR="005B5C5D" w:rsidRPr="009555DC">
        <w:rPr>
          <w:rFonts w:asciiTheme="minorHAnsi" w:hAnsiTheme="minorHAnsi"/>
          <w:sz w:val="21"/>
          <w:szCs w:val="21"/>
        </w:rPr>
        <w:t xml:space="preserve">could have been </w:t>
      </w:r>
      <w:r w:rsidR="005D634E" w:rsidRPr="009555DC">
        <w:rPr>
          <w:rFonts w:asciiTheme="minorHAnsi" w:hAnsiTheme="minorHAnsi"/>
          <w:sz w:val="21"/>
          <w:szCs w:val="21"/>
        </w:rPr>
        <w:t>performed in an ASC</w:t>
      </w:r>
      <w:r w:rsidR="003256FA" w:rsidRPr="009555DC">
        <w:rPr>
          <w:rFonts w:asciiTheme="minorHAnsi" w:hAnsiTheme="minorHAnsi"/>
          <w:sz w:val="21"/>
          <w:szCs w:val="21"/>
        </w:rPr>
        <w:t xml:space="preserve">. </w:t>
      </w:r>
      <w:r w:rsidR="00956413" w:rsidRPr="009555DC">
        <w:rPr>
          <w:rFonts w:asciiTheme="minorHAnsi" w:hAnsiTheme="minorHAnsi"/>
          <w:sz w:val="21"/>
          <w:szCs w:val="21"/>
        </w:rPr>
        <w:t xml:space="preserve"> </w:t>
      </w:r>
      <w:r w:rsidR="004B3EBB" w:rsidRPr="009555DC">
        <w:rPr>
          <w:rFonts w:asciiTheme="minorHAnsi" w:hAnsiTheme="minorHAnsi"/>
          <w:sz w:val="21"/>
          <w:szCs w:val="21"/>
        </w:rPr>
        <w:t>O</w:t>
      </w:r>
      <w:r w:rsidR="003256FA" w:rsidRPr="009555DC">
        <w:rPr>
          <w:rFonts w:asciiTheme="minorHAnsi" w:hAnsiTheme="minorHAnsi"/>
          <w:sz w:val="21"/>
          <w:szCs w:val="21"/>
        </w:rPr>
        <w:t xml:space="preserve">f those </w:t>
      </w:r>
      <w:r w:rsidR="005D634E" w:rsidRPr="009555DC">
        <w:rPr>
          <w:rFonts w:asciiTheme="minorHAnsi" w:hAnsiTheme="minorHAnsi"/>
          <w:sz w:val="21"/>
          <w:szCs w:val="21"/>
        </w:rPr>
        <w:t xml:space="preserve">ASC-eligible </w:t>
      </w:r>
      <w:r w:rsidR="00784A09" w:rsidRPr="009555DC">
        <w:rPr>
          <w:rFonts w:asciiTheme="minorHAnsi" w:hAnsiTheme="minorHAnsi"/>
          <w:sz w:val="21"/>
          <w:szCs w:val="21"/>
        </w:rPr>
        <w:t>procedures</w:t>
      </w:r>
      <w:r w:rsidR="004B3EBB" w:rsidRPr="009555DC">
        <w:rPr>
          <w:rFonts w:asciiTheme="minorHAnsi" w:hAnsiTheme="minorHAnsi"/>
          <w:sz w:val="21"/>
          <w:szCs w:val="21"/>
        </w:rPr>
        <w:t xml:space="preserve"> at the MGB AMCs</w:t>
      </w:r>
      <w:r w:rsidR="003256FA" w:rsidRPr="009555DC">
        <w:rPr>
          <w:rFonts w:asciiTheme="minorHAnsi" w:hAnsiTheme="minorHAnsi"/>
          <w:sz w:val="21"/>
          <w:szCs w:val="21"/>
        </w:rPr>
        <w:t xml:space="preserve">, </w:t>
      </w:r>
      <w:r w:rsidR="004B3EBB" w:rsidRPr="009555DC">
        <w:rPr>
          <w:rFonts w:asciiTheme="minorHAnsi" w:hAnsiTheme="minorHAnsi"/>
          <w:sz w:val="21"/>
          <w:szCs w:val="21"/>
        </w:rPr>
        <w:t xml:space="preserve">9,879 procedures were for </w:t>
      </w:r>
      <w:r w:rsidR="00784A09" w:rsidRPr="009555DC">
        <w:rPr>
          <w:rFonts w:asciiTheme="minorHAnsi" w:hAnsiTheme="minorHAnsi"/>
          <w:sz w:val="21"/>
          <w:szCs w:val="21"/>
        </w:rPr>
        <w:t>patients residing</w:t>
      </w:r>
      <w:r w:rsidRPr="009555DC">
        <w:rPr>
          <w:rFonts w:asciiTheme="minorHAnsi" w:hAnsiTheme="minorHAnsi"/>
          <w:sz w:val="21"/>
          <w:szCs w:val="21"/>
        </w:rPr>
        <w:t xml:space="preserve"> </w:t>
      </w:r>
      <w:r w:rsidR="00A425BC" w:rsidRPr="009555DC">
        <w:rPr>
          <w:rFonts w:asciiTheme="minorHAnsi" w:hAnsiTheme="minorHAnsi"/>
          <w:sz w:val="21"/>
          <w:szCs w:val="21"/>
        </w:rPr>
        <w:t>in the Proposed Service Area</w:t>
      </w:r>
      <w:r w:rsidRPr="009555DC">
        <w:rPr>
          <w:rFonts w:asciiTheme="minorHAnsi" w:hAnsiTheme="minorHAnsi"/>
          <w:sz w:val="21"/>
          <w:szCs w:val="21"/>
        </w:rPr>
        <w:t>.</w:t>
      </w:r>
      <w:r w:rsidR="005B5C5D" w:rsidRPr="009555DC">
        <w:rPr>
          <w:rFonts w:asciiTheme="minorHAnsi" w:hAnsiTheme="minorHAnsi"/>
          <w:sz w:val="21"/>
          <w:szCs w:val="21"/>
        </w:rPr>
        <w:t xml:space="preserve"> </w:t>
      </w:r>
      <w:r w:rsidR="004B3EBB" w:rsidRPr="009555DC">
        <w:rPr>
          <w:rFonts w:asciiTheme="minorHAnsi" w:hAnsiTheme="minorHAnsi"/>
          <w:sz w:val="21"/>
          <w:szCs w:val="21"/>
        </w:rPr>
        <w:t>To that end,</w:t>
      </w:r>
      <w:r w:rsidR="005B5C5D" w:rsidRPr="009555DC">
        <w:rPr>
          <w:rFonts w:asciiTheme="minorHAnsi" w:hAnsiTheme="minorHAnsi"/>
          <w:sz w:val="21"/>
          <w:szCs w:val="21"/>
        </w:rPr>
        <w:t xml:space="preserve"> </w:t>
      </w:r>
      <w:r w:rsidR="004B3EBB" w:rsidRPr="009555DC">
        <w:rPr>
          <w:rFonts w:asciiTheme="minorHAnsi" w:hAnsiTheme="minorHAnsi"/>
          <w:sz w:val="21"/>
          <w:szCs w:val="21"/>
        </w:rPr>
        <w:t xml:space="preserve">providing </w:t>
      </w:r>
      <w:r w:rsidR="005B5C5D" w:rsidRPr="009555DC">
        <w:rPr>
          <w:rFonts w:asciiTheme="minorHAnsi" w:hAnsiTheme="minorHAnsi"/>
          <w:sz w:val="21"/>
          <w:szCs w:val="21"/>
        </w:rPr>
        <w:t>endoscopy at the Proposed ASC will reduce the unnecessary reliance on MGB and BWH for the Patient Panel.</w:t>
      </w:r>
      <w:r w:rsidRPr="009555DC">
        <w:rPr>
          <w:rFonts w:asciiTheme="minorHAnsi" w:hAnsiTheme="minorHAnsi"/>
          <w:sz w:val="21"/>
          <w:szCs w:val="21"/>
        </w:rPr>
        <w:t xml:space="preserve"> The table below breaks down </w:t>
      </w:r>
      <w:r w:rsidR="00D152AA" w:rsidRPr="009555DC">
        <w:rPr>
          <w:rFonts w:asciiTheme="minorHAnsi" w:hAnsiTheme="minorHAnsi"/>
          <w:sz w:val="21"/>
          <w:szCs w:val="21"/>
        </w:rPr>
        <w:t xml:space="preserve">the Patient Panel’s </w:t>
      </w:r>
      <w:r w:rsidRPr="009555DC">
        <w:rPr>
          <w:rFonts w:asciiTheme="minorHAnsi" w:hAnsiTheme="minorHAnsi"/>
          <w:sz w:val="21"/>
          <w:szCs w:val="21"/>
        </w:rPr>
        <w:t xml:space="preserve">outpatient endoscopy </w:t>
      </w:r>
      <w:r w:rsidR="00D152AA" w:rsidRPr="009555DC">
        <w:rPr>
          <w:rFonts w:asciiTheme="minorHAnsi" w:hAnsiTheme="minorHAnsi"/>
          <w:sz w:val="21"/>
          <w:szCs w:val="21"/>
        </w:rPr>
        <w:t xml:space="preserve">utilization </w:t>
      </w:r>
      <w:r w:rsidRPr="009555DC">
        <w:rPr>
          <w:rFonts w:asciiTheme="minorHAnsi" w:hAnsiTheme="minorHAnsi"/>
          <w:sz w:val="21"/>
          <w:szCs w:val="21"/>
        </w:rPr>
        <w:t xml:space="preserve">by </w:t>
      </w:r>
      <w:r w:rsidR="004B3EBB" w:rsidRPr="009555DC">
        <w:rPr>
          <w:rFonts w:asciiTheme="minorHAnsi" w:hAnsiTheme="minorHAnsi"/>
          <w:sz w:val="21"/>
          <w:szCs w:val="21"/>
        </w:rPr>
        <w:t>facility</w:t>
      </w:r>
      <w:r w:rsidRPr="009555DC">
        <w:rPr>
          <w:rFonts w:asciiTheme="minorHAnsi" w:hAnsiTheme="minorHAnsi"/>
          <w:sz w:val="21"/>
          <w:szCs w:val="21"/>
        </w:rPr>
        <w:t xml:space="preserve">, category, and type. </w:t>
      </w:r>
    </w:p>
    <w:p w14:paraId="1DCFD167" w14:textId="77777777" w:rsidR="008477FF" w:rsidRPr="009555DC" w:rsidRDefault="008477FF" w:rsidP="008477FF">
      <w:pPr>
        <w:rPr>
          <w:sz w:val="21"/>
          <w:szCs w:val="21"/>
        </w:rPr>
      </w:pPr>
    </w:p>
    <w:tbl>
      <w:tblPr>
        <w:tblW w:w="9445" w:type="dxa"/>
        <w:tblLook w:val="04A0" w:firstRow="1" w:lastRow="0" w:firstColumn="1" w:lastColumn="0" w:noHBand="0" w:noVBand="1"/>
      </w:tblPr>
      <w:tblGrid>
        <w:gridCol w:w="3685"/>
        <w:gridCol w:w="1140"/>
        <w:gridCol w:w="919"/>
        <w:gridCol w:w="884"/>
        <w:gridCol w:w="919"/>
        <w:gridCol w:w="884"/>
        <w:gridCol w:w="1014"/>
      </w:tblGrid>
      <w:tr w:rsidR="008477FF" w:rsidRPr="009555DC" w14:paraId="5388F4F6" w14:textId="77777777" w:rsidTr="002A7F2F">
        <w:trPr>
          <w:cantSplit/>
          <w:trHeight w:val="310"/>
          <w:tblHeader/>
        </w:trPr>
        <w:tc>
          <w:tcPr>
            <w:tcW w:w="3685" w:type="dxa"/>
            <w:tcBorders>
              <w:top w:val="single" w:sz="4" w:space="0" w:color="auto"/>
              <w:left w:val="single" w:sz="4" w:space="0" w:color="auto"/>
              <w:bottom w:val="single" w:sz="4" w:space="0" w:color="auto"/>
              <w:right w:val="nil"/>
            </w:tcBorders>
            <w:shd w:val="clear" w:color="auto" w:fill="0F4761" w:themeFill="accent1" w:themeFillShade="BF"/>
            <w:noWrap/>
            <w:vAlign w:val="center"/>
            <w:hideMark/>
          </w:tcPr>
          <w:p w14:paraId="48A11118" w14:textId="77777777" w:rsidR="008477FF" w:rsidRPr="009555DC" w:rsidRDefault="008477FF" w:rsidP="00062791">
            <w:pPr>
              <w:suppressAutoHyphens w:val="0"/>
              <w:rPr>
                <w:rFonts w:ascii="Aptos" w:hAnsi="Aptos" w:cs="Calibri"/>
                <w:b/>
                <w:bCs/>
                <w:sz w:val="21"/>
                <w:szCs w:val="21"/>
              </w:rPr>
            </w:pPr>
            <w:r w:rsidRPr="009555DC">
              <w:rPr>
                <w:rFonts w:ascii="Aptos" w:hAnsi="Aptos" w:cs="Calibri"/>
                <w:b/>
                <w:bCs/>
                <w:sz w:val="21"/>
                <w:szCs w:val="21"/>
              </w:rPr>
              <w:t>Table 4: Historical Utilization</w:t>
            </w:r>
          </w:p>
        </w:tc>
        <w:tc>
          <w:tcPr>
            <w:tcW w:w="1140"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661993CB" w14:textId="77777777" w:rsidR="008477FF" w:rsidRPr="009555DC" w:rsidRDefault="008477FF" w:rsidP="00062791">
            <w:pPr>
              <w:suppressAutoHyphens w:val="0"/>
              <w:rPr>
                <w:rFonts w:ascii="Aptos" w:hAnsi="Aptos" w:cs="Calibri"/>
                <w:b/>
                <w:bCs/>
                <w:sz w:val="21"/>
                <w:szCs w:val="21"/>
              </w:rPr>
            </w:pPr>
            <w:r w:rsidRPr="009555DC">
              <w:rPr>
                <w:rFonts w:ascii="Aptos" w:hAnsi="Aptos" w:cs="Calibri"/>
                <w:b/>
                <w:bCs/>
                <w:sz w:val="21"/>
                <w:szCs w:val="21"/>
              </w:rPr>
              <w:t>FY22</w:t>
            </w:r>
          </w:p>
        </w:tc>
        <w:tc>
          <w:tcPr>
            <w:tcW w:w="919"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7E47B6EC" w14:textId="77777777" w:rsidR="008477FF" w:rsidRPr="009555DC" w:rsidRDefault="008477FF" w:rsidP="00062791">
            <w:pPr>
              <w:suppressAutoHyphens w:val="0"/>
              <w:rPr>
                <w:rFonts w:ascii="Aptos" w:hAnsi="Aptos" w:cs="Calibri"/>
                <w:b/>
                <w:bCs/>
                <w:sz w:val="21"/>
                <w:szCs w:val="21"/>
              </w:rPr>
            </w:pPr>
            <w:r w:rsidRPr="009555DC">
              <w:rPr>
                <w:rFonts w:ascii="Aptos" w:hAnsi="Aptos" w:cs="Calibri"/>
                <w:b/>
                <w:bCs/>
                <w:sz w:val="21"/>
                <w:szCs w:val="21"/>
              </w:rPr>
              <w:t>FY22 %</w:t>
            </w:r>
          </w:p>
        </w:tc>
        <w:tc>
          <w:tcPr>
            <w:tcW w:w="884"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20417652" w14:textId="77777777" w:rsidR="008477FF" w:rsidRPr="009555DC" w:rsidRDefault="008477FF" w:rsidP="00062791">
            <w:pPr>
              <w:suppressAutoHyphens w:val="0"/>
              <w:rPr>
                <w:rFonts w:ascii="Aptos" w:hAnsi="Aptos" w:cs="Calibri"/>
                <w:b/>
                <w:bCs/>
                <w:sz w:val="21"/>
                <w:szCs w:val="21"/>
              </w:rPr>
            </w:pPr>
            <w:r w:rsidRPr="009555DC">
              <w:rPr>
                <w:rFonts w:ascii="Aptos" w:hAnsi="Aptos" w:cs="Calibri"/>
                <w:b/>
                <w:bCs/>
                <w:sz w:val="21"/>
                <w:szCs w:val="21"/>
              </w:rPr>
              <w:t>FY23</w:t>
            </w:r>
          </w:p>
        </w:tc>
        <w:tc>
          <w:tcPr>
            <w:tcW w:w="919"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0A64E190" w14:textId="77777777" w:rsidR="008477FF" w:rsidRPr="009555DC" w:rsidRDefault="008477FF" w:rsidP="00062791">
            <w:pPr>
              <w:suppressAutoHyphens w:val="0"/>
              <w:rPr>
                <w:rFonts w:ascii="Aptos" w:hAnsi="Aptos" w:cs="Calibri"/>
                <w:b/>
                <w:bCs/>
                <w:sz w:val="21"/>
                <w:szCs w:val="21"/>
              </w:rPr>
            </w:pPr>
            <w:r w:rsidRPr="009555DC">
              <w:rPr>
                <w:rFonts w:ascii="Aptos" w:hAnsi="Aptos" w:cs="Calibri"/>
                <w:b/>
                <w:bCs/>
                <w:sz w:val="21"/>
                <w:szCs w:val="21"/>
              </w:rPr>
              <w:t>FY23 %</w:t>
            </w:r>
          </w:p>
        </w:tc>
        <w:tc>
          <w:tcPr>
            <w:tcW w:w="884"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5B2E0683" w14:textId="77777777" w:rsidR="008477FF" w:rsidRPr="009555DC" w:rsidRDefault="008477FF" w:rsidP="00062791">
            <w:pPr>
              <w:suppressAutoHyphens w:val="0"/>
              <w:rPr>
                <w:rFonts w:ascii="Aptos" w:hAnsi="Aptos" w:cs="Calibri"/>
                <w:b/>
                <w:bCs/>
                <w:sz w:val="21"/>
                <w:szCs w:val="21"/>
              </w:rPr>
            </w:pPr>
            <w:r w:rsidRPr="009555DC">
              <w:rPr>
                <w:rFonts w:ascii="Aptos" w:hAnsi="Aptos" w:cs="Calibri"/>
                <w:b/>
                <w:bCs/>
                <w:sz w:val="21"/>
                <w:szCs w:val="21"/>
              </w:rPr>
              <w:t>FY24</w:t>
            </w:r>
          </w:p>
        </w:tc>
        <w:tc>
          <w:tcPr>
            <w:tcW w:w="1014"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0FBCA815" w14:textId="77777777" w:rsidR="008477FF" w:rsidRPr="009555DC" w:rsidRDefault="008477FF" w:rsidP="00062791">
            <w:pPr>
              <w:suppressAutoHyphens w:val="0"/>
              <w:rPr>
                <w:rFonts w:ascii="Aptos" w:hAnsi="Aptos" w:cs="Calibri"/>
                <w:b/>
                <w:bCs/>
                <w:sz w:val="21"/>
                <w:szCs w:val="21"/>
              </w:rPr>
            </w:pPr>
            <w:r w:rsidRPr="009555DC">
              <w:rPr>
                <w:rFonts w:ascii="Aptos" w:hAnsi="Aptos" w:cs="Calibri"/>
                <w:b/>
                <w:bCs/>
                <w:sz w:val="21"/>
                <w:szCs w:val="21"/>
              </w:rPr>
              <w:t>FY24 %</w:t>
            </w:r>
          </w:p>
        </w:tc>
      </w:tr>
      <w:tr w:rsidR="008477FF" w:rsidRPr="009555DC" w14:paraId="22E268B9" w14:textId="77777777" w:rsidTr="002A7F2F">
        <w:trPr>
          <w:cantSplit/>
          <w:trHeight w:val="310"/>
        </w:trPr>
        <w:tc>
          <w:tcPr>
            <w:tcW w:w="3685" w:type="dxa"/>
            <w:tcBorders>
              <w:top w:val="single" w:sz="4" w:space="0" w:color="auto"/>
              <w:left w:val="single" w:sz="4" w:space="0" w:color="auto"/>
              <w:bottom w:val="single" w:sz="4" w:space="0" w:color="auto"/>
              <w:right w:val="nil"/>
            </w:tcBorders>
            <w:shd w:val="clear" w:color="auto" w:fill="A5C9EB" w:themeFill="text2" w:themeFillTint="40"/>
            <w:noWrap/>
            <w:vAlign w:val="center"/>
            <w:hideMark/>
          </w:tcPr>
          <w:p w14:paraId="482A5835" w14:textId="77777777" w:rsidR="008477FF" w:rsidRPr="009555DC" w:rsidRDefault="008477FF" w:rsidP="00062791">
            <w:pPr>
              <w:suppressAutoHyphens w:val="0"/>
              <w:rPr>
                <w:rFonts w:asciiTheme="minorHAnsi" w:hAnsiTheme="minorHAnsi" w:cs="Calibri"/>
                <w:b/>
                <w:bCs/>
                <w:sz w:val="21"/>
                <w:szCs w:val="21"/>
              </w:rPr>
            </w:pPr>
            <w:r w:rsidRPr="009555DC">
              <w:rPr>
                <w:rFonts w:asciiTheme="minorHAnsi" w:hAnsiTheme="minorHAnsi" w:cs="Calibri"/>
                <w:b/>
                <w:bCs/>
                <w:sz w:val="21"/>
                <w:szCs w:val="21"/>
              </w:rPr>
              <w:t>Outpatient Endoscopy Volume Total</w:t>
            </w:r>
          </w:p>
        </w:tc>
        <w:tc>
          <w:tcPr>
            <w:tcW w:w="114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1B86D71A" w14:textId="77777777" w:rsidR="008477FF" w:rsidRPr="009555DC" w:rsidRDefault="008477FF" w:rsidP="00062791">
            <w:pPr>
              <w:suppressAutoHyphens w:val="0"/>
              <w:jc w:val="center"/>
              <w:rPr>
                <w:rFonts w:asciiTheme="minorHAnsi" w:hAnsiTheme="minorHAnsi" w:cs="Calibri"/>
                <w:b/>
                <w:bCs/>
                <w:sz w:val="21"/>
                <w:szCs w:val="21"/>
              </w:rPr>
            </w:pPr>
            <w:r w:rsidRPr="009555DC">
              <w:rPr>
                <w:rFonts w:asciiTheme="minorHAnsi" w:hAnsiTheme="minorHAnsi"/>
                <w:b/>
                <w:bCs/>
                <w:color w:val="000000"/>
                <w:sz w:val="21"/>
                <w:szCs w:val="21"/>
              </w:rPr>
              <w:t>9,879</w:t>
            </w:r>
          </w:p>
        </w:tc>
        <w:tc>
          <w:tcPr>
            <w:tcW w:w="919"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1EF6BEDD" w14:textId="77777777" w:rsidR="008477FF" w:rsidRPr="009555DC" w:rsidRDefault="008477FF" w:rsidP="00062791">
            <w:pPr>
              <w:suppressAutoHyphens w:val="0"/>
              <w:jc w:val="center"/>
              <w:rPr>
                <w:rFonts w:asciiTheme="minorHAnsi" w:hAnsiTheme="minorHAnsi" w:cs="Calibri"/>
                <w:b/>
                <w:bCs/>
                <w:sz w:val="21"/>
                <w:szCs w:val="21"/>
              </w:rPr>
            </w:pPr>
            <w:r w:rsidRPr="009555DC">
              <w:rPr>
                <w:rFonts w:asciiTheme="minorHAnsi" w:hAnsiTheme="minorHAnsi"/>
                <w:b/>
                <w:bCs/>
                <w:color w:val="000000"/>
                <w:sz w:val="21"/>
                <w:szCs w:val="21"/>
              </w:rPr>
              <w:t>100%</w:t>
            </w:r>
          </w:p>
        </w:tc>
        <w:tc>
          <w:tcPr>
            <w:tcW w:w="884"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7B04E385" w14:textId="77777777" w:rsidR="008477FF" w:rsidRPr="009555DC" w:rsidRDefault="008477FF" w:rsidP="00062791">
            <w:pPr>
              <w:suppressAutoHyphens w:val="0"/>
              <w:jc w:val="center"/>
              <w:rPr>
                <w:rFonts w:asciiTheme="minorHAnsi" w:hAnsiTheme="minorHAnsi" w:cs="Calibri"/>
                <w:b/>
                <w:bCs/>
                <w:sz w:val="21"/>
                <w:szCs w:val="21"/>
              </w:rPr>
            </w:pPr>
            <w:r w:rsidRPr="009555DC">
              <w:rPr>
                <w:rFonts w:asciiTheme="minorHAnsi" w:hAnsiTheme="minorHAnsi"/>
                <w:b/>
                <w:bCs/>
                <w:color w:val="000000"/>
                <w:sz w:val="21"/>
                <w:szCs w:val="21"/>
              </w:rPr>
              <w:t>10,237</w:t>
            </w:r>
          </w:p>
        </w:tc>
        <w:tc>
          <w:tcPr>
            <w:tcW w:w="919"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05997136" w14:textId="77777777" w:rsidR="008477FF" w:rsidRPr="009555DC" w:rsidRDefault="008477FF" w:rsidP="00062791">
            <w:pPr>
              <w:suppressAutoHyphens w:val="0"/>
              <w:jc w:val="center"/>
              <w:rPr>
                <w:rFonts w:asciiTheme="minorHAnsi" w:hAnsiTheme="minorHAnsi" w:cs="Calibri"/>
                <w:b/>
                <w:bCs/>
                <w:sz w:val="21"/>
                <w:szCs w:val="21"/>
              </w:rPr>
            </w:pPr>
            <w:r w:rsidRPr="009555DC">
              <w:rPr>
                <w:rFonts w:asciiTheme="minorHAnsi" w:hAnsiTheme="minorHAnsi"/>
                <w:b/>
                <w:bCs/>
                <w:color w:val="000000"/>
                <w:sz w:val="21"/>
                <w:szCs w:val="21"/>
              </w:rPr>
              <w:t>100%</w:t>
            </w:r>
          </w:p>
        </w:tc>
        <w:tc>
          <w:tcPr>
            <w:tcW w:w="884"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6A98DCE3" w14:textId="77777777" w:rsidR="008477FF" w:rsidRPr="009555DC" w:rsidRDefault="008477FF" w:rsidP="00062791">
            <w:pPr>
              <w:suppressAutoHyphens w:val="0"/>
              <w:jc w:val="center"/>
              <w:rPr>
                <w:rFonts w:asciiTheme="minorHAnsi" w:hAnsiTheme="minorHAnsi" w:cs="Calibri"/>
                <w:b/>
                <w:bCs/>
                <w:sz w:val="21"/>
                <w:szCs w:val="21"/>
              </w:rPr>
            </w:pPr>
            <w:r w:rsidRPr="009555DC">
              <w:rPr>
                <w:rFonts w:asciiTheme="minorHAnsi" w:hAnsiTheme="minorHAnsi"/>
                <w:b/>
                <w:bCs/>
                <w:color w:val="000000"/>
                <w:sz w:val="21"/>
                <w:szCs w:val="21"/>
              </w:rPr>
              <w:t>9,449</w:t>
            </w:r>
          </w:p>
        </w:tc>
        <w:tc>
          <w:tcPr>
            <w:tcW w:w="1014"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055EDA1E" w14:textId="77777777" w:rsidR="008477FF" w:rsidRPr="009555DC" w:rsidRDefault="008477FF" w:rsidP="00062791">
            <w:pPr>
              <w:suppressAutoHyphens w:val="0"/>
              <w:jc w:val="center"/>
              <w:rPr>
                <w:rFonts w:asciiTheme="minorHAnsi" w:hAnsiTheme="minorHAnsi" w:cs="Calibri"/>
                <w:b/>
                <w:bCs/>
                <w:sz w:val="21"/>
                <w:szCs w:val="21"/>
              </w:rPr>
            </w:pPr>
            <w:r w:rsidRPr="009555DC">
              <w:rPr>
                <w:rFonts w:asciiTheme="minorHAnsi" w:hAnsiTheme="minorHAnsi" w:cs="Calibri"/>
                <w:b/>
                <w:bCs/>
                <w:color w:val="000000"/>
                <w:sz w:val="21"/>
                <w:szCs w:val="21"/>
              </w:rPr>
              <w:t>100%</w:t>
            </w:r>
          </w:p>
        </w:tc>
      </w:tr>
      <w:tr w:rsidR="008477FF" w:rsidRPr="009555DC" w14:paraId="6D8BD4F1" w14:textId="77777777" w:rsidTr="002A7F2F">
        <w:trPr>
          <w:cantSplit/>
          <w:trHeight w:val="310"/>
        </w:trPr>
        <w:tc>
          <w:tcPr>
            <w:tcW w:w="3685" w:type="dxa"/>
            <w:tcBorders>
              <w:top w:val="single" w:sz="4" w:space="0" w:color="auto"/>
              <w:left w:val="single" w:sz="4" w:space="0" w:color="auto"/>
              <w:bottom w:val="single" w:sz="4" w:space="0" w:color="auto"/>
              <w:right w:val="nil"/>
            </w:tcBorders>
            <w:noWrap/>
            <w:vAlign w:val="center"/>
            <w:hideMark/>
          </w:tcPr>
          <w:p w14:paraId="62D8410B" w14:textId="77777777" w:rsidR="008477FF" w:rsidRPr="009555DC" w:rsidRDefault="008477FF" w:rsidP="00062791">
            <w:pPr>
              <w:suppressAutoHyphens w:val="0"/>
              <w:rPr>
                <w:rFonts w:asciiTheme="minorHAnsi" w:hAnsiTheme="minorHAnsi" w:cs="Calibri"/>
                <w:sz w:val="21"/>
                <w:szCs w:val="21"/>
              </w:rPr>
            </w:pPr>
            <w:r w:rsidRPr="009555DC">
              <w:rPr>
                <w:rFonts w:asciiTheme="minorHAnsi" w:hAnsiTheme="minorHAnsi" w:cs="Calibri"/>
                <w:sz w:val="21"/>
                <w:szCs w:val="21"/>
              </w:rPr>
              <w:t>Facility: BWH</w:t>
            </w:r>
          </w:p>
        </w:tc>
        <w:tc>
          <w:tcPr>
            <w:tcW w:w="1140" w:type="dxa"/>
            <w:tcBorders>
              <w:top w:val="single" w:sz="4" w:space="0" w:color="auto"/>
              <w:left w:val="single" w:sz="4" w:space="0" w:color="auto"/>
              <w:bottom w:val="single" w:sz="4" w:space="0" w:color="auto"/>
              <w:right w:val="single" w:sz="4" w:space="0" w:color="auto"/>
            </w:tcBorders>
            <w:noWrap/>
            <w:vAlign w:val="bottom"/>
          </w:tcPr>
          <w:p w14:paraId="1D4439E9"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2,496</w:t>
            </w:r>
          </w:p>
        </w:tc>
        <w:tc>
          <w:tcPr>
            <w:tcW w:w="919" w:type="dxa"/>
            <w:tcBorders>
              <w:top w:val="single" w:sz="4" w:space="0" w:color="auto"/>
              <w:left w:val="single" w:sz="4" w:space="0" w:color="auto"/>
              <w:bottom w:val="single" w:sz="4" w:space="0" w:color="auto"/>
              <w:right w:val="single" w:sz="4" w:space="0" w:color="auto"/>
            </w:tcBorders>
            <w:noWrap/>
            <w:vAlign w:val="bottom"/>
          </w:tcPr>
          <w:p w14:paraId="5D6E5D3C"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25%</w:t>
            </w:r>
          </w:p>
        </w:tc>
        <w:tc>
          <w:tcPr>
            <w:tcW w:w="884" w:type="dxa"/>
            <w:tcBorders>
              <w:top w:val="single" w:sz="4" w:space="0" w:color="auto"/>
              <w:left w:val="single" w:sz="4" w:space="0" w:color="auto"/>
              <w:bottom w:val="single" w:sz="4" w:space="0" w:color="auto"/>
              <w:right w:val="single" w:sz="4" w:space="0" w:color="auto"/>
            </w:tcBorders>
            <w:noWrap/>
            <w:vAlign w:val="bottom"/>
          </w:tcPr>
          <w:p w14:paraId="6DFBAC79"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2,007</w:t>
            </w:r>
          </w:p>
        </w:tc>
        <w:tc>
          <w:tcPr>
            <w:tcW w:w="919" w:type="dxa"/>
            <w:tcBorders>
              <w:top w:val="single" w:sz="4" w:space="0" w:color="auto"/>
              <w:left w:val="single" w:sz="4" w:space="0" w:color="auto"/>
              <w:bottom w:val="single" w:sz="4" w:space="0" w:color="auto"/>
              <w:right w:val="single" w:sz="4" w:space="0" w:color="auto"/>
            </w:tcBorders>
            <w:noWrap/>
            <w:vAlign w:val="bottom"/>
          </w:tcPr>
          <w:p w14:paraId="6B148A73"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20%</w:t>
            </w:r>
          </w:p>
        </w:tc>
        <w:tc>
          <w:tcPr>
            <w:tcW w:w="884" w:type="dxa"/>
            <w:tcBorders>
              <w:top w:val="single" w:sz="4" w:space="0" w:color="auto"/>
              <w:left w:val="single" w:sz="4" w:space="0" w:color="auto"/>
              <w:bottom w:val="single" w:sz="4" w:space="0" w:color="auto"/>
              <w:right w:val="single" w:sz="4" w:space="0" w:color="auto"/>
            </w:tcBorders>
            <w:noWrap/>
            <w:vAlign w:val="bottom"/>
          </w:tcPr>
          <w:p w14:paraId="0E105E95"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2,055</w:t>
            </w:r>
          </w:p>
        </w:tc>
        <w:tc>
          <w:tcPr>
            <w:tcW w:w="1014" w:type="dxa"/>
            <w:tcBorders>
              <w:top w:val="single" w:sz="4" w:space="0" w:color="auto"/>
              <w:left w:val="single" w:sz="4" w:space="0" w:color="auto"/>
              <w:bottom w:val="single" w:sz="4" w:space="0" w:color="auto"/>
              <w:right w:val="single" w:sz="4" w:space="0" w:color="auto"/>
            </w:tcBorders>
            <w:noWrap/>
            <w:vAlign w:val="bottom"/>
          </w:tcPr>
          <w:p w14:paraId="250936E6"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22%</w:t>
            </w:r>
          </w:p>
        </w:tc>
      </w:tr>
      <w:tr w:rsidR="008477FF" w:rsidRPr="009555DC" w14:paraId="3D226C77" w14:textId="77777777" w:rsidTr="002A7F2F">
        <w:trPr>
          <w:cantSplit/>
          <w:trHeight w:val="310"/>
        </w:trPr>
        <w:tc>
          <w:tcPr>
            <w:tcW w:w="3685" w:type="dxa"/>
            <w:tcBorders>
              <w:top w:val="single" w:sz="4" w:space="0" w:color="auto"/>
              <w:left w:val="single" w:sz="4" w:space="0" w:color="auto"/>
              <w:bottom w:val="single" w:sz="4" w:space="0" w:color="auto"/>
              <w:right w:val="nil"/>
            </w:tcBorders>
            <w:noWrap/>
            <w:vAlign w:val="center"/>
            <w:hideMark/>
          </w:tcPr>
          <w:p w14:paraId="28751504" w14:textId="77777777" w:rsidR="008477FF" w:rsidRPr="009555DC" w:rsidRDefault="008477FF" w:rsidP="00062791">
            <w:pPr>
              <w:suppressAutoHyphens w:val="0"/>
              <w:rPr>
                <w:rFonts w:asciiTheme="minorHAnsi" w:hAnsiTheme="minorHAnsi" w:cs="Calibri"/>
                <w:sz w:val="21"/>
                <w:szCs w:val="21"/>
              </w:rPr>
            </w:pPr>
            <w:r w:rsidRPr="009555DC">
              <w:rPr>
                <w:rFonts w:asciiTheme="minorHAnsi" w:hAnsiTheme="minorHAnsi" w:cs="Calibri"/>
                <w:sz w:val="21"/>
                <w:szCs w:val="21"/>
              </w:rPr>
              <w:t>Facility: MGH</w:t>
            </w:r>
          </w:p>
        </w:tc>
        <w:tc>
          <w:tcPr>
            <w:tcW w:w="1140" w:type="dxa"/>
            <w:tcBorders>
              <w:top w:val="single" w:sz="4" w:space="0" w:color="auto"/>
              <w:left w:val="single" w:sz="4" w:space="0" w:color="auto"/>
              <w:bottom w:val="single" w:sz="4" w:space="0" w:color="auto"/>
              <w:right w:val="single" w:sz="4" w:space="0" w:color="auto"/>
            </w:tcBorders>
            <w:noWrap/>
            <w:vAlign w:val="bottom"/>
          </w:tcPr>
          <w:p w14:paraId="2EB410D9"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7,383</w:t>
            </w:r>
          </w:p>
        </w:tc>
        <w:tc>
          <w:tcPr>
            <w:tcW w:w="919" w:type="dxa"/>
            <w:tcBorders>
              <w:top w:val="single" w:sz="4" w:space="0" w:color="auto"/>
              <w:left w:val="single" w:sz="4" w:space="0" w:color="auto"/>
              <w:bottom w:val="single" w:sz="4" w:space="0" w:color="auto"/>
              <w:right w:val="single" w:sz="4" w:space="0" w:color="auto"/>
            </w:tcBorders>
            <w:noWrap/>
            <w:vAlign w:val="bottom"/>
          </w:tcPr>
          <w:p w14:paraId="4CF718DE"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75%</w:t>
            </w:r>
          </w:p>
        </w:tc>
        <w:tc>
          <w:tcPr>
            <w:tcW w:w="884" w:type="dxa"/>
            <w:tcBorders>
              <w:top w:val="single" w:sz="4" w:space="0" w:color="auto"/>
              <w:left w:val="single" w:sz="4" w:space="0" w:color="auto"/>
              <w:bottom w:val="single" w:sz="4" w:space="0" w:color="auto"/>
              <w:right w:val="single" w:sz="4" w:space="0" w:color="auto"/>
            </w:tcBorders>
            <w:noWrap/>
            <w:vAlign w:val="bottom"/>
          </w:tcPr>
          <w:p w14:paraId="3E81D3CA"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8,230</w:t>
            </w:r>
          </w:p>
        </w:tc>
        <w:tc>
          <w:tcPr>
            <w:tcW w:w="919" w:type="dxa"/>
            <w:tcBorders>
              <w:top w:val="single" w:sz="4" w:space="0" w:color="auto"/>
              <w:left w:val="single" w:sz="4" w:space="0" w:color="auto"/>
              <w:bottom w:val="single" w:sz="4" w:space="0" w:color="auto"/>
              <w:right w:val="single" w:sz="4" w:space="0" w:color="auto"/>
            </w:tcBorders>
            <w:noWrap/>
            <w:vAlign w:val="bottom"/>
          </w:tcPr>
          <w:p w14:paraId="15A6CFBE"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80%</w:t>
            </w:r>
          </w:p>
        </w:tc>
        <w:tc>
          <w:tcPr>
            <w:tcW w:w="884" w:type="dxa"/>
            <w:tcBorders>
              <w:top w:val="single" w:sz="4" w:space="0" w:color="auto"/>
              <w:left w:val="single" w:sz="4" w:space="0" w:color="auto"/>
              <w:bottom w:val="single" w:sz="4" w:space="0" w:color="auto"/>
              <w:right w:val="single" w:sz="4" w:space="0" w:color="auto"/>
            </w:tcBorders>
            <w:noWrap/>
            <w:vAlign w:val="bottom"/>
          </w:tcPr>
          <w:p w14:paraId="3B7C59F5"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7,394</w:t>
            </w:r>
          </w:p>
        </w:tc>
        <w:tc>
          <w:tcPr>
            <w:tcW w:w="1014" w:type="dxa"/>
            <w:tcBorders>
              <w:top w:val="single" w:sz="4" w:space="0" w:color="auto"/>
              <w:left w:val="single" w:sz="4" w:space="0" w:color="auto"/>
              <w:bottom w:val="single" w:sz="4" w:space="0" w:color="auto"/>
              <w:right w:val="single" w:sz="4" w:space="0" w:color="auto"/>
            </w:tcBorders>
            <w:noWrap/>
            <w:vAlign w:val="bottom"/>
          </w:tcPr>
          <w:p w14:paraId="2C93CCBE"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78%</w:t>
            </w:r>
          </w:p>
        </w:tc>
      </w:tr>
      <w:tr w:rsidR="008477FF" w:rsidRPr="009555DC" w14:paraId="71776DF5" w14:textId="77777777" w:rsidTr="002A7F2F">
        <w:trPr>
          <w:cantSplit/>
          <w:trHeight w:val="310"/>
        </w:trPr>
        <w:tc>
          <w:tcPr>
            <w:tcW w:w="3685" w:type="dxa"/>
            <w:tcBorders>
              <w:top w:val="single" w:sz="4" w:space="0" w:color="auto"/>
              <w:left w:val="single" w:sz="4" w:space="0" w:color="auto"/>
              <w:bottom w:val="single" w:sz="4" w:space="0" w:color="auto"/>
              <w:right w:val="nil"/>
            </w:tcBorders>
            <w:noWrap/>
            <w:vAlign w:val="center"/>
            <w:hideMark/>
          </w:tcPr>
          <w:p w14:paraId="6CA7EA18" w14:textId="77777777" w:rsidR="008477FF" w:rsidRPr="009555DC" w:rsidRDefault="008477FF" w:rsidP="00062791">
            <w:pPr>
              <w:suppressAutoHyphens w:val="0"/>
              <w:rPr>
                <w:rFonts w:asciiTheme="minorHAnsi" w:hAnsiTheme="minorHAnsi" w:cs="Calibri"/>
                <w:sz w:val="21"/>
                <w:szCs w:val="21"/>
              </w:rPr>
            </w:pPr>
            <w:r w:rsidRPr="009555DC">
              <w:rPr>
                <w:rFonts w:asciiTheme="minorHAnsi" w:hAnsiTheme="minorHAnsi" w:cs="Calibri"/>
                <w:sz w:val="21"/>
                <w:szCs w:val="21"/>
              </w:rPr>
              <w:t>Category: Diagnostic</w:t>
            </w:r>
          </w:p>
        </w:tc>
        <w:tc>
          <w:tcPr>
            <w:tcW w:w="1140" w:type="dxa"/>
            <w:tcBorders>
              <w:top w:val="single" w:sz="4" w:space="0" w:color="auto"/>
              <w:left w:val="single" w:sz="4" w:space="0" w:color="auto"/>
              <w:bottom w:val="single" w:sz="4" w:space="0" w:color="auto"/>
              <w:right w:val="single" w:sz="4" w:space="0" w:color="auto"/>
            </w:tcBorders>
            <w:noWrap/>
            <w:vAlign w:val="center"/>
          </w:tcPr>
          <w:p w14:paraId="00CC84E5"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4,232</w:t>
            </w:r>
          </w:p>
        </w:tc>
        <w:tc>
          <w:tcPr>
            <w:tcW w:w="919" w:type="dxa"/>
            <w:tcBorders>
              <w:top w:val="single" w:sz="4" w:space="0" w:color="auto"/>
              <w:left w:val="single" w:sz="4" w:space="0" w:color="auto"/>
              <w:bottom w:val="single" w:sz="4" w:space="0" w:color="auto"/>
              <w:right w:val="single" w:sz="4" w:space="0" w:color="auto"/>
            </w:tcBorders>
            <w:noWrap/>
            <w:vAlign w:val="bottom"/>
          </w:tcPr>
          <w:p w14:paraId="41130781"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43%</w:t>
            </w:r>
          </w:p>
        </w:tc>
        <w:tc>
          <w:tcPr>
            <w:tcW w:w="884" w:type="dxa"/>
            <w:tcBorders>
              <w:top w:val="single" w:sz="4" w:space="0" w:color="auto"/>
              <w:left w:val="single" w:sz="4" w:space="0" w:color="auto"/>
              <w:bottom w:val="single" w:sz="4" w:space="0" w:color="auto"/>
              <w:right w:val="single" w:sz="4" w:space="0" w:color="auto"/>
            </w:tcBorders>
            <w:noWrap/>
            <w:vAlign w:val="center"/>
          </w:tcPr>
          <w:p w14:paraId="1213B031"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4,241</w:t>
            </w:r>
          </w:p>
        </w:tc>
        <w:tc>
          <w:tcPr>
            <w:tcW w:w="919" w:type="dxa"/>
            <w:tcBorders>
              <w:top w:val="single" w:sz="4" w:space="0" w:color="auto"/>
              <w:left w:val="single" w:sz="4" w:space="0" w:color="auto"/>
              <w:bottom w:val="single" w:sz="4" w:space="0" w:color="auto"/>
              <w:right w:val="single" w:sz="4" w:space="0" w:color="auto"/>
            </w:tcBorders>
            <w:noWrap/>
            <w:vAlign w:val="bottom"/>
          </w:tcPr>
          <w:p w14:paraId="185AFBF4"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41%</w:t>
            </w:r>
          </w:p>
        </w:tc>
        <w:tc>
          <w:tcPr>
            <w:tcW w:w="884" w:type="dxa"/>
            <w:tcBorders>
              <w:top w:val="single" w:sz="4" w:space="0" w:color="auto"/>
              <w:left w:val="single" w:sz="4" w:space="0" w:color="auto"/>
              <w:bottom w:val="single" w:sz="4" w:space="0" w:color="auto"/>
              <w:right w:val="single" w:sz="4" w:space="0" w:color="auto"/>
            </w:tcBorders>
            <w:noWrap/>
            <w:vAlign w:val="center"/>
          </w:tcPr>
          <w:p w14:paraId="7580834C"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3,988</w:t>
            </w:r>
          </w:p>
        </w:tc>
        <w:tc>
          <w:tcPr>
            <w:tcW w:w="1014" w:type="dxa"/>
            <w:tcBorders>
              <w:top w:val="single" w:sz="4" w:space="0" w:color="auto"/>
              <w:left w:val="single" w:sz="4" w:space="0" w:color="auto"/>
              <w:bottom w:val="single" w:sz="4" w:space="0" w:color="auto"/>
              <w:right w:val="single" w:sz="4" w:space="0" w:color="auto"/>
            </w:tcBorders>
            <w:noWrap/>
            <w:vAlign w:val="bottom"/>
          </w:tcPr>
          <w:p w14:paraId="5E39FBA2"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42%</w:t>
            </w:r>
          </w:p>
        </w:tc>
      </w:tr>
      <w:tr w:rsidR="008477FF" w:rsidRPr="009555DC" w14:paraId="0072CA35" w14:textId="77777777" w:rsidTr="002A7F2F">
        <w:trPr>
          <w:cantSplit/>
          <w:trHeight w:val="310"/>
        </w:trPr>
        <w:tc>
          <w:tcPr>
            <w:tcW w:w="3685" w:type="dxa"/>
            <w:tcBorders>
              <w:top w:val="single" w:sz="4" w:space="0" w:color="auto"/>
              <w:left w:val="single" w:sz="4" w:space="0" w:color="auto"/>
              <w:bottom w:val="single" w:sz="4" w:space="0" w:color="auto"/>
              <w:right w:val="nil"/>
            </w:tcBorders>
            <w:noWrap/>
            <w:vAlign w:val="center"/>
            <w:hideMark/>
          </w:tcPr>
          <w:p w14:paraId="0DC256BA" w14:textId="77777777" w:rsidR="008477FF" w:rsidRPr="009555DC" w:rsidRDefault="008477FF" w:rsidP="00062791">
            <w:pPr>
              <w:suppressAutoHyphens w:val="0"/>
              <w:rPr>
                <w:rFonts w:asciiTheme="minorHAnsi" w:hAnsiTheme="minorHAnsi" w:cs="Calibri"/>
                <w:sz w:val="21"/>
                <w:szCs w:val="21"/>
              </w:rPr>
            </w:pPr>
            <w:r w:rsidRPr="009555DC">
              <w:rPr>
                <w:rFonts w:asciiTheme="minorHAnsi" w:hAnsiTheme="minorHAnsi" w:cs="Calibri"/>
                <w:sz w:val="21"/>
                <w:szCs w:val="21"/>
              </w:rPr>
              <w:t>Category: Procedural/Screening</w:t>
            </w:r>
          </w:p>
        </w:tc>
        <w:tc>
          <w:tcPr>
            <w:tcW w:w="1140" w:type="dxa"/>
            <w:tcBorders>
              <w:top w:val="single" w:sz="4" w:space="0" w:color="auto"/>
              <w:left w:val="single" w:sz="4" w:space="0" w:color="auto"/>
              <w:bottom w:val="single" w:sz="4" w:space="0" w:color="auto"/>
              <w:right w:val="single" w:sz="4" w:space="0" w:color="auto"/>
            </w:tcBorders>
            <w:noWrap/>
            <w:vAlign w:val="center"/>
          </w:tcPr>
          <w:p w14:paraId="7385E7D2"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5,077</w:t>
            </w:r>
          </w:p>
        </w:tc>
        <w:tc>
          <w:tcPr>
            <w:tcW w:w="919" w:type="dxa"/>
            <w:tcBorders>
              <w:top w:val="single" w:sz="4" w:space="0" w:color="auto"/>
              <w:left w:val="single" w:sz="4" w:space="0" w:color="auto"/>
              <w:bottom w:val="single" w:sz="4" w:space="0" w:color="auto"/>
              <w:right w:val="single" w:sz="4" w:space="0" w:color="auto"/>
            </w:tcBorders>
            <w:noWrap/>
            <w:vAlign w:val="bottom"/>
          </w:tcPr>
          <w:p w14:paraId="731B63B7"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51%</w:t>
            </w:r>
          </w:p>
        </w:tc>
        <w:tc>
          <w:tcPr>
            <w:tcW w:w="884" w:type="dxa"/>
            <w:tcBorders>
              <w:top w:val="single" w:sz="4" w:space="0" w:color="auto"/>
              <w:left w:val="single" w:sz="4" w:space="0" w:color="auto"/>
              <w:bottom w:val="single" w:sz="4" w:space="0" w:color="auto"/>
              <w:right w:val="single" w:sz="4" w:space="0" w:color="auto"/>
            </w:tcBorders>
            <w:noWrap/>
            <w:vAlign w:val="center"/>
          </w:tcPr>
          <w:p w14:paraId="7CCD4A34"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5,503</w:t>
            </w:r>
          </w:p>
        </w:tc>
        <w:tc>
          <w:tcPr>
            <w:tcW w:w="919" w:type="dxa"/>
            <w:tcBorders>
              <w:top w:val="single" w:sz="4" w:space="0" w:color="auto"/>
              <w:left w:val="single" w:sz="4" w:space="0" w:color="auto"/>
              <w:bottom w:val="single" w:sz="4" w:space="0" w:color="auto"/>
              <w:right w:val="single" w:sz="4" w:space="0" w:color="auto"/>
            </w:tcBorders>
            <w:noWrap/>
            <w:vAlign w:val="bottom"/>
          </w:tcPr>
          <w:p w14:paraId="6AA4AE4A"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54%</w:t>
            </w:r>
          </w:p>
        </w:tc>
        <w:tc>
          <w:tcPr>
            <w:tcW w:w="884" w:type="dxa"/>
            <w:tcBorders>
              <w:top w:val="single" w:sz="4" w:space="0" w:color="auto"/>
              <w:left w:val="single" w:sz="4" w:space="0" w:color="auto"/>
              <w:bottom w:val="single" w:sz="4" w:space="0" w:color="auto"/>
              <w:right w:val="single" w:sz="4" w:space="0" w:color="auto"/>
            </w:tcBorders>
            <w:noWrap/>
            <w:vAlign w:val="center"/>
          </w:tcPr>
          <w:p w14:paraId="4ABF4165"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4,916</w:t>
            </w:r>
          </w:p>
        </w:tc>
        <w:tc>
          <w:tcPr>
            <w:tcW w:w="1014" w:type="dxa"/>
            <w:tcBorders>
              <w:top w:val="single" w:sz="4" w:space="0" w:color="auto"/>
              <w:left w:val="single" w:sz="4" w:space="0" w:color="auto"/>
              <w:bottom w:val="single" w:sz="4" w:space="0" w:color="auto"/>
              <w:right w:val="single" w:sz="4" w:space="0" w:color="auto"/>
            </w:tcBorders>
            <w:noWrap/>
            <w:vAlign w:val="bottom"/>
          </w:tcPr>
          <w:p w14:paraId="263CAAD7"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52%</w:t>
            </w:r>
          </w:p>
        </w:tc>
      </w:tr>
      <w:tr w:rsidR="008477FF" w:rsidRPr="009555DC" w14:paraId="6A6FF47A" w14:textId="77777777" w:rsidTr="002A7F2F">
        <w:trPr>
          <w:cantSplit/>
          <w:trHeight w:val="310"/>
        </w:trPr>
        <w:tc>
          <w:tcPr>
            <w:tcW w:w="3685" w:type="dxa"/>
            <w:tcBorders>
              <w:top w:val="single" w:sz="4" w:space="0" w:color="auto"/>
              <w:left w:val="single" w:sz="4" w:space="0" w:color="auto"/>
              <w:bottom w:val="single" w:sz="4" w:space="0" w:color="auto"/>
              <w:right w:val="nil"/>
            </w:tcBorders>
            <w:noWrap/>
            <w:vAlign w:val="center"/>
          </w:tcPr>
          <w:p w14:paraId="4EC40D66" w14:textId="48A8AFF8" w:rsidR="008477FF" w:rsidRPr="009555DC" w:rsidRDefault="008477FF" w:rsidP="00062791">
            <w:pPr>
              <w:suppressAutoHyphens w:val="0"/>
              <w:rPr>
                <w:rFonts w:asciiTheme="minorHAnsi" w:hAnsiTheme="minorHAnsi" w:cs="Calibri"/>
                <w:sz w:val="21"/>
                <w:szCs w:val="21"/>
              </w:rPr>
            </w:pPr>
            <w:r w:rsidRPr="009555DC">
              <w:rPr>
                <w:rFonts w:asciiTheme="minorHAnsi" w:hAnsiTheme="minorHAnsi" w:cs="Calibri"/>
                <w:sz w:val="21"/>
                <w:szCs w:val="21"/>
              </w:rPr>
              <w:t>Category: Other</w:t>
            </w:r>
            <w:r w:rsidRPr="009555DC">
              <w:rPr>
                <w:rStyle w:val="FootnoteReference"/>
                <w:rFonts w:asciiTheme="minorHAnsi" w:hAnsiTheme="minorHAnsi" w:cs="Calibri"/>
                <w:sz w:val="21"/>
                <w:szCs w:val="21"/>
              </w:rPr>
              <w:footnoteReference w:id="18"/>
            </w:r>
            <w:r w:rsidRPr="009555DC">
              <w:rPr>
                <w:rFonts w:asciiTheme="minorHAnsi" w:hAnsiTheme="minorHAnsi" w:cs="Calibri"/>
                <w:sz w:val="21"/>
                <w:szCs w:val="21"/>
              </w:rPr>
              <w:t xml:space="preserve"> </w:t>
            </w:r>
          </w:p>
        </w:tc>
        <w:tc>
          <w:tcPr>
            <w:tcW w:w="1140" w:type="dxa"/>
            <w:tcBorders>
              <w:top w:val="single" w:sz="4" w:space="0" w:color="auto"/>
              <w:left w:val="single" w:sz="4" w:space="0" w:color="auto"/>
              <w:bottom w:val="single" w:sz="4" w:space="0" w:color="auto"/>
              <w:right w:val="single" w:sz="4" w:space="0" w:color="auto"/>
            </w:tcBorders>
            <w:noWrap/>
            <w:vAlign w:val="bottom"/>
          </w:tcPr>
          <w:p w14:paraId="5242DA19"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570</w:t>
            </w:r>
          </w:p>
        </w:tc>
        <w:tc>
          <w:tcPr>
            <w:tcW w:w="919" w:type="dxa"/>
            <w:tcBorders>
              <w:top w:val="single" w:sz="4" w:space="0" w:color="auto"/>
              <w:left w:val="single" w:sz="4" w:space="0" w:color="auto"/>
              <w:bottom w:val="single" w:sz="4" w:space="0" w:color="auto"/>
              <w:right w:val="single" w:sz="4" w:space="0" w:color="auto"/>
            </w:tcBorders>
            <w:noWrap/>
            <w:vAlign w:val="bottom"/>
          </w:tcPr>
          <w:p w14:paraId="69B5C06E"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6%</w:t>
            </w:r>
          </w:p>
        </w:tc>
        <w:tc>
          <w:tcPr>
            <w:tcW w:w="884" w:type="dxa"/>
            <w:tcBorders>
              <w:top w:val="single" w:sz="4" w:space="0" w:color="auto"/>
              <w:left w:val="single" w:sz="4" w:space="0" w:color="auto"/>
              <w:bottom w:val="single" w:sz="4" w:space="0" w:color="auto"/>
              <w:right w:val="single" w:sz="4" w:space="0" w:color="auto"/>
            </w:tcBorders>
            <w:noWrap/>
            <w:vAlign w:val="bottom"/>
          </w:tcPr>
          <w:p w14:paraId="7CA42382"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493</w:t>
            </w:r>
          </w:p>
        </w:tc>
        <w:tc>
          <w:tcPr>
            <w:tcW w:w="919" w:type="dxa"/>
            <w:tcBorders>
              <w:top w:val="single" w:sz="4" w:space="0" w:color="auto"/>
              <w:left w:val="single" w:sz="4" w:space="0" w:color="auto"/>
              <w:bottom w:val="single" w:sz="4" w:space="0" w:color="auto"/>
              <w:right w:val="single" w:sz="4" w:space="0" w:color="auto"/>
            </w:tcBorders>
            <w:noWrap/>
            <w:vAlign w:val="bottom"/>
          </w:tcPr>
          <w:p w14:paraId="3FF3337A"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5%</w:t>
            </w:r>
          </w:p>
        </w:tc>
        <w:tc>
          <w:tcPr>
            <w:tcW w:w="884" w:type="dxa"/>
            <w:tcBorders>
              <w:top w:val="single" w:sz="4" w:space="0" w:color="auto"/>
              <w:left w:val="single" w:sz="4" w:space="0" w:color="auto"/>
              <w:bottom w:val="single" w:sz="4" w:space="0" w:color="auto"/>
              <w:right w:val="single" w:sz="4" w:space="0" w:color="auto"/>
            </w:tcBorders>
            <w:noWrap/>
            <w:vAlign w:val="bottom"/>
          </w:tcPr>
          <w:p w14:paraId="700AB5E5"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545</w:t>
            </w:r>
          </w:p>
        </w:tc>
        <w:tc>
          <w:tcPr>
            <w:tcW w:w="1014" w:type="dxa"/>
            <w:tcBorders>
              <w:top w:val="single" w:sz="4" w:space="0" w:color="auto"/>
              <w:left w:val="single" w:sz="4" w:space="0" w:color="auto"/>
              <w:bottom w:val="single" w:sz="4" w:space="0" w:color="auto"/>
              <w:right w:val="single" w:sz="4" w:space="0" w:color="auto"/>
            </w:tcBorders>
            <w:noWrap/>
            <w:vAlign w:val="bottom"/>
          </w:tcPr>
          <w:p w14:paraId="65F10594"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6%</w:t>
            </w:r>
          </w:p>
        </w:tc>
      </w:tr>
      <w:tr w:rsidR="008477FF" w:rsidRPr="009555DC" w14:paraId="3705B2B3" w14:textId="77777777" w:rsidTr="002A7F2F">
        <w:trPr>
          <w:cantSplit/>
          <w:trHeight w:val="310"/>
        </w:trPr>
        <w:tc>
          <w:tcPr>
            <w:tcW w:w="3685" w:type="dxa"/>
            <w:tcBorders>
              <w:top w:val="single" w:sz="4" w:space="0" w:color="auto"/>
              <w:left w:val="single" w:sz="4" w:space="0" w:color="auto"/>
              <w:bottom w:val="single" w:sz="4" w:space="0" w:color="auto"/>
              <w:right w:val="nil"/>
            </w:tcBorders>
            <w:vAlign w:val="center"/>
            <w:hideMark/>
          </w:tcPr>
          <w:p w14:paraId="6402D3DF" w14:textId="77777777" w:rsidR="008477FF" w:rsidRPr="009555DC" w:rsidRDefault="008477FF" w:rsidP="00062791">
            <w:pPr>
              <w:suppressAutoHyphens w:val="0"/>
              <w:rPr>
                <w:rFonts w:asciiTheme="minorHAnsi" w:hAnsiTheme="minorHAnsi" w:cs="Calibri"/>
                <w:sz w:val="21"/>
                <w:szCs w:val="21"/>
              </w:rPr>
            </w:pPr>
            <w:r w:rsidRPr="009555DC">
              <w:rPr>
                <w:rFonts w:asciiTheme="minorHAnsi" w:hAnsiTheme="minorHAnsi" w:cs="Calibri"/>
                <w:sz w:val="21"/>
                <w:szCs w:val="21"/>
              </w:rPr>
              <w:t>Type: Upper</w:t>
            </w:r>
          </w:p>
        </w:tc>
        <w:tc>
          <w:tcPr>
            <w:tcW w:w="1140" w:type="dxa"/>
            <w:tcBorders>
              <w:top w:val="single" w:sz="4" w:space="0" w:color="auto"/>
              <w:left w:val="single" w:sz="4" w:space="0" w:color="auto"/>
              <w:bottom w:val="single" w:sz="4" w:space="0" w:color="auto"/>
              <w:right w:val="single" w:sz="4" w:space="0" w:color="auto"/>
            </w:tcBorders>
            <w:noWrap/>
            <w:vAlign w:val="center"/>
          </w:tcPr>
          <w:p w14:paraId="5B86ECE6"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2,832</w:t>
            </w:r>
          </w:p>
        </w:tc>
        <w:tc>
          <w:tcPr>
            <w:tcW w:w="919" w:type="dxa"/>
            <w:tcBorders>
              <w:top w:val="single" w:sz="4" w:space="0" w:color="auto"/>
              <w:left w:val="single" w:sz="4" w:space="0" w:color="auto"/>
              <w:bottom w:val="single" w:sz="4" w:space="0" w:color="auto"/>
              <w:right w:val="single" w:sz="4" w:space="0" w:color="auto"/>
            </w:tcBorders>
            <w:noWrap/>
            <w:vAlign w:val="bottom"/>
          </w:tcPr>
          <w:p w14:paraId="623B1A0E"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29%</w:t>
            </w:r>
          </w:p>
        </w:tc>
        <w:tc>
          <w:tcPr>
            <w:tcW w:w="884" w:type="dxa"/>
            <w:tcBorders>
              <w:top w:val="single" w:sz="4" w:space="0" w:color="auto"/>
              <w:left w:val="single" w:sz="4" w:space="0" w:color="auto"/>
              <w:bottom w:val="single" w:sz="4" w:space="0" w:color="auto"/>
              <w:right w:val="single" w:sz="4" w:space="0" w:color="auto"/>
            </w:tcBorders>
            <w:noWrap/>
            <w:vAlign w:val="center"/>
          </w:tcPr>
          <w:p w14:paraId="10637783"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2,660</w:t>
            </w:r>
          </w:p>
        </w:tc>
        <w:tc>
          <w:tcPr>
            <w:tcW w:w="919" w:type="dxa"/>
            <w:tcBorders>
              <w:top w:val="single" w:sz="4" w:space="0" w:color="auto"/>
              <w:left w:val="single" w:sz="4" w:space="0" w:color="auto"/>
              <w:bottom w:val="single" w:sz="4" w:space="0" w:color="auto"/>
              <w:right w:val="single" w:sz="4" w:space="0" w:color="auto"/>
            </w:tcBorders>
            <w:noWrap/>
            <w:vAlign w:val="bottom"/>
          </w:tcPr>
          <w:p w14:paraId="52EC89B2"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26%</w:t>
            </w:r>
          </w:p>
        </w:tc>
        <w:tc>
          <w:tcPr>
            <w:tcW w:w="884" w:type="dxa"/>
            <w:tcBorders>
              <w:top w:val="single" w:sz="4" w:space="0" w:color="auto"/>
              <w:left w:val="single" w:sz="4" w:space="0" w:color="auto"/>
              <w:bottom w:val="single" w:sz="4" w:space="0" w:color="auto"/>
              <w:right w:val="single" w:sz="4" w:space="0" w:color="auto"/>
            </w:tcBorders>
            <w:noWrap/>
            <w:vAlign w:val="center"/>
          </w:tcPr>
          <w:p w14:paraId="576B58D7"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2,329</w:t>
            </w:r>
          </w:p>
        </w:tc>
        <w:tc>
          <w:tcPr>
            <w:tcW w:w="1014" w:type="dxa"/>
            <w:tcBorders>
              <w:top w:val="single" w:sz="4" w:space="0" w:color="auto"/>
              <w:left w:val="single" w:sz="4" w:space="0" w:color="auto"/>
              <w:bottom w:val="single" w:sz="4" w:space="0" w:color="auto"/>
              <w:right w:val="single" w:sz="4" w:space="0" w:color="auto"/>
            </w:tcBorders>
            <w:noWrap/>
            <w:vAlign w:val="bottom"/>
          </w:tcPr>
          <w:p w14:paraId="4C3C0E84"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s="Calibri"/>
                <w:color w:val="000000"/>
                <w:sz w:val="21"/>
                <w:szCs w:val="21"/>
              </w:rPr>
              <w:t>25%</w:t>
            </w:r>
          </w:p>
        </w:tc>
      </w:tr>
      <w:tr w:rsidR="008477FF" w:rsidRPr="009555DC" w14:paraId="6AA4F8CC" w14:textId="77777777" w:rsidTr="002A7F2F">
        <w:trPr>
          <w:cantSplit/>
          <w:trHeight w:val="310"/>
        </w:trPr>
        <w:tc>
          <w:tcPr>
            <w:tcW w:w="3685" w:type="dxa"/>
            <w:tcBorders>
              <w:top w:val="single" w:sz="4" w:space="0" w:color="auto"/>
              <w:left w:val="single" w:sz="4" w:space="0" w:color="auto"/>
              <w:bottom w:val="single" w:sz="4" w:space="0" w:color="auto"/>
              <w:right w:val="nil"/>
            </w:tcBorders>
            <w:vAlign w:val="center"/>
            <w:hideMark/>
          </w:tcPr>
          <w:p w14:paraId="70A54136" w14:textId="77777777" w:rsidR="008477FF" w:rsidRPr="009555DC" w:rsidRDefault="008477FF" w:rsidP="00062791">
            <w:pPr>
              <w:suppressAutoHyphens w:val="0"/>
              <w:rPr>
                <w:rFonts w:asciiTheme="minorHAnsi" w:hAnsiTheme="minorHAnsi" w:cs="Calibri"/>
                <w:sz w:val="21"/>
                <w:szCs w:val="21"/>
              </w:rPr>
            </w:pPr>
            <w:r w:rsidRPr="009555DC">
              <w:rPr>
                <w:rFonts w:asciiTheme="minorHAnsi" w:hAnsiTheme="minorHAnsi" w:cs="Calibri"/>
                <w:sz w:val="21"/>
                <w:szCs w:val="21"/>
              </w:rPr>
              <w:t>Type: Lower + Other</w:t>
            </w:r>
          </w:p>
        </w:tc>
        <w:tc>
          <w:tcPr>
            <w:tcW w:w="1140" w:type="dxa"/>
            <w:tcBorders>
              <w:top w:val="single" w:sz="4" w:space="0" w:color="auto"/>
              <w:left w:val="single" w:sz="4" w:space="0" w:color="auto"/>
              <w:bottom w:val="single" w:sz="4" w:space="0" w:color="auto"/>
              <w:right w:val="single" w:sz="4" w:space="0" w:color="auto"/>
            </w:tcBorders>
            <w:noWrap/>
            <w:vAlign w:val="center"/>
          </w:tcPr>
          <w:p w14:paraId="0EC399B3"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7,047</w:t>
            </w:r>
          </w:p>
        </w:tc>
        <w:tc>
          <w:tcPr>
            <w:tcW w:w="919" w:type="dxa"/>
            <w:tcBorders>
              <w:top w:val="single" w:sz="4" w:space="0" w:color="auto"/>
              <w:left w:val="single" w:sz="4" w:space="0" w:color="auto"/>
              <w:bottom w:val="single" w:sz="4" w:space="0" w:color="auto"/>
              <w:right w:val="single" w:sz="4" w:space="0" w:color="auto"/>
            </w:tcBorders>
            <w:noWrap/>
            <w:vAlign w:val="bottom"/>
          </w:tcPr>
          <w:p w14:paraId="00EC1CDB"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71%</w:t>
            </w:r>
          </w:p>
        </w:tc>
        <w:tc>
          <w:tcPr>
            <w:tcW w:w="884" w:type="dxa"/>
            <w:tcBorders>
              <w:top w:val="single" w:sz="4" w:space="0" w:color="auto"/>
              <w:left w:val="single" w:sz="4" w:space="0" w:color="auto"/>
              <w:bottom w:val="single" w:sz="4" w:space="0" w:color="auto"/>
              <w:right w:val="single" w:sz="4" w:space="0" w:color="auto"/>
            </w:tcBorders>
            <w:noWrap/>
            <w:vAlign w:val="center"/>
          </w:tcPr>
          <w:p w14:paraId="7D1BB334"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7,577</w:t>
            </w:r>
          </w:p>
        </w:tc>
        <w:tc>
          <w:tcPr>
            <w:tcW w:w="919" w:type="dxa"/>
            <w:tcBorders>
              <w:top w:val="single" w:sz="4" w:space="0" w:color="auto"/>
              <w:left w:val="single" w:sz="4" w:space="0" w:color="auto"/>
              <w:bottom w:val="single" w:sz="4" w:space="0" w:color="auto"/>
              <w:right w:val="single" w:sz="4" w:space="0" w:color="auto"/>
            </w:tcBorders>
            <w:noWrap/>
            <w:vAlign w:val="bottom"/>
          </w:tcPr>
          <w:p w14:paraId="2AB6D432"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74%</w:t>
            </w:r>
          </w:p>
        </w:tc>
        <w:tc>
          <w:tcPr>
            <w:tcW w:w="884" w:type="dxa"/>
            <w:tcBorders>
              <w:top w:val="single" w:sz="4" w:space="0" w:color="auto"/>
              <w:left w:val="single" w:sz="4" w:space="0" w:color="auto"/>
              <w:bottom w:val="single" w:sz="4" w:space="0" w:color="auto"/>
              <w:right w:val="single" w:sz="4" w:space="0" w:color="auto"/>
            </w:tcBorders>
            <w:noWrap/>
            <w:vAlign w:val="center"/>
          </w:tcPr>
          <w:p w14:paraId="42F73C62"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olor w:val="000000"/>
                <w:sz w:val="21"/>
                <w:szCs w:val="21"/>
              </w:rPr>
              <w:t>7,120</w:t>
            </w:r>
          </w:p>
        </w:tc>
        <w:tc>
          <w:tcPr>
            <w:tcW w:w="1014" w:type="dxa"/>
            <w:tcBorders>
              <w:top w:val="single" w:sz="4" w:space="0" w:color="auto"/>
              <w:left w:val="single" w:sz="4" w:space="0" w:color="auto"/>
              <w:bottom w:val="single" w:sz="4" w:space="0" w:color="auto"/>
              <w:right w:val="single" w:sz="4" w:space="0" w:color="auto"/>
            </w:tcBorders>
            <w:noWrap/>
            <w:vAlign w:val="bottom"/>
          </w:tcPr>
          <w:p w14:paraId="21D45A9D" w14:textId="77777777" w:rsidR="008477FF" w:rsidRPr="009555DC" w:rsidRDefault="008477FF" w:rsidP="00062791">
            <w:pPr>
              <w:suppressAutoHyphens w:val="0"/>
              <w:jc w:val="center"/>
              <w:rPr>
                <w:rFonts w:asciiTheme="minorHAnsi" w:hAnsiTheme="minorHAnsi" w:cs="Calibri"/>
                <w:sz w:val="21"/>
                <w:szCs w:val="21"/>
              </w:rPr>
            </w:pPr>
            <w:r w:rsidRPr="009555DC">
              <w:rPr>
                <w:rFonts w:asciiTheme="minorHAnsi" w:hAnsiTheme="minorHAnsi" w:cs="Calibri"/>
                <w:color w:val="000000"/>
                <w:sz w:val="21"/>
                <w:szCs w:val="21"/>
              </w:rPr>
              <w:t>75%</w:t>
            </w:r>
          </w:p>
        </w:tc>
      </w:tr>
    </w:tbl>
    <w:p w14:paraId="1F630A20" w14:textId="77777777" w:rsidR="008477FF" w:rsidRPr="009555DC" w:rsidRDefault="008477FF" w:rsidP="00E27321">
      <w:pPr>
        <w:ind w:right="-720"/>
        <w:rPr>
          <w:rFonts w:asciiTheme="minorHAnsi" w:hAnsiTheme="minorHAnsi"/>
          <w:b/>
          <w:bCs/>
          <w:sz w:val="21"/>
          <w:szCs w:val="21"/>
        </w:rPr>
      </w:pPr>
    </w:p>
    <w:p w14:paraId="0AC37B8A" w14:textId="71ACCA69" w:rsidR="009555DC" w:rsidRPr="00660A5E" w:rsidRDefault="00D152AA" w:rsidP="00660A5E">
      <w:pPr>
        <w:jc w:val="both"/>
        <w:rPr>
          <w:rFonts w:asciiTheme="minorHAnsi" w:hAnsiTheme="minorHAnsi"/>
          <w:sz w:val="21"/>
          <w:szCs w:val="21"/>
        </w:rPr>
      </w:pPr>
      <w:bookmarkStart w:id="8" w:name="_Hlk204091442"/>
      <w:r w:rsidRPr="009555DC">
        <w:rPr>
          <w:rFonts w:asciiTheme="minorHAnsi" w:hAnsiTheme="minorHAnsi"/>
          <w:sz w:val="21"/>
          <w:szCs w:val="21"/>
        </w:rPr>
        <w:t xml:space="preserve">Outpatient procedures account for </w:t>
      </w:r>
      <w:r w:rsidR="000E2A3D" w:rsidRPr="009555DC">
        <w:rPr>
          <w:rFonts w:asciiTheme="minorHAnsi" w:hAnsiTheme="minorHAnsi"/>
          <w:sz w:val="21"/>
          <w:szCs w:val="21"/>
        </w:rPr>
        <w:t>approximately 85</w:t>
      </w:r>
      <w:r w:rsidRPr="009555DC">
        <w:rPr>
          <w:rFonts w:asciiTheme="minorHAnsi" w:hAnsiTheme="minorHAnsi"/>
          <w:sz w:val="21"/>
          <w:szCs w:val="21"/>
        </w:rPr>
        <w:t xml:space="preserve">% of all </w:t>
      </w:r>
      <w:proofErr w:type="gramStart"/>
      <w:r w:rsidRPr="009555DC">
        <w:rPr>
          <w:rFonts w:asciiTheme="minorHAnsi" w:hAnsiTheme="minorHAnsi"/>
          <w:sz w:val="21"/>
          <w:szCs w:val="21"/>
        </w:rPr>
        <w:t>endoscopy</w:t>
      </w:r>
      <w:proofErr w:type="gramEnd"/>
      <w:r w:rsidRPr="009555DC">
        <w:rPr>
          <w:rFonts w:asciiTheme="minorHAnsi" w:hAnsiTheme="minorHAnsi"/>
          <w:sz w:val="21"/>
          <w:szCs w:val="21"/>
        </w:rPr>
        <w:t xml:space="preserve"> </w:t>
      </w:r>
      <w:r w:rsidR="000E2A3D" w:rsidRPr="009555DC">
        <w:rPr>
          <w:rFonts w:asciiTheme="minorHAnsi" w:hAnsiTheme="minorHAnsi"/>
          <w:sz w:val="21"/>
          <w:szCs w:val="21"/>
        </w:rPr>
        <w:t xml:space="preserve">performed </w:t>
      </w:r>
      <w:r w:rsidRPr="009555DC">
        <w:rPr>
          <w:rFonts w:asciiTheme="minorHAnsi" w:hAnsiTheme="minorHAnsi"/>
          <w:sz w:val="21"/>
          <w:szCs w:val="21"/>
        </w:rPr>
        <w:t xml:space="preserve">at the AMCs. </w:t>
      </w:r>
      <w:r w:rsidR="000E2A3D" w:rsidRPr="009555DC">
        <w:rPr>
          <w:rFonts w:asciiTheme="minorHAnsi" w:hAnsiTheme="minorHAnsi"/>
          <w:sz w:val="21"/>
          <w:szCs w:val="21"/>
        </w:rPr>
        <w:t xml:space="preserve">This is consistent FY2022 – FY2024, with a small shift in FY2025 due to an increase in inpatient procedures. </w:t>
      </w:r>
      <w:r w:rsidRPr="009555DC">
        <w:rPr>
          <w:rFonts w:asciiTheme="minorHAnsi" w:hAnsiTheme="minorHAnsi"/>
          <w:sz w:val="21"/>
          <w:szCs w:val="21"/>
        </w:rPr>
        <w:t xml:space="preserve">In FY2024, the AMCs performed </w:t>
      </w:r>
      <w:r w:rsidR="000E2A3D" w:rsidRPr="009555DC">
        <w:rPr>
          <w:rFonts w:asciiTheme="minorHAnsi" w:hAnsiTheme="minorHAnsi"/>
          <w:sz w:val="21"/>
          <w:szCs w:val="21"/>
        </w:rPr>
        <w:t>5,435 inpatient procedures</w:t>
      </w:r>
      <w:r w:rsidR="007040C8" w:rsidRPr="009555DC">
        <w:rPr>
          <w:rFonts w:asciiTheme="minorHAnsi" w:hAnsiTheme="minorHAnsi"/>
          <w:sz w:val="21"/>
          <w:szCs w:val="21"/>
        </w:rPr>
        <w:t xml:space="preserve"> and are on track to perform 6,902 inpatient procedures in FY2025, a 27% increase. As a result of the increased inpatient volume, </w:t>
      </w:r>
      <w:r w:rsidR="00116893" w:rsidRPr="009555DC">
        <w:rPr>
          <w:rFonts w:asciiTheme="minorHAnsi" w:hAnsiTheme="minorHAnsi"/>
          <w:sz w:val="21"/>
          <w:szCs w:val="21"/>
        </w:rPr>
        <w:t>the average utilization rate of BWH’s endoscopy rooms is 89%</w:t>
      </w:r>
      <w:r w:rsidR="007040C8" w:rsidRPr="009555DC">
        <w:rPr>
          <w:rFonts w:asciiTheme="minorHAnsi" w:hAnsiTheme="minorHAnsi"/>
          <w:sz w:val="21"/>
          <w:szCs w:val="21"/>
        </w:rPr>
        <w:t xml:space="preserve"> </w:t>
      </w:r>
      <w:r w:rsidR="007A1CD9" w:rsidRPr="009555DC">
        <w:rPr>
          <w:rFonts w:asciiTheme="minorHAnsi" w:hAnsiTheme="minorHAnsi"/>
          <w:sz w:val="21"/>
          <w:szCs w:val="21"/>
        </w:rPr>
        <w:t>and MGH’s is 75%</w:t>
      </w:r>
      <w:r w:rsidR="007A1CD9" w:rsidRPr="009555DC">
        <w:rPr>
          <w:rStyle w:val="FootnoteReference"/>
          <w:rFonts w:asciiTheme="minorHAnsi" w:hAnsiTheme="minorHAnsi"/>
          <w:sz w:val="21"/>
          <w:szCs w:val="21"/>
        </w:rPr>
        <w:footnoteReference w:id="19"/>
      </w:r>
      <w:r w:rsidR="007A1CD9" w:rsidRPr="009555DC">
        <w:rPr>
          <w:rFonts w:asciiTheme="minorHAnsi" w:hAnsiTheme="minorHAnsi"/>
          <w:sz w:val="21"/>
          <w:szCs w:val="21"/>
        </w:rPr>
        <w:t xml:space="preserve"> </w:t>
      </w:r>
      <w:r w:rsidR="007040C8" w:rsidRPr="009555DC">
        <w:rPr>
          <w:rFonts w:asciiTheme="minorHAnsi" w:hAnsiTheme="minorHAnsi"/>
          <w:sz w:val="21"/>
          <w:szCs w:val="21"/>
        </w:rPr>
        <w:t>(July 2025)</w:t>
      </w:r>
      <w:r w:rsidR="00116893" w:rsidRPr="009555DC">
        <w:rPr>
          <w:rFonts w:asciiTheme="minorHAnsi" w:hAnsiTheme="minorHAnsi"/>
          <w:sz w:val="21"/>
          <w:szCs w:val="21"/>
        </w:rPr>
        <w:t xml:space="preserve">. </w:t>
      </w:r>
      <w:r w:rsidR="007040C8" w:rsidRPr="009555DC">
        <w:rPr>
          <w:rFonts w:asciiTheme="minorHAnsi" w:hAnsiTheme="minorHAnsi"/>
          <w:sz w:val="21"/>
          <w:szCs w:val="21"/>
        </w:rPr>
        <w:t xml:space="preserve">Moreover, inpatients are waiting longer for </w:t>
      </w:r>
      <w:r w:rsidR="009D6BA8" w:rsidRPr="009555DC">
        <w:rPr>
          <w:rFonts w:asciiTheme="minorHAnsi" w:hAnsiTheme="minorHAnsi"/>
          <w:sz w:val="21"/>
          <w:szCs w:val="21"/>
        </w:rPr>
        <w:t xml:space="preserve">endoscopy </w:t>
      </w:r>
      <w:r w:rsidR="007040C8" w:rsidRPr="009555DC">
        <w:rPr>
          <w:rFonts w:asciiTheme="minorHAnsi" w:hAnsiTheme="minorHAnsi"/>
          <w:sz w:val="21"/>
          <w:szCs w:val="21"/>
        </w:rPr>
        <w:t>procedures</w:t>
      </w:r>
      <w:r w:rsidR="00116893" w:rsidRPr="009555DC">
        <w:rPr>
          <w:rFonts w:asciiTheme="minorHAnsi" w:hAnsiTheme="minorHAnsi"/>
          <w:sz w:val="21"/>
          <w:szCs w:val="21"/>
        </w:rPr>
        <w:t xml:space="preserve">. Inpatients at MGH are waiting on average almost a full day for </w:t>
      </w:r>
      <w:proofErr w:type="gramStart"/>
      <w:r w:rsidR="009D6BA8" w:rsidRPr="009555DC">
        <w:rPr>
          <w:rFonts w:asciiTheme="minorHAnsi" w:hAnsiTheme="minorHAnsi"/>
          <w:sz w:val="21"/>
          <w:szCs w:val="21"/>
        </w:rPr>
        <w:t xml:space="preserve">endoscopy </w:t>
      </w:r>
      <w:r w:rsidR="00116893" w:rsidRPr="009555DC">
        <w:rPr>
          <w:rFonts w:asciiTheme="minorHAnsi" w:hAnsiTheme="minorHAnsi"/>
          <w:sz w:val="21"/>
          <w:szCs w:val="21"/>
        </w:rPr>
        <w:t xml:space="preserve"> (</w:t>
      </w:r>
      <w:proofErr w:type="gramEnd"/>
      <w:r w:rsidR="00116893" w:rsidRPr="009555DC">
        <w:rPr>
          <w:rFonts w:asciiTheme="minorHAnsi" w:hAnsiTheme="minorHAnsi"/>
          <w:sz w:val="21"/>
          <w:szCs w:val="21"/>
        </w:rPr>
        <w:t>22 hours), while inpatients at BWH are waiting 18 hours.</w:t>
      </w:r>
      <w:r w:rsidR="003D749E" w:rsidRPr="009555DC">
        <w:rPr>
          <w:rFonts w:asciiTheme="minorHAnsi" w:hAnsiTheme="minorHAnsi"/>
          <w:sz w:val="21"/>
          <w:szCs w:val="21"/>
        </w:rPr>
        <w:t xml:space="preserve"> These delays result in longer stays for the patient </w:t>
      </w:r>
      <w:r w:rsidR="00F74DA3">
        <w:rPr>
          <w:rFonts w:asciiTheme="minorHAnsi" w:hAnsiTheme="minorHAnsi"/>
          <w:sz w:val="21"/>
          <w:szCs w:val="21"/>
        </w:rPr>
        <w:t>with associated higher risks of negative outcomes, including physical and function decline and hospital-acquired infections</w:t>
      </w:r>
      <w:r w:rsidR="00F74DA3">
        <w:rPr>
          <w:rStyle w:val="FootnoteReference"/>
          <w:rFonts w:asciiTheme="minorHAnsi" w:hAnsiTheme="minorHAnsi"/>
          <w:sz w:val="21"/>
          <w:szCs w:val="21"/>
        </w:rPr>
        <w:footnoteReference w:id="20"/>
      </w:r>
      <w:r w:rsidR="00F74DA3">
        <w:rPr>
          <w:rFonts w:asciiTheme="minorHAnsi" w:hAnsiTheme="minorHAnsi"/>
          <w:sz w:val="21"/>
          <w:szCs w:val="21"/>
        </w:rPr>
        <w:t>, as well as</w:t>
      </w:r>
      <w:r w:rsidR="003D749E" w:rsidRPr="009555DC">
        <w:rPr>
          <w:rFonts w:asciiTheme="minorHAnsi" w:hAnsiTheme="minorHAnsi"/>
          <w:sz w:val="21"/>
          <w:szCs w:val="21"/>
        </w:rPr>
        <w:t xml:space="preserve"> higher costs for payers</w:t>
      </w:r>
      <w:r w:rsidR="00A22244">
        <w:rPr>
          <w:rFonts w:asciiTheme="minorHAnsi" w:hAnsiTheme="minorHAnsi"/>
          <w:sz w:val="21"/>
          <w:szCs w:val="21"/>
        </w:rPr>
        <w:t>.</w:t>
      </w:r>
      <w:r w:rsidR="00E9228E" w:rsidRPr="009555DC">
        <w:rPr>
          <w:rFonts w:asciiTheme="minorHAnsi" w:hAnsiTheme="minorHAnsi"/>
          <w:sz w:val="21"/>
          <w:szCs w:val="21"/>
        </w:rPr>
        <w:t xml:space="preserve"> </w:t>
      </w:r>
      <w:r w:rsidR="00F74DA3">
        <w:rPr>
          <w:rFonts w:asciiTheme="minorHAnsi" w:hAnsiTheme="minorHAnsi"/>
          <w:sz w:val="21"/>
          <w:szCs w:val="21"/>
        </w:rPr>
        <w:t>Moreover, longer than necessary inpatient stays</w:t>
      </w:r>
      <w:r w:rsidR="00F74DA3" w:rsidRPr="009555DC">
        <w:rPr>
          <w:rFonts w:asciiTheme="minorHAnsi" w:hAnsiTheme="minorHAnsi"/>
          <w:sz w:val="21"/>
          <w:szCs w:val="21"/>
        </w:rPr>
        <w:t xml:space="preserve"> </w:t>
      </w:r>
      <w:r w:rsidR="003D749E" w:rsidRPr="009555DC">
        <w:rPr>
          <w:rFonts w:asciiTheme="minorHAnsi" w:hAnsiTheme="minorHAnsi"/>
          <w:sz w:val="21"/>
          <w:szCs w:val="21"/>
        </w:rPr>
        <w:t xml:space="preserve">prevent new patients from being admitted to an inpatient </w:t>
      </w:r>
      <w:r w:rsidR="009D6BA8" w:rsidRPr="009555DC">
        <w:rPr>
          <w:rFonts w:asciiTheme="minorHAnsi" w:hAnsiTheme="minorHAnsi"/>
          <w:sz w:val="21"/>
          <w:szCs w:val="21"/>
        </w:rPr>
        <w:t xml:space="preserve">bed </w:t>
      </w:r>
      <w:r w:rsidR="003D749E" w:rsidRPr="009555DC">
        <w:rPr>
          <w:rFonts w:asciiTheme="minorHAnsi" w:hAnsiTheme="minorHAnsi"/>
          <w:sz w:val="21"/>
          <w:szCs w:val="21"/>
        </w:rPr>
        <w:t xml:space="preserve">from the </w:t>
      </w:r>
      <w:r w:rsidR="003D749E" w:rsidRPr="009555DC">
        <w:rPr>
          <w:rFonts w:asciiTheme="minorHAnsi" w:hAnsiTheme="minorHAnsi"/>
          <w:sz w:val="21"/>
          <w:szCs w:val="21"/>
        </w:rPr>
        <w:lastRenderedPageBreak/>
        <w:t>emergency department</w:t>
      </w:r>
      <w:r w:rsidR="00F74DA3">
        <w:rPr>
          <w:rFonts w:asciiTheme="minorHAnsi" w:hAnsiTheme="minorHAnsi"/>
          <w:sz w:val="21"/>
          <w:szCs w:val="21"/>
        </w:rPr>
        <w:t xml:space="preserve"> or a community h</w:t>
      </w:r>
      <w:r w:rsidR="0066595B">
        <w:rPr>
          <w:rFonts w:asciiTheme="minorHAnsi" w:hAnsiTheme="minorHAnsi"/>
          <w:sz w:val="21"/>
          <w:szCs w:val="21"/>
        </w:rPr>
        <w:t>ospital</w:t>
      </w:r>
      <w:r w:rsidR="003D749E" w:rsidRPr="009555DC">
        <w:rPr>
          <w:rFonts w:asciiTheme="minorHAnsi" w:hAnsiTheme="minorHAnsi"/>
          <w:sz w:val="21"/>
          <w:szCs w:val="21"/>
        </w:rPr>
        <w:t xml:space="preserve">, contributing to throughput </w:t>
      </w:r>
      <w:r w:rsidR="00AC6E62" w:rsidRPr="009555DC">
        <w:rPr>
          <w:rFonts w:asciiTheme="minorHAnsi" w:hAnsiTheme="minorHAnsi"/>
          <w:sz w:val="21"/>
          <w:szCs w:val="21"/>
        </w:rPr>
        <w:t>challenges</w:t>
      </w:r>
      <w:r w:rsidR="003D749E" w:rsidRPr="009555DC">
        <w:rPr>
          <w:rFonts w:asciiTheme="minorHAnsi" w:hAnsiTheme="minorHAnsi"/>
          <w:sz w:val="21"/>
          <w:szCs w:val="21"/>
        </w:rPr>
        <w:t xml:space="preserve"> across the </w:t>
      </w:r>
      <w:r w:rsidR="0066595B">
        <w:rPr>
          <w:rFonts w:asciiTheme="minorHAnsi" w:hAnsiTheme="minorHAnsi"/>
          <w:sz w:val="21"/>
          <w:szCs w:val="21"/>
        </w:rPr>
        <w:t>MGB AMCs and region</w:t>
      </w:r>
      <w:r w:rsidR="003D749E" w:rsidRPr="009555DC">
        <w:rPr>
          <w:rFonts w:asciiTheme="minorHAnsi" w:hAnsiTheme="minorHAnsi"/>
          <w:sz w:val="21"/>
          <w:szCs w:val="21"/>
        </w:rPr>
        <w:t xml:space="preserve">. </w:t>
      </w:r>
    </w:p>
    <w:p w14:paraId="0725AF35" w14:textId="77777777" w:rsidR="009555DC" w:rsidRPr="009555DC" w:rsidRDefault="009555DC" w:rsidP="00E27321">
      <w:pPr>
        <w:ind w:right="-720"/>
        <w:rPr>
          <w:rFonts w:asciiTheme="minorHAnsi" w:hAnsiTheme="minorHAnsi"/>
          <w:b/>
          <w:bCs/>
          <w:sz w:val="21"/>
          <w:szCs w:val="21"/>
        </w:rPr>
      </w:pPr>
    </w:p>
    <w:bookmarkEnd w:id="8"/>
    <w:p w14:paraId="6A0CD402" w14:textId="333B91A5" w:rsidR="00E27321" w:rsidRPr="009555DC" w:rsidRDefault="00E27321" w:rsidP="00E27321">
      <w:pPr>
        <w:pStyle w:val="ListParagraph"/>
        <w:numPr>
          <w:ilvl w:val="0"/>
          <w:numId w:val="7"/>
        </w:numPr>
        <w:spacing w:after="120"/>
        <w:contextualSpacing w:val="0"/>
        <w:rPr>
          <w:rFonts w:asciiTheme="minorHAnsi" w:hAnsiTheme="minorHAnsi"/>
          <w:b/>
          <w:bCs/>
          <w:sz w:val="21"/>
          <w:szCs w:val="21"/>
        </w:rPr>
      </w:pPr>
      <w:r w:rsidRPr="009555DC">
        <w:rPr>
          <w:rFonts w:asciiTheme="minorHAnsi" w:hAnsiTheme="minorHAnsi"/>
          <w:b/>
          <w:bCs/>
          <w:sz w:val="21"/>
          <w:szCs w:val="21"/>
        </w:rPr>
        <w:t>Proposed Project</w:t>
      </w:r>
    </w:p>
    <w:p w14:paraId="0BE2C68A" w14:textId="77777777" w:rsidR="00854409" w:rsidRPr="009555DC" w:rsidRDefault="00854409" w:rsidP="00854409">
      <w:pPr>
        <w:jc w:val="both"/>
        <w:rPr>
          <w:rFonts w:asciiTheme="minorHAnsi" w:hAnsiTheme="minorHAnsi"/>
          <w:sz w:val="21"/>
          <w:szCs w:val="21"/>
        </w:rPr>
      </w:pPr>
      <w:proofErr w:type="gramStart"/>
      <w:r w:rsidRPr="009555DC">
        <w:rPr>
          <w:rFonts w:asciiTheme="minorHAnsi" w:hAnsiTheme="minorHAnsi"/>
          <w:sz w:val="21"/>
          <w:szCs w:val="21"/>
        </w:rPr>
        <w:t>In order to</w:t>
      </w:r>
      <w:proofErr w:type="gramEnd"/>
      <w:r w:rsidRPr="009555DC">
        <w:rPr>
          <w:rFonts w:asciiTheme="minorHAnsi" w:hAnsiTheme="minorHAnsi"/>
          <w:sz w:val="21"/>
          <w:szCs w:val="21"/>
        </w:rPr>
        <w:t xml:space="preserve"> provide the Patient Panel with adequate access to outpatient endoscopy, the Applicant proposes a freestanding, single-specialty ASC in Cambridge. The proposed ASC will have three (3) procedure rooms and 10 pre/post-operative care bays. Each procedure room will have a maximum procedural capacity of 12 cases per day. The ASC will be open five days per week (Monday – Friday), with closures for 11 holidays, resulting in an annual maximum capacity for the ASC of 9,000 once the ASC is fully operational. The ASC’s proposed utilization is set for in Table 5 below. </w:t>
      </w:r>
    </w:p>
    <w:p w14:paraId="1E8C1068" w14:textId="77777777" w:rsidR="00DE3B87" w:rsidRPr="009555DC" w:rsidRDefault="00DE3B87" w:rsidP="00DE3B87">
      <w:pPr>
        <w:rPr>
          <w:rFonts w:asciiTheme="minorHAnsi" w:hAnsiTheme="minorHAnsi"/>
          <w:b/>
          <w:bCs/>
          <w:sz w:val="21"/>
          <w:szCs w:val="21"/>
        </w:rPr>
      </w:pPr>
    </w:p>
    <w:tbl>
      <w:tblPr>
        <w:tblW w:w="9445" w:type="dxa"/>
        <w:tblLayout w:type="fixed"/>
        <w:tblLook w:val="04A0" w:firstRow="1" w:lastRow="0" w:firstColumn="1" w:lastColumn="0" w:noHBand="0" w:noVBand="1"/>
      </w:tblPr>
      <w:tblGrid>
        <w:gridCol w:w="3685"/>
        <w:gridCol w:w="1152"/>
        <w:gridCol w:w="1152"/>
        <w:gridCol w:w="1152"/>
        <w:gridCol w:w="1152"/>
        <w:gridCol w:w="1152"/>
      </w:tblGrid>
      <w:tr w:rsidR="00DE3B87" w:rsidRPr="009555DC" w14:paraId="0D8E30D1" w14:textId="77777777" w:rsidTr="00451FFC">
        <w:trPr>
          <w:trHeight w:val="310"/>
        </w:trPr>
        <w:tc>
          <w:tcPr>
            <w:tcW w:w="3685" w:type="dxa"/>
            <w:tcBorders>
              <w:top w:val="single" w:sz="4" w:space="0" w:color="auto"/>
              <w:left w:val="single" w:sz="4" w:space="0" w:color="auto"/>
              <w:bottom w:val="nil"/>
              <w:right w:val="nil"/>
            </w:tcBorders>
            <w:shd w:val="clear" w:color="auto" w:fill="0F4761" w:themeFill="accent1" w:themeFillShade="BF"/>
            <w:noWrap/>
            <w:vAlign w:val="center"/>
            <w:hideMark/>
          </w:tcPr>
          <w:p w14:paraId="7E5E2D69" w14:textId="77777777" w:rsidR="00DE3B87" w:rsidRPr="00004DEA" w:rsidRDefault="00DE3B87" w:rsidP="00062791">
            <w:pPr>
              <w:suppressAutoHyphens w:val="0"/>
              <w:rPr>
                <w:rFonts w:ascii="Aptos" w:hAnsi="Aptos" w:cs="Calibri"/>
                <w:b/>
                <w:bCs/>
                <w:sz w:val="20"/>
                <w:szCs w:val="20"/>
              </w:rPr>
            </w:pPr>
            <w:r w:rsidRPr="00004DEA">
              <w:rPr>
                <w:rFonts w:ascii="Aptos" w:hAnsi="Aptos" w:cs="Calibri"/>
                <w:b/>
                <w:bCs/>
                <w:sz w:val="20"/>
                <w:szCs w:val="20"/>
              </w:rPr>
              <w:t>Table 5: Proposed Utilization </w:t>
            </w:r>
          </w:p>
        </w:tc>
        <w:tc>
          <w:tcPr>
            <w:tcW w:w="1152"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7E0107DB" w14:textId="77777777" w:rsidR="00DE3B87" w:rsidRPr="00004DEA" w:rsidRDefault="00DE3B87" w:rsidP="00062791">
            <w:pPr>
              <w:suppressAutoHyphens w:val="0"/>
              <w:jc w:val="center"/>
              <w:rPr>
                <w:rFonts w:ascii="Aptos" w:hAnsi="Aptos" w:cs="Calibri"/>
                <w:b/>
                <w:bCs/>
                <w:sz w:val="20"/>
                <w:szCs w:val="20"/>
              </w:rPr>
            </w:pPr>
            <w:r w:rsidRPr="00004DEA">
              <w:rPr>
                <w:rFonts w:ascii="Aptos" w:hAnsi="Aptos" w:cs="Calibri"/>
                <w:b/>
                <w:bCs/>
                <w:sz w:val="20"/>
                <w:szCs w:val="20"/>
              </w:rPr>
              <w:t>Year 1</w:t>
            </w:r>
          </w:p>
        </w:tc>
        <w:tc>
          <w:tcPr>
            <w:tcW w:w="1152"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0897605C" w14:textId="77777777" w:rsidR="00DE3B87" w:rsidRPr="00004DEA" w:rsidRDefault="00DE3B87" w:rsidP="00062791">
            <w:pPr>
              <w:suppressAutoHyphens w:val="0"/>
              <w:jc w:val="center"/>
              <w:rPr>
                <w:rFonts w:ascii="Aptos" w:hAnsi="Aptos" w:cs="Calibri"/>
                <w:b/>
                <w:bCs/>
                <w:sz w:val="20"/>
                <w:szCs w:val="20"/>
              </w:rPr>
            </w:pPr>
            <w:r w:rsidRPr="00004DEA">
              <w:rPr>
                <w:rFonts w:ascii="Aptos" w:hAnsi="Aptos" w:cs="Calibri"/>
                <w:b/>
                <w:bCs/>
                <w:sz w:val="20"/>
                <w:szCs w:val="20"/>
              </w:rPr>
              <w:t>Year 2</w:t>
            </w:r>
          </w:p>
        </w:tc>
        <w:tc>
          <w:tcPr>
            <w:tcW w:w="1152"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32587061" w14:textId="77777777" w:rsidR="00DE3B87" w:rsidRPr="00004DEA" w:rsidRDefault="00DE3B87" w:rsidP="00062791">
            <w:pPr>
              <w:suppressAutoHyphens w:val="0"/>
              <w:jc w:val="center"/>
              <w:rPr>
                <w:rFonts w:ascii="Aptos" w:hAnsi="Aptos" w:cs="Calibri"/>
                <w:b/>
                <w:bCs/>
                <w:sz w:val="20"/>
                <w:szCs w:val="20"/>
              </w:rPr>
            </w:pPr>
            <w:r w:rsidRPr="00004DEA">
              <w:rPr>
                <w:rFonts w:ascii="Aptos" w:hAnsi="Aptos" w:cs="Calibri"/>
                <w:b/>
                <w:bCs/>
                <w:sz w:val="20"/>
                <w:szCs w:val="20"/>
              </w:rPr>
              <w:t>Year 3</w:t>
            </w:r>
          </w:p>
        </w:tc>
        <w:tc>
          <w:tcPr>
            <w:tcW w:w="1152"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05DC139B" w14:textId="77777777" w:rsidR="00DE3B87" w:rsidRPr="00004DEA" w:rsidRDefault="00DE3B87" w:rsidP="00062791">
            <w:pPr>
              <w:suppressAutoHyphens w:val="0"/>
              <w:jc w:val="center"/>
              <w:rPr>
                <w:rFonts w:ascii="Aptos" w:hAnsi="Aptos" w:cs="Calibri"/>
                <w:b/>
                <w:bCs/>
                <w:sz w:val="20"/>
                <w:szCs w:val="20"/>
              </w:rPr>
            </w:pPr>
            <w:r w:rsidRPr="00004DEA">
              <w:rPr>
                <w:rFonts w:ascii="Aptos" w:hAnsi="Aptos" w:cs="Calibri"/>
                <w:b/>
                <w:bCs/>
                <w:sz w:val="20"/>
                <w:szCs w:val="20"/>
              </w:rPr>
              <w:t>Year 4</w:t>
            </w:r>
          </w:p>
        </w:tc>
        <w:tc>
          <w:tcPr>
            <w:tcW w:w="1152" w:type="dxa"/>
            <w:tcBorders>
              <w:top w:val="single" w:sz="4" w:space="0" w:color="auto"/>
              <w:left w:val="single" w:sz="4" w:space="0" w:color="auto"/>
              <w:bottom w:val="single" w:sz="4" w:space="0" w:color="auto"/>
              <w:right w:val="single" w:sz="4" w:space="0" w:color="auto"/>
            </w:tcBorders>
            <w:shd w:val="clear" w:color="auto" w:fill="0F4761" w:themeFill="accent1" w:themeFillShade="BF"/>
            <w:noWrap/>
            <w:vAlign w:val="center"/>
            <w:hideMark/>
          </w:tcPr>
          <w:p w14:paraId="66E8D708" w14:textId="77777777" w:rsidR="00DE3B87" w:rsidRPr="00004DEA" w:rsidRDefault="00DE3B87" w:rsidP="00062791">
            <w:pPr>
              <w:suppressAutoHyphens w:val="0"/>
              <w:jc w:val="center"/>
              <w:rPr>
                <w:rFonts w:ascii="Aptos" w:hAnsi="Aptos" w:cs="Calibri"/>
                <w:b/>
                <w:bCs/>
                <w:sz w:val="20"/>
                <w:szCs w:val="20"/>
              </w:rPr>
            </w:pPr>
            <w:r w:rsidRPr="00004DEA">
              <w:rPr>
                <w:rFonts w:ascii="Aptos" w:hAnsi="Aptos" w:cs="Calibri"/>
                <w:b/>
                <w:bCs/>
                <w:sz w:val="20"/>
                <w:szCs w:val="20"/>
              </w:rPr>
              <w:t>Year 5</w:t>
            </w:r>
          </w:p>
        </w:tc>
      </w:tr>
      <w:tr w:rsidR="00DE3B87" w:rsidRPr="009555DC" w14:paraId="3758D6DD" w14:textId="77777777" w:rsidTr="00062791">
        <w:trPr>
          <w:trHeight w:val="310"/>
        </w:trPr>
        <w:tc>
          <w:tcPr>
            <w:tcW w:w="3685" w:type="dxa"/>
            <w:tcBorders>
              <w:top w:val="single" w:sz="4" w:space="0" w:color="auto"/>
              <w:left w:val="single" w:sz="4" w:space="0" w:color="auto"/>
              <w:bottom w:val="single" w:sz="4" w:space="0" w:color="auto"/>
              <w:right w:val="nil"/>
            </w:tcBorders>
            <w:noWrap/>
            <w:vAlign w:val="center"/>
            <w:hideMark/>
          </w:tcPr>
          <w:p w14:paraId="22F36C6A" w14:textId="77777777" w:rsidR="00DE3B87" w:rsidRPr="00004DEA" w:rsidRDefault="00DE3B87" w:rsidP="00062791">
            <w:pPr>
              <w:suppressAutoHyphens w:val="0"/>
              <w:rPr>
                <w:rFonts w:ascii="Aptos" w:hAnsi="Aptos" w:cs="Calibri"/>
                <w:b/>
                <w:bCs/>
                <w:sz w:val="20"/>
                <w:szCs w:val="20"/>
              </w:rPr>
            </w:pPr>
            <w:r w:rsidRPr="00004DEA">
              <w:rPr>
                <w:rFonts w:ascii="Aptos" w:hAnsi="Aptos" w:cs="Calibri"/>
                <w:b/>
                <w:bCs/>
                <w:sz w:val="20"/>
                <w:szCs w:val="20"/>
              </w:rPr>
              <w:t>Volume</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F92D19B"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4,752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E8022DD"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7,350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4C6665B"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7,460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0A518475"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7,572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4533658"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7,686</w:t>
            </w:r>
          </w:p>
        </w:tc>
      </w:tr>
      <w:tr w:rsidR="00DE3B87" w:rsidRPr="009555DC" w14:paraId="541D0F98" w14:textId="77777777" w:rsidTr="00062791">
        <w:trPr>
          <w:trHeight w:val="310"/>
        </w:trPr>
        <w:tc>
          <w:tcPr>
            <w:tcW w:w="3685" w:type="dxa"/>
            <w:tcBorders>
              <w:top w:val="single" w:sz="4" w:space="0" w:color="auto"/>
              <w:left w:val="single" w:sz="4" w:space="0" w:color="auto"/>
              <w:bottom w:val="single" w:sz="4" w:space="0" w:color="auto"/>
              <w:right w:val="nil"/>
            </w:tcBorders>
            <w:noWrap/>
            <w:vAlign w:val="center"/>
          </w:tcPr>
          <w:p w14:paraId="6637B0BA" w14:textId="77777777" w:rsidR="00DE3B87" w:rsidRPr="00004DEA" w:rsidRDefault="00DE3B87" w:rsidP="00062791">
            <w:pPr>
              <w:suppressAutoHyphens w:val="0"/>
              <w:rPr>
                <w:rFonts w:ascii="Aptos" w:hAnsi="Aptos" w:cs="Calibri"/>
                <w:b/>
                <w:bCs/>
                <w:sz w:val="20"/>
                <w:szCs w:val="20"/>
              </w:rPr>
            </w:pPr>
            <w:r w:rsidRPr="00004DEA">
              <w:rPr>
                <w:rFonts w:ascii="Aptos" w:hAnsi="Aptos" w:cs="Calibri"/>
                <w:b/>
                <w:bCs/>
                <w:sz w:val="20"/>
                <w:szCs w:val="20"/>
              </w:rPr>
              <w:t>Operating Capacity</w:t>
            </w:r>
          </w:p>
        </w:tc>
        <w:tc>
          <w:tcPr>
            <w:tcW w:w="1152" w:type="dxa"/>
            <w:tcBorders>
              <w:top w:val="single" w:sz="4" w:space="0" w:color="auto"/>
              <w:left w:val="single" w:sz="4" w:space="0" w:color="auto"/>
              <w:bottom w:val="single" w:sz="4" w:space="0" w:color="auto"/>
              <w:right w:val="single" w:sz="4" w:space="0" w:color="auto"/>
            </w:tcBorders>
            <w:noWrap/>
            <w:vAlign w:val="center"/>
          </w:tcPr>
          <w:p w14:paraId="0183C49D"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53%</w:t>
            </w:r>
          </w:p>
        </w:tc>
        <w:tc>
          <w:tcPr>
            <w:tcW w:w="1152" w:type="dxa"/>
            <w:tcBorders>
              <w:top w:val="single" w:sz="4" w:space="0" w:color="auto"/>
              <w:left w:val="single" w:sz="4" w:space="0" w:color="auto"/>
              <w:bottom w:val="single" w:sz="4" w:space="0" w:color="auto"/>
              <w:right w:val="single" w:sz="4" w:space="0" w:color="auto"/>
            </w:tcBorders>
            <w:noWrap/>
            <w:vAlign w:val="center"/>
          </w:tcPr>
          <w:p w14:paraId="371A63DF"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82%</w:t>
            </w:r>
          </w:p>
        </w:tc>
        <w:tc>
          <w:tcPr>
            <w:tcW w:w="1152" w:type="dxa"/>
            <w:tcBorders>
              <w:top w:val="single" w:sz="4" w:space="0" w:color="auto"/>
              <w:left w:val="single" w:sz="4" w:space="0" w:color="auto"/>
              <w:bottom w:val="single" w:sz="4" w:space="0" w:color="auto"/>
              <w:right w:val="single" w:sz="4" w:space="0" w:color="auto"/>
            </w:tcBorders>
            <w:noWrap/>
            <w:vAlign w:val="center"/>
          </w:tcPr>
          <w:p w14:paraId="0A763BA1"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83%</w:t>
            </w:r>
          </w:p>
        </w:tc>
        <w:tc>
          <w:tcPr>
            <w:tcW w:w="1152" w:type="dxa"/>
            <w:tcBorders>
              <w:top w:val="single" w:sz="4" w:space="0" w:color="auto"/>
              <w:left w:val="single" w:sz="4" w:space="0" w:color="auto"/>
              <w:bottom w:val="single" w:sz="4" w:space="0" w:color="auto"/>
              <w:right w:val="single" w:sz="4" w:space="0" w:color="auto"/>
            </w:tcBorders>
            <w:noWrap/>
            <w:vAlign w:val="center"/>
          </w:tcPr>
          <w:p w14:paraId="74DA57B7"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84%</w:t>
            </w:r>
          </w:p>
        </w:tc>
        <w:tc>
          <w:tcPr>
            <w:tcW w:w="1152" w:type="dxa"/>
            <w:tcBorders>
              <w:top w:val="single" w:sz="4" w:space="0" w:color="auto"/>
              <w:left w:val="single" w:sz="4" w:space="0" w:color="auto"/>
              <w:bottom w:val="single" w:sz="4" w:space="0" w:color="auto"/>
              <w:right w:val="single" w:sz="4" w:space="0" w:color="auto"/>
            </w:tcBorders>
            <w:noWrap/>
            <w:vAlign w:val="center"/>
          </w:tcPr>
          <w:p w14:paraId="77640B93" w14:textId="77777777" w:rsidR="00DE3B87" w:rsidRPr="00004DEA" w:rsidRDefault="00DE3B87" w:rsidP="00062791">
            <w:pPr>
              <w:suppressAutoHyphens w:val="0"/>
              <w:jc w:val="center"/>
              <w:rPr>
                <w:rFonts w:ascii="Aptos" w:hAnsi="Aptos" w:cs="Calibri"/>
                <w:sz w:val="20"/>
                <w:szCs w:val="20"/>
              </w:rPr>
            </w:pPr>
            <w:r w:rsidRPr="00004DEA">
              <w:rPr>
                <w:rFonts w:ascii="Aptos" w:hAnsi="Aptos"/>
                <w:sz w:val="20"/>
                <w:szCs w:val="20"/>
              </w:rPr>
              <w:t>85%</w:t>
            </w:r>
          </w:p>
        </w:tc>
      </w:tr>
    </w:tbl>
    <w:p w14:paraId="0B2E550B" w14:textId="79EC2A88" w:rsidR="00E27321" w:rsidRPr="009555DC" w:rsidRDefault="00E27321" w:rsidP="00DE3B87">
      <w:pPr>
        <w:jc w:val="both"/>
        <w:rPr>
          <w:rFonts w:asciiTheme="minorHAnsi" w:hAnsiTheme="minorHAnsi"/>
          <w:b/>
          <w:bCs/>
          <w:sz w:val="21"/>
          <w:szCs w:val="21"/>
        </w:rPr>
      </w:pPr>
    </w:p>
    <w:p w14:paraId="3D9696EF" w14:textId="303A6CBD" w:rsidR="00CF38AC" w:rsidRPr="009555DC" w:rsidRDefault="00CF38AC" w:rsidP="00CF38AC">
      <w:pPr>
        <w:spacing w:after="120"/>
        <w:jc w:val="both"/>
        <w:rPr>
          <w:rFonts w:asciiTheme="minorHAnsi" w:hAnsiTheme="minorHAnsi"/>
          <w:sz w:val="21"/>
          <w:szCs w:val="21"/>
        </w:rPr>
      </w:pPr>
      <w:r w:rsidRPr="009555DC">
        <w:rPr>
          <w:rFonts w:asciiTheme="minorHAnsi" w:hAnsiTheme="minorHAnsi"/>
          <w:sz w:val="21"/>
          <w:szCs w:val="21"/>
        </w:rPr>
        <w:t xml:space="preserve">As noted earlier, the immediate effect of the proposed ASC will be to reduce </w:t>
      </w:r>
      <w:proofErr w:type="gramStart"/>
      <w:r w:rsidRPr="009555DC">
        <w:rPr>
          <w:rFonts w:asciiTheme="minorHAnsi" w:hAnsiTheme="minorHAnsi"/>
          <w:sz w:val="21"/>
          <w:szCs w:val="21"/>
        </w:rPr>
        <w:t>wait</w:t>
      </w:r>
      <w:proofErr w:type="gramEnd"/>
      <w:r w:rsidRPr="009555DC">
        <w:rPr>
          <w:rFonts w:asciiTheme="minorHAnsi" w:hAnsiTheme="minorHAnsi"/>
          <w:sz w:val="21"/>
          <w:szCs w:val="21"/>
        </w:rPr>
        <w:t xml:space="preserve"> times for outpatient endoscopy for the Patient Panel. This will create more timely access to colonoscopy for patients due </w:t>
      </w:r>
      <w:proofErr w:type="gramStart"/>
      <w:r w:rsidRPr="009555DC">
        <w:rPr>
          <w:rFonts w:asciiTheme="minorHAnsi" w:hAnsiTheme="minorHAnsi"/>
          <w:sz w:val="21"/>
          <w:szCs w:val="21"/>
        </w:rPr>
        <w:t>for</w:t>
      </w:r>
      <w:proofErr w:type="gramEnd"/>
      <w:r w:rsidRPr="009555DC">
        <w:rPr>
          <w:rFonts w:asciiTheme="minorHAnsi" w:hAnsiTheme="minorHAnsi"/>
          <w:sz w:val="21"/>
          <w:szCs w:val="21"/>
        </w:rPr>
        <w:t xml:space="preserve"> their routine screening and reduce </w:t>
      </w:r>
      <w:proofErr w:type="gramStart"/>
      <w:r w:rsidRPr="009555DC">
        <w:rPr>
          <w:rFonts w:asciiTheme="minorHAnsi" w:hAnsiTheme="minorHAnsi"/>
          <w:sz w:val="21"/>
          <w:szCs w:val="21"/>
        </w:rPr>
        <w:t>wait</w:t>
      </w:r>
      <w:proofErr w:type="gramEnd"/>
      <w:r w:rsidRPr="009555DC">
        <w:rPr>
          <w:rFonts w:asciiTheme="minorHAnsi" w:hAnsiTheme="minorHAnsi"/>
          <w:sz w:val="21"/>
          <w:szCs w:val="21"/>
        </w:rPr>
        <w:t xml:space="preserve"> times </w:t>
      </w:r>
      <w:r w:rsidR="00E44B3A" w:rsidRPr="009555DC">
        <w:rPr>
          <w:rFonts w:asciiTheme="minorHAnsi" w:hAnsiTheme="minorHAnsi"/>
          <w:sz w:val="21"/>
          <w:szCs w:val="21"/>
        </w:rPr>
        <w:t>for inpatients at the MGB AMCs</w:t>
      </w:r>
      <w:r w:rsidRPr="009555DC">
        <w:rPr>
          <w:rFonts w:asciiTheme="minorHAnsi" w:hAnsiTheme="minorHAnsi"/>
          <w:sz w:val="21"/>
          <w:szCs w:val="21"/>
        </w:rPr>
        <w:t>. Creating additional procedural capacity is necessary for promoting screening adherence and follow-up care, both of which will continue to be crucial for health outcomes as colorectal cancer rates rise and the population ages. Each of the top towns in the Proposed Service Area are expected to grow in the coming years, resulting in almost 8,000 more residents between the ages of 45 and 75 by 2040.</w:t>
      </w:r>
      <w:bookmarkStart w:id="9" w:name="_Ref207177748"/>
      <w:r w:rsidRPr="009555DC">
        <w:rPr>
          <w:rStyle w:val="FootnoteReference"/>
          <w:rFonts w:asciiTheme="minorHAnsi" w:hAnsiTheme="minorHAnsi"/>
          <w:sz w:val="21"/>
          <w:szCs w:val="21"/>
        </w:rPr>
        <w:footnoteReference w:id="21"/>
      </w:r>
      <w:bookmarkEnd w:id="9"/>
      <w:r w:rsidRPr="009555DC">
        <w:rPr>
          <w:rFonts w:asciiTheme="minorHAnsi" w:hAnsiTheme="minorHAnsi"/>
          <w:sz w:val="21"/>
          <w:szCs w:val="21"/>
        </w:rPr>
        <w:t xml:space="preserve">  Of note, Cambridge, Revere, and Somerville are projected to experience significant growth by 2035 including 20% growth of Cambridge residents ages 50-59, 33% growth of Revere residents 45-54, 23% growth of Somerville residents ages 45-54.</w:t>
      </w:r>
      <w:r w:rsidRPr="009555DC">
        <w:rPr>
          <w:rStyle w:val="FootnoteReference"/>
          <w:rFonts w:asciiTheme="minorHAnsi" w:hAnsiTheme="minorHAnsi"/>
          <w:sz w:val="21"/>
          <w:szCs w:val="21"/>
        </w:rPr>
        <w:footnoteReference w:id="22"/>
      </w:r>
      <w:r w:rsidRPr="009555DC">
        <w:rPr>
          <w:rFonts w:asciiTheme="minorHAnsi" w:hAnsiTheme="minorHAnsi"/>
          <w:sz w:val="21"/>
          <w:szCs w:val="21"/>
        </w:rPr>
        <w:t xml:space="preserve"> To that end, time</w:t>
      </w:r>
      <w:r w:rsidR="00854409" w:rsidRPr="009555DC">
        <w:rPr>
          <w:rFonts w:asciiTheme="minorHAnsi" w:hAnsiTheme="minorHAnsi"/>
          <w:sz w:val="21"/>
          <w:szCs w:val="21"/>
        </w:rPr>
        <w:t>l</w:t>
      </w:r>
      <w:r w:rsidRPr="009555DC">
        <w:rPr>
          <w:rFonts w:asciiTheme="minorHAnsi" w:hAnsiTheme="minorHAnsi"/>
          <w:sz w:val="21"/>
          <w:szCs w:val="21"/>
        </w:rPr>
        <w:t>y access to outpatient endoscopy must be available to the Applicant’s Patient Panel.</w:t>
      </w:r>
    </w:p>
    <w:p w14:paraId="1AABDB00" w14:textId="60102739" w:rsidR="003D749E" w:rsidRPr="009555DC" w:rsidRDefault="00CF38AC" w:rsidP="008F12DA">
      <w:pPr>
        <w:spacing w:after="120"/>
        <w:jc w:val="both"/>
        <w:rPr>
          <w:rFonts w:ascii="Aptos" w:hAnsi="Aptos"/>
          <w:bCs/>
          <w:sz w:val="21"/>
          <w:szCs w:val="21"/>
        </w:rPr>
      </w:pPr>
      <w:r w:rsidRPr="009555DC">
        <w:rPr>
          <w:rFonts w:ascii="Aptos" w:hAnsi="Aptos"/>
          <w:bCs/>
          <w:sz w:val="21"/>
          <w:szCs w:val="21"/>
        </w:rPr>
        <w:t xml:space="preserve">The Proposed Project will provide capacity for thousands of additional </w:t>
      </w:r>
      <w:r w:rsidR="00F743E8">
        <w:rPr>
          <w:rFonts w:ascii="Aptos" w:hAnsi="Aptos"/>
          <w:bCs/>
          <w:sz w:val="21"/>
          <w:szCs w:val="21"/>
        </w:rPr>
        <w:t xml:space="preserve">MGB </w:t>
      </w:r>
      <w:r w:rsidRPr="009555DC">
        <w:rPr>
          <w:rFonts w:ascii="Aptos" w:hAnsi="Aptos"/>
          <w:bCs/>
          <w:sz w:val="21"/>
          <w:szCs w:val="21"/>
        </w:rPr>
        <w:t xml:space="preserve">patients to be screened for colorectal cancer </w:t>
      </w:r>
      <w:r w:rsidR="00E44B3A" w:rsidRPr="009555DC">
        <w:rPr>
          <w:rFonts w:ascii="Aptos" w:hAnsi="Aptos"/>
          <w:bCs/>
          <w:sz w:val="21"/>
          <w:szCs w:val="21"/>
        </w:rPr>
        <w:t>and</w:t>
      </w:r>
      <w:r w:rsidRPr="009555DC">
        <w:rPr>
          <w:rFonts w:ascii="Aptos" w:hAnsi="Aptos"/>
          <w:bCs/>
          <w:sz w:val="21"/>
          <w:szCs w:val="21"/>
        </w:rPr>
        <w:t xml:space="preserve"> receive diagnostic endoscopy care each year. Through the Proposed Project, MGB will have capacity to meaningfully address the backlog of endoscopy cases that have accumulated since the COVID-19 pandemic, disrupting endoscopy care for all patient</w:t>
      </w:r>
      <w:r w:rsidR="00E44B3A" w:rsidRPr="009555DC">
        <w:rPr>
          <w:rFonts w:ascii="Aptos" w:hAnsi="Aptos"/>
          <w:bCs/>
          <w:sz w:val="21"/>
          <w:szCs w:val="21"/>
        </w:rPr>
        <w:t xml:space="preserve"> classes</w:t>
      </w:r>
      <w:r w:rsidRPr="009555DC">
        <w:rPr>
          <w:rFonts w:ascii="Aptos" w:hAnsi="Aptos"/>
          <w:bCs/>
          <w:sz w:val="21"/>
          <w:szCs w:val="21"/>
        </w:rPr>
        <w:t>. Th</w:t>
      </w:r>
      <w:r w:rsidR="00E44B3A" w:rsidRPr="009555DC">
        <w:rPr>
          <w:rFonts w:ascii="Aptos" w:hAnsi="Aptos"/>
          <w:bCs/>
          <w:sz w:val="21"/>
          <w:szCs w:val="21"/>
        </w:rPr>
        <w:t xml:space="preserve">e </w:t>
      </w:r>
      <w:r w:rsidRPr="009555DC">
        <w:rPr>
          <w:rFonts w:ascii="Aptos" w:hAnsi="Aptos"/>
          <w:bCs/>
          <w:sz w:val="21"/>
          <w:szCs w:val="21"/>
        </w:rPr>
        <w:t xml:space="preserve">additional capacity </w:t>
      </w:r>
      <w:r w:rsidR="00E44B3A" w:rsidRPr="009555DC">
        <w:rPr>
          <w:rFonts w:ascii="Aptos" w:hAnsi="Aptos"/>
          <w:bCs/>
          <w:sz w:val="21"/>
          <w:szCs w:val="21"/>
        </w:rPr>
        <w:t xml:space="preserve">created through the Proposed Project </w:t>
      </w:r>
      <w:r w:rsidRPr="009555DC">
        <w:rPr>
          <w:rFonts w:ascii="Aptos" w:hAnsi="Aptos"/>
          <w:bCs/>
          <w:sz w:val="21"/>
          <w:szCs w:val="21"/>
        </w:rPr>
        <w:t xml:space="preserve">will also address the </w:t>
      </w:r>
      <w:r w:rsidR="00E44B3A" w:rsidRPr="009555DC">
        <w:rPr>
          <w:rFonts w:ascii="Aptos" w:hAnsi="Aptos"/>
          <w:bCs/>
          <w:sz w:val="21"/>
          <w:szCs w:val="21"/>
        </w:rPr>
        <w:t xml:space="preserve">projected </w:t>
      </w:r>
      <w:r w:rsidRPr="009555DC">
        <w:rPr>
          <w:rFonts w:ascii="Aptos" w:hAnsi="Aptos"/>
          <w:bCs/>
          <w:sz w:val="21"/>
          <w:szCs w:val="21"/>
        </w:rPr>
        <w:t xml:space="preserve">population increase </w:t>
      </w:r>
      <w:r w:rsidR="00E44B3A" w:rsidRPr="009555DC">
        <w:rPr>
          <w:rFonts w:ascii="Aptos" w:hAnsi="Aptos"/>
          <w:bCs/>
          <w:sz w:val="21"/>
          <w:szCs w:val="21"/>
        </w:rPr>
        <w:t>among</w:t>
      </w:r>
      <w:r w:rsidRPr="009555DC">
        <w:rPr>
          <w:rFonts w:ascii="Aptos" w:hAnsi="Aptos"/>
          <w:bCs/>
          <w:sz w:val="21"/>
          <w:szCs w:val="21"/>
        </w:rPr>
        <w:t xml:space="preserve"> colonoscopy screening eligible individuals within its Patient Panel. With additional colorectal screening</w:t>
      </w:r>
      <w:r w:rsidR="00E44B3A" w:rsidRPr="009555DC">
        <w:rPr>
          <w:rFonts w:ascii="Aptos" w:hAnsi="Aptos"/>
          <w:bCs/>
          <w:sz w:val="21"/>
          <w:szCs w:val="21"/>
        </w:rPr>
        <w:t xml:space="preserve"> slots</w:t>
      </w:r>
      <w:r w:rsidRPr="009555DC">
        <w:rPr>
          <w:rFonts w:ascii="Aptos" w:hAnsi="Aptos"/>
          <w:bCs/>
          <w:sz w:val="21"/>
          <w:szCs w:val="21"/>
        </w:rPr>
        <w:t xml:space="preserve"> available, more patients will receive </w:t>
      </w:r>
      <w:proofErr w:type="gramStart"/>
      <w:r w:rsidRPr="009555DC">
        <w:rPr>
          <w:rFonts w:ascii="Aptos" w:hAnsi="Aptos"/>
          <w:bCs/>
          <w:sz w:val="21"/>
          <w:szCs w:val="21"/>
        </w:rPr>
        <w:t>screenings timely</w:t>
      </w:r>
      <w:proofErr w:type="gramEnd"/>
      <w:r w:rsidRPr="009555DC">
        <w:rPr>
          <w:rFonts w:ascii="Aptos" w:hAnsi="Aptos"/>
          <w:bCs/>
          <w:sz w:val="21"/>
          <w:szCs w:val="21"/>
        </w:rPr>
        <w:t xml:space="preserve">, initiating treatment sooner and </w:t>
      </w:r>
      <w:r w:rsidR="00E44B3A" w:rsidRPr="009555DC">
        <w:rPr>
          <w:rFonts w:ascii="Aptos" w:hAnsi="Aptos"/>
          <w:bCs/>
          <w:sz w:val="21"/>
          <w:szCs w:val="21"/>
        </w:rPr>
        <w:t>achieving</w:t>
      </w:r>
      <w:r w:rsidRPr="009555DC">
        <w:rPr>
          <w:rFonts w:ascii="Aptos" w:hAnsi="Aptos"/>
          <w:bCs/>
          <w:sz w:val="21"/>
          <w:szCs w:val="21"/>
        </w:rPr>
        <w:t xml:space="preserve"> improved health outcomes. </w:t>
      </w:r>
    </w:p>
    <w:p w14:paraId="5227D815" w14:textId="00CB84A2" w:rsidR="008F12DA" w:rsidRPr="009555DC" w:rsidRDefault="008F12DA" w:rsidP="00C95CDD">
      <w:pPr>
        <w:pStyle w:val="Heading2"/>
      </w:pPr>
      <w:r w:rsidRPr="009555DC">
        <w:t>F1.a.iii</w:t>
      </w:r>
      <w:r w:rsidRPr="009555DC">
        <w:tab/>
      </w:r>
      <w:r w:rsidRPr="009555DC">
        <w:tab/>
      </w:r>
      <w:r w:rsidRPr="00C95CDD">
        <w:rPr>
          <w:b/>
          <w:bCs w:val="0"/>
        </w:rPr>
        <w:t>Competition</w:t>
      </w:r>
      <w:r w:rsidRPr="009555DC">
        <w:t>:</w:t>
      </w:r>
    </w:p>
    <w:p w14:paraId="5D99754B" w14:textId="77777777" w:rsidR="008F12DA" w:rsidRPr="009555DC" w:rsidRDefault="008F12DA" w:rsidP="008F12DA">
      <w:pPr>
        <w:spacing w:after="120"/>
        <w:ind w:left="1440"/>
        <w:jc w:val="both"/>
        <w:rPr>
          <w:rFonts w:ascii="Aptos" w:hAnsi="Aptos"/>
          <w:bCs/>
          <w:i/>
          <w:iCs/>
          <w:sz w:val="21"/>
          <w:szCs w:val="21"/>
        </w:rPr>
      </w:pPr>
      <w:r w:rsidRPr="009555DC">
        <w:rPr>
          <w:rFonts w:ascii="Aptos" w:hAnsi="Aptos"/>
          <w:bCs/>
          <w:i/>
          <w:iCs/>
          <w:sz w:val="21"/>
          <w:szCs w:val="21"/>
        </w:rPr>
        <w:t xml:space="preserve">Provide evidence that the Proposed Project will compete </w:t>
      </w:r>
      <w:proofErr w:type="gramStart"/>
      <w:r w:rsidRPr="009555DC">
        <w:rPr>
          <w:rFonts w:ascii="Aptos" w:hAnsi="Aptos"/>
          <w:bCs/>
          <w:i/>
          <w:iCs/>
          <w:sz w:val="21"/>
          <w:szCs w:val="21"/>
        </w:rPr>
        <w:t>on the basis of</w:t>
      </w:r>
      <w:proofErr w:type="gramEnd"/>
      <w:r w:rsidRPr="009555DC">
        <w:rPr>
          <w:rFonts w:ascii="Aptos" w:hAnsi="Aptos"/>
          <w:bCs/>
          <w:i/>
          <w:iCs/>
          <w:sz w:val="21"/>
          <w:szCs w:val="21"/>
        </w:rPr>
        <w:t xml:space="preserve"> price, total medical expenses, provider costs, and other recognized measures of health care spending. When responding to this question, please consider Factor 4, Financial </w:t>
      </w:r>
    </w:p>
    <w:p w14:paraId="2A253FA9" w14:textId="3B1E12AF" w:rsidR="00CF38AC" w:rsidRPr="009555DC" w:rsidRDefault="00CF38AC" w:rsidP="00CF38AC">
      <w:pPr>
        <w:spacing w:after="120"/>
        <w:jc w:val="both"/>
        <w:rPr>
          <w:rFonts w:ascii="Aptos" w:hAnsi="Aptos"/>
          <w:sz w:val="21"/>
          <w:szCs w:val="21"/>
        </w:rPr>
      </w:pPr>
      <w:r w:rsidRPr="009555DC">
        <w:rPr>
          <w:rFonts w:ascii="Aptos" w:hAnsi="Aptos"/>
          <w:bCs/>
          <w:sz w:val="21"/>
          <w:szCs w:val="21"/>
        </w:rPr>
        <w:t xml:space="preserve">The Proposed Project will compete </w:t>
      </w:r>
      <w:proofErr w:type="gramStart"/>
      <w:r w:rsidRPr="009555DC">
        <w:rPr>
          <w:rFonts w:ascii="Aptos" w:hAnsi="Aptos"/>
          <w:bCs/>
          <w:sz w:val="21"/>
          <w:szCs w:val="21"/>
        </w:rPr>
        <w:t>on the basis of</w:t>
      </w:r>
      <w:proofErr w:type="gramEnd"/>
      <w:r w:rsidRPr="009555DC">
        <w:rPr>
          <w:rFonts w:ascii="Aptos" w:hAnsi="Aptos"/>
          <w:bCs/>
          <w:sz w:val="21"/>
          <w:szCs w:val="21"/>
        </w:rPr>
        <w:t xml:space="preserve"> price, total medical expenses (TME), provider costs, and other health spending factors by expanding access to lower-cost endoscopy at the proposed ASC. The Applicant’s provision of endoscopy services will generate significant cost savings for both payors and patients, as ASCs offer these procedures at significantly lower costs than </w:t>
      </w:r>
      <w:r w:rsidR="00E44B3A" w:rsidRPr="009555DC">
        <w:rPr>
          <w:rFonts w:ascii="Aptos" w:hAnsi="Aptos"/>
          <w:bCs/>
          <w:sz w:val="21"/>
          <w:szCs w:val="21"/>
        </w:rPr>
        <w:t>hospital-based outpatient departments (</w:t>
      </w:r>
      <w:r w:rsidRPr="009555DC">
        <w:rPr>
          <w:rFonts w:ascii="Aptos" w:hAnsi="Aptos"/>
          <w:bCs/>
          <w:sz w:val="21"/>
          <w:szCs w:val="21"/>
        </w:rPr>
        <w:t>HOPD</w:t>
      </w:r>
      <w:r w:rsidR="00E44B3A" w:rsidRPr="009555DC">
        <w:rPr>
          <w:rFonts w:ascii="Aptos" w:hAnsi="Aptos"/>
          <w:bCs/>
          <w:sz w:val="21"/>
          <w:szCs w:val="21"/>
        </w:rPr>
        <w:t>)</w:t>
      </w:r>
      <w:r w:rsidRPr="009555DC">
        <w:rPr>
          <w:rFonts w:ascii="Aptos" w:hAnsi="Aptos"/>
          <w:bCs/>
          <w:sz w:val="21"/>
          <w:szCs w:val="21"/>
        </w:rPr>
        <w:t xml:space="preserve">. </w:t>
      </w:r>
      <w:r w:rsidRPr="009555DC">
        <w:rPr>
          <w:rFonts w:ascii="Aptos" w:hAnsi="Aptos"/>
          <w:sz w:val="21"/>
          <w:szCs w:val="21"/>
        </w:rPr>
        <w:t xml:space="preserve">ASCs compete effectively with HOPDs by delivering high-quality care at </w:t>
      </w:r>
      <w:r w:rsidRPr="009555DC">
        <w:rPr>
          <w:rFonts w:ascii="Aptos" w:hAnsi="Aptos"/>
          <w:sz w:val="21"/>
          <w:szCs w:val="21"/>
        </w:rPr>
        <w:lastRenderedPageBreak/>
        <w:t>significantly lower costs. ASCs achieve cost-efficiency through various operational efficiencies, including utilizing only the staff, equipment, and supplies necessary to meet patient needs. A recent study analyzing 220 procedures performed in ASCs and HOPDs found that ASCs outperformed HOPDs in ancillary time, procedure time, exit time, turnover time, and nonoperative time.</w:t>
      </w:r>
      <w:r w:rsidRPr="009555DC">
        <w:rPr>
          <w:rStyle w:val="FootnoteReference"/>
          <w:rFonts w:ascii="Aptos" w:hAnsi="Aptos"/>
          <w:sz w:val="21"/>
          <w:szCs w:val="21"/>
        </w:rPr>
        <w:footnoteReference w:id="23"/>
      </w:r>
      <w:r w:rsidRPr="009555DC">
        <w:rPr>
          <w:rFonts w:ascii="Aptos" w:hAnsi="Aptos"/>
          <w:sz w:val="21"/>
          <w:szCs w:val="21"/>
        </w:rPr>
        <w:t xml:space="preserve"> As a result, ASC facility fees are considerably lower than those of HOPDs, directly translating into savings for both patients and payers.</w:t>
      </w:r>
      <w:r w:rsidRPr="009555DC">
        <w:rPr>
          <w:rStyle w:val="FootnoteReference"/>
          <w:rFonts w:ascii="Aptos" w:hAnsi="Aptos"/>
          <w:sz w:val="21"/>
          <w:szCs w:val="21"/>
        </w:rPr>
        <w:footnoteReference w:id="24"/>
      </w:r>
      <w:r w:rsidRPr="009555DC">
        <w:rPr>
          <w:rFonts w:ascii="Aptos" w:hAnsi="Aptos"/>
          <w:sz w:val="21"/>
          <w:szCs w:val="21"/>
        </w:rPr>
        <w:t xml:space="preserve"> Consequently, the Proposed Project will further the Commonwealth’s goal of reducing overall healthcare spending by </w:t>
      </w:r>
      <w:r w:rsidR="00AB6CC9">
        <w:rPr>
          <w:rFonts w:ascii="Aptos" w:hAnsi="Aptos"/>
          <w:sz w:val="21"/>
          <w:szCs w:val="21"/>
        </w:rPr>
        <w:t xml:space="preserve">achieving </w:t>
      </w:r>
      <w:r w:rsidRPr="009555DC">
        <w:rPr>
          <w:rFonts w:ascii="Aptos" w:hAnsi="Aptos"/>
          <w:sz w:val="21"/>
          <w:szCs w:val="21"/>
        </w:rPr>
        <w:t xml:space="preserve">cost and operational efficiencies available through ASCs. </w:t>
      </w:r>
    </w:p>
    <w:p w14:paraId="72080E22" w14:textId="41EA8E5C" w:rsidR="00CF38AC" w:rsidRDefault="00CF38AC" w:rsidP="00CF38AC">
      <w:pPr>
        <w:spacing w:after="120"/>
        <w:jc w:val="both"/>
        <w:rPr>
          <w:rFonts w:ascii="Aptos" w:hAnsi="Aptos"/>
          <w:sz w:val="21"/>
          <w:szCs w:val="21"/>
        </w:rPr>
      </w:pPr>
      <w:r w:rsidRPr="009555DC">
        <w:rPr>
          <w:rFonts w:ascii="Aptos" w:hAnsi="Aptos"/>
          <w:sz w:val="21"/>
          <w:szCs w:val="21"/>
        </w:rPr>
        <w:t xml:space="preserve">By expanding access to ASC endoscopy services, the Proposed Project will </w:t>
      </w:r>
      <w:r w:rsidR="00AB6CC9">
        <w:rPr>
          <w:rFonts w:ascii="Aptos" w:hAnsi="Aptos"/>
          <w:sz w:val="21"/>
          <w:szCs w:val="21"/>
        </w:rPr>
        <w:t xml:space="preserve">facilitate </w:t>
      </w:r>
      <w:r w:rsidRPr="009555DC">
        <w:rPr>
          <w:rFonts w:ascii="Aptos" w:hAnsi="Aptos"/>
          <w:sz w:val="21"/>
          <w:szCs w:val="21"/>
        </w:rPr>
        <w:t>earlier detection of colorectal cancer, ultimately reducing TME. Timely detection is strongly correlated with improved patient outcomes.  Notably, the five-year survival rate exceeds 90% when colorectal cancer is diagnosed at a localized stage but drops below 20% for late-stage diagnoses.</w:t>
      </w:r>
      <w:r w:rsidRPr="009555DC">
        <w:rPr>
          <w:rStyle w:val="FootnoteReference"/>
          <w:rFonts w:ascii="Aptos" w:hAnsi="Aptos"/>
          <w:sz w:val="21"/>
          <w:szCs w:val="21"/>
        </w:rPr>
        <w:footnoteReference w:id="25"/>
      </w:r>
      <w:r w:rsidRPr="009555DC">
        <w:rPr>
          <w:rFonts w:ascii="Aptos" w:hAnsi="Aptos"/>
          <w:sz w:val="21"/>
          <w:szCs w:val="21"/>
        </w:rPr>
        <w:t xml:space="preserve"> Moreover, the stage at which colorectal cancer is detected also significantly influences treatment costs, averaging $36,000 for patients with stage 1 colorectal cancer and rising to $74,000 for patients with stage 4 within the first year post-diagnosis.</w:t>
      </w:r>
      <w:r w:rsidRPr="009555DC">
        <w:rPr>
          <w:rStyle w:val="FootnoteReference"/>
          <w:rFonts w:ascii="Aptos" w:hAnsi="Aptos"/>
          <w:sz w:val="21"/>
          <w:szCs w:val="21"/>
        </w:rPr>
        <w:footnoteReference w:id="26"/>
      </w:r>
      <w:r w:rsidRPr="009555DC">
        <w:rPr>
          <w:rFonts w:ascii="Aptos" w:hAnsi="Aptos"/>
          <w:sz w:val="21"/>
          <w:szCs w:val="21"/>
        </w:rPr>
        <w:t xml:space="preserve"> </w:t>
      </w:r>
      <w:r w:rsidR="00E44B3A" w:rsidRPr="009555DC">
        <w:rPr>
          <w:rFonts w:ascii="Aptos" w:hAnsi="Aptos"/>
          <w:sz w:val="21"/>
          <w:szCs w:val="21"/>
        </w:rPr>
        <w:t>This means</w:t>
      </w:r>
      <w:r w:rsidRPr="009555DC">
        <w:rPr>
          <w:rFonts w:ascii="Aptos" w:hAnsi="Aptos"/>
          <w:sz w:val="21"/>
          <w:szCs w:val="21"/>
        </w:rPr>
        <w:t xml:space="preserve"> earlier detection of colorectal cancer through adherence to screening guidelines can result in thousands of dollars of treatment cost savings within the first year after a patient’s diagnosis.  However, many Americans have not satisfied the colonoscopy screening by the time they are Medicare-eligible at age 65.</w:t>
      </w:r>
      <w:bookmarkStart w:id="10" w:name="_Ref207179433"/>
      <w:r w:rsidRPr="009555DC">
        <w:rPr>
          <w:rStyle w:val="FootnoteReference"/>
          <w:rFonts w:ascii="Aptos" w:hAnsi="Aptos"/>
          <w:sz w:val="21"/>
          <w:szCs w:val="21"/>
        </w:rPr>
        <w:footnoteReference w:id="27"/>
      </w:r>
      <w:bookmarkEnd w:id="10"/>
      <w:r w:rsidRPr="009555DC">
        <w:rPr>
          <w:rFonts w:ascii="Aptos" w:hAnsi="Aptos"/>
          <w:sz w:val="21"/>
          <w:szCs w:val="21"/>
        </w:rPr>
        <w:t xml:space="preserve"> One study projected that if 60–70% of Americans were up to date with colorectal cancer screenings, Medicare could save between $2.7 billion and $4 billion in treatment costs by 2060.</w:t>
      </w:r>
      <w:r w:rsidRPr="009555DC">
        <w:rPr>
          <w:rStyle w:val="FootnoteReference"/>
          <w:rFonts w:ascii="Aptos" w:hAnsi="Aptos"/>
          <w:sz w:val="21"/>
          <w:szCs w:val="21"/>
        </w:rPr>
        <w:footnoteReference w:id="28"/>
      </w:r>
      <w:r w:rsidRPr="009555DC">
        <w:rPr>
          <w:rFonts w:ascii="Aptos" w:hAnsi="Aptos"/>
          <w:sz w:val="21"/>
          <w:szCs w:val="21"/>
        </w:rPr>
        <w:t xml:space="preserve"> Moreover, while increased screening participation may lead to short-term cost increases, long-term savings are substantial, ranging from 60% to 89% in Medicare treatment costs over a 50-year period.</w:t>
      </w:r>
      <w:r w:rsidRPr="009555DC">
        <w:rPr>
          <w:rStyle w:val="FootnoteReference"/>
          <w:rFonts w:ascii="Aptos" w:hAnsi="Aptos"/>
          <w:sz w:val="21"/>
          <w:szCs w:val="21"/>
        </w:rPr>
        <w:footnoteReference w:id="29"/>
      </w:r>
      <w:r w:rsidRPr="009555DC">
        <w:rPr>
          <w:rFonts w:ascii="Aptos" w:hAnsi="Aptos"/>
          <w:sz w:val="21"/>
          <w:szCs w:val="21"/>
        </w:rPr>
        <w:t xml:space="preserve"> </w:t>
      </w:r>
    </w:p>
    <w:p w14:paraId="0C2BCF27" w14:textId="068B48CB" w:rsidR="009555DC" w:rsidRPr="009555DC" w:rsidRDefault="009555DC" w:rsidP="00CF38AC">
      <w:pPr>
        <w:spacing w:after="120"/>
        <w:jc w:val="both"/>
        <w:rPr>
          <w:rFonts w:ascii="Aptos" w:hAnsi="Aptos"/>
          <w:sz w:val="21"/>
          <w:szCs w:val="21"/>
        </w:rPr>
      </w:pPr>
      <w:r w:rsidRPr="009555DC">
        <w:rPr>
          <w:rFonts w:ascii="Aptos" w:hAnsi="Aptos"/>
          <w:sz w:val="21"/>
          <w:szCs w:val="21"/>
        </w:rPr>
        <w:t>Furthermore, the Proposed Project will improve patient throughput and reduce the average length of sta</w:t>
      </w:r>
      <w:r>
        <w:rPr>
          <w:rFonts w:ascii="Aptos" w:hAnsi="Aptos"/>
          <w:sz w:val="21"/>
          <w:szCs w:val="21"/>
        </w:rPr>
        <w:t>y</w:t>
      </w:r>
      <w:r w:rsidRPr="009555DC">
        <w:rPr>
          <w:rFonts w:ascii="Aptos" w:hAnsi="Aptos"/>
          <w:sz w:val="21"/>
          <w:szCs w:val="21"/>
        </w:rPr>
        <w:t xml:space="preserve"> at the MGB AMCs, ultimately lowering healthcare costs for inpatients. Between 2022 and 2024, inpatient endoscopy procedures at the AMCs </w:t>
      </w:r>
      <w:proofErr w:type="gramStart"/>
      <w:r w:rsidRPr="009555DC">
        <w:rPr>
          <w:rFonts w:ascii="Aptos" w:hAnsi="Aptos"/>
          <w:sz w:val="21"/>
          <w:szCs w:val="21"/>
        </w:rPr>
        <w:t>increased  27</w:t>
      </w:r>
      <w:proofErr w:type="gramEnd"/>
      <w:r w:rsidRPr="009555DC">
        <w:rPr>
          <w:rFonts w:ascii="Aptos" w:hAnsi="Aptos"/>
          <w:sz w:val="21"/>
          <w:szCs w:val="21"/>
        </w:rPr>
        <w:t>%, resulting in higher-than-expected utilization. This translat</w:t>
      </w:r>
      <w:r>
        <w:rPr>
          <w:rFonts w:ascii="Aptos" w:hAnsi="Aptos"/>
          <w:sz w:val="21"/>
          <w:szCs w:val="21"/>
        </w:rPr>
        <w:t>es</w:t>
      </w:r>
      <w:r w:rsidRPr="009555DC">
        <w:rPr>
          <w:rFonts w:ascii="Aptos" w:hAnsi="Aptos"/>
          <w:sz w:val="21"/>
          <w:szCs w:val="21"/>
        </w:rPr>
        <w:t xml:space="preserve"> into </w:t>
      </w:r>
      <w:r>
        <w:rPr>
          <w:rFonts w:ascii="Aptos" w:hAnsi="Aptos"/>
          <w:sz w:val="21"/>
          <w:szCs w:val="21"/>
        </w:rPr>
        <w:t xml:space="preserve">current </w:t>
      </w:r>
      <w:r w:rsidRPr="009555DC">
        <w:rPr>
          <w:rFonts w:ascii="Aptos" w:hAnsi="Aptos"/>
          <w:sz w:val="21"/>
          <w:szCs w:val="21"/>
        </w:rPr>
        <w:t>inpatient wait times between 17 and 22 hours</w:t>
      </w:r>
      <w:r>
        <w:rPr>
          <w:rFonts w:ascii="Aptos" w:hAnsi="Aptos"/>
          <w:sz w:val="21"/>
          <w:szCs w:val="21"/>
        </w:rPr>
        <w:t xml:space="preserve"> at the MGB AMCS</w:t>
      </w:r>
      <w:r w:rsidRPr="009555DC">
        <w:rPr>
          <w:rFonts w:ascii="Aptos" w:hAnsi="Aptos"/>
          <w:sz w:val="21"/>
          <w:szCs w:val="21"/>
        </w:rPr>
        <w:t xml:space="preserve">, extending hospital stays by at least one day. Not only do discharge delays due to endoscopy procedures increase admission costs, but they prevent inpatient beds from </w:t>
      </w:r>
      <w:r w:rsidR="00F743E8">
        <w:rPr>
          <w:rFonts w:ascii="Aptos" w:hAnsi="Aptos"/>
          <w:sz w:val="21"/>
          <w:szCs w:val="21"/>
        </w:rPr>
        <w:t>becoming available to</w:t>
      </w:r>
      <w:r w:rsidRPr="009555DC">
        <w:rPr>
          <w:rFonts w:ascii="Aptos" w:hAnsi="Aptos"/>
          <w:sz w:val="21"/>
          <w:szCs w:val="21"/>
        </w:rPr>
        <w:t xml:space="preserve"> patients </w:t>
      </w:r>
      <w:r w:rsidR="00F743E8">
        <w:rPr>
          <w:rFonts w:ascii="Aptos" w:hAnsi="Aptos"/>
          <w:sz w:val="21"/>
          <w:szCs w:val="21"/>
        </w:rPr>
        <w:t xml:space="preserve">waiting </w:t>
      </w:r>
      <w:r w:rsidRPr="009555DC">
        <w:rPr>
          <w:rFonts w:ascii="Aptos" w:hAnsi="Aptos"/>
          <w:sz w:val="21"/>
          <w:szCs w:val="21"/>
        </w:rPr>
        <w:t>in the ED</w:t>
      </w:r>
      <w:r w:rsidR="00F743E8">
        <w:rPr>
          <w:rFonts w:ascii="Aptos" w:hAnsi="Aptos"/>
          <w:sz w:val="21"/>
          <w:szCs w:val="21"/>
        </w:rPr>
        <w:t xml:space="preserve"> or in community hospitals who require tertiary and quaternary care only available at an AMC</w:t>
      </w:r>
      <w:r w:rsidRPr="009555DC">
        <w:rPr>
          <w:rFonts w:ascii="Aptos" w:hAnsi="Aptos"/>
          <w:sz w:val="21"/>
          <w:szCs w:val="21"/>
        </w:rPr>
        <w:t>. To that end</w:t>
      </w:r>
      <w:r w:rsidR="00A22244">
        <w:rPr>
          <w:rFonts w:ascii="Aptos" w:hAnsi="Aptos"/>
          <w:sz w:val="21"/>
          <w:szCs w:val="21"/>
        </w:rPr>
        <w:t>,</w:t>
      </w:r>
      <w:r w:rsidRPr="009555DC">
        <w:rPr>
          <w:rFonts w:ascii="Aptos" w:hAnsi="Aptos"/>
          <w:sz w:val="21"/>
          <w:szCs w:val="21"/>
        </w:rPr>
        <w:t xml:space="preserve"> the Proposed Project will improve inpatient throughput and reduce medical costs by reducing endoscopy </w:t>
      </w:r>
      <w:proofErr w:type="gramStart"/>
      <w:r w:rsidRPr="009555DC">
        <w:rPr>
          <w:rFonts w:ascii="Aptos" w:hAnsi="Aptos"/>
          <w:sz w:val="21"/>
          <w:szCs w:val="21"/>
        </w:rPr>
        <w:t>utilization at</w:t>
      </w:r>
      <w:proofErr w:type="gramEnd"/>
      <w:r w:rsidRPr="009555DC">
        <w:rPr>
          <w:rFonts w:ascii="Aptos" w:hAnsi="Aptos"/>
          <w:sz w:val="21"/>
          <w:szCs w:val="21"/>
        </w:rPr>
        <w:t xml:space="preserve"> and reliance on the AMCs.</w:t>
      </w:r>
    </w:p>
    <w:p w14:paraId="0B360333" w14:textId="76F7FEEC" w:rsidR="00CF38AC" w:rsidRPr="009555DC" w:rsidRDefault="00CD2BB2" w:rsidP="00CF38AC">
      <w:pPr>
        <w:spacing w:after="120"/>
        <w:jc w:val="both"/>
        <w:rPr>
          <w:rFonts w:ascii="Aptos" w:hAnsi="Aptos"/>
          <w:bCs/>
          <w:sz w:val="21"/>
          <w:szCs w:val="21"/>
        </w:rPr>
      </w:pPr>
      <w:r w:rsidRPr="009555DC">
        <w:rPr>
          <w:rFonts w:ascii="Aptos" w:hAnsi="Aptos"/>
          <w:bCs/>
          <w:sz w:val="21"/>
          <w:szCs w:val="21"/>
        </w:rPr>
        <w:t>Next</w:t>
      </w:r>
      <w:r w:rsidR="00CF38AC" w:rsidRPr="009555DC">
        <w:rPr>
          <w:rFonts w:ascii="Aptos" w:hAnsi="Aptos"/>
          <w:bCs/>
          <w:sz w:val="21"/>
          <w:szCs w:val="21"/>
        </w:rPr>
        <w:t>, ASCs present a compelling cost-saving opportunity for payers through lower overall prices and TME. On average, Medicare reimburses ASCs at just 58% of the rates paid to HOPDs for the same procedures.</w:t>
      </w:r>
      <w:r w:rsidR="00CF38AC" w:rsidRPr="009555DC">
        <w:rPr>
          <w:rStyle w:val="FootnoteReference"/>
          <w:rFonts w:ascii="Aptos" w:hAnsi="Aptos"/>
          <w:bCs/>
          <w:sz w:val="21"/>
          <w:szCs w:val="21"/>
        </w:rPr>
        <w:footnoteReference w:id="30"/>
      </w:r>
      <w:r w:rsidR="00CF38AC" w:rsidRPr="009555DC">
        <w:rPr>
          <w:rFonts w:ascii="Aptos" w:hAnsi="Aptos"/>
          <w:bCs/>
          <w:sz w:val="21"/>
          <w:szCs w:val="21"/>
        </w:rPr>
        <w:t xml:space="preserve"> This pricing differential results in more than $4.2 billion in annual Medicare savings when low-acuity procedures are performed in ASCs rather than HOPDs.</w:t>
      </w:r>
      <w:r w:rsidR="00CF38AC" w:rsidRPr="009555DC">
        <w:rPr>
          <w:rStyle w:val="FootnoteReference"/>
          <w:rFonts w:ascii="Aptos" w:hAnsi="Aptos"/>
          <w:bCs/>
          <w:sz w:val="21"/>
          <w:szCs w:val="21"/>
        </w:rPr>
        <w:footnoteReference w:id="31"/>
      </w:r>
      <w:r w:rsidR="00CF38AC" w:rsidRPr="009555DC">
        <w:rPr>
          <w:rFonts w:ascii="Aptos" w:hAnsi="Aptos"/>
          <w:bCs/>
          <w:sz w:val="21"/>
          <w:szCs w:val="21"/>
        </w:rPr>
        <w:t xml:space="preserve"> ASCs are projected to generate approximately </w:t>
      </w:r>
      <w:r w:rsidR="00CF38AC" w:rsidRPr="009555DC">
        <w:rPr>
          <w:rFonts w:ascii="Aptos" w:hAnsi="Aptos"/>
          <w:bCs/>
          <w:sz w:val="21"/>
          <w:szCs w:val="21"/>
        </w:rPr>
        <w:lastRenderedPageBreak/>
        <w:t>$73.4 billion in Medicare savings between 2019 and 2028.</w:t>
      </w:r>
      <w:r w:rsidR="00CF38AC" w:rsidRPr="009555DC">
        <w:rPr>
          <w:rStyle w:val="FootnoteReference"/>
          <w:rFonts w:ascii="Aptos" w:hAnsi="Aptos"/>
          <w:bCs/>
          <w:sz w:val="21"/>
          <w:szCs w:val="21"/>
        </w:rPr>
        <w:footnoteReference w:id="32"/>
      </w:r>
      <w:r w:rsidR="00CF38AC" w:rsidRPr="009555DC">
        <w:rPr>
          <w:rFonts w:ascii="Aptos" w:hAnsi="Aptos"/>
          <w:bCs/>
          <w:sz w:val="21"/>
          <w:szCs w:val="21"/>
        </w:rPr>
        <w:t xml:space="preserve"> The potential for a high rate of savings extends beyond Medicare, and can benefit Medicaid and commercial payers as well. </w:t>
      </w:r>
    </w:p>
    <w:p w14:paraId="322566D6" w14:textId="7DF5F4C5" w:rsidR="00CF38AC" w:rsidRPr="009555DC" w:rsidRDefault="00CF38AC" w:rsidP="00CF38AC">
      <w:pPr>
        <w:jc w:val="both"/>
        <w:rPr>
          <w:rFonts w:ascii="Aptos" w:eastAsia="Arial" w:hAnsi="Aptos"/>
          <w:sz w:val="21"/>
          <w:szCs w:val="21"/>
        </w:rPr>
      </w:pPr>
      <w:r w:rsidRPr="009555DC">
        <w:rPr>
          <w:rFonts w:ascii="Aptos" w:eastAsia="Arial" w:hAnsi="Aptos"/>
          <w:sz w:val="21"/>
          <w:szCs w:val="21"/>
        </w:rPr>
        <w:t>Table 6 below presents 2025 Medicare cost comparisons for common endoscopy services performed in ASCs and HOPDs. The data highlights the substantial cost advantages associated with shifting eligible procedures to ASCs. The total procedure price for endoscopy services performed in ASCs ranges from $291 to $1,016, significantly lower than the $1,021 to $2,049 range in HOPDs. By increasing the proportion of low-acuity endoscopy services performed in ASCs, Medicare can achieve meaningful cost reductions without any effect on the quality of care. Accordingly, th</w:t>
      </w:r>
      <w:r w:rsidR="00CD2BB2" w:rsidRPr="009555DC">
        <w:rPr>
          <w:rFonts w:ascii="Aptos" w:eastAsia="Arial" w:hAnsi="Aptos"/>
          <w:sz w:val="21"/>
          <w:szCs w:val="21"/>
        </w:rPr>
        <w:t>e</w:t>
      </w:r>
      <w:r w:rsidRPr="009555DC">
        <w:rPr>
          <w:rFonts w:ascii="Aptos" w:eastAsia="Arial" w:hAnsi="Aptos"/>
          <w:sz w:val="21"/>
          <w:szCs w:val="21"/>
        </w:rPr>
        <w:t xml:space="preserve"> Proposed Project represents a strategic opportunity for Massachusetts to advance its cost containment goals while preserving access to high-quality, efficient services.</w:t>
      </w:r>
    </w:p>
    <w:p w14:paraId="7477B9F6" w14:textId="77777777" w:rsidR="008F12DA" w:rsidRPr="009555DC" w:rsidRDefault="008F12DA" w:rsidP="008F12DA">
      <w:pPr>
        <w:rPr>
          <w:rFonts w:ascii="Aptos" w:hAnsi="Aptos"/>
          <w:bCs/>
          <w:sz w:val="21"/>
          <w:szCs w:val="21"/>
        </w:rPr>
      </w:pPr>
    </w:p>
    <w:p w14:paraId="30261AD0" w14:textId="1DA05BAF" w:rsidR="008F12DA" w:rsidRPr="009555DC" w:rsidRDefault="008F12DA" w:rsidP="008F12DA">
      <w:pPr>
        <w:rPr>
          <w:rFonts w:ascii="Aptos" w:hAnsi="Aptos"/>
          <w:bCs/>
          <w:sz w:val="21"/>
          <w:szCs w:val="21"/>
        </w:rPr>
      </w:pPr>
      <w:bookmarkStart w:id="11" w:name="_Hlk203031196"/>
      <w:r w:rsidRPr="009555DC">
        <w:rPr>
          <w:rFonts w:ascii="Aptos" w:hAnsi="Aptos"/>
          <w:b/>
          <w:sz w:val="21"/>
          <w:szCs w:val="21"/>
        </w:rPr>
        <w:t>Table</w:t>
      </w:r>
      <w:r w:rsidR="003D749E" w:rsidRPr="009555DC">
        <w:rPr>
          <w:rFonts w:ascii="Aptos" w:hAnsi="Aptos"/>
          <w:b/>
          <w:sz w:val="21"/>
          <w:szCs w:val="21"/>
        </w:rPr>
        <w:t xml:space="preserve"> 6</w:t>
      </w:r>
      <w:r w:rsidRPr="009555DC">
        <w:rPr>
          <w:rFonts w:ascii="Aptos" w:hAnsi="Aptos"/>
          <w:b/>
          <w:sz w:val="21"/>
          <w:szCs w:val="21"/>
        </w:rPr>
        <w:t>: 2025 Medicare Endoscopy Services Cost by Setting</w:t>
      </w:r>
      <w:bookmarkEnd w:id="11"/>
      <w:r w:rsidRPr="009555DC">
        <w:rPr>
          <w:rStyle w:val="FootnoteReference"/>
          <w:rFonts w:ascii="Aptos" w:hAnsi="Aptos"/>
          <w:bCs/>
          <w:sz w:val="21"/>
          <w:szCs w:val="21"/>
        </w:rPr>
        <w:footnoteReference w:id="33"/>
      </w:r>
      <w:r w:rsidRPr="009555DC">
        <w:rPr>
          <w:rFonts w:ascii="Aptos" w:hAnsi="Aptos"/>
          <w:bCs/>
          <w:sz w:val="21"/>
          <w:szCs w:val="21"/>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1625"/>
        <w:gridCol w:w="1626"/>
        <w:gridCol w:w="1626"/>
        <w:gridCol w:w="1626"/>
      </w:tblGrid>
      <w:tr w:rsidR="00DE3B87" w:rsidRPr="009555DC" w14:paraId="3A0BF53F" w14:textId="7A56777D" w:rsidTr="008D55C6">
        <w:trPr>
          <w:cantSplit/>
          <w:trHeight w:val="570"/>
          <w:tblHeader/>
        </w:trPr>
        <w:tc>
          <w:tcPr>
            <w:tcW w:w="2847" w:type="dxa"/>
            <w:shd w:val="clear" w:color="auto" w:fill="0F4761" w:themeFill="accent1" w:themeFillShade="BF"/>
            <w:vAlign w:val="center"/>
            <w:hideMark/>
          </w:tcPr>
          <w:p w14:paraId="40DF6E8F" w14:textId="77777777" w:rsidR="00DE3B87" w:rsidRPr="00004DEA" w:rsidRDefault="00DE3B87" w:rsidP="00062791">
            <w:pPr>
              <w:suppressAutoHyphens w:val="0"/>
              <w:rPr>
                <w:rFonts w:ascii="Aptos" w:hAnsi="Aptos"/>
                <w:b/>
                <w:bCs/>
                <w:color w:val="FFFFFF" w:themeColor="background1"/>
                <w:sz w:val="20"/>
                <w:szCs w:val="20"/>
              </w:rPr>
            </w:pPr>
            <w:r w:rsidRPr="00004DEA">
              <w:rPr>
                <w:rFonts w:ascii="Aptos" w:hAnsi="Aptos"/>
                <w:b/>
                <w:bCs/>
                <w:color w:val="FFFFFF" w:themeColor="background1"/>
                <w:sz w:val="20"/>
                <w:szCs w:val="20"/>
              </w:rPr>
              <w:t>Procedure</w:t>
            </w:r>
          </w:p>
        </w:tc>
        <w:tc>
          <w:tcPr>
            <w:tcW w:w="1625" w:type="dxa"/>
            <w:shd w:val="clear" w:color="auto" w:fill="0F4761" w:themeFill="accent1" w:themeFillShade="BF"/>
            <w:vAlign w:val="center"/>
            <w:hideMark/>
          </w:tcPr>
          <w:p w14:paraId="56A14B59" w14:textId="77777777" w:rsidR="00DE3B87" w:rsidRPr="00004DEA" w:rsidRDefault="00DE3B87" w:rsidP="00062791">
            <w:pPr>
              <w:suppressAutoHyphens w:val="0"/>
              <w:jc w:val="center"/>
              <w:rPr>
                <w:rFonts w:ascii="Aptos" w:hAnsi="Aptos"/>
                <w:b/>
                <w:bCs/>
                <w:color w:val="FFFFFF" w:themeColor="background1"/>
                <w:sz w:val="20"/>
                <w:szCs w:val="20"/>
              </w:rPr>
            </w:pPr>
            <w:r w:rsidRPr="00004DEA">
              <w:rPr>
                <w:rFonts w:ascii="Aptos" w:hAnsi="Aptos"/>
                <w:b/>
                <w:bCs/>
                <w:color w:val="FFFFFF" w:themeColor="background1"/>
                <w:sz w:val="20"/>
                <w:szCs w:val="20"/>
              </w:rPr>
              <w:t>ASC Cost</w:t>
            </w:r>
          </w:p>
        </w:tc>
        <w:tc>
          <w:tcPr>
            <w:tcW w:w="1626" w:type="dxa"/>
            <w:shd w:val="clear" w:color="auto" w:fill="0F4761" w:themeFill="accent1" w:themeFillShade="BF"/>
            <w:vAlign w:val="center"/>
            <w:hideMark/>
          </w:tcPr>
          <w:p w14:paraId="04D488A7" w14:textId="77777777" w:rsidR="00DE3B87" w:rsidRPr="00004DEA" w:rsidRDefault="00DE3B87" w:rsidP="00062791">
            <w:pPr>
              <w:suppressAutoHyphens w:val="0"/>
              <w:jc w:val="center"/>
              <w:rPr>
                <w:rFonts w:ascii="Aptos" w:hAnsi="Aptos"/>
                <w:b/>
                <w:bCs/>
                <w:color w:val="FFFFFF" w:themeColor="background1"/>
                <w:sz w:val="20"/>
                <w:szCs w:val="20"/>
              </w:rPr>
            </w:pPr>
            <w:r w:rsidRPr="00004DEA">
              <w:rPr>
                <w:rFonts w:ascii="Aptos" w:hAnsi="Aptos"/>
                <w:b/>
                <w:bCs/>
                <w:color w:val="FFFFFF" w:themeColor="background1"/>
                <w:sz w:val="20"/>
                <w:szCs w:val="20"/>
              </w:rPr>
              <w:t>HOPD Cost</w:t>
            </w:r>
          </w:p>
        </w:tc>
        <w:tc>
          <w:tcPr>
            <w:tcW w:w="1626" w:type="dxa"/>
            <w:shd w:val="clear" w:color="auto" w:fill="0F4761" w:themeFill="accent1" w:themeFillShade="BF"/>
            <w:vAlign w:val="center"/>
            <w:hideMark/>
          </w:tcPr>
          <w:p w14:paraId="12F0097C" w14:textId="77777777" w:rsidR="00451FFC" w:rsidRPr="00004DEA" w:rsidRDefault="00DE3B87" w:rsidP="00062791">
            <w:pPr>
              <w:suppressAutoHyphens w:val="0"/>
              <w:jc w:val="center"/>
              <w:rPr>
                <w:rFonts w:ascii="Aptos" w:hAnsi="Aptos"/>
                <w:b/>
                <w:bCs/>
                <w:color w:val="FFFFFF" w:themeColor="background1"/>
                <w:sz w:val="20"/>
                <w:szCs w:val="20"/>
              </w:rPr>
            </w:pPr>
            <w:r w:rsidRPr="00004DEA">
              <w:rPr>
                <w:rFonts w:ascii="Aptos" w:hAnsi="Aptos"/>
                <w:b/>
                <w:bCs/>
                <w:color w:val="FFFFFF" w:themeColor="background1"/>
                <w:sz w:val="20"/>
                <w:szCs w:val="20"/>
              </w:rPr>
              <w:t xml:space="preserve">Cost Savings </w:t>
            </w:r>
          </w:p>
          <w:p w14:paraId="688B10AF" w14:textId="6BD985D4" w:rsidR="00DE3B87" w:rsidRPr="00004DEA" w:rsidRDefault="00DE3B87" w:rsidP="00062791">
            <w:pPr>
              <w:suppressAutoHyphens w:val="0"/>
              <w:jc w:val="center"/>
              <w:rPr>
                <w:rFonts w:ascii="Aptos" w:hAnsi="Aptos"/>
                <w:b/>
                <w:bCs/>
                <w:color w:val="FFFFFF" w:themeColor="background1"/>
                <w:sz w:val="20"/>
                <w:szCs w:val="20"/>
              </w:rPr>
            </w:pPr>
            <w:r w:rsidRPr="00004DEA">
              <w:rPr>
                <w:rFonts w:ascii="Aptos" w:hAnsi="Aptos"/>
                <w:b/>
                <w:bCs/>
                <w:color w:val="FFFFFF" w:themeColor="background1"/>
                <w:sz w:val="20"/>
                <w:szCs w:val="20"/>
              </w:rPr>
              <w:t>of ASC ($)</w:t>
            </w:r>
          </w:p>
        </w:tc>
        <w:tc>
          <w:tcPr>
            <w:tcW w:w="1626" w:type="dxa"/>
            <w:shd w:val="clear" w:color="auto" w:fill="0F4761" w:themeFill="accent1" w:themeFillShade="BF"/>
          </w:tcPr>
          <w:p w14:paraId="7ABA1045" w14:textId="77777777" w:rsidR="00451FFC" w:rsidRPr="00004DEA" w:rsidRDefault="00DE3B87" w:rsidP="00062791">
            <w:pPr>
              <w:suppressAutoHyphens w:val="0"/>
              <w:jc w:val="center"/>
              <w:rPr>
                <w:rFonts w:ascii="Aptos" w:hAnsi="Aptos"/>
                <w:b/>
                <w:bCs/>
                <w:color w:val="FFFFFF" w:themeColor="background1"/>
                <w:sz w:val="20"/>
                <w:szCs w:val="20"/>
              </w:rPr>
            </w:pPr>
            <w:r w:rsidRPr="00004DEA">
              <w:rPr>
                <w:rFonts w:ascii="Aptos" w:hAnsi="Aptos"/>
                <w:b/>
                <w:bCs/>
                <w:color w:val="FFFFFF" w:themeColor="background1"/>
                <w:sz w:val="20"/>
                <w:szCs w:val="20"/>
              </w:rPr>
              <w:t xml:space="preserve">Cost Savings </w:t>
            </w:r>
          </w:p>
          <w:p w14:paraId="6232E7ED" w14:textId="6EC445E3" w:rsidR="00DE3B87" w:rsidRPr="00004DEA" w:rsidRDefault="00DE3B87" w:rsidP="00062791">
            <w:pPr>
              <w:suppressAutoHyphens w:val="0"/>
              <w:jc w:val="center"/>
              <w:rPr>
                <w:rFonts w:ascii="Aptos" w:hAnsi="Aptos"/>
                <w:b/>
                <w:bCs/>
                <w:color w:val="FFFFFF" w:themeColor="background1"/>
                <w:sz w:val="20"/>
                <w:szCs w:val="20"/>
              </w:rPr>
            </w:pPr>
            <w:r w:rsidRPr="00004DEA">
              <w:rPr>
                <w:rFonts w:ascii="Aptos" w:hAnsi="Aptos"/>
                <w:b/>
                <w:bCs/>
                <w:color w:val="FFFFFF" w:themeColor="background1"/>
                <w:sz w:val="20"/>
                <w:szCs w:val="20"/>
              </w:rPr>
              <w:t>of ASC (%)</w:t>
            </w:r>
          </w:p>
        </w:tc>
      </w:tr>
      <w:tr w:rsidR="00DE3B87" w:rsidRPr="009555DC" w14:paraId="0EC6D3A3" w14:textId="55F85DC4" w:rsidTr="008D55C6">
        <w:trPr>
          <w:cantSplit/>
          <w:trHeight w:val="300"/>
        </w:trPr>
        <w:tc>
          <w:tcPr>
            <w:tcW w:w="2847" w:type="dxa"/>
            <w:vAlign w:val="center"/>
            <w:hideMark/>
          </w:tcPr>
          <w:p w14:paraId="77CC4C66" w14:textId="77777777" w:rsidR="00DE3B87" w:rsidRPr="00004DEA" w:rsidRDefault="00DE3B87" w:rsidP="002973CA">
            <w:pPr>
              <w:suppressAutoHyphens w:val="0"/>
              <w:spacing w:after="40"/>
              <w:rPr>
                <w:rFonts w:ascii="Calibri" w:hAnsi="Calibri" w:cs="Calibri"/>
                <w:b/>
                <w:bCs/>
                <w:color w:val="000000"/>
                <w:sz w:val="20"/>
                <w:szCs w:val="20"/>
              </w:rPr>
            </w:pPr>
            <w:bookmarkStart w:id="12" w:name="RANGE!A2"/>
            <w:bookmarkStart w:id="13" w:name="_Hlk202868477"/>
            <w:r w:rsidRPr="00004DEA">
              <w:rPr>
                <w:rFonts w:ascii="Calibri" w:hAnsi="Calibri" w:cs="Calibri"/>
                <w:b/>
                <w:bCs/>
                <w:color w:val="000000"/>
                <w:sz w:val="20"/>
                <w:szCs w:val="20"/>
              </w:rPr>
              <w:t>Enteroscopy - Diagnostic</w:t>
            </w:r>
            <w:bookmarkEnd w:id="12"/>
          </w:p>
        </w:tc>
        <w:tc>
          <w:tcPr>
            <w:tcW w:w="1625" w:type="dxa"/>
            <w:vAlign w:val="center"/>
            <w:hideMark/>
          </w:tcPr>
          <w:p w14:paraId="739BCF13"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$1,001 </w:t>
            </w:r>
          </w:p>
        </w:tc>
        <w:tc>
          <w:tcPr>
            <w:tcW w:w="1626" w:type="dxa"/>
            <w:vAlign w:val="center"/>
            <w:hideMark/>
          </w:tcPr>
          <w:p w14:paraId="3B640D01"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$2,033 </w:t>
            </w:r>
          </w:p>
        </w:tc>
        <w:tc>
          <w:tcPr>
            <w:tcW w:w="1626" w:type="dxa"/>
            <w:vAlign w:val="center"/>
          </w:tcPr>
          <w:p w14:paraId="0853B802" w14:textId="7FC7A3E1"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$1,032</w:t>
            </w:r>
          </w:p>
        </w:tc>
        <w:tc>
          <w:tcPr>
            <w:tcW w:w="1626" w:type="dxa"/>
            <w:vAlign w:val="center"/>
          </w:tcPr>
          <w:p w14:paraId="34320CE8" w14:textId="05FD4DD0"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51%</w:t>
            </w:r>
          </w:p>
        </w:tc>
      </w:tr>
      <w:tr w:rsidR="00DE3B87" w:rsidRPr="009555DC" w14:paraId="79325BD9" w14:textId="7F25FEEA" w:rsidTr="008D55C6">
        <w:trPr>
          <w:cantSplit/>
          <w:trHeight w:val="300"/>
        </w:trPr>
        <w:tc>
          <w:tcPr>
            <w:tcW w:w="2847" w:type="dxa"/>
            <w:vAlign w:val="center"/>
            <w:hideMark/>
          </w:tcPr>
          <w:p w14:paraId="7CB1BC73" w14:textId="77777777" w:rsidR="00DE3B87" w:rsidRPr="00004DEA" w:rsidRDefault="00DE3B87" w:rsidP="002973CA">
            <w:pPr>
              <w:suppressAutoHyphens w:val="0"/>
              <w:spacing w:after="40"/>
              <w:rPr>
                <w:rFonts w:ascii="Calibri" w:hAnsi="Calibri" w:cs="Calibri"/>
                <w:b/>
                <w:bCs/>
                <w:color w:val="000000"/>
                <w:sz w:val="20"/>
                <w:szCs w:val="20"/>
              </w:rPr>
            </w:pPr>
            <w:r w:rsidRPr="00004DEA">
              <w:rPr>
                <w:rFonts w:ascii="Calibri" w:hAnsi="Calibri" w:cs="Calibri"/>
                <w:b/>
                <w:bCs/>
                <w:color w:val="000000"/>
                <w:sz w:val="20"/>
                <w:szCs w:val="20"/>
              </w:rPr>
              <w:t>Enteroscopy - Procedural</w:t>
            </w:r>
          </w:p>
        </w:tc>
        <w:tc>
          <w:tcPr>
            <w:tcW w:w="1625" w:type="dxa"/>
            <w:vAlign w:val="center"/>
            <w:hideMark/>
          </w:tcPr>
          <w:p w14:paraId="4997765F"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$1,016 </w:t>
            </w:r>
          </w:p>
        </w:tc>
        <w:tc>
          <w:tcPr>
            <w:tcW w:w="1626" w:type="dxa"/>
            <w:vAlign w:val="center"/>
            <w:hideMark/>
          </w:tcPr>
          <w:p w14:paraId="52A4F83F"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$2,048 </w:t>
            </w:r>
          </w:p>
        </w:tc>
        <w:tc>
          <w:tcPr>
            <w:tcW w:w="1626" w:type="dxa"/>
            <w:vAlign w:val="center"/>
          </w:tcPr>
          <w:p w14:paraId="1DD46BA5" w14:textId="28E6F03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$1,032</w:t>
            </w:r>
          </w:p>
        </w:tc>
        <w:tc>
          <w:tcPr>
            <w:tcW w:w="1626" w:type="dxa"/>
            <w:vAlign w:val="center"/>
          </w:tcPr>
          <w:p w14:paraId="6FB140A7" w14:textId="619ED916"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50%</w:t>
            </w:r>
          </w:p>
        </w:tc>
      </w:tr>
      <w:tr w:rsidR="00DE3B87" w:rsidRPr="009555DC" w14:paraId="5F14DE88" w14:textId="7E0A4B5D" w:rsidTr="008D55C6">
        <w:trPr>
          <w:cantSplit/>
          <w:trHeight w:val="300"/>
        </w:trPr>
        <w:tc>
          <w:tcPr>
            <w:tcW w:w="2847" w:type="dxa"/>
            <w:vAlign w:val="center"/>
            <w:hideMark/>
          </w:tcPr>
          <w:p w14:paraId="1BFA9BE8" w14:textId="77777777" w:rsidR="00DE3B87" w:rsidRPr="00004DEA" w:rsidRDefault="00DE3B87" w:rsidP="002973CA">
            <w:pPr>
              <w:suppressAutoHyphens w:val="0"/>
              <w:spacing w:after="40"/>
              <w:rPr>
                <w:rFonts w:ascii="Calibri" w:hAnsi="Calibri" w:cs="Calibri"/>
                <w:b/>
                <w:bCs/>
                <w:color w:val="000000"/>
                <w:sz w:val="20"/>
                <w:szCs w:val="20"/>
              </w:rPr>
            </w:pPr>
            <w:r w:rsidRPr="00004DEA">
              <w:rPr>
                <w:rFonts w:ascii="Calibri" w:hAnsi="Calibri" w:cs="Calibri"/>
                <w:b/>
                <w:bCs/>
                <w:color w:val="000000"/>
                <w:sz w:val="20"/>
                <w:szCs w:val="20"/>
              </w:rPr>
              <w:t>Esophagoscopy - Procedural</w:t>
            </w:r>
          </w:p>
        </w:tc>
        <w:tc>
          <w:tcPr>
            <w:tcW w:w="1625" w:type="dxa"/>
            <w:vAlign w:val="center"/>
            <w:hideMark/>
          </w:tcPr>
          <w:p w14:paraId="783BC15C"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$962 </w:t>
            </w:r>
          </w:p>
        </w:tc>
        <w:tc>
          <w:tcPr>
            <w:tcW w:w="1626" w:type="dxa"/>
            <w:vAlign w:val="center"/>
            <w:hideMark/>
          </w:tcPr>
          <w:p w14:paraId="2775DB76"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$1,994 </w:t>
            </w:r>
          </w:p>
        </w:tc>
        <w:tc>
          <w:tcPr>
            <w:tcW w:w="1626" w:type="dxa"/>
            <w:vAlign w:val="center"/>
          </w:tcPr>
          <w:p w14:paraId="6F710D37" w14:textId="3E9A4306"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$1,032</w:t>
            </w:r>
          </w:p>
        </w:tc>
        <w:tc>
          <w:tcPr>
            <w:tcW w:w="1626" w:type="dxa"/>
            <w:vAlign w:val="center"/>
          </w:tcPr>
          <w:p w14:paraId="6BFA22FF" w14:textId="25FB077F"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52%</w:t>
            </w:r>
          </w:p>
        </w:tc>
      </w:tr>
      <w:tr w:rsidR="00DE3B87" w:rsidRPr="009555DC" w14:paraId="3C130209" w14:textId="761D8659" w:rsidTr="008D55C6">
        <w:trPr>
          <w:cantSplit/>
          <w:trHeight w:val="300"/>
        </w:trPr>
        <w:tc>
          <w:tcPr>
            <w:tcW w:w="2847" w:type="dxa"/>
            <w:vAlign w:val="center"/>
            <w:hideMark/>
          </w:tcPr>
          <w:p w14:paraId="3EA9E272" w14:textId="77777777" w:rsidR="00DE3B87" w:rsidRPr="00004DEA" w:rsidRDefault="00DE3B87" w:rsidP="002973CA">
            <w:pPr>
              <w:suppressAutoHyphens w:val="0"/>
              <w:spacing w:after="40"/>
              <w:rPr>
                <w:rFonts w:ascii="Calibri" w:hAnsi="Calibri" w:cs="Calibri"/>
                <w:b/>
                <w:bCs/>
                <w:color w:val="000000"/>
                <w:sz w:val="20"/>
                <w:szCs w:val="20"/>
              </w:rPr>
            </w:pPr>
            <w:r w:rsidRPr="00004DEA">
              <w:rPr>
                <w:rFonts w:ascii="Calibri" w:hAnsi="Calibri" w:cs="Calibri"/>
                <w:b/>
                <w:bCs/>
                <w:color w:val="000000"/>
                <w:sz w:val="20"/>
                <w:szCs w:val="20"/>
              </w:rPr>
              <w:t>Anoscopy - Procedural</w:t>
            </w:r>
          </w:p>
        </w:tc>
        <w:tc>
          <w:tcPr>
            <w:tcW w:w="1625" w:type="dxa"/>
            <w:vAlign w:val="center"/>
            <w:hideMark/>
          </w:tcPr>
          <w:p w14:paraId="1660FD7E"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$291 </w:t>
            </w:r>
          </w:p>
        </w:tc>
        <w:tc>
          <w:tcPr>
            <w:tcW w:w="1626" w:type="dxa"/>
            <w:vAlign w:val="center"/>
            <w:hideMark/>
          </w:tcPr>
          <w:p w14:paraId="21E98897"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$1,252 </w:t>
            </w:r>
          </w:p>
        </w:tc>
        <w:tc>
          <w:tcPr>
            <w:tcW w:w="1626" w:type="dxa"/>
            <w:vAlign w:val="center"/>
          </w:tcPr>
          <w:p w14:paraId="1729DD14" w14:textId="4E4EA5B9"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$961</w:t>
            </w:r>
          </w:p>
        </w:tc>
        <w:tc>
          <w:tcPr>
            <w:tcW w:w="1626" w:type="dxa"/>
            <w:vAlign w:val="center"/>
          </w:tcPr>
          <w:p w14:paraId="65B7EBF5" w14:textId="2A5B5932"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77%</w:t>
            </w:r>
          </w:p>
        </w:tc>
      </w:tr>
      <w:tr w:rsidR="00DE3B87" w:rsidRPr="009555DC" w14:paraId="0680800C" w14:textId="5BE3F7EF" w:rsidTr="008D55C6">
        <w:trPr>
          <w:cantSplit/>
          <w:trHeight w:val="300"/>
        </w:trPr>
        <w:tc>
          <w:tcPr>
            <w:tcW w:w="2847" w:type="dxa"/>
            <w:vAlign w:val="center"/>
            <w:hideMark/>
          </w:tcPr>
          <w:p w14:paraId="4041EED5" w14:textId="77777777" w:rsidR="00DE3B87" w:rsidRPr="00004DEA" w:rsidRDefault="00DE3B87" w:rsidP="002973CA">
            <w:pPr>
              <w:suppressAutoHyphens w:val="0"/>
              <w:spacing w:after="40"/>
              <w:rPr>
                <w:rFonts w:ascii="Calibri" w:hAnsi="Calibri" w:cs="Calibri"/>
                <w:b/>
                <w:bCs/>
                <w:color w:val="000000"/>
                <w:sz w:val="20"/>
                <w:szCs w:val="20"/>
              </w:rPr>
            </w:pPr>
            <w:r w:rsidRPr="00004DEA">
              <w:rPr>
                <w:rFonts w:ascii="Calibri" w:hAnsi="Calibri" w:cs="Calibri"/>
                <w:b/>
                <w:bCs/>
                <w:color w:val="000000"/>
                <w:sz w:val="20"/>
                <w:szCs w:val="20"/>
              </w:rPr>
              <w:t>Colonoscopy - Procedural</w:t>
            </w:r>
          </w:p>
        </w:tc>
        <w:tc>
          <w:tcPr>
            <w:tcW w:w="1625" w:type="dxa"/>
            <w:vAlign w:val="center"/>
            <w:hideMark/>
          </w:tcPr>
          <w:p w14:paraId="3C7439DF"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$824 </w:t>
            </w:r>
          </w:p>
        </w:tc>
        <w:tc>
          <w:tcPr>
            <w:tcW w:w="1626" w:type="dxa"/>
            <w:vAlign w:val="center"/>
            <w:hideMark/>
          </w:tcPr>
          <w:p w14:paraId="51DCE758"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$1,371 </w:t>
            </w:r>
          </w:p>
        </w:tc>
        <w:tc>
          <w:tcPr>
            <w:tcW w:w="1626" w:type="dxa"/>
            <w:vAlign w:val="center"/>
          </w:tcPr>
          <w:p w14:paraId="22A3F1D0" w14:textId="3A389788"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$547</w:t>
            </w:r>
          </w:p>
        </w:tc>
        <w:tc>
          <w:tcPr>
            <w:tcW w:w="1626" w:type="dxa"/>
            <w:vAlign w:val="center"/>
          </w:tcPr>
          <w:p w14:paraId="53AB752C" w14:textId="0D79A6A3"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40%</w:t>
            </w:r>
          </w:p>
        </w:tc>
      </w:tr>
      <w:tr w:rsidR="00DE3B87" w:rsidRPr="009555DC" w14:paraId="2D0B1A49" w14:textId="73BB01A8" w:rsidTr="008D55C6">
        <w:trPr>
          <w:cantSplit/>
          <w:trHeight w:val="300"/>
        </w:trPr>
        <w:tc>
          <w:tcPr>
            <w:tcW w:w="2847" w:type="dxa"/>
            <w:vAlign w:val="center"/>
            <w:hideMark/>
          </w:tcPr>
          <w:p w14:paraId="0ABD0AC7" w14:textId="77777777" w:rsidR="00DE3B87" w:rsidRPr="00004DEA" w:rsidRDefault="00DE3B87" w:rsidP="002973CA">
            <w:pPr>
              <w:suppressAutoHyphens w:val="0"/>
              <w:spacing w:after="40"/>
              <w:rPr>
                <w:rFonts w:ascii="Calibri" w:hAnsi="Calibri" w:cs="Calibri"/>
                <w:b/>
                <w:bCs/>
                <w:color w:val="000000"/>
                <w:sz w:val="20"/>
                <w:szCs w:val="20"/>
              </w:rPr>
            </w:pPr>
            <w:r w:rsidRPr="00004DEA">
              <w:rPr>
                <w:rFonts w:ascii="Calibri" w:hAnsi="Calibri" w:cs="Calibri"/>
                <w:b/>
                <w:bCs/>
                <w:color w:val="000000"/>
                <w:sz w:val="20"/>
                <w:szCs w:val="20"/>
              </w:rPr>
              <w:t>EGD - Diagnostic</w:t>
            </w:r>
          </w:p>
        </w:tc>
        <w:tc>
          <w:tcPr>
            <w:tcW w:w="1625" w:type="dxa"/>
            <w:vAlign w:val="center"/>
            <w:hideMark/>
          </w:tcPr>
          <w:p w14:paraId="11533389"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$621 </w:t>
            </w:r>
          </w:p>
        </w:tc>
        <w:tc>
          <w:tcPr>
            <w:tcW w:w="1626" w:type="dxa"/>
            <w:vAlign w:val="center"/>
            <w:hideMark/>
          </w:tcPr>
          <w:p w14:paraId="3FECCDEF"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$1,055 </w:t>
            </w:r>
          </w:p>
        </w:tc>
        <w:tc>
          <w:tcPr>
            <w:tcW w:w="1626" w:type="dxa"/>
            <w:vAlign w:val="center"/>
          </w:tcPr>
          <w:p w14:paraId="7AA52861" w14:textId="281A0769"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 xml:space="preserve">$434 </w:t>
            </w:r>
          </w:p>
        </w:tc>
        <w:tc>
          <w:tcPr>
            <w:tcW w:w="1626" w:type="dxa"/>
            <w:vAlign w:val="center"/>
          </w:tcPr>
          <w:p w14:paraId="683B80B7" w14:textId="0EFA7C08"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41%</w:t>
            </w:r>
          </w:p>
        </w:tc>
      </w:tr>
      <w:tr w:rsidR="00DE3B87" w:rsidRPr="009555DC" w14:paraId="22FEA4E5" w14:textId="4DC5E1E5" w:rsidTr="008D55C6">
        <w:trPr>
          <w:cantSplit/>
          <w:trHeight w:val="300"/>
        </w:trPr>
        <w:tc>
          <w:tcPr>
            <w:tcW w:w="2847" w:type="dxa"/>
            <w:vAlign w:val="center"/>
            <w:hideMark/>
          </w:tcPr>
          <w:p w14:paraId="1DFC1E8A" w14:textId="77777777" w:rsidR="00DE3B87" w:rsidRPr="00004DEA" w:rsidRDefault="00DE3B87" w:rsidP="002973CA">
            <w:pPr>
              <w:suppressAutoHyphens w:val="0"/>
              <w:spacing w:after="40"/>
              <w:rPr>
                <w:rFonts w:ascii="Calibri" w:hAnsi="Calibri" w:cs="Calibri"/>
                <w:b/>
                <w:bCs/>
                <w:color w:val="000000"/>
                <w:sz w:val="20"/>
                <w:szCs w:val="20"/>
              </w:rPr>
            </w:pPr>
            <w:r w:rsidRPr="00004DEA">
              <w:rPr>
                <w:rFonts w:ascii="Calibri" w:hAnsi="Calibri" w:cs="Calibri"/>
                <w:b/>
                <w:bCs/>
                <w:color w:val="000000"/>
                <w:sz w:val="20"/>
                <w:szCs w:val="20"/>
              </w:rPr>
              <w:t>EGD - Procedural</w:t>
            </w:r>
          </w:p>
        </w:tc>
        <w:tc>
          <w:tcPr>
            <w:tcW w:w="1625" w:type="dxa"/>
            <w:vAlign w:val="center"/>
            <w:hideMark/>
          </w:tcPr>
          <w:p w14:paraId="6C2C5A90"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$635 </w:t>
            </w:r>
          </w:p>
        </w:tc>
        <w:tc>
          <w:tcPr>
            <w:tcW w:w="1626" w:type="dxa"/>
            <w:vAlign w:val="center"/>
            <w:hideMark/>
          </w:tcPr>
          <w:p w14:paraId="7C9B3C9F"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$1,069 </w:t>
            </w:r>
          </w:p>
        </w:tc>
        <w:tc>
          <w:tcPr>
            <w:tcW w:w="1626" w:type="dxa"/>
            <w:vAlign w:val="center"/>
          </w:tcPr>
          <w:p w14:paraId="6A7198C5" w14:textId="1E47A0FD"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$434</w:t>
            </w:r>
          </w:p>
        </w:tc>
        <w:tc>
          <w:tcPr>
            <w:tcW w:w="1626" w:type="dxa"/>
            <w:vAlign w:val="center"/>
          </w:tcPr>
          <w:p w14:paraId="3B77D9DF" w14:textId="3A74F6F4"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41%</w:t>
            </w:r>
          </w:p>
        </w:tc>
      </w:tr>
      <w:tr w:rsidR="00DE3B87" w:rsidRPr="009555DC" w14:paraId="72D58B71" w14:textId="7FEE0504" w:rsidTr="008D55C6">
        <w:trPr>
          <w:cantSplit/>
          <w:trHeight w:val="300"/>
        </w:trPr>
        <w:tc>
          <w:tcPr>
            <w:tcW w:w="2847" w:type="dxa"/>
            <w:vAlign w:val="center"/>
            <w:hideMark/>
          </w:tcPr>
          <w:p w14:paraId="1E08AB2D" w14:textId="77777777" w:rsidR="00DE3B87" w:rsidRPr="00004DEA" w:rsidRDefault="00DE3B87" w:rsidP="002973CA">
            <w:pPr>
              <w:suppressAutoHyphens w:val="0"/>
              <w:spacing w:after="40"/>
              <w:rPr>
                <w:rFonts w:ascii="Calibri" w:hAnsi="Calibri" w:cs="Calibri"/>
                <w:b/>
                <w:bCs/>
                <w:color w:val="000000"/>
                <w:sz w:val="20"/>
                <w:szCs w:val="20"/>
              </w:rPr>
            </w:pPr>
            <w:r w:rsidRPr="00004DEA">
              <w:rPr>
                <w:rFonts w:ascii="Calibri" w:hAnsi="Calibri" w:cs="Calibri"/>
                <w:b/>
                <w:bCs/>
                <w:color w:val="000000"/>
                <w:sz w:val="20"/>
                <w:szCs w:val="20"/>
              </w:rPr>
              <w:t>Esophagoscopy - Diagnostic</w:t>
            </w:r>
          </w:p>
        </w:tc>
        <w:tc>
          <w:tcPr>
            <w:tcW w:w="1625" w:type="dxa"/>
            <w:vAlign w:val="center"/>
            <w:hideMark/>
          </w:tcPr>
          <w:p w14:paraId="4D9BA9D9"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$587 </w:t>
            </w:r>
          </w:p>
        </w:tc>
        <w:tc>
          <w:tcPr>
            <w:tcW w:w="1626" w:type="dxa"/>
            <w:vAlign w:val="center"/>
            <w:hideMark/>
          </w:tcPr>
          <w:p w14:paraId="67CFD521"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$1,021 </w:t>
            </w:r>
          </w:p>
        </w:tc>
        <w:tc>
          <w:tcPr>
            <w:tcW w:w="1626" w:type="dxa"/>
            <w:vAlign w:val="center"/>
          </w:tcPr>
          <w:p w14:paraId="2B303106" w14:textId="3CF7DAAF"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 xml:space="preserve">$434 </w:t>
            </w:r>
          </w:p>
        </w:tc>
        <w:tc>
          <w:tcPr>
            <w:tcW w:w="1626" w:type="dxa"/>
            <w:vAlign w:val="center"/>
          </w:tcPr>
          <w:p w14:paraId="694375D1" w14:textId="3432C363"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43%</w:t>
            </w:r>
          </w:p>
        </w:tc>
      </w:tr>
      <w:tr w:rsidR="00DE3B87" w:rsidRPr="009555DC" w14:paraId="31EE01CD" w14:textId="5C0BCD6F" w:rsidTr="008D55C6">
        <w:trPr>
          <w:cantSplit/>
          <w:trHeight w:val="300"/>
        </w:trPr>
        <w:tc>
          <w:tcPr>
            <w:tcW w:w="2847" w:type="dxa"/>
            <w:vAlign w:val="center"/>
            <w:hideMark/>
          </w:tcPr>
          <w:p w14:paraId="05536D35" w14:textId="77777777" w:rsidR="00DE3B87" w:rsidRPr="00004DEA" w:rsidRDefault="00DE3B87" w:rsidP="002973CA">
            <w:pPr>
              <w:suppressAutoHyphens w:val="0"/>
              <w:spacing w:after="40"/>
              <w:rPr>
                <w:rFonts w:ascii="Calibri" w:hAnsi="Calibri" w:cs="Calibri"/>
                <w:b/>
                <w:bCs/>
                <w:color w:val="000000"/>
                <w:sz w:val="20"/>
                <w:szCs w:val="20"/>
              </w:rPr>
            </w:pPr>
            <w:r w:rsidRPr="00004DEA">
              <w:rPr>
                <w:rFonts w:ascii="Calibri" w:hAnsi="Calibri" w:cs="Calibri"/>
                <w:b/>
                <w:bCs/>
                <w:color w:val="000000"/>
                <w:sz w:val="20"/>
                <w:szCs w:val="20"/>
              </w:rPr>
              <w:t>Colonoscopy - Screening</w:t>
            </w:r>
          </w:p>
        </w:tc>
        <w:tc>
          <w:tcPr>
            <w:tcW w:w="1625" w:type="dxa"/>
            <w:vAlign w:val="center"/>
            <w:hideMark/>
          </w:tcPr>
          <w:p w14:paraId="6C91472B"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$666 </w:t>
            </w:r>
          </w:p>
        </w:tc>
        <w:tc>
          <w:tcPr>
            <w:tcW w:w="1626" w:type="dxa"/>
            <w:vAlign w:val="center"/>
            <w:hideMark/>
          </w:tcPr>
          <w:p w14:paraId="1C643050" w14:textId="7777777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bCs/>
                <w:color w:val="000000"/>
                <w:sz w:val="20"/>
                <w:szCs w:val="20"/>
              </w:rPr>
              <w:t xml:space="preserve">$1,088 </w:t>
            </w:r>
          </w:p>
        </w:tc>
        <w:bookmarkEnd w:id="13"/>
        <w:tc>
          <w:tcPr>
            <w:tcW w:w="1626" w:type="dxa"/>
            <w:vAlign w:val="center"/>
          </w:tcPr>
          <w:p w14:paraId="4A9E31EC" w14:textId="0B8D3E13"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 xml:space="preserve">$422 </w:t>
            </w:r>
          </w:p>
        </w:tc>
        <w:tc>
          <w:tcPr>
            <w:tcW w:w="1626" w:type="dxa"/>
            <w:vAlign w:val="center"/>
          </w:tcPr>
          <w:p w14:paraId="4BD4F47D" w14:textId="1A7E7127" w:rsidR="00DE3B87" w:rsidRPr="00004DEA" w:rsidRDefault="00DE3B87" w:rsidP="002973CA">
            <w:pPr>
              <w:suppressAutoHyphens w:val="0"/>
              <w:spacing w:after="40"/>
              <w:jc w:val="center"/>
              <w:rPr>
                <w:rFonts w:ascii="Aptos" w:hAnsi="Aptos"/>
                <w:color w:val="000000"/>
                <w:sz w:val="20"/>
                <w:szCs w:val="20"/>
              </w:rPr>
            </w:pPr>
            <w:r w:rsidRPr="00004DEA">
              <w:rPr>
                <w:rFonts w:ascii="Aptos" w:hAnsi="Aptos"/>
                <w:color w:val="000000"/>
                <w:sz w:val="20"/>
                <w:szCs w:val="20"/>
              </w:rPr>
              <w:t>39%</w:t>
            </w:r>
          </w:p>
        </w:tc>
      </w:tr>
    </w:tbl>
    <w:p w14:paraId="3C46EE97" w14:textId="6A2F6929" w:rsidR="00CF38AC" w:rsidRPr="009555DC" w:rsidRDefault="00CF38AC" w:rsidP="00CD2BB2">
      <w:pPr>
        <w:spacing w:before="240" w:after="120"/>
        <w:jc w:val="both"/>
        <w:rPr>
          <w:rFonts w:ascii="Aptos" w:hAnsi="Aptos"/>
          <w:kern w:val="2"/>
          <w:sz w:val="21"/>
          <w:szCs w:val="21"/>
        </w:rPr>
      </w:pPr>
      <w:r w:rsidRPr="009555DC">
        <w:rPr>
          <w:rFonts w:ascii="Aptos" w:hAnsi="Aptos"/>
          <w:kern w:val="2"/>
          <w:sz w:val="21"/>
          <w:szCs w:val="21"/>
        </w:rPr>
        <w:t xml:space="preserve">In </w:t>
      </w:r>
      <w:r w:rsidRPr="009555DC">
        <w:rPr>
          <w:rFonts w:ascii="Aptos" w:hAnsi="Aptos"/>
          <w:bCs/>
          <w:sz w:val="21"/>
          <w:szCs w:val="21"/>
        </w:rPr>
        <w:t>Massachusetts, the Health Policy Commission (HPC), an independent state agency that monitors healthcare spending growth, recently reported that in 2021, total prices for the most common outpatient surgeries were 27% to 57% lower in ASCs than in HOPDs for commercially insured patients.</w:t>
      </w:r>
      <w:r w:rsidRPr="009555DC">
        <w:rPr>
          <w:rStyle w:val="FootnoteReference"/>
          <w:rFonts w:ascii="Aptos" w:hAnsi="Aptos"/>
          <w:bCs/>
          <w:sz w:val="21"/>
          <w:szCs w:val="21"/>
        </w:rPr>
        <w:footnoteReference w:id="34"/>
      </w:r>
      <w:r w:rsidRPr="009555DC">
        <w:rPr>
          <w:rFonts w:ascii="Aptos" w:hAnsi="Aptos"/>
          <w:bCs/>
          <w:sz w:val="21"/>
          <w:szCs w:val="21"/>
        </w:rPr>
        <w:t xml:space="preserve"> Similarly, for MassHealth </w:t>
      </w:r>
      <w:r w:rsidR="00CD2BB2" w:rsidRPr="009555DC">
        <w:rPr>
          <w:rFonts w:ascii="Aptos" w:hAnsi="Aptos"/>
          <w:bCs/>
          <w:sz w:val="21"/>
          <w:szCs w:val="21"/>
        </w:rPr>
        <w:t>patients</w:t>
      </w:r>
      <w:r w:rsidRPr="009555DC">
        <w:rPr>
          <w:rFonts w:ascii="Aptos" w:hAnsi="Aptos"/>
          <w:bCs/>
          <w:sz w:val="21"/>
          <w:szCs w:val="21"/>
        </w:rPr>
        <w:t>, the price differential ranged from 26% to 67% for the same procedures.</w:t>
      </w:r>
      <w:r w:rsidRPr="009555DC">
        <w:rPr>
          <w:rStyle w:val="FootnoteReference"/>
          <w:rFonts w:ascii="Aptos" w:hAnsi="Aptos"/>
          <w:bCs/>
          <w:sz w:val="21"/>
          <w:szCs w:val="21"/>
        </w:rPr>
        <w:footnoteReference w:id="35"/>
      </w:r>
      <w:r w:rsidRPr="009555DC">
        <w:rPr>
          <w:rFonts w:ascii="Aptos" w:hAnsi="Aptos"/>
          <w:bCs/>
          <w:sz w:val="21"/>
          <w:szCs w:val="21"/>
        </w:rPr>
        <w:t xml:space="preserve"> </w:t>
      </w:r>
      <w:r w:rsidR="00CD2BB2" w:rsidRPr="009555DC">
        <w:rPr>
          <w:rFonts w:ascii="Aptos" w:hAnsi="Aptos"/>
          <w:bCs/>
          <w:sz w:val="21"/>
          <w:szCs w:val="21"/>
        </w:rPr>
        <w:t xml:space="preserve">Despite these savings, </w:t>
      </w:r>
      <w:r w:rsidR="00CD2BB2" w:rsidRPr="009555DC">
        <w:rPr>
          <w:rFonts w:ascii="Aptos" w:eastAsia="Arial" w:hAnsi="Aptos"/>
          <w:kern w:val="2"/>
          <w:sz w:val="21"/>
          <w:szCs w:val="21"/>
        </w:rPr>
        <w:t>the HPC also found that</w:t>
      </w:r>
      <w:r w:rsidRPr="009555DC">
        <w:rPr>
          <w:rFonts w:ascii="Aptos" w:hAnsi="Aptos"/>
          <w:kern w:val="2"/>
          <w:sz w:val="21"/>
          <w:szCs w:val="21"/>
        </w:rPr>
        <w:t xml:space="preserve"> ASC utilization for endoscopy procedures remains disproportionately low as compared to HOPDs.</w:t>
      </w:r>
      <w:r w:rsidRPr="009555DC">
        <w:rPr>
          <w:rStyle w:val="FootnoteReference"/>
          <w:rFonts w:ascii="Aptos" w:hAnsi="Aptos"/>
          <w:kern w:val="2"/>
          <w:sz w:val="21"/>
          <w:szCs w:val="21"/>
        </w:rPr>
        <w:footnoteReference w:id="36"/>
      </w:r>
      <w:r w:rsidRPr="009555DC">
        <w:rPr>
          <w:rFonts w:ascii="Aptos" w:hAnsi="Aptos"/>
          <w:kern w:val="2"/>
          <w:sz w:val="21"/>
          <w:szCs w:val="21"/>
        </w:rPr>
        <w:t xml:space="preserve"> Among all commercially insured patients, annually only 27% of ASC-eligible gastrointestinal/endoscopy procedures are performed in ASCs.</w:t>
      </w:r>
      <w:r w:rsidRPr="009555DC">
        <w:rPr>
          <w:rStyle w:val="FootnoteReference"/>
          <w:rFonts w:ascii="Aptos" w:hAnsi="Aptos"/>
          <w:kern w:val="2"/>
          <w:sz w:val="21"/>
          <w:szCs w:val="21"/>
        </w:rPr>
        <w:footnoteReference w:id="37"/>
      </w:r>
      <w:r w:rsidRPr="009555DC">
        <w:rPr>
          <w:rFonts w:ascii="Aptos" w:hAnsi="Aptos"/>
          <w:kern w:val="2"/>
          <w:sz w:val="21"/>
          <w:szCs w:val="21"/>
        </w:rPr>
        <w:t xml:space="preserve"> For MassHealth patients, the figure is even lower at just 10% of ASC-eligible procedures being performed in an ASC.</w:t>
      </w:r>
      <w:r w:rsidRPr="009555DC">
        <w:rPr>
          <w:rStyle w:val="FootnoteReference"/>
          <w:rFonts w:ascii="Aptos" w:hAnsi="Aptos"/>
          <w:kern w:val="2"/>
          <w:sz w:val="21"/>
          <w:szCs w:val="21"/>
        </w:rPr>
        <w:footnoteReference w:id="38"/>
      </w:r>
      <w:r w:rsidRPr="009555DC">
        <w:rPr>
          <w:rFonts w:ascii="Aptos" w:hAnsi="Aptos"/>
          <w:kern w:val="2"/>
          <w:sz w:val="21"/>
          <w:szCs w:val="21"/>
        </w:rPr>
        <w:t xml:space="preserve"> </w:t>
      </w:r>
      <w:r w:rsidR="001A3CFE" w:rsidRPr="009555DC">
        <w:rPr>
          <w:rFonts w:ascii="Aptos" w:hAnsi="Aptos"/>
          <w:kern w:val="2"/>
          <w:sz w:val="21"/>
          <w:szCs w:val="21"/>
        </w:rPr>
        <w:t>The</w:t>
      </w:r>
      <w:r w:rsidRPr="009555DC">
        <w:rPr>
          <w:rFonts w:ascii="Aptos" w:hAnsi="Aptos"/>
          <w:kern w:val="2"/>
          <w:sz w:val="21"/>
          <w:szCs w:val="21"/>
        </w:rPr>
        <w:t xml:space="preserve"> HPC also found that colonoscopies with polyp removal were 32% less expensive in ASCs than in HOPDs for commercially insured patients, and 61% less expensive for MassHealth patients</w:t>
      </w:r>
      <w:r w:rsidRPr="009555DC">
        <w:rPr>
          <w:rFonts w:ascii="Aptos" w:hAnsi="Aptos"/>
          <w:bCs/>
          <w:sz w:val="21"/>
          <w:szCs w:val="21"/>
        </w:rPr>
        <w:t>.</w:t>
      </w:r>
      <w:r w:rsidRPr="009555DC">
        <w:rPr>
          <w:rStyle w:val="FootnoteReference"/>
          <w:rFonts w:ascii="Aptos" w:hAnsi="Aptos"/>
          <w:bCs/>
          <w:sz w:val="21"/>
          <w:szCs w:val="21"/>
        </w:rPr>
        <w:footnoteReference w:id="39"/>
      </w:r>
      <w:r w:rsidRPr="009555DC">
        <w:rPr>
          <w:rFonts w:ascii="Aptos" w:hAnsi="Aptos"/>
          <w:kern w:val="2"/>
          <w:sz w:val="21"/>
          <w:szCs w:val="21"/>
        </w:rPr>
        <w:t xml:space="preserve"> </w:t>
      </w:r>
    </w:p>
    <w:p w14:paraId="083BD8A5" w14:textId="681BF6A6" w:rsidR="00CF38AC" w:rsidRPr="009555DC" w:rsidRDefault="00CF38AC" w:rsidP="00CF38AC">
      <w:pPr>
        <w:spacing w:after="120"/>
        <w:jc w:val="both"/>
        <w:rPr>
          <w:sz w:val="21"/>
          <w:szCs w:val="21"/>
        </w:rPr>
      </w:pPr>
      <w:r w:rsidRPr="009555DC">
        <w:rPr>
          <w:rFonts w:ascii="Aptos" w:hAnsi="Aptos"/>
          <w:bCs/>
          <w:sz w:val="21"/>
          <w:szCs w:val="21"/>
        </w:rPr>
        <w:t xml:space="preserve">Freestanding </w:t>
      </w:r>
      <w:r w:rsidR="001A3CFE" w:rsidRPr="009555DC">
        <w:rPr>
          <w:rFonts w:ascii="Aptos" w:hAnsi="Aptos"/>
          <w:bCs/>
          <w:sz w:val="21"/>
          <w:szCs w:val="21"/>
        </w:rPr>
        <w:t>ASCs</w:t>
      </w:r>
      <w:r w:rsidRPr="009555DC">
        <w:rPr>
          <w:rFonts w:ascii="Aptos" w:hAnsi="Aptos"/>
          <w:bCs/>
          <w:sz w:val="21"/>
          <w:szCs w:val="21"/>
        </w:rPr>
        <w:t xml:space="preserve"> are ideal for routine procedures because they deliver high-quality care at lower costs than HOPDs. By increasing the number of ASCs in Massachusetts, the Commonwealth can expand access to high-value healthcare services which will contribute to earlier detection of colorectal cancer and reduce TME. Moreover, shifting low-acuity endoscopy procedures to the proposed ASC will reduce </w:t>
      </w:r>
      <w:r w:rsidRPr="009555DC">
        <w:rPr>
          <w:rFonts w:ascii="Aptos" w:hAnsi="Aptos"/>
          <w:bCs/>
          <w:sz w:val="21"/>
          <w:szCs w:val="21"/>
        </w:rPr>
        <w:lastRenderedPageBreak/>
        <w:t>capacity constraints at the AMCs, further contributing to cost savings by reducing the length of stay for inpatients with endoscopy needs. By expanding access to outpatient endoscopy, the Proposed Project will compete on healthcare spending metrics, including prices, TME, and provider costs, while supporting broader efforts to contain healthcare expenditures.</w:t>
      </w:r>
    </w:p>
    <w:p w14:paraId="327D3CC0" w14:textId="77777777" w:rsidR="00362C79" w:rsidRPr="009555DC" w:rsidRDefault="00362C79" w:rsidP="009B3098">
      <w:pPr>
        <w:pStyle w:val="Heading2"/>
      </w:pPr>
      <w:r w:rsidRPr="009555DC">
        <w:t>F1.</w:t>
      </w:r>
      <w:proofErr w:type="gramStart"/>
      <w:r w:rsidRPr="009555DC">
        <w:t>b.i</w:t>
      </w:r>
      <w:proofErr w:type="gramEnd"/>
      <w:r w:rsidRPr="009555DC">
        <w:tab/>
      </w:r>
      <w:r w:rsidRPr="009555DC">
        <w:tab/>
      </w:r>
      <w:r w:rsidRPr="009B3098">
        <w:rPr>
          <w:b/>
          <w:bCs w:val="0"/>
        </w:rPr>
        <w:t>Public Health Value /Evidence-Based:</w:t>
      </w:r>
    </w:p>
    <w:p w14:paraId="01B93158" w14:textId="514BC627" w:rsidR="00362C79" w:rsidRPr="009555DC" w:rsidRDefault="00362C79" w:rsidP="002973CA">
      <w:pPr>
        <w:spacing w:after="120"/>
        <w:ind w:left="1440" w:firstLine="14"/>
        <w:jc w:val="both"/>
        <w:rPr>
          <w:rFonts w:ascii="Aptos" w:hAnsi="Aptos"/>
          <w:bCs/>
          <w:i/>
          <w:iCs/>
          <w:sz w:val="21"/>
          <w:szCs w:val="21"/>
        </w:rPr>
      </w:pPr>
      <w:r w:rsidRPr="009555DC">
        <w:rPr>
          <w:rFonts w:ascii="Aptos" w:hAnsi="Aptos"/>
          <w:bCs/>
          <w:i/>
          <w:iCs/>
          <w:sz w:val="21"/>
          <w:szCs w:val="21"/>
        </w:rPr>
        <w:t>Provide information on the evidence-base for the Proposed Project. That is, how does the Proposed Project address the Need that Applicant has identified.</w:t>
      </w:r>
    </w:p>
    <w:p w14:paraId="702D3BAB" w14:textId="6376087B" w:rsidR="00362C79" w:rsidRPr="009555DC" w:rsidRDefault="00362C79" w:rsidP="002973CA">
      <w:pPr>
        <w:spacing w:after="120"/>
        <w:jc w:val="both"/>
        <w:rPr>
          <w:rFonts w:asciiTheme="minorHAnsi" w:hAnsiTheme="minorHAnsi"/>
          <w:sz w:val="21"/>
          <w:szCs w:val="21"/>
        </w:rPr>
      </w:pPr>
      <w:r w:rsidRPr="009555DC">
        <w:rPr>
          <w:rFonts w:asciiTheme="minorHAnsi" w:hAnsiTheme="minorHAnsi"/>
          <w:sz w:val="21"/>
          <w:szCs w:val="21"/>
        </w:rPr>
        <w:t xml:space="preserve">As demonstrated throughout this Application, there is clear and compelling evidence that expanding access to outpatient endoscopy services </w:t>
      </w:r>
      <w:r w:rsidR="001A3CFE" w:rsidRPr="009555DC">
        <w:rPr>
          <w:rFonts w:asciiTheme="minorHAnsi" w:hAnsiTheme="minorHAnsi"/>
          <w:sz w:val="21"/>
          <w:szCs w:val="21"/>
        </w:rPr>
        <w:t>provides</w:t>
      </w:r>
      <w:r w:rsidR="007B2757" w:rsidRPr="009555DC">
        <w:rPr>
          <w:rFonts w:asciiTheme="minorHAnsi" w:hAnsiTheme="minorHAnsi"/>
          <w:sz w:val="21"/>
          <w:szCs w:val="21"/>
        </w:rPr>
        <w:t xml:space="preserve"> significant</w:t>
      </w:r>
      <w:r w:rsidRPr="009555DC">
        <w:rPr>
          <w:rFonts w:asciiTheme="minorHAnsi" w:hAnsiTheme="minorHAnsi"/>
          <w:sz w:val="21"/>
          <w:szCs w:val="21"/>
        </w:rPr>
        <w:t xml:space="preserve"> public health benefits. The Proposed Project will increase the availability of ASC procedure rooms</w:t>
      </w:r>
      <w:r w:rsidR="004C2BE0" w:rsidRPr="009555DC">
        <w:rPr>
          <w:rFonts w:asciiTheme="minorHAnsi" w:hAnsiTheme="minorHAnsi"/>
          <w:sz w:val="21"/>
          <w:szCs w:val="21"/>
        </w:rPr>
        <w:t xml:space="preserve"> for endoscopy</w:t>
      </w:r>
      <w:r w:rsidRPr="009555DC">
        <w:rPr>
          <w:rFonts w:asciiTheme="minorHAnsi" w:hAnsiTheme="minorHAnsi"/>
          <w:sz w:val="21"/>
          <w:szCs w:val="21"/>
        </w:rPr>
        <w:t xml:space="preserve">, thereby improving timely access to essential screening, diagnostic, and treatment services. This conclusion is supported by robust, evidence-based research linking endoscopy to early detection, diagnosis, and treatment of a range of conditions. By expanding ASC capacity, the Proposed Project </w:t>
      </w:r>
      <w:r w:rsidR="00CF38AC" w:rsidRPr="009555DC">
        <w:rPr>
          <w:rFonts w:asciiTheme="minorHAnsi" w:hAnsiTheme="minorHAnsi"/>
          <w:sz w:val="21"/>
          <w:szCs w:val="21"/>
        </w:rPr>
        <w:t>will</w:t>
      </w:r>
      <w:r w:rsidRPr="009555DC">
        <w:rPr>
          <w:rFonts w:asciiTheme="minorHAnsi" w:hAnsiTheme="minorHAnsi"/>
          <w:sz w:val="21"/>
          <w:szCs w:val="21"/>
        </w:rPr>
        <w:t xml:space="preserve"> reduce healthcare costs and improve patient outcomes</w:t>
      </w:r>
      <w:r w:rsidR="00CF38AC" w:rsidRPr="009555DC">
        <w:rPr>
          <w:rFonts w:asciiTheme="minorHAnsi" w:hAnsiTheme="minorHAnsi"/>
          <w:sz w:val="21"/>
          <w:szCs w:val="21"/>
        </w:rPr>
        <w:t xml:space="preserve"> for the Applicant’s Patient Panel</w:t>
      </w:r>
      <w:r w:rsidRPr="009555DC">
        <w:rPr>
          <w:rFonts w:asciiTheme="minorHAnsi" w:hAnsiTheme="minorHAnsi"/>
          <w:sz w:val="21"/>
          <w:szCs w:val="21"/>
        </w:rPr>
        <w:t>.</w:t>
      </w:r>
    </w:p>
    <w:p w14:paraId="12570835" w14:textId="77777777" w:rsidR="00362C79" w:rsidRPr="009B3098" w:rsidRDefault="00362C79" w:rsidP="009B3098">
      <w:pPr>
        <w:pStyle w:val="Heading3"/>
      </w:pPr>
      <w:r w:rsidRPr="009B3098">
        <w:t xml:space="preserve">Clinical Overview of Routine Endoscopy </w:t>
      </w:r>
    </w:p>
    <w:p w14:paraId="244B906E" w14:textId="70D16DDC" w:rsidR="00362C79" w:rsidRPr="009555DC" w:rsidRDefault="00362C79" w:rsidP="002973CA">
      <w:pPr>
        <w:spacing w:after="120"/>
        <w:jc w:val="both"/>
        <w:rPr>
          <w:rFonts w:asciiTheme="minorHAnsi" w:hAnsiTheme="minorHAnsi"/>
          <w:sz w:val="21"/>
          <w:szCs w:val="21"/>
        </w:rPr>
      </w:pPr>
      <w:r w:rsidRPr="009555DC">
        <w:rPr>
          <w:rFonts w:asciiTheme="minorHAnsi" w:hAnsiTheme="minorHAnsi"/>
          <w:sz w:val="21"/>
          <w:szCs w:val="21"/>
        </w:rPr>
        <w:t>Endoscopy is a minimally invasive procedure that uses a thin, flexible tube with a camera, an endoscope, to examine a patient’s organs.</w:t>
      </w:r>
      <w:bookmarkStart w:id="14" w:name="_Ref207177954"/>
      <w:r w:rsidRPr="009555DC">
        <w:rPr>
          <w:rStyle w:val="FootnoteReference"/>
          <w:rFonts w:asciiTheme="minorHAnsi" w:hAnsiTheme="minorHAnsi"/>
          <w:sz w:val="21"/>
          <w:szCs w:val="21"/>
        </w:rPr>
        <w:footnoteReference w:id="40"/>
      </w:r>
      <w:bookmarkEnd w:id="14"/>
      <w:r w:rsidRPr="009555DC">
        <w:rPr>
          <w:rFonts w:asciiTheme="minorHAnsi" w:hAnsiTheme="minorHAnsi"/>
          <w:sz w:val="21"/>
          <w:szCs w:val="21"/>
        </w:rPr>
        <w:t xml:space="preserve"> Unlike traditional surgery, endoscopy does not require large incisions, making it a safer and more efficient diagnostic and therapeutic tool. As a result, routine endoscopies, such as colonoscopies, and esophagogastroduodenoscopies (EGD), are widely used to screen, diagnose, and treat conditions including cancer, gastrointestinal disorders, and inflammatory diseases.</w:t>
      </w:r>
      <w:bookmarkStart w:id="15" w:name="_Ref207177939"/>
      <w:r w:rsidRPr="009555DC">
        <w:rPr>
          <w:rStyle w:val="FootnoteReference"/>
          <w:rFonts w:asciiTheme="minorHAnsi" w:hAnsiTheme="minorHAnsi"/>
          <w:sz w:val="21"/>
          <w:szCs w:val="21"/>
        </w:rPr>
        <w:footnoteReference w:id="41"/>
      </w:r>
      <w:bookmarkEnd w:id="15"/>
      <w:r w:rsidRPr="009555DC">
        <w:rPr>
          <w:rFonts w:asciiTheme="minorHAnsi" w:hAnsiTheme="minorHAnsi"/>
          <w:sz w:val="21"/>
          <w:szCs w:val="21"/>
        </w:rPr>
        <w:t xml:space="preserve"> These procedures often include biopsies, where abnormal tissue is removed for further analysis as part of the diagnosis process.</w:t>
      </w:r>
      <w:r w:rsidRPr="009555DC">
        <w:rPr>
          <w:rStyle w:val="FootnoteReference"/>
          <w:rFonts w:asciiTheme="minorHAnsi" w:hAnsiTheme="minorHAnsi"/>
          <w:sz w:val="21"/>
          <w:szCs w:val="21"/>
        </w:rPr>
        <w:footnoteReference w:id="42"/>
      </w:r>
      <w:r w:rsidRPr="009555DC">
        <w:rPr>
          <w:rFonts w:asciiTheme="minorHAnsi" w:hAnsiTheme="minorHAnsi"/>
          <w:sz w:val="21"/>
          <w:szCs w:val="21"/>
        </w:rPr>
        <w:t xml:space="preserve"> Studies show that a patient’s single endoscopy with biopsy can detect cancer in approximately 70% of cases, increasing to 98% if a patient has seven biopsies.</w:t>
      </w:r>
      <w:r w:rsidRPr="009555DC">
        <w:rPr>
          <w:rStyle w:val="FootnoteReference"/>
          <w:rFonts w:asciiTheme="minorHAnsi" w:hAnsiTheme="minorHAnsi"/>
          <w:sz w:val="21"/>
          <w:szCs w:val="21"/>
        </w:rPr>
        <w:footnoteReference w:id="43"/>
      </w:r>
      <w:r w:rsidRPr="009555DC">
        <w:rPr>
          <w:rFonts w:asciiTheme="minorHAnsi" w:hAnsiTheme="minorHAnsi"/>
          <w:sz w:val="21"/>
          <w:szCs w:val="21"/>
        </w:rPr>
        <w:t xml:space="preserve"> Thus, endoscopy is a clinically powerful and highly reliable tool. Endoscopy also plays a therapeutic role, allowing physicians to seal wounds, inject medication, drain fluid, stop internal bleeding, and remove tumors or damaged tissues.</w:t>
      </w:r>
      <w:r w:rsidRPr="009555DC">
        <w:rPr>
          <w:rStyle w:val="FootnoteReference"/>
          <w:rFonts w:asciiTheme="minorHAnsi" w:hAnsiTheme="minorHAnsi"/>
          <w:sz w:val="21"/>
          <w:szCs w:val="21"/>
        </w:rPr>
        <w:footnoteReference w:id="44"/>
      </w:r>
    </w:p>
    <w:p w14:paraId="06C24A69" w14:textId="0252667C" w:rsidR="00362C79" w:rsidRPr="009555DC" w:rsidRDefault="00362C79" w:rsidP="002973CA">
      <w:pPr>
        <w:spacing w:after="120"/>
        <w:jc w:val="both"/>
        <w:rPr>
          <w:rFonts w:asciiTheme="minorHAnsi" w:hAnsiTheme="minorHAnsi"/>
          <w:sz w:val="21"/>
          <w:szCs w:val="21"/>
        </w:rPr>
      </w:pPr>
      <w:r w:rsidRPr="009555DC">
        <w:rPr>
          <w:rFonts w:asciiTheme="minorHAnsi" w:hAnsiTheme="minorHAnsi"/>
          <w:sz w:val="21"/>
          <w:szCs w:val="21"/>
        </w:rPr>
        <w:t>A brief overview of the clinical application of the most common forms of endoscopy are as follows:</w:t>
      </w:r>
    </w:p>
    <w:p w14:paraId="66AD44BC" w14:textId="77777777" w:rsidR="00362C79" w:rsidRPr="009555DC" w:rsidRDefault="00362C79" w:rsidP="002973CA">
      <w:pPr>
        <w:pStyle w:val="ListParagraph"/>
        <w:numPr>
          <w:ilvl w:val="0"/>
          <w:numId w:val="10"/>
        </w:numPr>
        <w:spacing w:after="120"/>
        <w:contextualSpacing w:val="0"/>
        <w:jc w:val="both"/>
        <w:rPr>
          <w:rFonts w:asciiTheme="minorHAnsi" w:hAnsiTheme="minorHAnsi"/>
          <w:sz w:val="21"/>
          <w:szCs w:val="21"/>
        </w:rPr>
      </w:pPr>
      <w:r w:rsidRPr="009555DC">
        <w:rPr>
          <w:rFonts w:asciiTheme="minorHAnsi" w:hAnsiTheme="minorHAnsi"/>
          <w:b/>
          <w:bCs/>
          <w:sz w:val="21"/>
          <w:szCs w:val="21"/>
        </w:rPr>
        <w:t xml:space="preserve">EGD: </w:t>
      </w:r>
      <w:r w:rsidRPr="009555DC">
        <w:rPr>
          <w:rFonts w:asciiTheme="minorHAnsi" w:hAnsiTheme="minorHAnsi"/>
          <w:sz w:val="21"/>
          <w:szCs w:val="21"/>
        </w:rPr>
        <w:t>Evaluates the esophagus, stomach, and duodenum to diagnose ulcers, gastrointestinal disorders, and tumors.</w:t>
      </w:r>
      <w:r w:rsidRPr="009555DC">
        <w:rPr>
          <w:rStyle w:val="FootnoteReference"/>
          <w:rFonts w:asciiTheme="minorHAnsi" w:hAnsiTheme="minorHAnsi"/>
          <w:sz w:val="21"/>
          <w:szCs w:val="21"/>
        </w:rPr>
        <w:footnoteReference w:id="45"/>
      </w:r>
      <w:r w:rsidRPr="009555DC">
        <w:rPr>
          <w:rFonts w:asciiTheme="minorHAnsi" w:hAnsiTheme="minorHAnsi"/>
          <w:sz w:val="21"/>
          <w:szCs w:val="21"/>
        </w:rPr>
        <w:t xml:space="preserve"> Physicians also use EGD to treat patients by draining abscesses, inserting medical devices, and removing polyps.</w:t>
      </w:r>
      <w:r w:rsidRPr="009555DC">
        <w:rPr>
          <w:rStyle w:val="FootnoteReference"/>
          <w:rFonts w:asciiTheme="minorHAnsi" w:hAnsiTheme="minorHAnsi"/>
          <w:sz w:val="21"/>
          <w:szCs w:val="21"/>
        </w:rPr>
        <w:footnoteReference w:id="46"/>
      </w:r>
    </w:p>
    <w:p w14:paraId="55EFFCCE" w14:textId="26BBA709" w:rsidR="00362C79" w:rsidRDefault="00362C79" w:rsidP="002973CA">
      <w:pPr>
        <w:pStyle w:val="ListParagraph"/>
        <w:numPr>
          <w:ilvl w:val="0"/>
          <w:numId w:val="10"/>
        </w:numPr>
        <w:spacing w:after="120"/>
        <w:contextualSpacing w:val="0"/>
        <w:jc w:val="both"/>
        <w:rPr>
          <w:rFonts w:asciiTheme="minorHAnsi" w:hAnsiTheme="minorHAnsi"/>
          <w:sz w:val="21"/>
          <w:szCs w:val="21"/>
        </w:rPr>
      </w:pPr>
      <w:r w:rsidRPr="009555DC">
        <w:rPr>
          <w:rFonts w:asciiTheme="minorHAnsi" w:hAnsiTheme="minorHAnsi"/>
          <w:b/>
          <w:bCs/>
          <w:sz w:val="21"/>
          <w:szCs w:val="21"/>
        </w:rPr>
        <w:t xml:space="preserve">Colonoscopy: </w:t>
      </w:r>
      <w:r w:rsidRPr="009555DC">
        <w:rPr>
          <w:rFonts w:asciiTheme="minorHAnsi" w:hAnsiTheme="minorHAnsi"/>
          <w:sz w:val="21"/>
          <w:szCs w:val="21"/>
        </w:rPr>
        <w:t xml:space="preserve">Examines the colon and rectum as a method for routine colorectal cancer screening and </w:t>
      </w:r>
      <w:proofErr w:type="gramStart"/>
      <w:r w:rsidRPr="009555DC">
        <w:rPr>
          <w:rFonts w:asciiTheme="minorHAnsi" w:hAnsiTheme="minorHAnsi"/>
          <w:sz w:val="21"/>
          <w:szCs w:val="21"/>
        </w:rPr>
        <w:t>to investigate</w:t>
      </w:r>
      <w:proofErr w:type="gramEnd"/>
      <w:r w:rsidRPr="009555DC">
        <w:rPr>
          <w:rFonts w:asciiTheme="minorHAnsi" w:hAnsiTheme="minorHAnsi"/>
          <w:sz w:val="21"/>
          <w:szCs w:val="21"/>
        </w:rPr>
        <w:t xml:space="preserve"> symptoms, including rectal bleeding or changes in bowel habits.</w:t>
      </w:r>
      <w:r w:rsidRPr="009555DC">
        <w:rPr>
          <w:rStyle w:val="FootnoteReference"/>
          <w:rFonts w:asciiTheme="minorHAnsi" w:hAnsiTheme="minorHAnsi"/>
          <w:sz w:val="21"/>
          <w:szCs w:val="21"/>
        </w:rPr>
        <w:footnoteReference w:id="47"/>
      </w:r>
    </w:p>
    <w:p w14:paraId="59C81389" w14:textId="77777777" w:rsidR="00E100F5" w:rsidRDefault="00E100F5" w:rsidP="00E100F5">
      <w:pPr>
        <w:pStyle w:val="ListParagraph"/>
        <w:spacing w:after="120"/>
        <w:contextualSpacing w:val="0"/>
        <w:jc w:val="both"/>
        <w:rPr>
          <w:rFonts w:asciiTheme="minorHAnsi" w:hAnsiTheme="minorHAnsi"/>
          <w:b/>
          <w:bCs/>
          <w:sz w:val="21"/>
          <w:szCs w:val="21"/>
        </w:rPr>
      </w:pPr>
    </w:p>
    <w:p w14:paraId="4BB43B40" w14:textId="77777777" w:rsidR="00E100F5" w:rsidRPr="009555DC" w:rsidRDefault="00E100F5" w:rsidP="00E100F5">
      <w:pPr>
        <w:pStyle w:val="ListParagraph"/>
        <w:spacing w:after="120"/>
        <w:contextualSpacing w:val="0"/>
        <w:jc w:val="both"/>
        <w:rPr>
          <w:rFonts w:asciiTheme="minorHAnsi" w:hAnsiTheme="minorHAnsi"/>
          <w:sz w:val="21"/>
          <w:szCs w:val="21"/>
        </w:rPr>
      </w:pPr>
    </w:p>
    <w:p w14:paraId="47E5199B" w14:textId="77777777" w:rsidR="00D71F42" w:rsidRPr="009555DC" w:rsidRDefault="00362C79" w:rsidP="002715CA">
      <w:pPr>
        <w:pStyle w:val="Heading3"/>
      </w:pPr>
      <w:r w:rsidRPr="009555DC">
        <w:lastRenderedPageBreak/>
        <w:t>Cancer Rates and Endoscopy Screening Guidelines</w:t>
      </w:r>
      <w:bookmarkStart w:id="16" w:name="_Hlk205801218"/>
    </w:p>
    <w:p w14:paraId="6F5EBE8A" w14:textId="19680DC6" w:rsidR="00D71F42" w:rsidRPr="009555DC" w:rsidRDefault="00D71F42" w:rsidP="00D71F42">
      <w:pPr>
        <w:spacing w:after="120"/>
        <w:jc w:val="both"/>
        <w:rPr>
          <w:rFonts w:asciiTheme="minorHAnsi" w:hAnsiTheme="minorHAnsi"/>
          <w:sz w:val="21"/>
          <w:szCs w:val="21"/>
          <w:u w:val="single"/>
        </w:rPr>
      </w:pPr>
      <w:r w:rsidRPr="009555DC">
        <w:rPr>
          <w:rFonts w:asciiTheme="minorHAnsi" w:hAnsiTheme="minorHAnsi"/>
          <w:sz w:val="21"/>
          <w:szCs w:val="21"/>
        </w:rPr>
        <w:t>Rising cancer rates across the United States highlight the urgent need to expand access to endoscopy services. The American Cancer Society projects 2,041,910 new cancer cases in 2025, including 154,270 cases of colorectal cancer.</w:t>
      </w:r>
      <w:r w:rsidRPr="009555DC">
        <w:rPr>
          <w:rStyle w:val="FootnoteReference"/>
          <w:rFonts w:asciiTheme="minorHAnsi" w:hAnsiTheme="minorHAnsi"/>
          <w:sz w:val="21"/>
          <w:szCs w:val="21"/>
        </w:rPr>
        <w:footnoteReference w:id="48"/>
      </w:r>
      <w:r w:rsidRPr="009555DC">
        <w:rPr>
          <w:rFonts w:asciiTheme="minorHAnsi" w:hAnsiTheme="minorHAnsi"/>
          <w:sz w:val="21"/>
          <w:szCs w:val="21"/>
        </w:rPr>
        <w:t xml:space="preserve"> This represents a 4.3% increase in annual cancer cases from 2020, when 147,950 individuals were diagnosed.</w:t>
      </w:r>
      <w:bookmarkStart w:id="17" w:name="_Ref207178452"/>
      <w:r w:rsidRPr="009555DC">
        <w:rPr>
          <w:rStyle w:val="FootnoteReference"/>
          <w:rFonts w:asciiTheme="minorHAnsi" w:hAnsiTheme="minorHAnsi"/>
          <w:sz w:val="21"/>
          <w:szCs w:val="21"/>
        </w:rPr>
        <w:footnoteReference w:id="49"/>
      </w:r>
      <w:bookmarkEnd w:id="17"/>
      <w:r w:rsidRPr="009555DC">
        <w:rPr>
          <w:rFonts w:asciiTheme="minorHAnsi" w:hAnsiTheme="minorHAnsi"/>
          <w:sz w:val="21"/>
          <w:szCs w:val="21"/>
        </w:rPr>
        <w:t xml:space="preserve"> In Massachusetts alone, 2,770 new colorectal cancer cases and 820 related deaths are expected this year.</w:t>
      </w:r>
      <w:r w:rsidRPr="009555DC">
        <w:rPr>
          <w:rStyle w:val="FootnoteReference"/>
          <w:rFonts w:asciiTheme="minorHAnsi" w:hAnsiTheme="minorHAnsi"/>
          <w:sz w:val="21"/>
          <w:szCs w:val="21"/>
        </w:rPr>
        <w:footnoteReference w:id="50"/>
      </w:r>
      <w:r w:rsidRPr="009555DC">
        <w:rPr>
          <w:rFonts w:asciiTheme="minorHAnsi" w:hAnsiTheme="minorHAnsi"/>
          <w:sz w:val="21"/>
          <w:szCs w:val="21"/>
        </w:rPr>
        <w:t xml:space="preserve"> To respond to the growing incidence of cancer throughout the country, it is imperative to expand access to lifesaving screening, diagnostic, and treatment tools.</w:t>
      </w:r>
    </w:p>
    <w:p w14:paraId="20C0958B" w14:textId="278472FB" w:rsidR="00D71F42" w:rsidRPr="009555DC" w:rsidRDefault="00D71F42" w:rsidP="00D71F42">
      <w:pPr>
        <w:spacing w:after="120"/>
        <w:jc w:val="both"/>
        <w:rPr>
          <w:rFonts w:asciiTheme="minorHAnsi" w:hAnsiTheme="minorHAnsi"/>
          <w:sz w:val="21"/>
          <w:szCs w:val="21"/>
        </w:rPr>
      </w:pPr>
      <w:r w:rsidRPr="009555DC">
        <w:rPr>
          <w:rFonts w:asciiTheme="minorHAnsi" w:hAnsiTheme="minorHAnsi"/>
          <w:sz w:val="21"/>
          <w:szCs w:val="21"/>
        </w:rPr>
        <w:t>Cancer rates are also rising among younger adults. Each year, 800,000 individuals aged 20-39 are diagnosed with cancer, accounting for 4% of all cancer cases annually.</w:t>
      </w:r>
      <w:bookmarkStart w:id="18" w:name="_Ref207178020"/>
      <w:r w:rsidRPr="009555DC">
        <w:rPr>
          <w:rStyle w:val="FootnoteReference"/>
          <w:rFonts w:asciiTheme="minorHAnsi" w:hAnsiTheme="minorHAnsi"/>
          <w:sz w:val="21"/>
          <w:szCs w:val="21"/>
        </w:rPr>
        <w:footnoteReference w:id="51"/>
      </w:r>
      <w:bookmarkEnd w:id="18"/>
      <w:r w:rsidRPr="009555DC">
        <w:rPr>
          <w:rFonts w:asciiTheme="minorHAnsi" w:hAnsiTheme="minorHAnsi"/>
          <w:sz w:val="21"/>
          <w:szCs w:val="21"/>
        </w:rPr>
        <w:t xml:space="preserve"> Colorectal cancer is among the most common form of cancer diagnosed in this age group, yet diagnosis and treatment is often delayed due to the absence of routine screening recommendations.</w:t>
      </w:r>
      <w:r w:rsidRPr="009555DC">
        <w:rPr>
          <w:rStyle w:val="FootnoteReference"/>
          <w:rFonts w:asciiTheme="minorHAnsi" w:hAnsiTheme="minorHAnsi"/>
          <w:sz w:val="21"/>
          <w:szCs w:val="21"/>
        </w:rPr>
        <w:footnoteReference w:id="52"/>
      </w:r>
      <w:r w:rsidRPr="009555DC">
        <w:rPr>
          <w:rFonts w:asciiTheme="minorHAnsi" w:hAnsiTheme="minorHAnsi"/>
          <w:sz w:val="21"/>
          <w:szCs w:val="21"/>
        </w:rPr>
        <w:t xml:space="preserve"> This delay contributes to stagnant survival rates in younger populations, as compared to the improved outcomes seen among other age groups  for various types of cancer.</w:t>
      </w:r>
      <w:r w:rsidRPr="009555DC">
        <w:rPr>
          <w:rStyle w:val="FootnoteReference"/>
          <w:rFonts w:asciiTheme="minorHAnsi" w:hAnsiTheme="minorHAnsi"/>
          <w:sz w:val="21"/>
          <w:szCs w:val="21"/>
        </w:rPr>
        <w:footnoteReference w:id="53"/>
      </w:r>
      <w:r w:rsidRPr="009555DC">
        <w:rPr>
          <w:rFonts w:asciiTheme="minorHAnsi" w:hAnsiTheme="minorHAnsi"/>
          <w:sz w:val="21"/>
          <w:szCs w:val="21"/>
        </w:rPr>
        <w:t xml:space="preserve"> Despite the prevalence of colorectal cancer diagnoses among individuals aged 20-39 and 45-75, most Americans do not receive their recommended screening.</w:t>
      </w:r>
    </w:p>
    <w:p w14:paraId="1735AE12" w14:textId="53F0D51E" w:rsidR="00D71F42" w:rsidRPr="009555DC" w:rsidRDefault="00D71F42" w:rsidP="00D71F42">
      <w:pPr>
        <w:spacing w:after="120"/>
        <w:jc w:val="both"/>
        <w:rPr>
          <w:rFonts w:asciiTheme="minorHAnsi" w:hAnsiTheme="minorHAnsi"/>
          <w:sz w:val="21"/>
          <w:szCs w:val="21"/>
        </w:rPr>
      </w:pPr>
      <w:r w:rsidRPr="009555DC">
        <w:rPr>
          <w:rFonts w:asciiTheme="minorHAnsi" w:hAnsiTheme="minorHAnsi"/>
          <w:sz w:val="21"/>
          <w:szCs w:val="21"/>
        </w:rPr>
        <w:t>Colorectal cancer is the second leading cause of cancer-related deaths in the United States.</w:t>
      </w:r>
      <w:r w:rsidR="00761B84">
        <w:rPr>
          <w:rStyle w:val="FootnoteReference"/>
          <w:rFonts w:asciiTheme="minorHAnsi" w:hAnsiTheme="minorHAnsi"/>
          <w:sz w:val="21"/>
          <w:szCs w:val="21"/>
        </w:rPr>
        <w:footnoteReference w:id="54"/>
      </w:r>
      <w:r w:rsidRPr="009555DC">
        <w:rPr>
          <w:rFonts w:asciiTheme="minorHAnsi" w:hAnsiTheme="minorHAnsi"/>
          <w:sz w:val="21"/>
          <w:szCs w:val="21"/>
        </w:rPr>
        <w:t xml:space="preserve"> This year, the American Cancer Society estimates that 52,900 individuals will die from colorectal cancer.</w:t>
      </w:r>
      <w:r w:rsidRPr="009555DC">
        <w:rPr>
          <w:rStyle w:val="FootnoteReference"/>
          <w:rFonts w:asciiTheme="minorHAnsi" w:hAnsiTheme="minorHAnsi"/>
          <w:sz w:val="21"/>
          <w:szCs w:val="21"/>
        </w:rPr>
        <w:footnoteReference w:id="55"/>
      </w:r>
      <w:r w:rsidRPr="009555DC">
        <w:rPr>
          <w:rFonts w:asciiTheme="minorHAnsi" w:hAnsiTheme="minorHAnsi"/>
          <w:sz w:val="21"/>
          <w:szCs w:val="21"/>
        </w:rPr>
        <w:t xml:space="preserve"> Early detection through routine endoscopy screening is key to reducing mortality and improving patient outcomes.</w:t>
      </w:r>
      <w:r w:rsidRPr="009555DC">
        <w:rPr>
          <w:rStyle w:val="FootnoteReference"/>
          <w:rFonts w:asciiTheme="minorHAnsi" w:hAnsiTheme="minorHAnsi"/>
          <w:sz w:val="21"/>
          <w:szCs w:val="21"/>
        </w:rPr>
        <w:footnoteReference w:id="56"/>
      </w:r>
      <w:r w:rsidRPr="009555DC">
        <w:rPr>
          <w:rFonts w:asciiTheme="minorHAnsi" w:hAnsiTheme="minorHAnsi"/>
          <w:sz w:val="21"/>
          <w:szCs w:val="21"/>
        </w:rPr>
        <w:t xml:space="preserve"> Currently, screening guidelines recommend that adults without a family history of colorectal cancer begin routine screenings at age 45, continuing every 10 years through age 75.</w:t>
      </w:r>
      <w:r w:rsidRPr="009555DC">
        <w:rPr>
          <w:rStyle w:val="FootnoteReference"/>
          <w:rFonts w:asciiTheme="minorHAnsi" w:hAnsiTheme="minorHAnsi"/>
          <w:sz w:val="21"/>
          <w:szCs w:val="21"/>
        </w:rPr>
        <w:footnoteReference w:id="57"/>
      </w:r>
      <w:r w:rsidRPr="009555DC">
        <w:rPr>
          <w:rFonts w:asciiTheme="minorHAnsi" w:hAnsiTheme="minorHAnsi"/>
          <w:sz w:val="21"/>
          <w:szCs w:val="21"/>
        </w:rPr>
        <w:t xml:space="preserve"> However, routine screening recommendations have not been amended to account for the growing prevalence of colorectal cancer among individuals aged 20-39. As a result, young adults rely on endoscopies as diagnostic and treatment tools.</w:t>
      </w:r>
      <w:r w:rsidRPr="009555DC">
        <w:rPr>
          <w:rStyle w:val="FootnoteReference"/>
          <w:rFonts w:asciiTheme="minorHAnsi" w:hAnsiTheme="minorHAnsi"/>
          <w:sz w:val="21"/>
          <w:szCs w:val="21"/>
        </w:rPr>
        <w:footnoteReference w:id="58"/>
      </w:r>
      <w:r w:rsidRPr="009555DC">
        <w:rPr>
          <w:rFonts w:asciiTheme="minorHAnsi" w:hAnsiTheme="minorHAnsi"/>
          <w:sz w:val="21"/>
          <w:szCs w:val="21"/>
        </w:rPr>
        <w:t xml:space="preserve"> Given the varying reasons for seeking endoscopies between adults aged 20-75, it is important to increase endoscopy capacity to ensure that the needs of all individuals are met.</w:t>
      </w:r>
    </w:p>
    <w:p w14:paraId="0163A157" w14:textId="77777777" w:rsidR="00D71F42" w:rsidRDefault="00D71F42" w:rsidP="00D71F42">
      <w:pPr>
        <w:spacing w:after="120"/>
        <w:jc w:val="both"/>
        <w:rPr>
          <w:rFonts w:asciiTheme="minorHAnsi" w:hAnsiTheme="minorHAnsi"/>
          <w:sz w:val="21"/>
          <w:szCs w:val="21"/>
        </w:rPr>
      </w:pPr>
      <w:r w:rsidRPr="009555DC">
        <w:rPr>
          <w:rFonts w:asciiTheme="minorHAnsi" w:hAnsiTheme="minorHAnsi"/>
          <w:sz w:val="21"/>
          <w:szCs w:val="21"/>
        </w:rPr>
        <w:t>Despite routine screening guidelines, screening rates remain low throughout the United States. In 2023, only 41% of adults aged 45-75 were up to date on their colorectal cancer screenings.</w:t>
      </w:r>
      <w:r w:rsidRPr="009555DC">
        <w:rPr>
          <w:rStyle w:val="FootnoteReference"/>
          <w:rFonts w:asciiTheme="minorHAnsi" w:hAnsiTheme="minorHAnsi"/>
          <w:sz w:val="21"/>
          <w:szCs w:val="21"/>
        </w:rPr>
        <w:footnoteReference w:id="59"/>
      </w:r>
      <w:r w:rsidRPr="009555DC">
        <w:rPr>
          <w:rFonts w:asciiTheme="minorHAnsi" w:hAnsiTheme="minorHAnsi"/>
          <w:sz w:val="21"/>
          <w:szCs w:val="21"/>
        </w:rPr>
        <w:t xml:space="preserve"> However, the number of annual screenings continues to increase, with over 3.3 million performed in 2023, up from 2.7 million in 2022.</w:t>
      </w:r>
      <w:r w:rsidRPr="009555DC">
        <w:rPr>
          <w:rStyle w:val="FootnoteReference"/>
          <w:rFonts w:asciiTheme="minorHAnsi" w:hAnsiTheme="minorHAnsi"/>
          <w:sz w:val="21"/>
          <w:szCs w:val="21"/>
        </w:rPr>
        <w:footnoteReference w:id="60"/>
      </w:r>
      <w:r w:rsidRPr="009555DC">
        <w:rPr>
          <w:rFonts w:asciiTheme="minorHAnsi" w:hAnsiTheme="minorHAnsi"/>
          <w:sz w:val="21"/>
          <w:szCs w:val="21"/>
        </w:rPr>
        <w:t xml:space="preserve"> This 22% increase in the number of screenings indicates a growing understanding among Americans of the dangers of colorectal cancer and a desire to benefit from earlier diagnosis and treatment.</w:t>
      </w:r>
      <w:r w:rsidRPr="009555DC">
        <w:rPr>
          <w:rStyle w:val="FootnoteReference"/>
          <w:rFonts w:asciiTheme="minorHAnsi" w:hAnsiTheme="minorHAnsi"/>
          <w:sz w:val="21"/>
          <w:szCs w:val="21"/>
        </w:rPr>
        <w:footnoteReference w:id="61"/>
      </w:r>
      <w:r w:rsidRPr="009555DC">
        <w:rPr>
          <w:rFonts w:asciiTheme="minorHAnsi" w:hAnsiTheme="minorHAnsi"/>
          <w:color w:val="FF0000"/>
          <w:sz w:val="21"/>
          <w:szCs w:val="21"/>
        </w:rPr>
        <w:t xml:space="preserve"> </w:t>
      </w:r>
      <w:r w:rsidRPr="009555DC">
        <w:rPr>
          <w:rFonts w:asciiTheme="minorHAnsi" w:hAnsiTheme="minorHAnsi"/>
          <w:color w:val="000000" w:themeColor="text1"/>
          <w:sz w:val="21"/>
          <w:szCs w:val="21"/>
        </w:rPr>
        <w:t xml:space="preserve">As </w:t>
      </w:r>
      <w:r w:rsidRPr="009555DC">
        <w:rPr>
          <w:rFonts w:asciiTheme="minorHAnsi" w:hAnsiTheme="minorHAnsi"/>
          <w:sz w:val="21"/>
          <w:szCs w:val="21"/>
        </w:rPr>
        <w:t xml:space="preserve">the number of individuals who are eligible for screening colonoscopy continues to grow each year, it is necessary to expand access to these services to match the demand. </w:t>
      </w:r>
    </w:p>
    <w:bookmarkEnd w:id="16"/>
    <w:p w14:paraId="07D4426F" w14:textId="3E36E1FE" w:rsidR="00362C79" w:rsidRPr="009555DC" w:rsidRDefault="00362C79" w:rsidP="0031751C">
      <w:pPr>
        <w:pStyle w:val="Heading3"/>
      </w:pPr>
      <w:r w:rsidRPr="009555DC">
        <w:lastRenderedPageBreak/>
        <w:t>Value of Ambulatory Surgery Centers</w:t>
      </w:r>
    </w:p>
    <w:p w14:paraId="69D2E61F" w14:textId="2BA00474" w:rsidR="00362C79" w:rsidRPr="009555DC" w:rsidRDefault="00362C79" w:rsidP="002973CA">
      <w:pPr>
        <w:spacing w:after="120"/>
        <w:jc w:val="both"/>
        <w:rPr>
          <w:rFonts w:asciiTheme="minorHAnsi" w:hAnsiTheme="minorHAnsi"/>
          <w:sz w:val="21"/>
          <w:szCs w:val="21"/>
        </w:rPr>
      </w:pPr>
      <w:r w:rsidRPr="009555DC">
        <w:rPr>
          <w:rFonts w:asciiTheme="minorHAnsi" w:hAnsiTheme="minorHAnsi"/>
          <w:sz w:val="21"/>
          <w:szCs w:val="21"/>
        </w:rPr>
        <w:t>Both single and multi-specialty ASCs demonstrate greater clinical and operational efficiency compared to HOPDs.</w:t>
      </w:r>
      <w:r w:rsidRPr="009555DC">
        <w:rPr>
          <w:rStyle w:val="FootnoteReference"/>
          <w:rFonts w:asciiTheme="minorHAnsi" w:hAnsiTheme="minorHAnsi"/>
          <w:sz w:val="21"/>
          <w:szCs w:val="21"/>
        </w:rPr>
        <w:footnoteReference w:id="62"/>
      </w:r>
      <w:r w:rsidRPr="009555DC">
        <w:rPr>
          <w:rFonts w:asciiTheme="minorHAnsi" w:hAnsiTheme="minorHAnsi"/>
          <w:sz w:val="21"/>
          <w:szCs w:val="21"/>
        </w:rPr>
        <w:t xml:space="preserve"> By focusing on a limited range of procedures, ASCs can deliver more personalized care through dedicated</w:t>
      </w:r>
      <w:r w:rsidR="007B5B9F" w:rsidRPr="007B5B9F">
        <w:rPr>
          <w:rFonts w:asciiTheme="minorHAnsi" w:hAnsiTheme="minorHAnsi"/>
          <w:sz w:val="21"/>
          <w:szCs w:val="21"/>
        </w:rPr>
        <w:t xml:space="preserve"> </w:t>
      </w:r>
      <w:r w:rsidR="007B5B9F" w:rsidRPr="009555DC">
        <w:rPr>
          <w:rFonts w:asciiTheme="minorHAnsi" w:hAnsiTheme="minorHAnsi"/>
          <w:sz w:val="21"/>
          <w:szCs w:val="21"/>
        </w:rPr>
        <w:t>surgical</w:t>
      </w:r>
      <w:r w:rsidR="007B5B9F">
        <w:rPr>
          <w:rFonts w:asciiTheme="minorHAnsi" w:hAnsiTheme="minorHAnsi"/>
          <w:sz w:val="21"/>
          <w:szCs w:val="21"/>
        </w:rPr>
        <w:t xml:space="preserve"> and/or procedural</w:t>
      </w:r>
      <w:r w:rsidR="007B5B9F" w:rsidRPr="009555DC">
        <w:rPr>
          <w:rFonts w:asciiTheme="minorHAnsi" w:hAnsiTheme="minorHAnsi"/>
          <w:sz w:val="21"/>
          <w:szCs w:val="21"/>
        </w:rPr>
        <w:t xml:space="preserve"> teams</w:t>
      </w:r>
      <w:r w:rsidRPr="009555DC">
        <w:rPr>
          <w:rFonts w:asciiTheme="minorHAnsi" w:hAnsiTheme="minorHAnsi"/>
          <w:sz w:val="21"/>
          <w:szCs w:val="21"/>
        </w:rPr>
        <w:t>.</w:t>
      </w:r>
      <w:r w:rsidRPr="009555DC">
        <w:rPr>
          <w:rStyle w:val="FootnoteReference"/>
          <w:rFonts w:asciiTheme="minorHAnsi" w:hAnsiTheme="minorHAnsi"/>
          <w:sz w:val="21"/>
          <w:szCs w:val="21"/>
        </w:rPr>
        <w:footnoteReference w:id="63"/>
      </w:r>
      <w:r w:rsidRPr="009555DC">
        <w:rPr>
          <w:rFonts w:asciiTheme="minorHAnsi" w:hAnsiTheme="minorHAnsi"/>
          <w:sz w:val="21"/>
          <w:szCs w:val="21"/>
        </w:rPr>
        <w:t xml:space="preserve"> Moreover, studies have shown that procedures performed in ASCs are associated with better clinical outcomes. One study found that complication rates for colonoscopies were higher in HOPDs than in ASCs over a 90-day period.</w:t>
      </w:r>
      <w:r w:rsidRPr="009555DC">
        <w:rPr>
          <w:rStyle w:val="FootnoteReference"/>
          <w:rFonts w:asciiTheme="minorHAnsi" w:hAnsiTheme="minorHAnsi"/>
          <w:sz w:val="21"/>
          <w:szCs w:val="21"/>
        </w:rPr>
        <w:footnoteReference w:id="64"/>
      </w:r>
      <w:r w:rsidRPr="009555DC">
        <w:rPr>
          <w:rFonts w:asciiTheme="minorHAnsi" w:hAnsiTheme="minorHAnsi"/>
          <w:sz w:val="21"/>
          <w:szCs w:val="21"/>
        </w:rPr>
        <w:t xml:space="preserve"> Consequently, ASCs are a better option for patients compared to HOPDs because of the tailored patient-care approach and lower complication risk.</w:t>
      </w:r>
    </w:p>
    <w:p w14:paraId="54907181" w14:textId="62711C98" w:rsidR="00D71F42" w:rsidRPr="009555DC" w:rsidRDefault="00362C79" w:rsidP="006B2AF7">
      <w:pPr>
        <w:spacing w:after="120"/>
        <w:jc w:val="both"/>
        <w:rPr>
          <w:rFonts w:asciiTheme="minorHAnsi" w:hAnsiTheme="minorHAnsi"/>
          <w:sz w:val="21"/>
          <w:szCs w:val="21"/>
        </w:rPr>
      </w:pPr>
      <w:r w:rsidRPr="009555DC">
        <w:rPr>
          <w:rFonts w:asciiTheme="minorHAnsi" w:hAnsiTheme="minorHAnsi"/>
          <w:sz w:val="21"/>
          <w:szCs w:val="21"/>
        </w:rPr>
        <w:t xml:space="preserve">In addition to clinical benefits, ASCs offer significant cost savings. The HPC’s February 2024 </w:t>
      </w:r>
      <w:r w:rsidRPr="009555DC">
        <w:rPr>
          <w:rFonts w:asciiTheme="minorHAnsi" w:hAnsiTheme="minorHAnsi"/>
          <w:i/>
          <w:iCs/>
          <w:sz w:val="21"/>
          <w:szCs w:val="21"/>
        </w:rPr>
        <w:t>Datapoints</w:t>
      </w:r>
      <w:r w:rsidRPr="009555DC">
        <w:rPr>
          <w:rFonts w:asciiTheme="minorHAnsi" w:hAnsiTheme="minorHAnsi"/>
          <w:sz w:val="21"/>
          <w:szCs w:val="21"/>
        </w:rPr>
        <w:t xml:space="preserve"> report found that services provided in ASCs are substantially less expensive than those in HOPDs across both public and private insurers.</w:t>
      </w:r>
      <w:r w:rsidRPr="009555DC">
        <w:rPr>
          <w:rStyle w:val="FootnoteReference"/>
          <w:rFonts w:asciiTheme="minorHAnsi" w:hAnsiTheme="minorHAnsi"/>
          <w:sz w:val="21"/>
          <w:szCs w:val="21"/>
        </w:rPr>
        <w:footnoteReference w:id="65"/>
      </w:r>
      <w:r w:rsidRPr="009555DC">
        <w:rPr>
          <w:rFonts w:asciiTheme="minorHAnsi" w:hAnsiTheme="minorHAnsi"/>
          <w:sz w:val="21"/>
          <w:szCs w:val="21"/>
        </w:rPr>
        <w:t xml:space="preserve"> This cost differential is primarily due to lower facility fees as ASCs. </w:t>
      </w:r>
      <w:r w:rsidR="004C2BE0" w:rsidRPr="009555DC">
        <w:rPr>
          <w:rFonts w:asciiTheme="minorHAnsi" w:hAnsiTheme="minorHAnsi"/>
          <w:sz w:val="21"/>
          <w:szCs w:val="21"/>
        </w:rPr>
        <w:t xml:space="preserve">For example, </w:t>
      </w:r>
      <w:r w:rsidRPr="009555DC">
        <w:rPr>
          <w:rFonts w:asciiTheme="minorHAnsi" w:hAnsiTheme="minorHAnsi"/>
          <w:sz w:val="21"/>
          <w:szCs w:val="21"/>
        </w:rPr>
        <w:t>a colonoscopy with polyp removal costs 32% less in an ASC than in a HOPD</w:t>
      </w:r>
      <w:r w:rsidR="004C2BE0" w:rsidRPr="009555DC">
        <w:rPr>
          <w:rFonts w:asciiTheme="minorHAnsi" w:hAnsiTheme="minorHAnsi"/>
          <w:sz w:val="21"/>
          <w:szCs w:val="21"/>
        </w:rPr>
        <w:t xml:space="preserve"> for commercially insured patients</w:t>
      </w:r>
      <w:r w:rsidRPr="009555DC">
        <w:rPr>
          <w:rFonts w:asciiTheme="minorHAnsi" w:hAnsiTheme="minorHAnsi"/>
          <w:sz w:val="21"/>
          <w:szCs w:val="21"/>
        </w:rPr>
        <w:t>.</w:t>
      </w:r>
      <w:r w:rsidRPr="009555DC">
        <w:rPr>
          <w:rStyle w:val="FootnoteReference"/>
          <w:rFonts w:asciiTheme="minorHAnsi" w:hAnsiTheme="minorHAnsi"/>
          <w:sz w:val="21"/>
          <w:szCs w:val="21"/>
        </w:rPr>
        <w:footnoteReference w:id="66"/>
      </w:r>
      <w:r w:rsidRPr="009555DC">
        <w:rPr>
          <w:rFonts w:asciiTheme="minorHAnsi" w:hAnsiTheme="minorHAnsi"/>
          <w:sz w:val="21"/>
          <w:szCs w:val="21"/>
        </w:rPr>
        <w:t xml:space="preserve"> For MassHealth, the same procedure is 61% less expensive in an ASC.</w:t>
      </w:r>
      <w:r w:rsidRPr="009555DC">
        <w:rPr>
          <w:rStyle w:val="FootnoteReference"/>
          <w:rFonts w:asciiTheme="minorHAnsi" w:hAnsiTheme="minorHAnsi"/>
          <w:sz w:val="21"/>
          <w:szCs w:val="21"/>
        </w:rPr>
        <w:footnoteReference w:id="67"/>
      </w:r>
      <w:r w:rsidRPr="009555DC">
        <w:rPr>
          <w:rFonts w:asciiTheme="minorHAnsi" w:hAnsiTheme="minorHAnsi"/>
          <w:sz w:val="21"/>
          <w:szCs w:val="21"/>
        </w:rPr>
        <w:t xml:space="preserve"> </w:t>
      </w:r>
      <w:r w:rsidR="00D71F42" w:rsidRPr="009555DC">
        <w:rPr>
          <w:rFonts w:asciiTheme="minorHAnsi" w:hAnsiTheme="minorHAnsi"/>
          <w:sz w:val="21"/>
          <w:szCs w:val="21"/>
        </w:rPr>
        <w:t>The increased capacity constraints and high utilization of the AMCs discussed throughout this Application result in unnecessarily higher costs for endoscopy procedures for public and private insurers. Transitioning even a small amount of endoscopy procedures performed at the AMCs will create immense cost savings in Massachusetts. Expanding access to ASC endoscopy services will support earlier detection of colorectal cancer, and thus, improve patient outcomes and reduce treatment costs.</w:t>
      </w:r>
      <w:r w:rsidR="00D71F42" w:rsidRPr="009555DC">
        <w:rPr>
          <w:rStyle w:val="FootnoteReference"/>
          <w:rFonts w:asciiTheme="minorHAnsi" w:hAnsiTheme="minorHAnsi"/>
          <w:sz w:val="21"/>
          <w:szCs w:val="21"/>
        </w:rPr>
        <w:footnoteReference w:id="68"/>
      </w:r>
      <w:r w:rsidR="00D71F42" w:rsidRPr="009555DC">
        <w:rPr>
          <w:rFonts w:asciiTheme="minorHAnsi" w:hAnsiTheme="minorHAnsi"/>
          <w:sz w:val="21"/>
          <w:szCs w:val="21"/>
        </w:rPr>
        <w:t xml:space="preserve"> Early-stage diagnosis significantly increases survival rates and lowers healthcare expenses, while delayed screenings, common among Medicare-eligible individuals, lead to later stage diagnosis resulting in higher medical expenses within the first year after diagnosis.</w:t>
      </w:r>
      <w:r w:rsidR="00D71F42" w:rsidRPr="009555DC">
        <w:rPr>
          <w:rStyle w:val="FootnoteReference"/>
          <w:rFonts w:asciiTheme="minorHAnsi" w:hAnsiTheme="minorHAnsi"/>
          <w:sz w:val="21"/>
          <w:szCs w:val="21"/>
        </w:rPr>
        <w:footnoteReference w:id="69"/>
      </w:r>
      <w:r w:rsidR="00D71F42" w:rsidRPr="009555DC">
        <w:rPr>
          <w:rFonts w:asciiTheme="minorHAnsi" w:hAnsiTheme="minorHAnsi"/>
          <w:sz w:val="21"/>
          <w:szCs w:val="21"/>
        </w:rPr>
        <w:t xml:space="preserve"> </w:t>
      </w:r>
      <w:r w:rsidR="00AA4865" w:rsidRPr="009555DC">
        <w:rPr>
          <w:rFonts w:ascii="Aptos" w:hAnsi="Aptos"/>
          <w:sz w:val="21"/>
          <w:szCs w:val="21"/>
        </w:rPr>
        <w:t>One study projected that if 60–70% of Americans were up to date with colorectal cancer screenings, Medicare could save between $2.7 billion and $4 billion in treatment costs by 2060.</w:t>
      </w:r>
      <w:r w:rsidR="00AA4865" w:rsidRPr="009555DC">
        <w:rPr>
          <w:rStyle w:val="FootnoteReference"/>
          <w:rFonts w:ascii="Aptos" w:hAnsi="Aptos"/>
          <w:sz w:val="21"/>
          <w:szCs w:val="21"/>
        </w:rPr>
        <w:footnoteReference w:id="70"/>
      </w:r>
      <w:r w:rsidR="00AA4865" w:rsidRPr="009555DC">
        <w:rPr>
          <w:rFonts w:ascii="Aptos" w:hAnsi="Aptos"/>
          <w:sz w:val="21"/>
          <w:szCs w:val="21"/>
        </w:rPr>
        <w:t xml:space="preserve"> Moreover, while increased screening participation may lead to short-term cost increases, long-term savings are substantial, ranging from 60% to 89% in Medicare treatment costs over a 50-year period.</w:t>
      </w:r>
      <w:r w:rsidR="00AA4865" w:rsidRPr="009555DC">
        <w:rPr>
          <w:rStyle w:val="FootnoteReference"/>
          <w:rFonts w:ascii="Aptos" w:hAnsi="Aptos"/>
          <w:sz w:val="21"/>
          <w:szCs w:val="21"/>
        </w:rPr>
        <w:footnoteReference w:id="71"/>
      </w:r>
    </w:p>
    <w:p w14:paraId="569902F2" w14:textId="2519D431" w:rsidR="002973CA" w:rsidRPr="009555DC" w:rsidRDefault="00362C79" w:rsidP="006B2AF7">
      <w:pPr>
        <w:spacing w:after="120"/>
        <w:jc w:val="both"/>
        <w:rPr>
          <w:rFonts w:asciiTheme="minorHAnsi" w:hAnsiTheme="minorHAnsi"/>
          <w:sz w:val="21"/>
          <w:szCs w:val="21"/>
        </w:rPr>
      </w:pPr>
      <w:r w:rsidRPr="009555DC">
        <w:rPr>
          <w:rFonts w:asciiTheme="minorHAnsi" w:hAnsiTheme="minorHAnsi"/>
          <w:sz w:val="21"/>
          <w:szCs w:val="21"/>
        </w:rPr>
        <w:t>Despite these advantages, ASCs remain underutilized. Massachusetts has one of the lowest per capita ASC capacities in the country and ranks fourth lowest nationally.</w:t>
      </w:r>
      <w:r w:rsidRPr="009555DC">
        <w:rPr>
          <w:rStyle w:val="FootnoteReference"/>
          <w:rFonts w:asciiTheme="minorHAnsi" w:hAnsiTheme="minorHAnsi"/>
          <w:sz w:val="21"/>
          <w:szCs w:val="21"/>
        </w:rPr>
        <w:footnoteReference w:id="72"/>
      </w:r>
      <w:r w:rsidRPr="009555DC">
        <w:rPr>
          <w:rFonts w:asciiTheme="minorHAnsi" w:hAnsiTheme="minorHAnsi"/>
          <w:sz w:val="21"/>
          <w:szCs w:val="21"/>
        </w:rPr>
        <w:t xml:space="preserve"> As of February 2024, Massachusetts had only 23 ASC operating rooms per one million residents – far below the national average of 56.</w:t>
      </w:r>
      <w:r w:rsidRPr="009555DC">
        <w:rPr>
          <w:rStyle w:val="FootnoteReference"/>
          <w:rFonts w:asciiTheme="minorHAnsi" w:hAnsiTheme="minorHAnsi"/>
          <w:sz w:val="21"/>
          <w:szCs w:val="21"/>
        </w:rPr>
        <w:footnoteReference w:id="73"/>
      </w:r>
      <w:r w:rsidRPr="009555DC">
        <w:rPr>
          <w:rFonts w:asciiTheme="minorHAnsi" w:hAnsiTheme="minorHAnsi"/>
          <w:sz w:val="21"/>
          <w:szCs w:val="21"/>
        </w:rPr>
        <w:t xml:space="preserve"> To meet the national average, Massachusetts needs to more than double its current number of ASC procedure rooms.</w:t>
      </w:r>
      <w:r w:rsidRPr="009555DC">
        <w:rPr>
          <w:rStyle w:val="FootnoteReference"/>
          <w:rFonts w:asciiTheme="minorHAnsi" w:hAnsiTheme="minorHAnsi"/>
          <w:sz w:val="21"/>
          <w:szCs w:val="21"/>
        </w:rPr>
        <w:footnoteReference w:id="74"/>
      </w:r>
      <w:r w:rsidRPr="009555DC">
        <w:rPr>
          <w:rFonts w:asciiTheme="minorHAnsi" w:hAnsiTheme="minorHAnsi"/>
          <w:sz w:val="21"/>
          <w:szCs w:val="21"/>
        </w:rPr>
        <w:t xml:space="preserve"> Specifically for endoscopy</w:t>
      </w:r>
      <w:r w:rsidR="002973CA" w:rsidRPr="009555DC">
        <w:rPr>
          <w:rFonts w:asciiTheme="minorHAnsi" w:hAnsiTheme="minorHAnsi"/>
          <w:sz w:val="21"/>
          <w:szCs w:val="21"/>
        </w:rPr>
        <w:t xml:space="preserve">, </w:t>
      </w:r>
      <w:r w:rsidRPr="009555DC">
        <w:rPr>
          <w:rFonts w:asciiTheme="minorHAnsi" w:hAnsiTheme="minorHAnsi"/>
          <w:sz w:val="21"/>
          <w:szCs w:val="21"/>
        </w:rPr>
        <w:t xml:space="preserve">Massachusetts has only 12 single-specialty endoscopy ASCs and six multi-specialty ASCs that offer endoscopy. Expanding the number of procedure rooms dedicated to endoscopy </w:t>
      </w:r>
      <w:r w:rsidR="001A3CFE" w:rsidRPr="009555DC">
        <w:rPr>
          <w:rFonts w:asciiTheme="minorHAnsi" w:hAnsiTheme="minorHAnsi"/>
          <w:sz w:val="21"/>
          <w:szCs w:val="21"/>
        </w:rPr>
        <w:t>through the</w:t>
      </w:r>
      <w:r w:rsidRPr="009555DC">
        <w:rPr>
          <w:rFonts w:asciiTheme="minorHAnsi" w:hAnsiTheme="minorHAnsi"/>
          <w:sz w:val="21"/>
          <w:szCs w:val="21"/>
        </w:rPr>
        <w:t xml:space="preserve"> Proposed Project will support </w:t>
      </w:r>
      <w:r w:rsidR="001A3CFE" w:rsidRPr="009555DC">
        <w:rPr>
          <w:rFonts w:asciiTheme="minorHAnsi" w:hAnsiTheme="minorHAnsi"/>
          <w:sz w:val="21"/>
          <w:szCs w:val="21"/>
        </w:rPr>
        <w:t>both increased access to endoscopy for the Patient Panel and an overall reduction in TME</w:t>
      </w:r>
      <w:r w:rsidRPr="009555DC">
        <w:rPr>
          <w:rFonts w:asciiTheme="minorHAnsi" w:hAnsiTheme="minorHAnsi"/>
          <w:sz w:val="21"/>
          <w:szCs w:val="21"/>
        </w:rPr>
        <w:t>.</w:t>
      </w:r>
    </w:p>
    <w:p w14:paraId="43B21293" w14:textId="77777777" w:rsidR="005B6EDA" w:rsidRPr="009555DC" w:rsidRDefault="005B6EDA" w:rsidP="0031751C">
      <w:pPr>
        <w:pStyle w:val="Heading2"/>
        <w:rPr>
          <w:rFonts w:eastAsia="Arial"/>
        </w:rPr>
      </w:pPr>
      <w:r w:rsidRPr="009555DC">
        <w:lastRenderedPageBreak/>
        <w:t>F1.</w:t>
      </w:r>
      <w:proofErr w:type="gramStart"/>
      <w:r w:rsidRPr="009555DC">
        <w:t>b.ii</w:t>
      </w:r>
      <w:proofErr w:type="gramEnd"/>
      <w:r w:rsidRPr="009555DC">
        <w:tab/>
      </w:r>
      <w:r w:rsidRPr="009555DC">
        <w:tab/>
      </w:r>
      <w:r w:rsidRPr="0031751C">
        <w:rPr>
          <w:b/>
          <w:bCs w:val="0"/>
        </w:rPr>
        <w:t>Public Health Value /Outcome-Oriented:</w:t>
      </w:r>
    </w:p>
    <w:p w14:paraId="217F7B21" w14:textId="77777777" w:rsidR="005B6EDA" w:rsidRPr="009555DC" w:rsidRDefault="005B6EDA" w:rsidP="005B6EDA">
      <w:pPr>
        <w:pStyle w:val="BodyText"/>
        <w:widowControl/>
        <w:spacing w:after="120"/>
        <w:ind w:left="1440"/>
        <w:jc w:val="both"/>
        <w:rPr>
          <w:rFonts w:ascii="Aptos" w:hAnsi="Aptos"/>
          <w:bCs/>
          <w:i/>
          <w:iCs/>
          <w:kern w:val="2"/>
          <w:sz w:val="21"/>
          <w:szCs w:val="21"/>
        </w:rPr>
      </w:pPr>
      <w:r w:rsidRPr="009555DC">
        <w:rPr>
          <w:rFonts w:ascii="Aptos" w:hAnsi="Aptos"/>
          <w:bCs/>
          <w:i/>
          <w:iCs/>
          <w:kern w:val="2"/>
          <w:sz w:val="21"/>
          <w:szCs w:val="21"/>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32A35FC8" w14:textId="5E18BDBB" w:rsidR="005B6EDA" w:rsidRPr="009555DC" w:rsidRDefault="005B6EDA" w:rsidP="005B6EDA">
      <w:pPr>
        <w:spacing w:after="200"/>
        <w:jc w:val="both"/>
        <w:rPr>
          <w:sz w:val="21"/>
          <w:szCs w:val="21"/>
        </w:rPr>
      </w:pPr>
      <w:r w:rsidRPr="009555DC">
        <w:rPr>
          <w:rFonts w:ascii="Aptos" w:hAnsi="Aptos" w:cs="Arial"/>
          <w:sz w:val="21"/>
          <w:szCs w:val="21"/>
        </w:rPr>
        <w:t xml:space="preserve">The Proposed Project will provide public health value by improving access to high-quality outpatient endoscopy in Cambridge, thereby improving health outcomes and patient satisfaction. To assess the impact of the Proposed Project, the Applicant will monitor and report </w:t>
      </w:r>
      <w:r w:rsidR="00A22244">
        <w:rPr>
          <w:rFonts w:ascii="Aptos" w:hAnsi="Aptos" w:cs="Arial"/>
          <w:sz w:val="21"/>
          <w:szCs w:val="21"/>
        </w:rPr>
        <w:t xml:space="preserve">the </w:t>
      </w:r>
      <w:r w:rsidRPr="009555DC">
        <w:rPr>
          <w:rFonts w:ascii="Aptos" w:hAnsi="Aptos" w:cs="Arial"/>
          <w:sz w:val="21"/>
          <w:szCs w:val="21"/>
        </w:rPr>
        <w:t>following quality metrics.</w:t>
      </w:r>
    </w:p>
    <w:p w14:paraId="409E3760" w14:textId="77777777" w:rsidR="005B6EDA" w:rsidRPr="009555DC" w:rsidRDefault="005B6EDA" w:rsidP="005B6EDA">
      <w:pPr>
        <w:pStyle w:val="BodyText"/>
        <w:widowControl/>
        <w:numPr>
          <w:ilvl w:val="0"/>
          <w:numId w:val="11"/>
        </w:numPr>
        <w:autoSpaceDE/>
        <w:autoSpaceDN/>
        <w:spacing w:after="120"/>
        <w:jc w:val="both"/>
        <w:rPr>
          <w:rFonts w:ascii="Aptos" w:hAnsi="Aptos"/>
          <w:b/>
          <w:bCs/>
          <w:kern w:val="2"/>
          <w:sz w:val="21"/>
          <w:szCs w:val="21"/>
        </w:rPr>
      </w:pPr>
      <w:r w:rsidRPr="009555DC">
        <w:rPr>
          <w:rFonts w:ascii="Aptos" w:hAnsi="Aptos"/>
          <w:b/>
          <w:bCs/>
          <w:kern w:val="2"/>
          <w:sz w:val="21"/>
          <w:szCs w:val="21"/>
        </w:rPr>
        <w:t xml:space="preserve">Withdrawal Time: </w:t>
      </w:r>
      <w:r w:rsidRPr="009555DC">
        <w:rPr>
          <w:rFonts w:ascii="Aptos" w:hAnsi="Aptos"/>
          <w:kern w:val="2"/>
          <w:sz w:val="21"/>
          <w:szCs w:val="21"/>
        </w:rPr>
        <w:t xml:space="preserve">Withdrawal time is based on the average number of minutes a physician took to withdraw the scope from the cecum during a screening colonoscopy when no maneuvers were performed. Longer withdrawal times during screening colonoscopies are associated with increased adenoma (polyp) detection rates, which is essential to making safe recommendations for intervals between screening and surveillance examinations. </w:t>
      </w:r>
    </w:p>
    <w:p w14:paraId="10BF2ECD" w14:textId="77777777" w:rsidR="005B6EDA" w:rsidRPr="009555DC" w:rsidRDefault="005B6EDA" w:rsidP="005B6EDA">
      <w:pPr>
        <w:pStyle w:val="BodyText"/>
        <w:widowControl/>
        <w:spacing w:after="120"/>
        <w:ind w:left="720"/>
        <w:jc w:val="both"/>
        <w:rPr>
          <w:rFonts w:ascii="Aptos" w:hAnsi="Aptos"/>
          <w:kern w:val="2"/>
          <w:sz w:val="21"/>
          <w:szCs w:val="21"/>
        </w:rPr>
      </w:pPr>
      <w:bookmarkStart w:id="19" w:name="_Hlk48813784"/>
      <w:r w:rsidRPr="009555DC">
        <w:rPr>
          <w:rFonts w:ascii="Aptos" w:hAnsi="Aptos"/>
          <w:b/>
          <w:bCs/>
          <w:kern w:val="2"/>
          <w:sz w:val="21"/>
          <w:szCs w:val="21"/>
        </w:rPr>
        <w:t xml:space="preserve">Measure: </w:t>
      </w:r>
      <w:r w:rsidRPr="009555DC">
        <w:rPr>
          <w:rFonts w:ascii="Aptos" w:hAnsi="Aptos"/>
          <w:kern w:val="2"/>
          <w:sz w:val="21"/>
          <w:szCs w:val="21"/>
        </w:rPr>
        <w:t>Average withdrawal time in normal-result colonoscopies performed for colorectal cancer screening in average-risk patients with intact colons.</w:t>
      </w:r>
    </w:p>
    <w:p w14:paraId="1173288C" w14:textId="77777777" w:rsidR="005B6EDA" w:rsidRPr="009555DC" w:rsidRDefault="005B6EDA" w:rsidP="005B6EDA">
      <w:pPr>
        <w:pStyle w:val="BodyText"/>
        <w:widowControl/>
        <w:ind w:left="720" w:firstLine="720"/>
        <w:jc w:val="both"/>
        <w:rPr>
          <w:rFonts w:ascii="Aptos" w:hAnsi="Aptos"/>
          <w:kern w:val="2"/>
          <w:sz w:val="21"/>
          <w:szCs w:val="21"/>
        </w:rPr>
      </w:pPr>
      <w:r w:rsidRPr="009555DC">
        <w:rPr>
          <w:rFonts w:ascii="Aptos" w:hAnsi="Aptos"/>
          <w:b/>
          <w:bCs/>
          <w:kern w:val="2"/>
          <w:sz w:val="21"/>
          <w:szCs w:val="21"/>
        </w:rPr>
        <w:t xml:space="preserve">Numerator: </w:t>
      </w:r>
      <w:r w:rsidRPr="009555DC">
        <w:rPr>
          <w:rFonts w:ascii="Aptos" w:hAnsi="Aptos"/>
          <w:kern w:val="2"/>
          <w:sz w:val="21"/>
          <w:szCs w:val="21"/>
        </w:rPr>
        <w:t xml:space="preserve">Total number of withdrawal minutes for all patients. </w:t>
      </w:r>
      <w:r w:rsidRPr="009555DC">
        <w:rPr>
          <w:rFonts w:ascii="Aptos" w:hAnsi="Aptos"/>
          <w:b/>
          <w:bCs/>
          <w:kern w:val="2"/>
          <w:sz w:val="21"/>
          <w:szCs w:val="21"/>
        </w:rPr>
        <w:tab/>
      </w:r>
    </w:p>
    <w:p w14:paraId="09E72D92" w14:textId="77777777" w:rsidR="005B6EDA" w:rsidRPr="009555DC" w:rsidRDefault="005B6EDA" w:rsidP="005B6EDA">
      <w:pPr>
        <w:pStyle w:val="BodyText"/>
        <w:widowControl/>
        <w:spacing w:after="120"/>
        <w:ind w:left="720" w:firstLine="720"/>
        <w:jc w:val="both"/>
        <w:rPr>
          <w:rFonts w:ascii="Aptos" w:hAnsi="Aptos"/>
          <w:kern w:val="2"/>
          <w:sz w:val="21"/>
          <w:szCs w:val="21"/>
        </w:rPr>
      </w:pPr>
      <w:r w:rsidRPr="009555DC">
        <w:rPr>
          <w:rFonts w:ascii="Aptos" w:hAnsi="Aptos"/>
          <w:b/>
          <w:bCs/>
          <w:kern w:val="2"/>
          <w:sz w:val="21"/>
          <w:szCs w:val="21"/>
        </w:rPr>
        <w:t xml:space="preserve">Denominator: </w:t>
      </w:r>
      <w:r w:rsidRPr="009555DC">
        <w:rPr>
          <w:rFonts w:ascii="Aptos" w:hAnsi="Aptos"/>
          <w:kern w:val="2"/>
          <w:sz w:val="21"/>
          <w:szCs w:val="21"/>
        </w:rPr>
        <w:t xml:space="preserve">Total number of patients. </w:t>
      </w:r>
      <w:bookmarkEnd w:id="19"/>
    </w:p>
    <w:p w14:paraId="04CC020D" w14:textId="77777777" w:rsidR="005B6EDA" w:rsidRPr="009555DC" w:rsidRDefault="005B6EDA" w:rsidP="005B6EDA">
      <w:pPr>
        <w:pStyle w:val="BodyText"/>
        <w:widowControl/>
        <w:numPr>
          <w:ilvl w:val="0"/>
          <w:numId w:val="11"/>
        </w:numPr>
        <w:autoSpaceDE/>
        <w:autoSpaceDN/>
        <w:spacing w:after="120"/>
        <w:jc w:val="both"/>
        <w:rPr>
          <w:rFonts w:ascii="Aptos" w:hAnsi="Aptos"/>
          <w:b/>
          <w:bCs/>
          <w:kern w:val="2"/>
          <w:sz w:val="21"/>
          <w:szCs w:val="21"/>
        </w:rPr>
      </w:pPr>
      <w:r w:rsidRPr="009555DC">
        <w:rPr>
          <w:rFonts w:ascii="Aptos" w:hAnsi="Aptos"/>
          <w:b/>
          <w:bCs/>
          <w:kern w:val="2"/>
          <w:sz w:val="21"/>
          <w:szCs w:val="21"/>
        </w:rPr>
        <w:t xml:space="preserve">Adenoma Detection Rate: </w:t>
      </w:r>
      <w:r w:rsidRPr="009555DC">
        <w:rPr>
          <w:rFonts w:ascii="Aptos" w:hAnsi="Aptos"/>
          <w:kern w:val="2"/>
          <w:sz w:val="21"/>
          <w:szCs w:val="21"/>
        </w:rPr>
        <w:t xml:space="preserve">The Adenoma Detection Rate (ADR) is the minimum target for adenomas detected among an individual provider’s patient panel.  An increased ADR is associated with a reduction in CRC incidence and a reduction </w:t>
      </w:r>
      <w:proofErr w:type="gramStart"/>
      <w:r w:rsidRPr="009555DC">
        <w:rPr>
          <w:rFonts w:ascii="Aptos" w:hAnsi="Aptos"/>
          <w:kern w:val="2"/>
          <w:sz w:val="21"/>
          <w:szCs w:val="21"/>
        </w:rPr>
        <w:t>of</w:t>
      </w:r>
      <w:proofErr w:type="gramEnd"/>
      <w:r w:rsidRPr="009555DC">
        <w:rPr>
          <w:rFonts w:ascii="Aptos" w:hAnsi="Aptos"/>
          <w:kern w:val="2"/>
          <w:sz w:val="21"/>
          <w:szCs w:val="21"/>
        </w:rPr>
        <w:t xml:space="preserve"> cancer mortality.</w:t>
      </w:r>
      <w:r w:rsidRPr="009555DC">
        <w:rPr>
          <w:rStyle w:val="FootnoteReference"/>
          <w:rFonts w:ascii="Aptos" w:hAnsi="Aptos"/>
          <w:kern w:val="2"/>
          <w:sz w:val="21"/>
          <w:szCs w:val="21"/>
        </w:rPr>
        <w:footnoteReference w:id="75"/>
      </w:r>
      <w:r w:rsidRPr="009555DC">
        <w:rPr>
          <w:rFonts w:ascii="Aptos" w:hAnsi="Aptos"/>
          <w:kern w:val="2"/>
          <w:sz w:val="21"/>
          <w:szCs w:val="21"/>
        </w:rPr>
        <w:t xml:space="preserve"> </w:t>
      </w:r>
    </w:p>
    <w:p w14:paraId="21774F31" w14:textId="77777777" w:rsidR="005B6EDA" w:rsidRPr="009555DC" w:rsidRDefault="005B6EDA" w:rsidP="005B6EDA">
      <w:pPr>
        <w:pStyle w:val="BodyText"/>
        <w:spacing w:after="120"/>
        <w:ind w:left="720"/>
        <w:jc w:val="both"/>
        <w:rPr>
          <w:rFonts w:ascii="Aptos" w:hAnsi="Aptos"/>
          <w:kern w:val="2"/>
          <w:sz w:val="21"/>
          <w:szCs w:val="21"/>
        </w:rPr>
      </w:pPr>
      <w:r w:rsidRPr="009555DC">
        <w:rPr>
          <w:rFonts w:ascii="Aptos" w:hAnsi="Aptos"/>
          <w:b/>
          <w:bCs/>
          <w:kern w:val="2"/>
          <w:sz w:val="21"/>
          <w:szCs w:val="21"/>
        </w:rPr>
        <w:t xml:space="preserve">Measure: </w:t>
      </w:r>
      <w:r w:rsidRPr="009555DC">
        <w:rPr>
          <w:rFonts w:ascii="Aptos" w:hAnsi="Aptos"/>
          <w:kern w:val="2"/>
          <w:sz w:val="21"/>
          <w:szCs w:val="21"/>
        </w:rPr>
        <w:t xml:space="preserve">Average rate of adenoma detection among an endoscopist’s patient panel ages 50 years or older. </w:t>
      </w:r>
    </w:p>
    <w:p w14:paraId="7925D38E" w14:textId="77777777" w:rsidR="005B6EDA" w:rsidRPr="009555DC" w:rsidRDefault="005B6EDA" w:rsidP="00FD47B8">
      <w:pPr>
        <w:autoSpaceDE w:val="0"/>
        <w:autoSpaceDN w:val="0"/>
        <w:adjustRightInd w:val="0"/>
        <w:ind w:left="1440"/>
        <w:jc w:val="both"/>
        <w:rPr>
          <w:rFonts w:ascii="Aptos" w:hAnsi="Aptos"/>
          <w:sz w:val="21"/>
          <w:szCs w:val="21"/>
        </w:rPr>
      </w:pPr>
      <w:r w:rsidRPr="009555DC">
        <w:rPr>
          <w:rFonts w:ascii="Aptos" w:hAnsi="Aptos"/>
          <w:b/>
          <w:bCs/>
          <w:sz w:val="21"/>
          <w:szCs w:val="21"/>
        </w:rPr>
        <w:t>Numerator:</w:t>
      </w:r>
      <w:r w:rsidRPr="009555DC">
        <w:rPr>
          <w:rFonts w:ascii="Aptos" w:hAnsi="Aptos"/>
          <w:sz w:val="21"/>
          <w:szCs w:val="21"/>
        </w:rPr>
        <w:t xml:space="preserve"> The number of procedures for patients over 50 years of age where at least one adenoma was detected.</w:t>
      </w:r>
    </w:p>
    <w:p w14:paraId="3B31D6BD" w14:textId="77777777" w:rsidR="005B6EDA" w:rsidRPr="009555DC" w:rsidRDefault="005B6EDA" w:rsidP="00FD47B8">
      <w:pPr>
        <w:autoSpaceDE w:val="0"/>
        <w:autoSpaceDN w:val="0"/>
        <w:adjustRightInd w:val="0"/>
        <w:spacing w:after="120"/>
        <w:ind w:left="720" w:firstLine="720"/>
        <w:jc w:val="both"/>
        <w:rPr>
          <w:rFonts w:ascii="Aptos" w:hAnsi="Aptos"/>
          <w:sz w:val="21"/>
          <w:szCs w:val="21"/>
        </w:rPr>
      </w:pPr>
      <w:r w:rsidRPr="009555DC">
        <w:rPr>
          <w:rFonts w:ascii="Aptos" w:hAnsi="Aptos"/>
          <w:b/>
          <w:bCs/>
          <w:sz w:val="21"/>
          <w:szCs w:val="21"/>
        </w:rPr>
        <w:t xml:space="preserve">Denominator: </w:t>
      </w:r>
      <w:r w:rsidRPr="009555DC">
        <w:rPr>
          <w:rFonts w:ascii="Aptos" w:hAnsi="Aptos"/>
          <w:sz w:val="21"/>
          <w:szCs w:val="21"/>
        </w:rPr>
        <w:t>Total number of procedures for patients over 50 years of age.</w:t>
      </w:r>
    </w:p>
    <w:p w14:paraId="0207D6B9" w14:textId="77777777" w:rsidR="005B6EDA" w:rsidRPr="009555DC" w:rsidRDefault="005B6EDA" w:rsidP="005B6EDA">
      <w:pPr>
        <w:pStyle w:val="BodyText"/>
        <w:widowControl/>
        <w:numPr>
          <w:ilvl w:val="0"/>
          <w:numId w:val="11"/>
        </w:numPr>
        <w:autoSpaceDE/>
        <w:autoSpaceDN/>
        <w:spacing w:after="120"/>
        <w:jc w:val="both"/>
        <w:rPr>
          <w:rFonts w:ascii="Aptos" w:hAnsi="Aptos"/>
          <w:kern w:val="2"/>
          <w:sz w:val="21"/>
          <w:szCs w:val="21"/>
        </w:rPr>
      </w:pPr>
      <w:r w:rsidRPr="009555DC">
        <w:rPr>
          <w:rFonts w:ascii="Aptos" w:hAnsi="Aptos"/>
          <w:b/>
          <w:kern w:val="2"/>
          <w:sz w:val="21"/>
          <w:szCs w:val="21"/>
        </w:rPr>
        <w:t xml:space="preserve">Patient Satisfaction: </w:t>
      </w:r>
      <w:r w:rsidRPr="009555DC">
        <w:rPr>
          <w:rFonts w:ascii="Aptos" w:hAnsi="Aptos"/>
          <w:kern w:val="2"/>
          <w:sz w:val="21"/>
          <w:szCs w:val="21"/>
        </w:rPr>
        <w:t xml:space="preserve">Patients that are satisfied with their care are more likely to seek additional treatment when needed. The Applicant will continue to review patient satisfaction levels with the ASC’s surgical services and compare </w:t>
      </w:r>
      <w:proofErr w:type="gramStart"/>
      <w:r w:rsidRPr="009555DC">
        <w:rPr>
          <w:rFonts w:ascii="Aptos" w:hAnsi="Aptos"/>
          <w:kern w:val="2"/>
          <w:sz w:val="21"/>
          <w:szCs w:val="21"/>
        </w:rPr>
        <w:t>across like-facilities</w:t>
      </w:r>
      <w:proofErr w:type="gramEnd"/>
      <w:r w:rsidRPr="009555DC">
        <w:rPr>
          <w:rFonts w:ascii="Aptos" w:hAnsi="Aptos"/>
          <w:kern w:val="2"/>
          <w:sz w:val="21"/>
          <w:szCs w:val="21"/>
        </w:rPr>
        <w:t xml:space="preserve"> and regional benchmarks. </w:t>
      </w:r>
    </w:p>
    <w:p w14:paraId="030EF83F" w14:textId="4712CF83" w:rsidR="005B6EDA" w:rsidRPr="009555DC" w:rsidRDefault="005B6EDA" w:rsidP="002973CA">
      <w:pPr>
        <w:pStyle w:val="BodyText"/>
        <w:widowControl/>
        <w:spacing w:after="120"/>
        <w:ind w:left="720"/>
        <w:jc w:val="both"/>
        <w:rPr>
          <w:rFonts w:ascii="Aptos" w:hAnsi="Aptos"/>
          <w:kern w:val="2"/>
          <w:sz w:val="21"/>
          <w:szCs w:val="21"/>
        </w:rPr>
      </w:pPr>
      <w:r w:rsidRPr="009555DC">
        <w:rPr>
          <w:rFonts w:ascii="Aptos" w:hAnsi="Aptos"/>
          <w:b/>
          <w:kern w:val="2"/>
          <w:sz w:val="21"/>
          <w:szCs w:val="21"/>
        </w:rPr>
        <w:t>Measure:</w:t>
      </w:r>
      <w:r w:rsidRPr="009555DC">
        <w:rPr>
          <w:rFonts w:ascii="Aptos" w:hAnsi="Aptos"/>
          <w:kern w:val="2"/>
          <w:sz w:val="21"/>
          <w:szCs w:val="21"/>
        </w:rPr>
        <w:t xml:space="preserve"> A Press Ganey Patient Satisfaction survey is provided to all eligible patients following their procedure. This survey focuses on the patient’s experience in multiple areas, including, net promoter score (NPS), wait times, facility operations, care communication, nurse/physician treatment, and discharge. The survey also allows for anonymous comments from patients to further provide insight into areas of improvements and praises or concerns.  </w:t>
      </w:r>
    </w:p>
    <w:p w14:paraId="46175AB0" w14:textId="77777777" w:rsidR="00D03A63" w:rsidRPr="009555DC" w:rsidRDefault="00D03A63" w:rsidP="0031751C">
      <w:pPr>
        <w:pStyle w:val="Heading2"/>
        <w:rPr>
          <w:rFonts w:eastAsia="Arial"/>
        </w:rPr>
      </w:pPr>
      <w:bookmarkStart w:id="20" w:name="_Hlk184113126"/>
      <w:r w:rsidRPr="009555DC">
        <w:t>F1.b.iii</w:t>
      </w:r>
      <w:r w:rsidRPr="009555DC">
        <w:tab/>
      </w:r>
      <w:r w:rsidRPr="009555DC">
        <w:tab/>
      </w:r>
      <w:r w:rsidRPr="0031751C">
        <w:rPr>
          <w:b/>
          <w:bCs w:val="0"/>
        </w:rPr>
        <w:t>Public Health Value /Health Equity-Focused</w:t>
      </w:r>
    </w:p>
    <w:p w14:paraId="08FEFC90" w14:textId="77777777" w:rsidR="00D03A63" w:rsidRPr="009555DC" w:rsidRDefault="00D03A63" w:rsidP="00D03A63">
      <w:pPr>
        <w:pStyle w:val="BodyText"/>
        <w:spacing w:before="120"/>
        <w:ind w:left="1440"/>
        <w:jc w:val="both"/>
        <w:rPr>
          <w:rFonts w:ascii="Aptos" w:hAnsi="Aptos"/>
          <w:bCs/>
          <w:i/>
          <w:iCs/>
          <w:sz w:val="21"/>
          <w:szCs w:val="21"/>
        </w:rPr>
      </w:pPr>
      <w:r w:rsidRPr="009555DC">
        <w:rPr>
          <w:rFonts w:ascii="Aptos" w:hAnsi="Aptos"/>
          <w:bCs/>
          <w:i/>
          <w:iCs/>
          <w:sz w:val="21"/>
          <w:szCs w:val="21"/>
        </w:rPr>
        <w:t xml:space="preserve">For Proposed Projects addressing health inequities identified within the Applicant's description of the Proposed Project's </w:t>
      </w:r>
      <w:proofErr w:type="spellStart"/>
      <w:r w:rsidRPr="009555DC">
        <w:rPr>
          <w:rFonts w:ascii="Aptos" w:hAnsi="Aptos"/>
          <w:bCs/>
          <w:i/>
          <w:iCs/>
          <w:sz w:val="21"/>
          <w:szCs w:val="21"/>
        </w:rPr>
        <w:t>need</w:t>
      </w:r>
      <w:r w:rsidRPr="009555DC">
        <w:rPr>
          <w:rFonts w:ascii="Aptos" w:hAnsi="Aptos"/>
          <w:bCs/>
          <w:i/>
          <w:iCs/>
          <w:sz w:val="21"/>
          <w:szCs w:val="21"/>
        </w:rPr>
        <w:softHyphen/>
        <w:t>base</w:t>
      </w:r>
      <w:proofErr w:type="spellEnd"/>
      <w:r w:rsidRPr="009555DC">
        <w:rPr>
          <w:rFonts w:ascii="Aptos" w:hAnsi="Aptos"/>
          <w:bCs/>
          <w:i/>
          <w:iCs/>
          <w:sz w:val="21"/>
          <w:szCs w:val="21"/>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2E57B1BA" w14:textId="0570E79E" w:rsidR="004D7D55" w:rsidRPr="009555DC" w:rsidRDefault="004C2BE0" w:rsidP="00D03A63">
      <w:pPr>
        <w:spacing w:before="120" w:after="120"/>
        <w:jc w:val="both"/>
        <w:rPr>
          <w:rFonts w:ascii="Aptos" w:hAnsi="Aptos" w:cs="Arial"/>
          <w:sz w:val="21"/>
          <w:szCs w:val="21"/>
        </w:rPr>
      </w:pPr>
      <w:bookmarkStart w:id="21" w:name="_Hlk183505002"/>
      <w:r w:rsidRPr="009555DC">
        <w:rPr>
          <w:rFonts w:ascii="Aptos" w:hAnsi="Aptos" w:cs="Arial"/>
          <w:sz w:val="21"/>
          <w:szCs w:val="21"/>
        </w:rPr>
        <w:lastRenderedPageBreak/>
        <w:t xml:space="preserve">Acknowledging the rising </w:t>
      </w:r>
      <w:r w:rsidR="00CB6812">
        <w:rPr>
          <w:rFonts w:ascii="Aptos" w:hAnsi="Aptos" w:cs="Arial"/>
          <w:sz w:val="21"/>
          <w:szCs w:val="21"/>
        </w:rPr>
        <w:t>variations</w:t>
      </w:r>
      <w:r w:rsidR="00CB6812" w:rsidRPr="009555DC">
        <w:rPr>
          <w:rFonts w:ascii="Aptos" w:hAnsi="Aptos" w:cs="Arial"/>
          <w:sz w:val="21"/>
          <w:szCs w:val="21"/>
        </w:rPr>
        <w:t xml:space="preserve"> </w:t>
      </w:r>
      <w:r w:rsidRPr="009555DC">
        <w:rPr>
          <w:rFonts w:ascii="Aptos" w:hAnsi="Aptos" w:cs="Arial"/>
          <w:sz w:val="21"/>
          <w:szCs w:val="21"/>
        </w:rPr>
        <w:t xml:space="preserve">in colorectal cancer screening across </w:t>
      </w:r>
      <w:r w:rsidR="001A3CFE" w:rsidRPr="009555DC">
        <w:rPr>
          <w:rFonts w:ascii="Aptos" w:hAnsi="Aptos" w:cs="Arial"/>
          <w:sz w:val="21"/>
          <w:szCs w:val="21"/>
        </w:rPr>
        <w:t>neighborhood</w:t>
      </w:r>
      <w:r w:rsidR="00CB6812">
        <w:rPr>
          <w:rFonts w:ascii="Aptos" w:hAnsi="Aptos" w:cs="Arial"/>
          <w:sz w:val="21"/>
          <w:szCs w:val="21"/>
        </w:rPr>
        <w:t>s</w:t>
      </w:r>
      <w:r w:rsidRPr="009555DC">
        <w:rPr>
          <w:rFonts w:ascii="Aptos" w:hAnsi="Aptos" w:cs="Arial"/>
          <w:sz w:val="21"/>
          <w:szCs w:val="21"/>
        </w:rPr>
        <w:t xml:space="preserve">, </w:t>
      </w:r>
      <w:r w:rsidR="00D03A63" w:rsidRPr="009555DC">
        <w:rPr>
          <w:rFonts w:ascii="Aptos" w:hAnsi="Aptos" w:cs="Arial"/>
          <w:sz w:val="21"/>
          <w:szCs w:val="21"/>
        </w:rPr>
        <w:t xml:space="preserve">MGB </w:t>
      </w:r>
      <w:r w:rsidRPr="009555DC">
        <w:rPr>
          <w:rFonts w:ascii="Aptos" w:hAnsi="Aptos" w:cs="Arial"/>
          <w:sz w:val="21"/>
          <w:szCs w:val="21"/>
        </w:rPr>
        <w:t>implemented a</w:t>
      </w:r>
      <w:r w:rsidR="00D03A63" w:rsidRPr="009555DC">
        <w:rPr>
          <w:rFonts w:ascii="Aptos" w:hAnsi="Aptos" w:cs="Arial"/>
          <w:sz w:val="21"/>
          <w:szCs w:val="21"/>
        </w:rPr>
        <w:t xml:space="preserve"> system-wide community health strateg</w:t>
      </w:r>
      <w:r w:rsidR="00CB6812">
        <w:rPr>
          <w:rFonts w:ascii="Aptos" w:hAnsi="Aptos" w:cs="Arial"/>
          <w:sz w:val="21"/>
          <w:szCs w:val="21"/>
        </w:rPr>
        <w:t>y</w:t>
      </w:r>
      <w:r w:rsidR="009B7DC8" w:rsidRPr="009555DC">
        <w:rPr>
          <w:rFonts w:ascii="Aptos" w:hAnsi="Aptos" w:cs="Arial"/>
          <w:sz w:val="21"/>
          <w:szCs w:val="21"/>
        </w:rPr>
        <w:t xml:space="preserve"> to </w:t>
      </w:r>
      <w:r w:rsidR="007F2D65" w:rsidRPr="009555DC">
        <w:rPr>
          <w:rFonts w:ascii="Aptos" w:hAnsi="Aptos" w:cs="Arial"/>
          <w:sz w:val="21"/>
          <w:szCs w:val="21"/>
        </w:rPr>
        <w:t xml:space="preserve">improve screening for </w:t>
      </w:r>
      <w:r w:rsidR="00CB6812">
        <w:rPr>
          <w:rFonts w:ascii="Aptos" w:hAnsi="Aptos" w:cs="Arial"/>
          <w:sz w:val="21"/>
          <w:szCs w:val="21"/>
        </w:rPr>
        <w:t>all</w:t>
      </w:r>
      <w:r w:rsidR="009B7DC8" w:rsidRPr="009555DC">
        <w:rPr>
          <w:rFonts w:ascii="Aptos" w:hAnsi="Aptos" w:cs="Arial"/>
          <w:sz w:val="21"/>
          <w:szCs w:val="21"/>
        </w:rPr>
        <w:t xml:space="preserve">. </w:t>
      </w:r>
      <w:r w:rsidR="00723F4E" w:rsidRPr="009555DC">
        <w:rPr>
          <w:rFonts w:ascii="Aptos" w:hAnsi="Aptos" w:cs="Arial"/>
          <w:sz w:val="21"/>
          <w:szCs w:val="21"/>
        </w:rPr>
        <w:t xml:space="preserve">As part of MGB’s </w:t>
      </w:r>
      <w:r w:rsidR="00CB6812">
        <w:rPr>
          <w:rFonts w:ascii="Aptos" w:hAnsi="Aptos" w:cs="Arial"/>
          <w:sz w:val="21"/>
          <w:szCs w:val="21"/>
        </w:rPr>
        <w:t>Community Health</w:t>
      </w:r>
      <w:r w:rsidR="00723F4E" w:rsidRPr="009555DC">
        <w:rPr>
          <w:rFonts w:ascii="Aptos" w:hAnsi="Aptos" w:cs="Arial"/>
          <w:sz w:val="21"/>
          <w:szCs w:val="21"/>
        </w:rPr>
        <w:t xml:space="preserve"> strategy,</w:t>
      </w:r>
      <w:r w:rsidR="00E24E8B" w:rsidRPr="009555DC">
        <w:rPr>
          <w:rFonts w:ascii="Aptos" w:hAnsi="Aptos" w:cs="Arial"/>
          <w:sz w:val="21"/>
          <w:szCs w:val="21"/>
        </w:rPr>
        <w:t xml:space="preserve"> </w:t>
      </w:r>
      <w:r w:rsidR="009B7DC8" w:rsidRPr="009555DC">
        <w:rPr>
          <w:rFonts w:ascii="Aptos" w:hAnsi="Aptos" w:cs="Arial"/>
          <w:sz w:val="21"/>
          <w:szCs w:val="21"/>
        </w:rPr>
        <w:t>MGB launched a Colorectal Can</w:t>
      </w:r>
      <w:r w:rsidR="00723F4E" w:rsidRPr="009555DC">
        <w:rPr>
          <w:rFonts w:ascii="Aptos" w:hAnsi="Aptos" w:cs="Arial"/>
          <w:sz w:val="21"/>
          <w:szCs w:val="21"/>
        </w:rPr>
        <w:t>c</w:t>
      </w:r>
      <w:r w:rsidR="009B7DC8" w:rsidRPr="009555DC">
        <w:rPr>
          <w:rFonts w:ascii="Aptos" w:hAnsi="Aptos" w:cs="Arial"/>
          <w:sz w:val="21"/>
          <w:szCs w:val="21"/>
        </w:rPr>
        <w:t>er Screening Campaign</w:t>
      </w:r>
      <w:r w:rsidR="00723F4E" w:rsidRPr="009555DC">
        <w:rPr>
          <w:rFonts w:ascii="Aptos" w:hAnsi="Aptos" w:cs="Arial"/>
          <w:sz w:val="21"/>
          <w:szCs w:val="21"/>
        </w:rPr>
        <w:t xml:space="preserve"> in June 2025. </w:t>
      </w:r>
      <w:r w:rsidR="009B7DC8" w:rsidRPr="009555DC">
        <w:rPr>
          <w:rFonts w:ascii="Aptos" w:hAnsi="Aptos" w:cs="Arial"/>
          <w:sz w:val="21"/>
          <w:szCs w:val="21"/>
        </w:rPr>
        <w:t xml:space="preserve"> </w:t>
      </w:r>
      <w:r w:rsidR="00723F4E" w:rsidRPr="009555DC">
        <w:rPr>
          <w:rFonts w:ascii="Aptos" w:hAnsi="Aptos" w:cs="Arial"/>
          <w:sz w:val="21"/>
          <w:szCs w:val="21"/>
        </w:rPr>
        <w:t>This campaign aims to eliminate</w:t>
      </w:r>
      <w:r w:rsidR="009B7DC8" w:rsidRPr="009555DC">
        <w:rPr>
          <w:rFonts w:ascii="Aptos" w:hAnsi="Aptos" w:cs="Arial"/>
          <w:sz w:val="21"/>
          <w:szCs w:val="21"/>
        </w:rPr>
        <w:t xml:space="preserve"> </w:t>
      </w:r>
      <w:r w:rsidR="00CB6812">
        <w:rPr>
          <w:rFonts w:ascii="Aptos" w:hAnsi="Aptos" w:cs="Arial"/>
          <w:sz w:val="21"/>
          <w:szCs w:val="21"/>
        </w:rPr>
        <w:t xml:space="preserve">variations in </w:t>
      </w:r>
      <w:r w:rsidR="00723F4E" w:rsidRPr="009555DC">
        <w:rPr>
          <w:rFonts w:ascii="Aptos" w:hAnsi="Aptos" w:cs="Arial"/>
          <w:sz w:val="21"/>
          <w:szCs w:val="21"/>
        </w:rPr>
        <w:t xml:space="preserve">colorectal cancer </w:t>
      </w:r>
      <w:r w:rsidR="00CB6812">
        <w:rPr>
          <w:rFonts w:ascii="Aptos" w:hAnsi="Aptos" w:cs="Arial"/>
          <w:sz w:val="21"/>
          <w:szCs w:val="21"/>
        </w:rPr>
        <w:t>outcomes</w:t>
      </w:r>
      <w:r w:rsidR="00CB6812" w:rsidRPr="009555DC">
        <w:rPr>
          <w:rFonts w:ascii="Aptos" w:hAnsi="Aptos" w:cs="Arial"/>
          <w:sz w:val="21"/>
          <w:szCs w:val="21"/>
        </w:rPr>
        <w:t xml:space="preserve"> </w:t>
      </w:r>
      <w:r w:rsidR="00723F4E" w:rsidRPr="009555DC">
        <w:rPr>
          <w:rFonts w:ascii="Aptos" w:hAnsi="Aptos" w:cs="Arial"/>
          <w:sz w:val="21"/>
          <w:szCs w:val="21"/>
        </w:rPr>
        <w:t>by increasing colorectal cancer screening</w:t>
      </w:r>
      <w:r w:rsidR="009B7DC8" w:rsidRPr="009555DC">
        <w:rPr>
          <w:rFonts w:ascii="Aptos" w:hAnsi="Aptos" w:cs="Arial"/>
          <w:sz w:val="21"/>
          <w:szCs w:val="21"/>
        </w:rPr>
        <w:t xml:space="preserve"> </w:t>
      </w:r>
      <w:r w:rsidR="00103587">
        <w:rPr>
          <w:rFonts w:ascii="Aptos" w:hAnsi="Aptos" w:cs="Arial"/>
          <w:sz w:val="21"/>
          <w:szCs w:val="21"/>
        </w:rPr>
        <w:t xml:space="preserve">for </w:t>
      </w:r>
      <w:r w:rsidR="009B7DC8" w:rsidRPr="009555DC">
        <w:rPr>
          <w:rFonts w:ascii="Aptos" w:hAnsi="Aptos" w:cs="Arial"/>
          <w:sz w:val="21"/>
          <w:szCs w:val="21"/>
        </w:rPr>
        <w:t xml:space="preserve">residents in </w:t>
      </w:r>
      <w:r w:rsidR="00723F4E" w:rsidRPr="009555DC">
        <w:rPr>
          <w:rFonts w:ascii="Aptos" w:hAnsi="Aptos" w:cs="Arial"/>
          <w:sz w:val="21"/>
          <w:szCs w:val="21"/>
        </w:rPr>
        <w:t>Chelsea, Revere, Mission Hill, Lynn, Salem, Dorchester, Hyde Park, Mattapan, Jamaica Plain, and Chinatown</w:t>
      </w:r>
      <w:r w:rsidR="009B7DC8" w:rsidRPr="009555DC">
        <w:rPr>
          <w:rFonts w:ascii="Aptos" w:hAnsi="Aptos" w:cs="Arial"/>
          <w:sz w:val="21"/>
          <w:szCs w:val="21"/>
        </w:rPr>
        <w:t xml:space="preserve">. This public health education campaign </w:t>
      </w:r>
      <w:r w:rsidR="00723F4E" w:rsidRPr="009555DC">
        <w:rPr>
          <w:rFonts w:ascii="Aptos" w:hAnsi="Aptos" w:cs="Arial"/>
          <w:sz w:val="21"/>
          <w:szCs w:val="21"/>
        </w:rPr>
        <w:t xml:space="preserve">includes targeted primary care and community health initiatives, as well as a multi-channel, multilingual communications campaign. </w:t>
      </w:r>
    </w:p>
    <w:p w14:paraId="3E4DA2BB" w14:textId="4AF343C1" w:rsidR="00351B62" w:rsidRPr="009555DC" w:rsidRDefault="00723F4E" w:rsidP="00D03A63">
      <w:pPr>
        <w:spacing w:before="120" w:after="120"/>
        <w:jc w:val="both"/>
        <w:rPr>
          <w:rFonts w:ascii="Aptos" w:hAnsi="Aptos" w:cs="Arial"/>
          <w:sz w:val="21"/>
          <w:szCs w:val="21"/>
        </w:rPr>
      </w:pPr>
      <w:r w:rsidRPr="009555DC">
        <w:rPr>
          <w:rFonts w:ascii="Aptos" w:hAnsi="Aptos" w:cs="Arial"/>
          <w:sz w:val="21"/>
          <w:szCs w:val="21"/>
        </w:rPr>
        <w:t xml:space="preserve">Within primary care, </w:t>
      </w:r>
      <w:r w:rsidR="004D7D55" w:rsidRPr="009555DC">
        <w:rPr>
          <w:rFonts w:ascii="Aptos" w:hAnsi="Aptos" w:cs="Arial"/>
          <w:sz w:val="21"/>
          <w:szCs w:val="21"/>
        </w:rPr>
        <w:t>MGB is reducing barriers by standardizing colonoscopy prep instructions and translating materials into the top six patient languages</w:t>
      </w:r>
      <w:r w:rsidR="00F74DA3">
        <w:rPr>
          <w:rFonts w:ascii="Aptos" w:hAnsi="Aptos" w:cs="Arial"/>
          <w:sz w:val="21"/>
          <w:szCs w:val="21"/>
        </w:rPr>
        <w:t xml:space="preserve"> spoken across MGB</w:t>
      </w:r>
      <w:r w:rsidR="004D7D55" w:rsidRPr="009555DC">
        <w:rPr>
          <w:rFonts w:ascii="Aptos" w:hAnsi="Aptos" w:cs="Arial"/>
          <w:sz w:val="21"/>
          <w:szCs w:val="21"/>
        </w:rPr>
        <w:t xml:space="preserve">: Spanish, Portuguese, Haitian-Creole, Mandarin, Arabic, and Russian. Additionally, MGB identified four primary care clinics with </w:t>
      </w:r>
      <w:r w:rsidR="00F74DA3">
        <w:rPr>
          <w:rFonts w:ascii="Aptos" w:hAnsi="Aptos" w:cs="Arial"/>
          <w:sz w:val="21"/>
          <w:szCs w:val="21"/>
        </w:rPr>
        <w:t>higher variations</w:t>
      </w:r>
      <w:r w:rsidR="004D7D55" w:rsidRPr="009555DC">
        <w:rPr>
          <w:rFonts w:ascii="Aptos" w:hAnsi="Aptos" w:cs="Arial"/>
          <w:sz w:val="21"/>
          <w:szCs w:val="21"/>
        </w:rPr>
        <w:t xml:space="preserve"> in colorectal cancer screening to receive targeted support from </w:t>
      </w:r>
      <w:r w:rsidR="00351B62" w:rsidRPr="009555DC">
        <w:rPr>
          <w:rFonts w:ascii="Aptos" w:hAnsi="Aptos" w:cs="Arial"/>
          <w:sz w:val="21"/>
          <w:szCs w:val="21"/>
        </w:rPr>
        <w:t>three bilingual navigators</w:t>
      </w:r>
      <w:r w:rsidR="004D7D55" w:rsidRPr="009555DC">
        <w:rPr>
          <w:rFonts w:ascii="Aptos" w:hAnsi="Aptos" w:cs="Arial"/>
          <w:sz w:val="21"/>
          <w:szCs w:val="21"/>
        </w:rPr>
        <w:t xml:space="preserve">. These navigators provide support to help </w:t>
      </w:r>
      <w:r w:rsidR="00351B62" w:rsidRPr="009555DC">
        <w:rPr>
          <w:rFonts w:ascii="Aptos" w:hAnsi="Aptos" w:cs="Arial"/>
          <w:sz w:val="21"/>
          <w:szCs w:val="21"/>
        </w:rPr>
        <w:t xml:space="preserve">patients overcome barriers </w:t>
      </w:r>
      <w:r w:rsidR="007F2D65" w:rsidRPr="009555DC">
        <w:rPr>
          <w:rFonts w:ascii="Aptos" w:hAnsi="Aptos" w:cs="Arial"/>
          <w:sz w:val="21"/>
          <w:szCs w:val="21"/>
        </w:rPr>
        <w:t>that have historically prevented patients from</w:t>
      </w:r>
      <w:r w:rsidR="00351B62" w:rsidRPr="009555DC">
        <w:rPr>
          <w:rFonts w:ascii="Aptos" w:hAnsi="Aptos" w:cs="Arial"/>
          <w:sz w:val="21"/>
          <w:szCs w:val="21"/>
        </w:rPr>
        <w:t xml:space="preserve"> completing their recommended colorectal cancer screening, including outreach to patients who are overdue, direct education with translated materials, assistance with scheduling, reminders, transportation, and preparation instructions. </w:t>
      </w:r>
    </w:p>
    <w:p w14:paraId="33915F91" w14:textId="717B1C80" w:rsidR="004D7D55" w:rsidRPr="009555DC" w:rsidRDefault="004D7D55" w:rsidP="00D03A63">
      <w:pPr>
        <w:spacing w:before="120" w:after="120"/>
        <w:jc w:val="both"/>
        <w:rPr>
          <w:rFonts w:ascii="Aptos" w:hAnsi="Aptos" w:cs="Arial"/>
          <w:sz w:val="21"/>
          <w:szCs w:val="21"/>
        </w:rPr>
      </w:pPr>
      <w:r w:rsidRPr="009555DC">
        <w:rPr>
          <w:rFonts w:ascii="Aptos" w:hAnsi="Aptos" w:cs="Arial"/>
          <w:sz w:val="21"/>
          <w:szCs w:val="21"/>
        </w:rPr>
        <w:t xml:space="preserve">The campaign is also creating more access to colorectal cancer </w:t>
      </w:r>
      <w:r w:rsidR="007F2D65" w:rsidRPr="009555DC">
        <w:rPr>
          <w:rFonts w:ascii="Aptos" w:hAnsi="Aptos" w:cs="Arial"/>
          <w:sz w:val="21"/>
          <w:szCs w:val="21"/>
        </w:rPr>
        <w:t xml:space="preserve">screenings </w:t>
      </w:r>
      <w:r w:rsidRPr="009555DC">
        <w:rPr>
          <w:rFonts w:ascii="Aptos" w:hAnsi="Aptos" w:cs="Arial"/>
          <w:sz w:val="21"/>
          <w:szCs w:val="21"/>
        </w:rPr>
        <w:t xml:space="preserve">through MGB’s three Community Care Vans. Patients and community members </w:t>
      </w:r>
      <w:proofErr w:type="gramStart"/>
      <w:r w:rsidRPr="009555DC">
        <w:rPr>
          <w:rFonts w:ascii="Aptos" w:hAnsi="Aptos" w:cs="Arial"/>
          <w:sz w:val="21"/>
          <w:szCs w:val="21"/>
        </w:rPr>
        <w:t>are able to</w:t>
      </w:r>
      <w:proofErr w:type="gramEnd"/>
      <w:r w:rsidRPr="009555DC">
        <w:rPr>
          <w:rFonts w:ascii="Aptos" w:hAnsi="Aptos" w:cs="Arial"/>
          <w:sz w:val="21"/>
          <w:szCs w:val="21"/>
        </w:rPr>
        <w:t xml:space="preserve"> speak with a Cancer Patient Navigator to learn more about colorectal cancer screening and the screening options available </w:t>
      </w:r>
      <w:r w:rsidR="007F2D65" w:rsidRPr="009555DC">
        <w:rPr>
          <w:rFonts w:ascii="Aptos" w:hAnsi="Aptos" w:cs="Arial"/>
          <w:sz w:val="21"/>
          <w:szCs w:val="21"/>
        </w:rPr>
        <w:t>which empowers patients</w:t>
      </w:r>
      <w:r w:rsidR="00360D6C" w:rsidRPr="009555DC">
        <w:rPr>
          <w:rFonts w:ascii="Aptos" w:hAnsi="Aptos" w:cs="Arial"/>
          <w:sz w:val="21"/>
          <w:szCs w:val="21"/>
        </w:rPr>
        <w:t xml:space="preserve"> to make the best decision for them</w:t>
      </w:r>
      <w:r w:rsidR="007F2D65" w:rsidRPr="009555DC">
        <w:rPr>
          <w:rFonts w:ascii="Aptos" w:hAnsi="Aptos" w:cs="Arial"/>
          <w:sz w:val="21"/>
          <w:szCs w:val="21"/>
        </w:rPr>
        <w:t>selves</w:t>
      </w:r>
      <w:r w:rsidR="00360D6C" w:rsidRPr="009555DC">
        <w:rPr>
          <w:rFonts w:ascii="Aptos" w:hAnsi="Aptos" w:cs="Arial"/>
          <w:sz w:val="21"/>
          <w:szCs w:val="21"/>
        </w:rPr>
        <w:t xml:space="preserve">. Patients can either complete a stool-based test on the van or can schedule a colonoscopy. The Cancer Patient Navigator and care team will follow up with the patient with results and next steps, regardless of whether the patient was an existing MGB patient or is a new patient. </w:t>
      </w:r>
    </w:p>
    <w:p w14:paraId="036257A2" w14:textId="77777777" w:rsidR="001A3CFE" w:rsidRPr="009555DC" w:rsidRDefault="001A3CFE" w:rsidP="001A3CFE">
      <w:pPr>
        <w:spacing w:before="120" w:after="120"/>
        <w:jc w:val="both"/>
        <w:rPr>
          <w:rFonts w:ascii="Aptos" w:hAnsi="Aptos" w:cs="Arial"/>
          <w:sz w:val="21"/>
          <w:szCs w:val="21"/>
        </w:rPr>
      </w:pPr>
      <w:r w:rsidRPr="009555DC">
        <w:rPr>
          <w:rFonts w:ascii="Aptos" w:hAnsi="Aptos" w:cs="Arial"/>
          <w:sz w:val="21"/>
          <w:szCs w:val="21"/>
        </w:rPr>
        <w:t xml:space="preserve">With respect to the proposed ASC, patients will not be discriminated against or scheduled </w:t>
      </w:r>
      <w:proofErr w:type="gramStart"/>
      <w:r w:rsidRPr="009555DC">
        <w:rPr>
          <w:rFonts w:ascii="Aptos" w:hAnsi="Aptos" w:cs="Arial"/>
          <w:sz w:val="21"/>
          <w:szCs w:val="21"/>
        </w:rPr>
        <w:t>differently  based</w:t>
      </w:r>
      <w:proofErr w:type="gramEnd"/>
      <w:r w:rsidRPr="009555DC">
        <w:rPr>
          <w:rFonts w:ascii="Aptos" w:hAnsi="Aptos" w:cs="Arial"/>
          <w:sz w:val="21"/>
          <w:szCs w:val="21"/>
        </w:rPr>
        <w:t xml:space="preserve"> on ability to pay or payer source. Further, medical interpreter services will be available to all patients at no cost. The ASC will use </w:t>
      </w:r>
      <w:proofErr w:type="spellStart"/>
      <w:r w:rsidRPr="009555DC">
        <w:rPr>
          <w:rFonts w:ascii="Aptos" w:hAnsi="Aptos" w:cs="Arial"/>
          <w:sz w:val="21"/>
          <w:szCs w:val="21"/>
        </w:rPr>
        <w:t>LanguageLine</w:t>
      </w:r>
      <w:proofErr w:type="spellEnd"/>
      <w:r w:rsidRPr="009555DC">
        <w:rPr>
          <w:rFonts w:ascii="Aptos" w:hAnsi="Aptos" w:cs="Arial"/>
          <w:sz w:val="21"/>
          <w:szCs w:val="21"/>
        </w:rPr>
        <w:t xml:space="preserve"> for all translation services which will cover all languages, including ASC. Furthermore, the Applicant is working towards implementing a communication board to assist/enable communication with patients who are non-verbal.  </w:t>
      </w:r>
    </w:p>
    <w:p w14:paraId="04FD5B7C" w14:textId="65E49EF8" w:rsidR="00736837" w:rsidRPr="009555DC" w:rsidRDefault="001A3CFE" w:rsidP="001A3CFE">
      <w:pPr>
        <w:spacing w:after="120"/>
        <w:jc w:val="both"/>
        <w:rPr>
          <w:rFonts w:ascii="Aptos" w:hAnsi="Aptos" w:cs="Arial"/>
          <w:color w:val="FF0000"/>
          <w:sz w:val="21"/>
          <w:szCs w:val="21"/>
        </w:rPr>
      </w:pPr>
      <w:r w:rsidRPr="009555DC">
        <w:rPr>
          <w:rFonts w:ascii="Aptos" w:hAnsi="Aptos" w:cs="Arial"/>
          <w:sz w:val="21"/>
          <w:szCs w:val="21"/>
        </w:rPr>
        <w:t xml:space="preserve">As the Applicant’s Patient Panel is based on existing MGB patients, it expects </w:t>
      </w:r>
      <w:proofErr w:type="gramStart"/>
      <w:r w:rsidRPr="009555DC">
        <w:rPr>
          <w:rFonts w:ascii="Aptos" w:hAnsi="Aptos" w:cs="Arial"/>
          <w:sz w:val="21"/>
          <w:szCs w:val="21"/>
        </w:rPr>
        <w:t>the majority of</w:t>
      </w:r>
      <w:proofErr w:type="gramEnd"/>
      <w:r w:rsidRPr="009555DC">
        <w:rPr>
          <w:rFonts w:ascii="Aptos" w:hAnsi="Aptos" w:cs="Arial"/>
          <w:sz w:val="21"/>
          <w:szCs w:val="21"/>
        </w:rPr>
        <w:t xml:space="preserve"> patients will be referred to the proposed ASC from an MGB provider. As a result, the Applicant expects most of its patients will be screened for social determinants of health by their MGB primary care provider. </w:t>
      </w:r>
      <w:proofErr w:type="gramStart"/>
      <w:r w:rsidRPr="009555DC">
        <w:rPr>
          <w:rFonts w:ascii="Aptos" w:hAnsi="Aptos" w:cs="Arial"/>
          <w:sz w:val="21"/>
          <w:szCs w:val="21"/>
        </w:rPr>
        <w:t>At this time</w:t>
      </w:r>
      <w:proofErr w:type="gramEnd"/>
      <w:r w:rsidRPr="009555DC">
        <w:rPr>
          <w:rFonts w:ascii="Aptos" w:hAnsi="Aptos" w:cs="Arial"/>
          <w:sz w:val="21"/>
          <w:szCs w:val="21"/>
        </w:rPr>
        <w:t xml:space="preserve">, it is MGB’s policy to screen all Medicaid ACO patients annually, while many MGB primary care practices are screening all patients regardless of payer. In addition, every inpatient admission and emergency department encounter initiates a screening. </w:t>
      </w:r>
    </w:p>
    <w:bookmarkEnd w:id="21"/>
    <w:p w14:paraId="10784869" w14:textId="77777777" w:rsidR="00D03A63" w:rsidRPr="009555DC" w:rsidRDefault="00D03A63" w:rsidP="0031751C">
      <w:pPr>
        <w:pStyle w:val="Heading2"/>
      </w:pPr>
      <w:r w:rsidRPr="009555DC">
        <w:t>F1.</w:t>
      </w:r>
      <w:proofErr w:type="gramStart"/>
      <w:r w:rsidRPr="009555DC">
        <w:t>b.iv</w:t>
      </w:r>
      <w:proofErr w:type="gramEnd"/>
      <w:r w:rsidRPr="009555DC">
        <w:tab/>
      </w:r>
      <w:r w:rsidRPr="0031751C">
        <w:rPr>
          <w:b/>
          <w:bCs w:val="0"/>
        </w:rPr>
        <w:t>Provide additional information to demonstrate that the Proposed Project will result in improved health outcomes and quality of life of the Applicant's existing Patient Panel, while providing reasonable assurances of health equity.</w:t>
      </w:r>
    </w:p>
    <w:p w14:paraId="717EB00B" w14:textId="77777777" w:rsidR="00D03A63" w:rsidRPr="009555DC" w:rsidRDefault="00D03A63" w:rsidP="00D03A63">
      <w:pPr>
        <w:pStyle w:val="BodyText"/>
        <w:ind w:left="1440" w:hanging="1440"/>
        <w:jc w:val="both"/>
        <w:rPr>
          <w:rFonts w:ascii="Aptos" w:hAnsi="Aptos"/>
          <w:b/>
          <w:sz w:val="21"/>
          <w:szCs w:val="21"/>
        </w:rPr>
      </w:pPr>
    </w:p>
    <w:p w14:paraId="24349646" w14:textId="50E29484" w:rsidR="00D03A63" w:rsidRPr="009555DC" w:rsidRDefault="00D03A63" w:rsidP="00D03A63">
      <w:pPr>
        <w:pStyle w:val="BodyText"/>
        <w:jc w:val="both"/>
        <w:rPr>
          <w:rFonts w:ascii="Aptos" w:hAnsi="Aptos"/>
          <w:sz w:val="21"/>
          <w:szCs w:val="21"/>
        </w:rPr>
      </w:pPr>
      <w:r w:rsidRPr="009555DC">
        <w:rPr>
          <w:rFonts w:ascii="Aptos" w:hAnsi="Aptos"/>
          <w:sz w:val="21"/>
          <w:szCs w:val="21"/>
        </w:rPr>
        <w:t xml:space="preserve">The Proposed Project will facilitate improved health outcomes and quality of life for the Applicant’s Patient Panel by providing timely access to routine and diagnostic endoscopy </w:t>
      </w:r>
      <w:r w:rsidR="00097285" w:rsidRPr="009555DC">
        <w:rPr>
          <w:rFonts w:ascii="Aptos" w:hAnsi="Aptos"/>
          <w:sz w:val="21"/>
          <w:szCs w:val="21"/>
        </w:rPr>
        <w:t>in a non-hospital setting</w:t>
      </w:r>
      <w:r w:rsidRPr="009555DC">
        <w:rPr>
          <w:rFonts w:ascii="Aptos" w:hAnsi="Aptos"/>
          <w:sz w:val="21"/>
          <w:szCs w:val="21"/>
        </w:rPr>
        <w:t>. Given the long wait times that currently exist for patients in the Boston area, the ASC will significantly improve access, in turn promoting better screening adherence. Specifically, the Applicant anticipates that p</w:t>
      </w:r>
      <w:r w:rsidRPr="009555DC">
        <w:rPr>
          <w:rFonts w:ascii="Aptos" w:hAnsi="Aptos"/>
          <w:kern w:val="2"/>
          <w:sz w:val="21"/>
          <w:szCs w:val="21"/>
        </w:rPr>
        <w:t xml:space="preserve">atients will be more likely to comply with screening recommendations if services are provided in a more convenient location outside of a hospital and at a lower cost. By improving </w:t>
      </w:r>
      <w:r w:rsidR="00346C61" w:rsidRPr="009555DC">
        <w:rPr>
          <w:rFonts w:ascii="Aptos" w:hAnsi="Aptos"/>
          <w:kern w:val="2"/>
          <w:sz w:val="21"/>
          <w:szCs w:val="21"/>
        </w:rPr>
        <w:t>colorectal cancer</w:t>
      </w:r>
      <w:r w:rsidRPr="009555DC">
        <w:rPr>
          <w:rFonts w:ascii="Aptos" w:hAnsi="Aptos"/>
          <w:kern w:val="2"/>
          <w:sz w:val="21"/>
          <w:szCs w:val="21"/>
        </w:rPr>
        <w:t xml:space="preserve"> screening rates regardless of financial status, more cancers will be detected earlier, ultimately leading to improved health outcomes and quality of life. </w:t>
      </w:r>
    </w:p>
    <w:p w14:paraId="1075D413" w14:textId="13EF4276" w:rsidR="00063B44" w:rsidRDefault="00063B44">
      <w:pPr>
        <w:suppressAutoHyphens w:val="0"/>
        <w:spacing w:after="160" w:line="259" w:lineRule="auto"/>
        <w:rPr>
          <w:rFonts w:ascii="Aptos" w:eastAsia="Arial" w:hAnsi="Aptos" w:cs="Arial"/>
          <w:b/>
          <w:sz w:val="21"/>
          <w:szCs w:val="21"/>
        </w:rPr>
      </w:pPr>
      <w:r>
        <w:rPr>
          <w:rFonts w:ascii="Aptos" w:hAnsi="Aptos"/>
          <w:b/>
          <w:sz w:val="21"/>
          <w:szCs w:val="21"/>
        </w:rPr>
        <w:br w:type="page"/>
      </w:r>
    </w:p>
    <w:p w14:paraId="13558BCF" w14:textId="77777777" w:rsidR="00D03A63" w:rsidRPr="009555DC" w:rsidRDefault="00D03A63" w:rsidP="0031751C">
      <w:pPr>
        <w:pStyle w:val="Heading2"/>
      </w:pPr>
      <w:r w:rsidRPr="009555DC">
        <w:lastRenderedPageBreak/>
        <w:t>F1.c</w:t>
      </w:r>
      <w:r w:rsidRPr="009555DC">
        <w:tab/>
      </w:r>
      <w:r w:rsidRPr="0031751C">
        <w:rPr>
          <w:b/>
          <w:bCs w:val="0"/>
        </w:rPr>
        <w:t xml:space="preserve">Provide evidence that the Proposed Project will operate efficiently and effectively by furthering and improving continuity and coordination of care for the Applicant's Patient Panel, </w:t>
      </w:r>
      <w:proofErr w:type="gramStart"/>
      <w:r w:rsidRPr="0031751C">
        <w:rPr>
          <w:b/>
          <w:bCs w:val="0"/>
        </w:rPr>
        <w:t>including,</w:t>
      </w:r>
      <w:proofErr w:type="gramEnd"/>
      <w:r w:rsidRPr="0031751C">
        <w:rPr>
          <w:b/>
          <w:bCs w:val="0"/>
        </w:rPr>
        <w:t xml:space="preserve"> how the Proposed Project will create or ensure appropriate linkages to patients' primary care services.</w:t>
      </w:r>
    </w:p>
    <w:p w14:paraId="53E152CC" w14:textId="77777777" w:rsidR="00D03A63" w:rsidRPr="009555DC" w:rsidRDefault="00D03A63" w:rsidP="00D03A63">
      <w:pPr>
        <w:pStyle w:val="BodyText"/>
        <w:ind w:left="1440" w:right="136" w:hanging="1440"/>
        <w:jc w:val="both"/>
        <w:rPr>
          <w:rFonts w:ascii="Aptos" w:hAnsi="Aptos"/>
          <w:b/>
          <w:sz w:val="21"/>
          <w:szCs w:val="21"/>
        </w:rPr>
      </w:pPr>
    </w:p>
    <w:p w14:paraId="150EEB73" w14:textId="623B8C75" w:rsidR="00F743E8" w:rsidRPr="009555DC" w:rsidRDefault="00F743E8" w:rsidP="00F743E8">
      <w:pPr>
        <w:pStyle w:val="BodyText"/>
        <w:jc w:val="both"/>
        <w:rPr>
          <w:rFonts w:ascii="Aptos" w:hAnsi="Aptos"/>
          <w:bCs/>
          <w:sz w:val="21"/>
          <w:szCs w:val="21"/>
        </w:rPr>
      </w:pPr>
      <w:r w:rsidRPr="00CD1C28">
        <w:rPr>
          <w:rFonts w:ascii="Aptos" w:hAnsi="Aptos"/>
          <w:bCs/>
          <w:sz w:val="21"/>
          <w:szCs w:val="21"/>
        </w:rPr>
        <w:t xml:space="preserve">The </w:t>
      </w:r>
      <w:r>
        <w:rPr>
          <w:rFonts w:ascii="Aptos" w:hAnsi="Aptos"/>
          <w:bCs/>
          <w:sz w:val="21"/>
          <w:szCs w:val="21"/>
        </w:rPr>
        <w:t>P</w:t>
      </w:r>
      <w:r w:rsidRPr="00CD1C28">
        <w:rPr>
          <w:rFonts w:ascii="Aptos" w:hAnsi="Aptos"/>
          <w:bCs/>
          <w:sz w:val="21"/>
          <w:szCs w:val="21"/>
        </w:rPr>
        <w:t xml:space="preserve">roposed </w:t>
      </w:r>
      <w:r>
        <w:rPr>
          <w:rFonts w:ascii="Aptos" w:hAnsi="Aptos"/>
          <w:bCs/>
          <w:sz w:val="21"/>
          <w:szCs w:val="21"/>
        </w:rPr>
        <w:t>P</w:t>
      </w:r>
      <w:r w:rsidRPr="00CD1C28">
        <w:rPr>
          <w:rFonts w:ascii="Aptos" w:hAnsi="Aptos"/>
          <w:bCs/>
          <w:sz w:val="21"/>
          <w:szCs w:val="21"/>
        </w:rPr>
        <w:t xml:space="preserve">roject </w:t>
      </w:r>
      <w:r w:rsidR="007B5B9F">
        <w:rPr>
          <w:rFonts w:ascii="Aptos" w:hAnsi="Aptos"/>
          <w:bCs/>
          <w:sz w:val="21"/>
          <w:szCs w:val="21"/>
        </w:rPr>
        <w:t>will contribute to</w:t>
      </w:r>
      <w:r w:rsidRPr="00CD1C28">
        <w:rPr>
          <w:rFonts w:ascii="Aptos" w:hAnsi="Aptos"/>
          <w:bCs/>
          <w:sz w:val="21"/>
          <w:szCs w:val="21"/>
        </w:rPr>
        <w:t xml:space="preserve"> improve</w:t>
      </w:r>
      <w:r w:rsidR="007B5B9F">
        <w:rPr>
          <w:rFonts w:ascii="Aptos" w:hAnsi="Aptos"/>
          <w:bCs/>
          <w:sz w:val="21"/>
          <w:szCs w:val="21"/>
        </w:rPr>
        <w:t>d</w:t>
      </w:r>
      <w:r w:rsidRPr="00CD1C28">
        <w:rPr>
          <w:rFonts w:ascii="Aptos" w:hAnsi="Aptos"/>
          <w:bCs/>
          <w:sz w:val="21"/>
          <w:szCs w:val="21"/>
        </w:rPr>
        <w:t xml:space="preserve"> continuity and coordination of care through the secure, frequent exchange of electronic health information. The </w:t>
      </w:r>
      <w:r w:rsidR="007B5B9F">
        <w:rPr>
          <w:rFonts w:ascii="Aptos" w:hAnsi="Aptos"/>
          <w:bCs/>
          <w:sz w:val="21"/>
          <w:szCs w:val="21"/>
        </w:rPr>
        <w:t xml:space="preserve">proposed </w:t>
      </w:r>
      <w:r w:rsidRPr="00CD1C28">
        <w:rPr>
          <w:rFonts w:ascii="Aptos" w:hAnsi="Aptos"/>
          <w:bCs/>
          <w:sz w:val="21"/>
          <w:szCs w:val="21"/>
        </w:rPr>
        <w:t xml:space="preserve">ASC will implement an electronic medical record system and an endoscopy documentation platform to support comprehensive physician documentation and the seamless sharing of patient data. These systems will enable bidirectional data exchange and robust reporting capabilities. As the patient is part of the MGB </w:t>
      </w:r>
      <w:r>
        <w:rPr>
          <w:rFonts w:ascii="Aptos" w:hAnsi="Aptos"/>
          <w:bCs/>
          <w:sz w:val="21"/>
          <w:szCs w:val="21"/>
        </w:rPr>
        <w:t>h</w:t>
      </w:r>
      <w:r w:rsidRPr="00CD1C28">
        <w:rPr>
          <w:rFonts w:ascii="Aptos" w:hAnsi="Aptos"/>
          <w:bCs/>
          <w:sz w:val="21"/>
          <w:szCs w:val="21"/>
        </w:rPr>
        <w:t xml:space="preserve">ealth </w:t>
      </w:r>
      <w:r>
        <w:rPr>
          <w:rFonts w:ascii="Aptos" w:hAnsi="Aptos"/>
          <w:bCs/>
          <w:sz w:val="21"/>
          <w:szCs w:val="21"/>
        </w:rPr>
        <w:t>s</w:t>
      </w:r>
      <w:r w:rsidRPr="00CD1C28">
        <w:rPr>
          <w:rFonts w:ascii="Aptos" w:hAnsi="Aptos"/>
          <w:bCs/>
          <w:sz w:val="21"/>
          <w:szCs w:val="21"/>
        </w:rPr>
        <w:t>ystem, integration with these platforms will ensure clinical documentation flows directly into the broader health system. This will support timely review by care teams, enhance communication among stakeholders, and provide patients with access to relevant health information</w:t>
      </w:r>
      <w:r>
        <w:rPr>
          <w:rFonts w:ascii="Aptos" w:hAnsi="Aptos"/>
          <w:bCs/>
          <w:sz w:val="21"/>
          <w:szCs w:val="21"/>
        </w:rPr>
        <w:t xml:space="preserve">.  </w:t>
      </w:r>
      <w:r w:rsidRPr="009555DC">
        <w:rPr>
          <w:rFonts w:ascii="Aptos" w:hAnsi="Aptos"/>
          <w:bCs/>
          <w:sz w:val="21"/>
          <w:szCs w:val="21"/>
        </w:rPr>
        <w:t xml:space="preserve"> </w:t>
      </w:r>
    </w:p>
    <w:p w14:paraId="06F40A39" w14:textId="77777777" w:rsidR="00F84C33" w:rsidRPr="009555DC" w:rsidRDefault="00F84C33" w:rsidP="00D03A63">
      <w:pPr>
        <w:pStyle w:val="BodyText"/>
        <w:jc w:val="both"/>
        <w:rPr>
          <w:rFonts w:ascii="Aptos" w:hAnsi="Aptos"/>
          <w:bCs/>
          <w:sz w:val="21"/>
          <w:szCs w:val="21"/>
        </w:rPr>
      </w:pPr>
    </w:p>
    <w:p w14:paraId="162805E7" w14:textId="4ABBD240" w:rsidR="00F84C33" w:rsidRPr="009555DC" w:rsidRDefault="00F84C33" w:rsidP="00F84C33">
      <w:pPr>
        <w:jc w:val="both"/>
        <w:rPr>
          <w:rFonts w:asciiTheme="minorHAnsi" w:hAnsiTheme="minorHAnsi" w:cs="Segoe UI"/>
          <w:sz w:val="21"/>
          <w:szCs w:val="21"/>
        </w:rPr>
      </w:pPr>
      <w:r w:rsidRPr="009555DC">
        <w:rPr>
          <w:rFonts w:asciiTheme="minorHAnsi" w:hAnsiTheme="minorHAnsi" w:cs="Segoe UI"/>
          <w:sz w:val="21"/>
          <w:szCs w:val="21"/>
        </w:rPr>
        <w:t xml:space="preserve">In the event of a medical emergency, the proposed ASC will immediately initiate a 911 call to request emergency medical services. A designated staff member will provide essential information about the patient’s condition to ensure a timely and appropriate response. </w:t>
      </w:r>
      <w:r w:rsidR="00F743E8">
        <w:rPr>
          <w:rFonts w:asciiTheme="minorHAnsi" w:hAnsiTheme="minorHAnsi" w:cs="Segoe UI"/>
          <w:sz w:val="21"/>
          <w:szCs w:val="21"/>
        </w:rPr>
        <w:t xml:space="preserve">Additionally, the proposed ASC will maintain a transfer agreement with a nearby hospital in compliance with the Department’s clinic licensure regulations. </w:t>
      </w:r>
      <w:r w:rsidRPr="009555DC">
        <w:rPr>
          <w:rFonts w:asciiTheme="minorHAnsi" w:hAnsiTheme="minorHAnsi" w:cs="Segoe UI"/>
          <w:sz w:val="21"/>
          <w:szCs w:val="21"/>
        </w:rPr>
        <w:t>While emergency transport will be coordinated through 911, the proposed ASC may also establish agreements for inter-facility transport in non-emergency situations to support continuity of care. When a patient is referred to another facility, agency, or healthcare provider, the proposed ASC will send relevant portions of the patient’s medical record to the receiving party, unless the patient objects. These procedures will be documented in the proposed ASC’s written emergency and referral policies. All proposed ASC staff will be trained on these protocols to ensure compliance with regulatory requirements and to promote patient safety.</w:t>
      </w:r>
    </w:p>
    <w:p w14:paraId="1B668238" w14:textId="77777777" w:rsidR="004E14A0" w:rsidRPr="009555DC" w:rsidRDefault="004E14A0" w:rsidP="00D03A63">
      <w:pPr>
        <w:pStyle w:val="BodyText"/>
        <w:jc w:val="both"/>
        <w:rPr>
          <w:rFonts w:ascii="Aptos" w:hAnsi="Aptos"/>
          <w:bCs/>
          <w:sz w:val="21"/>
          <w:szCs w:val="21"/>
        </w:rPr>
      </w:pPr>
    </w:p>
    <w:p w14:paraId="330FF572" w14:textId="77777777" w:rsidR="00317138" w:rsidRPr="009555DC" w:rsidRDefault="00317138" w:rsidP="0031751C">
      <w:pPr>
        <w:pStyle w:val="Heading2"/>
      </w:pPr>
      <w:r w:rsidRPr="009555DC">
        <w:t>F</w:t>
      </w:r>
      <w:proofErr w:type="gramStart"/>
      <w:r w:rsidRPr="009555DC">
        <w:t>1.d</w:t>
      </w:r>
      <w:proofErr w:type="gramEnd"/>
      <w:r w:rsidRPr="009555DC">
        <w:tab/>
      </w:r>
      <w:r w:rsidRPr="0031751C">
        <w:rPr>
          <w:b/>
          <w:bCs w:val="0"/>
          <w:i/>
          <w:iCs/>
        </w:rPr>
        <w:t>Provide evidence of consultation, both prior to and after the Filing Date, with all Government Agencies with relevant licensure, certification, or other regulatory oversight of the Applicant or the Proposed Project.</w:t>
      </w:r>
    </w:p>
    <w:p w14:paraId="0647F19B" w14:textId="77777777" w:rsidR="00317138" w:rsidRPr="009555DC" w:rsidRDefault="00317138" w:rsidP="00317138">
      <w:pPr>
        <w:spacing w:after="120"/>
        <w:jc w:val="both"/>
        <w:rPr>
          <w:rFonts w:ascii="Aptos" w:hAnsi="Aptos" w:cs="Arial"/>
          <w:sz w:val="21"/>
          <w:szCs w:val="21"/>
        </w:rPr>
      </w:pPr>
      <w:r w:rsidRPr="009555DC">
        <w:rPr>
          <w:rFonts w:ascii="Aptos" w:hAnsi="Aptos" w:cs="Arial"/>
          <w:sz w:val="21"/>
          <w:szCs w:val="21"/>
        </w:rPr>
        <w:t>The Applicant consulted with the following individuals and agencies regarding the Proposed Project:</w:t>
      </w:r>
    </w:p>
    <w:p w14:paraId="110C7CF6" w14:textId="12C98874" w:rsidR="00317138" w:rsidRPr="009555DC" w:rsidRDefault="00317138" w:rsidP="00317138">
      <w:pPr>
        <w:numPr>
          <w:ilvl w:val="0"/>
          <w:numId w:val="14"/>
        </w:numPr>
        <w:jc w:val="both"/>
        <w:rPr>
          <w:rFonts w:ascii="Aptos" w:hAnsi="Aptos" w:cs="Arial"/>
          <w:bCs/>
          <w:sz w:val="21"/>
          <w:szCs w:val="21"/>
        </w:rPr>
      </w:pPr>
      <w:r w:rsidRPr="009555DC">
        <w:rPr>
          <w:rFonts w:ascii="Aptos" w:hAnsi="Aptos" w:cs="Arial"/>
          <w:bCs/>
          <w:sz w:val="21"/>
          <w:szCs w:val="21"/>
        </w:rPr>
        <w:t>Massachusetts Department of Public Health, including but not limited to: Dennis Renaud, Director, Determination of Need Program; Jennica Allen, Manager of Community Engagement Practices, Bureau of Community Health, and Prevention; Katelyn Teague, Community Health Planning + Engagement Specialist, Bureau of Community Health, and Prevention</w:t>
      </w:r>
    </w:p>
    <w:p w14:paraId="27229EF1" w14:textId="77777777" w:rsidR="00317138" w:rsidRPr="009555DC" w:rsidRDefault="00317138" w:rsidP="00317138">
      <w:pPr>
        <w:numPr>
          <w:ilvl w:val="0"/>
          <w:numId w:val="14"/>
        </w:numPr>
        <w:jc w:val="both"/>
        <w:rPr>
          <w:rFonts w:ascii="Aptos" w:hAnsi="Aptos" w:cs="Arial"/>
          <w:bCs/>
          <w:sz w:val="21"/>
          <w:szCs w:val="21"/>
        </w:rPr>
      </w:pPr>
      <w:r w:rsidRPr="009555DC">
        <w:rPr>
          <w:rFonts w:ascii="Aptos" w:hAnsi="Aptos" w:cs="Arial"/>
          <w:bCs/>
          <w:sz w:val="21"/>
          <w:szCs w:val="21"/>
        </w:rPr>
        <w:t>Massachusetts Executive Office of Health and Human Services</w:t>
      </w:r>
    </w:p>
    <w:p w14:paraId="76385884" w14:textId="77777777" w:rsidR="00317138" w:rsidRPr="009555DC" w:rsidRDefault="00317138" w:rsidP="00317138">
      <w:pPr>
        <w:numPr>
          <w:ilvl w:val="0"/>
          <w:numId w:val="14"/>
        </w:numPr>
        <w:jc w:val="both"/>
        <w:rPr>
          <w:rFonts w:ascii="Aptos" w:hAnsi="Aptos" w:cs="Arial"/>
          <w:bCs/>
          <w:sz w:val="21"/>
          <w:szCs w:val="21"/>
        </w:rPr>
      </w:pPr>
      <w:r w:rsidRPr="009555DC">
        <w:rPr>
          <w:rFonts w:ascii="Aptos" w:hAnsi="Aptos" w:cs="Arial"/>
          <w:bCs/>
          <w:sz w:val="21"/>
          <w:szCs w:val="21"/>
        </w:rPr>
        <w:t>Health Policy Commission</w:t>
      </w:r>
    </w:p>
    <w:p w14:paraId="6AA8BF67" w14:textId="77777777" w:rsidR="00317138" w:rsidRPr="009555DC" w:rsidRDefault="00317138" w:rsidP="00317138">
      <w:pPr>
        <w:numPr>
          <w:ilvl w:val="0"/>
          <w:numId w:val="14"/>
        </w:numPr>
        <w:jc w:val="both"/>
        <w:rPr>
          <w:rFonts w:ascii="Aptos" w:hAnsi="Aptos" w:cs="Arial"/>
          <w:bCs/>
          <w:sz w:val="21"/>
          <w:szCs w:val="21"/>
        </w:rPr>
      </w:pPr>
      <w:r w:rsidRPr="009555DC">
        <w:rPr>
          <w:rFonts w:ascii="Aptos" w:hAnsi="Aptos" w:cs="Arial"/>
          <w:bCs/>
          <w:sz w:val="21"/>
          <w:szCs w:val="21"/>
        </w:rPr>
        <w:t>Center for Health Information and Analysis</w:t>
      </w:r>
    </w:p>
    <w:p w14:paraId="66C3D192" w14:textId="77777777" w:rsidR="00317138" w:rsidRPr="009555DC" w:rsidRDefault="00317138" w:rsidP="00317138">
      <w:pPr>
        <w:numPr>
          <w:ilvl w:val="0"/>
          <w:numId w:val="14"/>
        </w:numPr>
        <w:jc w:val="both"/>
        <w:rPr>
          <w:rFonts w:ascii="Aptos" w:hAnsi="Aptos" w:cs="Arial"/>
          <w:bCs/>
          <w:sz w:val="21"/>
          <w:szCs w:val="21"/>
        </w:rPr>
      </w:pPr>
      <w:r w:rsidRPr="009555DC">
        <w:rPr>
          <w:rFonts w:ascii="Aptos" w:hAnsi="Aptos" w:cs="Arial"/>
          <w:bCs/>
          <w:sz w:val="21"/>
          <w:szCs w:val="21"/>
        </w:rPr>
        <w:t>The Centers for Medicare &amp; Medicaid Services</w:t>
      </w:r>
    </w:p>
    <w:p w14:paraId="014BB140" w14:textId="77777777" w:rsidR="00317138" w:rsidRPr="009555DC" w:rsidRDefault="00317138" w:rsidP="00317138">
      <w:pPr>
        <w:rPr>
          <w:sz w:val="21"/>
          <w:szCs w:val="21"/>
        </w:rPr>
      </w:pPr>
    </w:p>
    <w:p w14:paraId="4FDB843E" w14:textId="77777777" w:rsidR="00317138" w:rsidRPr="009555DC" w:rsidRDefault="00317138" w:rsidP="0031751C">
      <w:pPr>
        <w:pStyle w:val="Heading2"/>
      </w:pPr>
      <w:r w:rsidRPr="009555DC">
        <w:t>F1.</w:t>
      </w:r>
      <w:proofErr w:type="gramStart"/>
      <w:r w:rsidRPr="009555DC">
        <w:t>e.i</w:t>
      </w:r>
      <w:proofErr w:type="gramEnd"/>
      <w:r w:rsidRPr="009555DC">
        <w:tab/>
      </w:r>
      <w:r w:rsidRPr="0031751C">
        <w:rPr>
          <w:b/>
          <w:bCs w:val="0"/>
        </w:rPr>
        <w:t>Process for Determining Need/Evidence of Community Engagement:</w:t>
      </w:r>
      <w:r w:rsidRPr="009555DC">
        <w:t xml:space="preserve"> </w:t>
      </w:r>
    </w:p>
    <w:p w14:paraId="336D2DDE" w14:textId="77777777" w:rsidR="00317138" w:rsidRPr="009555DC" w:rsidRDefault="00317138" w:rsidP="00317138">
      <w:pPr>
        <w:spacing w:after="120"/>
        <w:ind w:left="1440"/>
        <w:jc w:val="both"/>
        <w:rPr>
          <w:rFonts w:ascii="Aptos" w:hAnsi="Aptos" w:cs="Arial"/>
          <w:b/>
          <w:i/>
          <w:iCs/>
          <w:sz w:val="21"/>
          <w:szCs w:val="21"/>
        </w:rPr>
      </w:pPr>
      <w:r w:rsidRPr="009555DC">
        <w:rPr>
          <w:rFonts w:ascii="Aptos" w:hAnsi="Aptos" w:cs="Arial"/>
          <w:b/>
          <w:i/>
          <w:iCs/>
          <w:sz w:val="21"/>
          <w:szCs w:val="21"/>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6F7BEE1E" w14:textId="48DAF3D8" w:rsidR="00190BA6" w:rsidRPr="009555DC" w:rsidRDefault="00317138" w:rsidP="007F2D65">
      <w:pPr>
        <w:spacing w:after="120"/>
        <w:jc w:val="both"/>
        <w:rPr>
          <w:rFonts w:ascii="Aptos" w:eastAsia="Arial" w:hAnsi="Aptos" w:cs="Arial"/>
          <w:sz w:val="21"/>
          <w:szCs w:val="21"/>
        </w:rPr>
      </w:pPr>
      <w:r w:rsidRPr="009555DC">
        <w:rPr>
          <w:rFonts w:ascii="Aptos" w:eastAsia="Arial" w:hAnsi="Aptos" w:cs="Arial"/>
          <w:sz w:val="21"/>
          <w:szCs w:val="21"/>
        </w:rPr>
        <w:t xml:space="preserve">In addition to relying on the data described throughout this application that demonstrates the need for the Proposed Project, the Applicant also sought to engage the community to elicit feedback from patients and families regarding the Proposed Project. </w:t>
      </w:r>
      <w:r w:rsidR="00472E96" w:rsidRPr="009555DC">
        <w:rPr>
          <w:rFonts w:ascii="Aptos" w:eastAsia="Arial" w:hAnsi="Aptos" w:cs="Arial"/>
          <w:sz w:val="21"/>
          <w:szCs w:val="21"/>
        </w:rPr>
        <w:t xml:space="preserve">On July 29, 2025, MGB’s Chief Medical Officer Dr. Tom </w:t>
      </w:r>
      <w:r w:rsidR="00472E96" w:rsidRPr="009555DC">
        <w:rPr>
          <w:rFonts w:ascii="Aptos" w:eastAsia="Arial" w:hAnsi="Aptos" w:cs="Arial"/>
          <w:sz w:val="21"/>
          <w:szCs w:val="21"/>
        </w:rPr>
        <w:lastRenderedPageBreak/>
        <w:t xml:space="preserve">Sequist, </w:t>
      </w:r>
      <w:r w:rsidRPr="009555DC">
        <w:rPr>
          <w:rFonts w:ascii="Aptos" w:eastAsia="Arial" w:hAnsi="Aptos" w:cs="Arial"/>
          <w:sz w:val="21"/>
          <w:szCs w:val="21"/>
        </w:rPr>
        <w:t>presented the Proposed Project to the community though a virtual public meeting</w:t>
      </w:r>
      <w:r w:rsidR="00472E96" w:rsidRPr="009555DC">
        <w:rPr>
          <w:rFonts w:ascii="Aptos" w:eastAsia="Arial" w:hAnsi="Aptos" w:cs="Arial"/>
          <w:sz w:val="21"/>
          <w:szCs w:val="21"/>
        </w:rPr>
        <w:t xml:space="preserve"> that was advertised on the AMCs’ websites and on TV screens within the hospitals leading up to the event. </w:t>
      </w:r>
      <w:r w:rsidR="00F83596" w:rsidRPr="009555DC">
        <w:rPr>
          <w:rFonts w:ascii="Aptos" w:eastAsia="Arial" w:hAnsi="Aptos" w:cs="Arial"/>
          <w:sz w:val="21"/>
          <w:szCs w:val="21"/>
        </w:rPr>
        <w:t xml:space="preserve">Dr. </w:t>
      </w:r>
      <w:proofErr w:type="spellStart"/>
      <w:r w:rsidR="00F83596" w:rsidRPr="009555DC">
        <w:rPr>
          <w:rFonts w:ascii="Aptos" w:eastAsia="Arial" w:hAnsi="Aptos" w:cs="Arial"/>
          <w:sz w:val="21"/>
          <w:szCs w:val="21"/>
        </w:rPr>
        <w:t>Sequist</w:t>
      </w:r>
      <w:proofErr w:type="spellEnd"/>
      <w:r w:rsidR="00F83596" w:rsidRPr="009555DC">
        <w:rPr>
          <w:rFonts w:ascii="Aptos" w:eastAsia="Arial" w:hAnsi="Aptos" w:cs="Arial"/>
          <w:sz w:val="21"/>
          <w:szCs w:val="21"/>
        </w:rPr>
        <w:t xml:space="preserve"> spoke to attendees about</w:t>
      </w:r>
      <w:r w:rsidR="00190BA6" w:rsidRPr="009555DC">
        <w:rPr>
          <w:rFonts w:ascii="Aptos" w:eastAsia="Arial" w:hAnsi="Aptos" w:cs="Arial"/>
          <w:sz w:val="21"/>
          <w:szCs w:val="21"/>
        </w:rPr>
        <w:t xml:space="preserve"> the importance of colorectal cancer screening and the need for additional capacity </w:t>
      </w:r>
      <w:proofErr w:type="gramStart"/>
      <w:r w:rsidR="00190BA6" w:rsidRPr="009555DC">
        <w:rPr>
          <w:rFonts w:ascii="Aptos" w:eastAsia="Arial" w:hAnsi="Aptos" w:cs="Arial"/>
          <w:sz w:val="21"/>
          <w:szCs w:val="21"/>
        </w:rPr>
        <w:t>in order for</w:t>
      </w:r>
      <w:proofErr w:type="gramEnd"/>
      <w:r w:rsidR="00190BA6" w:rsidRPr="009555DC">
        <w:rPr>
          <w:rFonts w:ascii="Aptos" w:eastAsia="Arial" w:hAnsi="Aptos" w:cs="Arial"/>
          <w:sz w:val="21"/>
          <w:szCs w:val="21"/>
        </w:rPr>
        <w:t xml:space="preserve"> MGB to provide </w:t>
      </w:r>
      <w:r w:rsidR="00097285" w:rsidRPr="009555DC">
        <w:rPr>
          <w:rFonts w:ascii="Aptos" w:eastAsia="Arial" w:hAnsi="Aptos" w:cs="Arial"/>
          <w:sz w:val="21"/>
          <w:szCs w:val="21"/>
        </w:rPr>
        <w:t>improved access to</w:t>
      </w:r>
      <w:r w:rsidR="00190BA6" w:rsidRPr="009555DC">
        <w:rPr>
          <w:rFonts w:ascii="Aptos" w:eastAsia="Arial" w:hAnsi="Aptos" w:cs="Arial"/>
          <w:sz w:val="21"/>
          <w:szCs w:val="21"/>
        </w:rPr>
        <w:t xml:space="preserve"> endoscopy to its patients. Five (5) community members attended the meeting.</w:t>
      </w:r>
      <w:r w:rsidR="00190BA6" w:rsidRPr="009555DC">
        <w:rPr>
          <w:rStyle w:val="FootnoteReference"/>
          <w:rFonts w:ascii="Aptos" w:eastAsia="Arial" w:hAnsi="Aptos" w:cs="Arial"/>
          <w:sz w:val="21"/>
          <w:szCs w:val="21"/>
        </w:rPr>
        <w:footnoteReference w:id="76"/>
      </w:r>
      <w:r w:rsidR="00190BA6" w:rsidRPr="009555DC">
        <w:rPr>
          <w:rFonts w:ascii="Aptos" w:eastAsia="Arial" w:hAnsi="Aptos" w:cs="Arial"/>
          <w:sz w:val="21"/>
          <w:szCs w:val="21"/>
        </w:rPr>
        <w:t xml:space="preserve"> </w:t>
      </w:r>
    </w:p>
    <w:p w14:paraId="7E857FCD" w14:textId="4156C71A" w:rsidR="00317138" w:rsidRPr="009555DC" w:rsidRDefault="00472E96" w:rsidP="00317138">
      <w:pPr>
        <w:jc w:val="both"/>
        <w:rPr>
          <w:rFonts w:ascii="Aptos" w:eastAsia="Arial" w:hAnsi="Aptos" w:cs="Arial"/>
          <w:sz w:val="21"/>
          <w:szCs w:val="21"/>
        </w:rPr>
      </w:pPr>
      <w:r w:rsidRPr="00832C91">
        <w:rPr>
          <w:rFonts w:ascii="Aptos" w:eastAsia="Arial" w:hAnsi="Aptos" w:cs="Arial"/>
          <w:sz w:val="21"/>
          <w:szCs w:val="21"/>
        </w:rPr>
        <w:t xml:space="preserve">Additionally, email communications </w:t>
      </w:r>
      <w:r w:rsidR="00190BA6" w:rsidRPr="00832C91">
        <w:rPr>
          <w:rFonts w:ascii="Aptos" w:eastAsia="Arial" w:hAnsi="Aptos" w:cs="Arial"/>
          <w:sz w:val="21"/>
          <w:szCs w:val="21"/>
        </w:rPr>
        <w:t xml:space="preserve">regarding the Proposed Project </w:t>
      </w:r>
      <w:r w:rsidRPr="00832C91">
        <w:rPr>
          <w:rFonts w:ascii="Aptos" w:eastAsia="Arial" w:hAnsi="Aptos" w:cs="Arial"/>
          <w:sz w:val="21"/>
          <w:szCs w:val="21"/>
        </w:rPr>
        <w:t xml:space="preserve">were sent to the AMCs’ </w:t>
      </w:r>
      <w:r w:rsidR="00317138" w:rsidRPr="00832C91">
        <w:rPr>
          <w:rFonts w:ascii="Aptos" w:eastAsia="Arial" w:hAnsi="Aptos" w:cs="Arial"/>
          <w:sz w:val="21"/>
          <w:szCs w:val="21"/>
        </w:rPr>
        <w:t xml:space="preserve">Patient and Family Advisory </w:t>
      </w:r>
      <w:r w:rsidR="00097285" w:rsidRPr="00832C91">
        <w:rPr>
          <w:rFonts w:ascii="Aptos" w:eastAsia="Arial" w:hAnsi="Aptos" w:cs="Arial"/>
          <w:sz w:val="21"/>
          <w:szCs w:val="21"/>
        </w:rPr>
        <w:t>Council</w:t>
      </w:r>
      <w:r w:rsidR="0066595B">
        <w:rPr>
          <w:rFonts w:ascii="Aptos" w:eastAsia="Arial" w:hAnsi="Aptos" w:cs="Arial"/>
          <w:sz w:val="21"/>
          <w:szCs w:val="21"/>
        </w:rPr>
        <w:t xml:space="preserve"> (PFAC)</w:t>
      </w:r>
      <w:r w:rsidR="00097285" w:rsidRPr="00832C91">
        <w:rPr>
          <w:rFonts w:ascii="Aptos" w:eastAsia="Arial" w:hAnsi="Aptos" w:cs="Arial"/>
          <w:sz w:val="21"/>
          <w:szCs w:val="21"/>
        </w:rPr>
        <w:t xml:space="preserve"> </w:t>
      </w:r>
      <w:r w:rsidRPr="00832C91">
        <w:rPr>
          <w:rFonts w:ascii="Aptos" w:eastAsia="Arial" w:hAnsi="Aptos" w:cs="Arial"/>
          <w:sz w:val="21"/>
          <w:szCs w:val="21"/>
        </w:rPr>
        <w:t xml:space="preserve">ahead of in-person presentations that </w:t>
      </w:r>
      <w:r w:rsidR="0066595B">
        <w:rPr>
          <w:rFonts w:ascii="Aptos" w:eastAsia="Arial" w:hAnsi="Aptos" w:cs="Arial"/>
          <w:sz w:val="21"/>
          <w:szCs w:val="21"/>
        </w:rPr>
        <w:t>were held</w:t>
      </w:r>
      <w:r w:rsidRPr="00832C91">
        <w:rPr>
          <w:rFonts w:ascii="Aptos" w:eastAsia="Arial" w:hAnsi="Aptos" w:cs="Arial"/>
          <w:sz w:val="21"/>
          <w:szCs w:val="21"/>
        </w:rPr>
        <w:t xml:space="preserve"> </w:t>
      </w:r>
      <w:r w:rsidR="00190BA6" w:rsidRPr="00832C91">
        <w:rPr>
          <w:rFonts w:ascii="Aptos" w:eastAsia="Arial" w:hAnsi="Aptos" w:cs="Arial"/>
          <w:sz w:val="21"/>
          <w:szCs w:val="21"/>
        </w:rPr>
        <w:t xml:space="preserve">in </w:t>
      </w:r>
      <w:r w:rsidRPr="00832C91">
        <w:rPr>
          <w:rFonts w:ascii="Aptos" w:eastAsia="Arial" w:hAnsi="Aptos" w:cs="Arial"/>
          <w:sz w:val="21"/>
          <w:szCs w:val="21"/>
        </w:rPr>
        <w:t>August 202</w:t>
      </w:r>
      <w:r w:rsidR="00190BA6" w:rsidRPr="00832C91">
        <w:rPr>
          <w:rFonts w:ascii="Aptos" w:eastAsia="Arial" w:hAnsi="Aptos" w:cs="Arial"/>
          <w:sz w:val="21"/>
          <w:szCs w:val="21"/>
        </w:rPr>
        <w:t>5</w:t>
      </w:r>
      <w:r w:rsidR="0066595B">
        <w:rPr>
          <w:rFonts w:ascii="Aptos" w:eastAsia="Arial" w:hAnsi="Aptos" w:cs="Arial"/>
          <w:sz w:val="21"/>
          <w:szCs w:val="21"/>
        </w:rPr>
        <w:t xml:space="preserve">. During the PFAC presentations, council members were informed about the current backlog of screenings impacting MGH and BWH patients and the need to prioritize timely screenings based on screening guidelines. The presentation also included specifics about the proposed ASC and how it will provide improved access to outpatient endoscopy as well as improve capacity at the MGB AMCs for emergent, inpatient, and higher acuity outpatient cases. </w:t>
      </w:r>
      <w:r w:rsidRPr="009555DC">
        <w:rPr>
          <w:rFonts w:ascii="Aptos" w:eastAsia="Arial" w:hAnsi="Aptos" w:cs="Arial"/>
          <w:sz w:val="21"/>
          <w:szCs w:val="21"/>
        </w:rPr>
        <w:t xml:space="preserve"> </w:t>
      </w:r>
      <w:r w:rsidR="00832C91">
        <w:rPr>
          <w:rFonts w:ascii="Aptos" w:eastAsia="Arial" w:hAnsi="Aptos" w:cs="Arial"/>
          <w:sz w:val="21"/>
          <w:szCs w:val="21"/>
        </w:rPr>
        <w:t xml:space="preserve">As of this Application, the Applicant has received several positive comments regarding the </w:t>
      </w:r>
      <w:r w:rsidR="0066595B">
        <w:rPr>
          <w:rFonts w:ascii="Aptos" w:eastAsia="Arial" w:hAnsi="Aptos" w:cs="Arial"/>
          <w:sz w:val="21"/>
          <w:szCs w:val="21"/>
        </w:rPr>
        <w:t>Proposed Project generally</w:t>
      </w:r>
      <w:r w:rsidR="00832C91">
        <w:rPr>
          <w:rFonts w:ascii="Aptos" w:eastAsia="Arial" w:hAnsi="Aptos" w:cs="Arial"/>
          <w:sz w:val="21"/>
          <w:szCs w:val="21"/>
        </w:rPr>
        <w:t xml:space="preserve">. </w:t>
      </w:r>
    </w:p>
    <w:p w14:paraId="5A42DF6B" w14:textId="77777777" w:rsidR="00317138" w:rsidRPr="009555DC" w:rsidRDefault="00317138" w:rsidP="00317138">
      <w:pPr>
        <w:spacing w:after="120"/>
        <w:jc w:val="both"/>
        <w:rPr>
          <w:rFonts w:ascii="Aptos" w:hAnsi="Aptos" w:cs="Arial"/>
          <w:bCs/>
          <w:i/>
          <w:iCs/>
          <w:sz w:val="21"/>
          <w:szCs w:val="21"/>
        </w:rPr>
      </w:pPr>
    </w:p>
    <w:p w14:paraId="5281F299" w14:textId="77777777" w:rsidR="00317138" w:rsidRPr="009555DC" w:rsidRDefault="00317138" w:rsidP="0031751C">
      <w:pPr>
        <w:pStyle w:val="Heading2"/>
      </w:pPr>
      <w:r w:rsidRPr="009555DC">
        <w:t>F1.</w:t>
      </w:r>
      <w:proofErr w:type="gramStart"/>
      <w:r w:rsidRPr="009555DC">
        <w:t>e.ii</w:t>
      </w:r>
      <w:proofErr w:type="gramEnd"/>
      <w:r w:rsidRPr="009555DC">
        <w:tab/>
      </w:r>
      <w:r w:rsidRPr="0031751C">
        <w:rPr>
          <w:b/>
          <w:bCs w:val="0"/>
          <w:i/>
          <w:iCs/>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31751C">
        <w:rPr>
          <w:b/>
          <w:bCs w:val="0"/>
          <w:i/>
          <w:iCs/>
        </w:rPr>
        <w:t>DoN</w:t>
      </w:r>
      <w:proofErr w:type="spellEnd"/>
      <w:r w:rsidRPr="0031751C">
        <w:rPr>
          <w:b/>
          <w:bCs w:val="0"/>
          <w:i/>
          <w:iCs/>
        </w:rPr>
        <w:t xml:space="preserve"> Project in response to "Patient Panel" need; and Linking the Proposed Project to "Public Health Value".</w:t>
      </w:r>
    </w:p>
    <w:p w14:paraId="68A6F06F" w14:textId="47D7C635" w:rsidR="002973CA" w:rsidRPr="009555DC" w:rsidRDefault="00317138" w:rsidP="00F83596">
      <w:pPr>
        <w:jc w:val="both"/>
        <w:rPr>
          <w:rFonts w:ascii="Aptos" w:hAnsi="Aptos" w:cs="Arial"/>
          <w:sz w:val="21"/>
          <w:szCs w:val="21"/>
        </w:rPr>
      </w:pPr>
      <w:r w:rsidRPr="009555DC">
        <w:rPr>
          <w:rFonts w:ascii="Aptos" w:hAnsi="Aptos" w:cs="Arial"/>
          <w:sz w:val="21"/>
          <w:szCs w:val="21"/>
        </w:rPr>
        <w:t xml:space="preserve">To ensure sound community engagement throughout the development of the Proposed Project, the Applicant took the actions detailed in Factor </w:t>
      </w:r>
      <w:r w:rsidR="00A70F0A" w:rsidRPr="009555DC">
        <w:rPr>
          <w:rFonts w:ascii="Aptos" w:hAnsi="Aptos" w:cs="Arial"/>
          <w:sz w:val="21"/>
          <w:szCs w:val="21"/>
        </w:rPr>
        <w:t>F</w:t>
      </w:r>
      <w:proofErr w:type="gramStart"/>
      <w:r w:rsidR="00A70F0A" w:rsidRPr="009555DC">
        <w:rPr>
          <w:rFonts w:ascii="Aptos" w:hAnsi="Aptos" w:cs="Arial"/>
          <w:sz w:val="21"/>
          <w:szCs w:val="21"/>
        </w:rPr>
        <w:t>1.e.i</w:t>
      </w:r>
      <w:r w:rsidRPr="009555DC">
        <w:rPr>
          <w:rFonts w:ascii="Aptos" w:hAnsi="Aptos" w:cs="Arial"/>
          <w:sz w:val="21"/>
          <w:szCs w:val="21"/>
        </w:rPr>
        <w:t>.</w:t>
      </w:r>
      <w:proofErr w:type="gramEnd"/>
      <w:r w:rsidRPr="009555DC">
        <w:rPr>
          <w:rFonts w:ascii="Aptos" w:hAnsi="Aptos" w:cs="Arial"/>
          <w:sz w:val="21"/>
          <w:szCs w:val="21"/>
        </w:rPr>
        <w:t xml:space="preserve"> In addition, the Applicant published </w:t>
      </w:r>
      <w:r w:rsidR="00A70F0A" w:rsidRPr="009555DC">
        <w:rPr>
          <w:rFonts w:ascii="Aptos" w:hAnsi="Aptos" w:cs="Arial"/>
          <w:sz w:val="21"/>
          <w:szCs w:val="21"/>
        </w:rPr>
        <w:t xml:space="preserve">two </w:t>
      </w:r>
      <w:r w:rsidRPr="009555DC">
        <w:rPr>
          <w:rFonts w:ascii="Aptos" w:hAnsi="Aptos" w:cs="Arial"/>
          <w:sz w:val="21"/>
          <w:szCs w:val="21"/>
        </w:rPr>
        <w:t>legal notice</w:t>
      </w:r>
      <w:r w:rsidR="00A70F0A" w:rsidRPr="009555DC">
        <w:rPr>
          <w:rFonts w:ascii="Aptos" w:hAnsi="Aptos" w:cs="Arial"/>
          <w:sz w:val="21"/>
          <w:szCs w:val="21"/>
        </w:rPr>
        <w:t>s</w:t>
      </w:r>
      <w:r w:rsidRPr="009555DC">
        <w:rPr>
          <w:rFonts w:ascii="Aptos" w:hAnsi="Aptos" w:cs="Arial"/>
          <w:sz w:val="21"/>
          <w:szCs w:val="21"/>
        </w:rPr>
        <w:t xml:space="preserve"> announcing the Proposed Project in the </w:t>
      </w:r>
      <w:r w:rsidRPr="009555DC">
        <w:rPr>
          <w:rFonts w:ascii="Aptos" w:hAnsi="Aptos" w:cs="Arial"/>
          <w:i/>
          <w:iCs/>
          <w:sz w:val="21"/>
          <w:szCs w:val="21"/>
        </w:rPr>
        <w:t>Boston Herald</w:t>
      </w:r>
      <w:r w:rsidRPr="009555DC">
        <w:rPr>
          <w:rFonts w:ascii="Aptos" w:hAnsi="Aptos" w:cs="Arial"/>
          <w:sz w:val="21"/>
          <w:szCs w:val="21"/>
        </w:rPr>
        <w:t xml:space="preserve"> on </w:t>
      </w:r>
      <w:r w:rsidR="00A70F0A" w:rsidRPr="009555DC">
        <w:rPr>
          <w:rFonts w:ascii="Aptos" w:hAnsi="Aptos" w:cs="Arial"/>
          <w:sz w:val="21"/>
          <w:szCs w:val="21"/>
        </w:rPr>
        <w:t>July 16, 2025</w:t>
      </w:r>
      <w:r w:rsidR="005315A6" w:rsidRPr="009555DC">
        <w:rPr>
          <w:rFonts w:ascii="Aptos" w:hAnsi="Aptos" w:cs="Arial"/>
          <w:sz w:val="21"/>
          <w:szCs w:val="21"/>
        </w:rPr>
        <w:t xml:space="preserve">. </w:t>
      </w:r>
      <w:r w:rsidRPr="009555DC">
        <w:rPr>
          <w:rFonts w:ascii="Aptos" w:hAnsi="Aptos" w:cs="Arial"/>
          <w:sz w:val="21"/>
          <w:szCs w:val="21"/>
        </w:rPr>
        <w:t xml:space="preserve">Please refer to Appendix </w:t>
      </w:r>
      <w:r w:rsidR="00A70F0A" w:rsidRPr="009555DC">
        <w:rPr>
          <w:rFonts w:ascii="Aptos" w:hAnsi="Aptos" w:cs="Arial"/>
          <w:sz w:val="21"/>
          <w:szCs w:val="21"/>
        </w:rPr>
        <w:t xml:space="preserve">7 </w:t>
      </w:r>
      <w:r w:rsidRPr="009555DC">
        <w:rPr>
          <w:rFonts w:ascii="Aptos" w:hAnsi="Aptos" w:cs="Arial"/>
          <w:sz w:val="21"/>
          <w:szCs w:val="21"/>
        </w:rPr>
        <w:t>for copies of the legal notices.</w:t>
      </w:r>
      <w:bookmarkEnd w:id="20"/>
    </w:p>
    <w:p w14:paraId="2797ABB0" w14:textId="77777777" w:rsidR="00F83596" w:rsidRPr="009555DC" w:rsidRDefault="00F83596" w:rsidP="00F83596">
      <w:pPr>
        <w:jc w:val="both"/>
        <w:rPr>
          <w:rFonts w:ascii="Aptos" w:hAnsi="Aptos" w:cs="Arial"/>
          <w:sz w:val="21"/>
          <w:szCs w:val="21"/>
        </w:rPr>
      </w:pPr>
    </w:p>
    <w:p w14:paraId="4881A86A" w14:textId="37AFA703" w:rsidR="00A2471A" w:rsidRPr="009555DC" w:rsidRDefault="00A2471A" w:rsidP="0031751C">
      <w:pPr>
        <w:pStyle w:val="Heading1"/>
      </w:pPr>
      <w:r w:rsidRPr="009555DC">
        <w:t>Factor 2: Health Priorities</w:t>
      </w:r>
    </w:p>
    <w:p w14:paraId="2233096A" w14:textId="3B248575" w:rsidR="003D749E" w:rsidRPr="009555DC" w:rsidRDefault="00A2471A" w:rsidP="007F2D65">
      <w:pPr>
        <w:spacing w:after="120"/>
        <w:jc w:val="both"/>
        <w:rPr>
          <w:rFonts w:ascii="Aptos" w:hAnsi="Aptos"/>
          <w:b/>
          <w:i/>
          <w:iCs/>
          <w:sz w:val="21"/>
          <w:szCs w:val="21"/>
        </w:rPr>
      </w:pPr>
      <w:r w:rsidRPr="009555DC">
        <w:rPr>
          <w:rFonts w:ascii="Aptos" w:hAnsi="Aptos"/>
          <w:b/>
          <w:i/>
          <w:iCs/>
          <w:sz w:val="21"/>
          <w:szCs w:val="21"/>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683E4CD" w14:textId="4C10239D" w:rsidR="00A2471A" w:rsidRPr="0031751C" w:rsidRDefault="00A2471A" w:rsidP="0031751C">
      <w:pPr>
        <w:pStyle w:val="Heading2"/>
        <w:rPr>
          <w:b/>
          <w:bCs w:val="0"/>
        </w:rPr>
      </w:pPr>
      <w:r w:rsidRPr="009555DC">
        <w:t>F2.a.</w:t>
      </w:r>
      <w:r w:rsidRPr="009555DC">
        <w:tab/>
      </w:r>
      <w:r w:rsidRPr="009555DC">
        <w:tab/>
      </w:r>
      <w:r w:rsidRPr="0031751C">
        <w:rPr>
          <w:b/>
          <w:bCs w:val="0"/>
        </w:rPr>
        <w:t>Cost Containment</w:t>
      </w:r>
    </w:p>
    <w:p w14:paraId="7CED4B2F" w14:textId="77777777" w:rsidR="00A2471A" w:rsidRPr="009555DC" w:rsidRDefault="00A2471A" w:rsidP="00A2471A">
      <w:pPr>
        <w:spacing w:after="120"/>
        <w:ind w:left="1440"/>
        <w:jc w:val="both"/>
        <w:rPr>
          <w:rFonts w:ascii="Aptos" w:hAnsi="Aptos"/>
          <w:b/>
          <w:i/>
          <w:iCs/>
          <w:sz w:val="21"/>
          <w:szCs w:val="21"/>
        </w:rPr>
      </w:pPr>
      <w:r w:rsidRPr="009555DC">
        <w:rPr>
          <w:rFonts w:ascii="Aptos" w:hAnsi="Aptos"/>
          <w:b/>
          <w:i/>
          <w:iCs/>
          <w:sz w:val="21"/>
          <w:szCs w:val="21"/>
        </w:rPr>
        <w:t>Using objective data, please describe, for each new or expanded service, how the Proposed Project will meaningfully contribute to the Commonwealth's goals for cost containment.</w:t>
      </w:r>
    </w:p>
    <w:p w14:paraId="366A4B8D" w14:textId="21C9C756" w:rsidR="00A2471A" w:rsidRPr="009555DC" w:rsidRDefault="00A2471A" w:rsidP="00A2471A">
      <w:pPr>
        <w:spacing w:after="120"/>
        <w:jc w:val="both"/>
        <w:rPr>
          <w:rFonts w:ascii="Aptos" w:hAnsi="Aptos"/>
          <w:bCs/>
          <w:sz w:val="21"/>
          <w:szCs w:val="21"/>
        </w:rPr>
      </w:pPr>
      <w:r w:rsidRPr="009555DC">
        <w:rPr>
          <w:rFonts w:ascii="Aptos" w:hAnsi="Aptos"/>
          <w:bCs/>
          <w:sz w:val="21"/>
          <w:szCs w:val="21"/>
        </w:rPr>
        <w:t xml:space="preserve">The Proposed Project will meaningfully contribute to the Commonwealth’s goals for cost containment by expanding access to high-quality </w:t>
      </w:r>
      <w:r w:rsidR="007F2D65" w:rsidRPr="009555DC">
        <w:rPr>
          <w:rFonts w:ascii="Aptos" w:hAnsi="Aptos"/>
          <w:bCs/>
          <w:sz w:val="21"/>
          <w:szCs w:val="21"/>
        </w:rPr>
        <w:t>endoscopy in a lower cost setting than existing options for the Patient Panel</w:t>
      </w:r>
      <w:r w:rsidRPr="009555DC">
        <w:rPr>
          <w:rFonts w:ascii="Aptos" w:hAnsi="Aptos"/>
          <w:bCs/>
          <w:sz w:val="21"/>
          <w:szCs w:val="21"/>
        </w:rPr>
        <w:t>.</w:t>
      </w:r>
      <w:r w:rsidR="007F1DEF" w:rsidRPr="009555DC">
        <w:rPr>
          <w:rFonts w:ascii="Aptos" w:hAnsi="Aptos"/>
          <w:bCs/>
          <w:sz w:val="21"/>
          <w:szCs w:val="21"/>
        </w:rPr>
        <w:t xml:space="preserve"> ASCs offer high-quality services to patients </w:t>
      </w:r>
      <w:r w:rsidR="007F2D65" w:rsidRPr="009555DC">
        <w:rPr>
          <w:rFonts w:ascii="Aptos" w:hAnsi="Aptos"/>
          <w:bCs/>
          <w:sz w:val="21"/>
          <w:szCs w:val="21"/>
        </w:rPr>
        <w:t>while maximizing</w:t>
      </w:r>
      <w:r w:rsidR="007F1DEF" w:rsidRPr="009555DC">
        <w:rPr>
          <w:rFonts w:ascii="Aptos" w:hAnsi="Aptos"/>
          <w:bCs/>
          <w:sz w:val="21"/>
          <w:szCs w:val="21"/>
        </w:rPr>
        <w:t xml:space="preserve"> operational efficiencies, which translate into lower healthcare costs. </w:t>
      </w:r>
      <w:r w:rsidRPr="009555DC">
        <w:rPr>
          <w:rFonts w:ascii="Aptos" w:hAnsi="Aptos"/>
          <w:bCs/>
          <w:sz w:val="21"/>
          <w:szCs w:val="21"/>
        </w:rPr>
        <w:t xml:space="preserve">Furthermore, </w:t>
      </w:r>
      <w:r w:rsidR="007F2D65" w:rsidRPr="009555DC">
        <w:rPr>
          <w:rFonts w:ascii="Aptos" w:hAnsi="Aptos"/>
          <w:bCs/>
          <w:sz w:val="21"/>
          <w:szCs w:val="21"/>
        </w:rPr>
        <w:t xml:space="preserve">the proposed ASC will </w:t>
      </w:r>
      <w:r w:rsidR="00351E51" w:rsidRPr="009555DC">
        <w:rPr>
          <w:rFonts w:ascii="Aptos" w:hAnsi="Aptos"/>
          <w:bCs/>
          <w:sz w:val="21"/>
          <w:szCs w:val="21"/>
        </w:rPr>
        <w:t xml:space="preserve">improve </w:t>
      </w:r>
      <w:r w:rsidRPr="009555DC">
        <w:rPr>
          <w:rFonts w:ascii="Aptos" w:hAnsi="Aptos"/>
          <w:bCs/>
          <w:sz w:val="21"/>
          <w:szCs w:val="21"/>
        </w:rPr>
        <w:t>access to timely screening and diagnostic endoscopy procedures, ultimately improving public health outcomes</w:t>
      </w:r>
      <w:r w:rsidR="007F2D65" w:rsidRPr="009555DC">
        <w:rPr>
          <w:rFonts w:ascii="Aptos" w:hAnsi="Aptos"/>
          <w:bCs/>
          <w:sz w:val="21"/>
          <w:szCs w:val="21"/>
        </w:rPr>
        <w:t xml:space="preserve"> and reducing treatment costs. </w:t>
      </w:r>
    </w:p>
    <w:p w14:paraId="26E13545" w14:textId="2AA045CE" w:rsidR="00A2471A" w:rsidRPr="009555DC" w:rsidRDefault="00A2471A" w:rsidP="00A2471A">
      <w:pPr>
        <w:spacing w:after="120"/>
        <w:jc w:val="both"/>
        <w:rPr>
          <w:rFonts w:ascii="Aptos" w:hAnsi="Aptos"/>
          <w:bCs/>
          <w:sz w:val="21"/>
          <w:szCs w:val="21"/>
        </w:rPr>
      </w:pPr>
      <w:r w:rsidRPr="009555DC">
        <w:rPr>
          <w:rFonts w:ascii="Aptos" w:eastAsia="Arial" w:hAnsi="Aptos"/>
          <w:sz w:val="21"/>
          <w:szCs w:val="21"/>
        </w:rPr>
        <w:t xml:space="preserve">Table </w:t>
      </w:r>
      <w:r w:rsidR="00F83596" w:rsidRPr="009555DC">
        <w:rPr>
          <w:rFonts w:ascii="Aptos" w:eastAsia="Arial" w:hAnsi="Aptos"/>
          <w:sz w:val="21"/>
          <w:szCs w:val="21"/>
        </w:rPr>
        <w:t xml:space="preserve">7 </w:t>
      </w:r>
      <w:r w:rsidRPr="009555DC">
        <w:rPr>
          <w:rFonts w:ascii="Aptos" w:eastAsia="Arial" w:hAnsi="Aptos"/>
          <w:sz w:val="21"/>
          <w:szCs w:val="21"/>
        </w:rPr>
        <w:t xml:space="preserve">below </w:t>
      </w:r>
      <w:r w:rsidR="000C5EBD" w:rsidRPr="009555DC">
        <w:rPr>
          <w:rFonts w:ascii="Aptos" w:eastAsia="Arial" w:hAnsi="Aptos"/>
          <w:sz w:val="21"/>
          <w:szCs w:val="21"/>
        </w:rPr>
        <w:t xml:space="preserve">details </w:t>
      </w:r>
      <w:r w:rsidRPr="009555DC">
        <w:rPr>
          <w:rFonts w:ascii="Aptos" w:eastAsia="Arial" w:hAnsi="Aptos"/>
          <w:sz w:val="21"/>
          <w:szCs w:val="21"/>
        </w:rPr>
        <w:t>the out-of-pocket costs</w:t>
      </w:r>
      <w:r w:rsidR="000C5EBD" w:rsidRPr="009555DC">
        <w:rPr>
          <w:rFonts w:ascii="Aptos" w:eastAsia="Arial" w:hAnsi="Aptos"/>
          <w:sz w:val="21"/>
          <w:szCs w:val="21"/>
        </w:rPr>
        <w:t xml:space="preserve"> that Medicare</w:t>
      </w:r>
      <w:r w:rsidRPr="009555DC">
        <w:rPr>
          <w:rFonts w:ascii="Aptos" w:eastAsia="Arial" w:hAnsi="Aptos"/>
          <w:sz w:val="21"/>
          <w:szCs w:val="21"/>
        </w:rPr>
        <w:t xml:space="preserve"> patients incur for common endoscopy procedures, highlighting the cost disparity based on the setting in which services are received. The data emphasizes the importance of expanding access to high-quality, lower-cost endoscopy services in ASCs to help reduce the financial burden on patients. By receiving endoscopy services in ASCs rather than </w:t>
      </w:r>
      <w:r w:rsidRPr="009555DC">
        <w:rPr>
          <w:rFonts w:ascii="Aptos" w:eastAsia="Arial" w:hAnsi="Aptos"/>
          <w:sz w:val="21"/>
          <w:szCs w:val="21"/>
        </w:rPr>
        <w:lastRenderedPageBreak/>
        <w:t>HOPDs, patients can significantly lower their out-of-pocket expenses</w:t>
      </w:r>
      <w:r w:rsidR="00F63527" w:rsidRPr="009555DC">
        <w:rPr>
          <w:rFonts w:ascii="Aptos" w:eastAsia="Arial" w:hAnsi="Aptos"/>
          <w:sz w:val="21"/>
          <w:szCs w:val="21"/>
        </w:rPr>
        <w:t xml:space="preserve"> and may be more likely to comply with recommendations for endoscopy</w:t>
      </w:r>
      <w:r w:rsidRPr="009555DC">
        <w:rPr>
          <w:rFonts w:ascii="Aptos" w:eastAsia="Arial" w:hAnsi="Aptos"/>
          <w:sz w:val="21"/>
          <w:szCs w:val="21"/>
        </w:rPr>
        <w:t>. Therefore, even modest shifts of ASC-eligible procedures from HOPDs to ASCs have the potential to generate meaningful cost savings for patients and contribute to broader healthcare affordability for Massachusetts residents.</w:t>
      </w:r>
    </w:p>
    <w:p w14:paraId="28C551C3" w14:textId="11B8E6F5" w:rsidR="00A2471A" w:rsidRPr="00004DEA" w:rsidRDefault="00A2471A" w:rsidP="00A2471A">
      <w:pPr>
        <w:spacing w:after="120"/>
        <w:rPr>
          <w:rFonts w:ascii="Aptos" w:hAnsi="Aptos"/>
          <w:b/>
          <w:sz w:val="20"/>
          <w:szCs w:val="20"/>
        </w:rPr>
      </w:pPr>
      <w:r w:rsidRPr="00004DEA">
        <w:rPr>
          <w:rFonts w:ascii="Aptos" w:hAnsi="Aptos"/>
          <w:b/>
          <w:sz w:val="20"/>
          <w:szCs w:val="20"/>
        </w:rPr>
        <w:t xml:space="preserve">Table </w:t>
      </w:r>
      <w:r w:rsidR="00451FFC" w:rsidRPr="00004DEA">
        <w:rPr>
          <w:rFonts w:ascii="Aptos" w:hAnsi="Aptos"/>
          <w:b/>
          <w:sz w:val="20"/>
          <w:szCs w:val="20"/>
        </w:rPr>
        <w:t>7</w:t>
      </w:r>
      <w:r w:rsidRPr="00004DEA">
        <w:rPr>
          <w:rFonts w:ascii="Aptos" w:hAnsi="Aptos"/>
          <w:b/>
          <w:sz w:val="20"/>
          <w:szCs w:val="20"/>
        </w:rPr>
        <w:t>: 2025 Medicare Procedural Out-of-Pocket Costs for Patients</w:t>
      </w:r>
      <w:r w:rsidRPr="00004DEA">
        <w:rPr>
          <w:rStyle w:val="FootnoteReference"/>
          <w:rFonts w:ascii="Aptos" w:hAnsi="Aptos"/>
          <w:sz w:val="20"/>
          <w:szCs w:val="20"/>
        </w:rPr>
        <w:footnoteReference w:id="77"/>
      </w:r>
      <w:r w:rsidRPr="00004DEA">
        <w:rPr>
          <w:rFonts w:ascii="Aptos" w:hAnsi="Aptos"/>
          <w:b/>
          <w:sz w:val="20"/>
          <w:szCs w:val="20"/>
        </w:rPr>
        <w:t xml:space="preserve"> </w:t>
      </w:r>
    </w:p>
    <w:tbl>
      <w:tblPr>
        <w:tblStyle w:val="TableGrid"/>
        <w:tblW w:w="5000" w:type="pct"/>
        <w:tblLook w:val="04A0" w:firstRow="1" w:lastRow="0" w:firstColumn="1" w:lastColumn="0" w:noHBand="0" w:noVBand="1"/>
      </w:tblPr>
      <w:tblGrid>
        <w:gridCol w:w="2425"/>
        <w:gridCol w:w="2308"/>
        <w:gridCol w:w="2308"/>
        <w:gridCol w:w="2309"/>
      </w:tblGrid>
      <w:tr w:rsidR="00A2471A" w:rsidRPr="009555DC" w14:paraId="7304556C" w14:textId="77777777" w:rsidTr="00D74D13">
        <w:trPr>
          <w:cantSplit/>
          <w:tblHeader/>
        </w:trPr>
        <w:tc>
          <w:tcPr>
            <w:tcW w:w="1297" w:type="pct"/>
            <w:shd w:val="clear" w:color="auto" w:fill="0F4761" w:themeFill="accent1" w:themeFillShade="BF"/>
            <w:vAlign w:val="center"/>
          </w:tcPr>
          <w:p w14:paraId="34DE7A6F" w14:textId="4243707A" w:rsidR="00A2471A" w:rsidRPr="00004DEA" w:rsidRDefault="00A2471A" w:rsidP="00062791">
            <w:pPr>
              <w:rPr>
                <w:rFonts w:ascii="Aptos" w:hAnsi="Aptos"/>
                <w:b/>
                <w:sz w:val="20"/>
                <w:szCs w:val="20"/>
              </w:rPr>
            </w:pPr>
            <w:r w:rsidRPr="00004DEA">
              <w:rPr>
                <w:rFonts w:ascii="Aptos" w:hAnsi="Aptos"/>
                <w:b/>
                <w:sz w:val="20"/>
                <w:szCs w:val="20"/>
              </w:rPr>
              <w:t>Procedure</w:t>
            </w:r>
          </w:p>
        </w:tc>
        <w:tc>
          <w:tcPr>
            <w:tcW w:w="1234" w:type="pct"/>
            <w:shd w:val="clear" w:color="auto" w:fill="0F4761" w:themeFill="accent1" w:themeFillShade="BF"/>
          </w:tcPr>
          <w:p w14:paraId="560BD0EF" w14:textId="77777777" w:rsidR="00A2471A" w:rsidRPr="00004DEA" w:rsidRDefault="00A2471A" w:rsidP="00062791">
            <w:pPr>
              <w:jc w:val="center"/>
              <w:rPr>
                <w:rFonts w:ascii="Aptos" w:hAnsi="Aptos"/>
                <w:b/>
                <w:sz w:val="20"/>
                <w:szCs w:val="20"/>
              </w:rPr>
            </w:pPr>
            <w:r w:rsidRPr="00004DEA">
              <w:rPr>
                <w:rFonts w:ascii="Aptos" w:hAnsi="Aptos"/>
                <w:b/>
                <w:sz w:val="20"/>
                <w:szCs w:val="20"/>
              </w:rPr>
              <w:t xml:space="preserve">ASC </w:t>
            </w:r>
          </w:p>
          <w:p w14:paraId="1E5B4E26" w14:textId="77777777" w:rsidR="00A2471A" w:rsidRPr="00004DEA" w:rsidRDefault="00A2471A" w:rsidP="00062791">
            <w:pPr>
              <w:jc w:val="center"/>
              <w:rPr>
                <w:rFonts w:ascii="Aptos" w:hAnsi="Aptos"/>
                <w:b/>
                <w:sz w:val="20"/>
                <w:szCs w:val="20"/>
              </w:rPr>
            </w:pPr>
            <w:r w:rsidRPr="00004DEA">
              <w:rPr>
                <w:rFonts w:ascii="Aptos" w:hAnsi="Aptos"/>
                <w:b/>
                <w:sz w:val="20"/>
                <w:szCs w:val="20"/>
              </w:rPr>
              <w:t>Out-of-Pocket Costs</w:t>
            </w:r>
          </w:p>
        </w:tc>
        <w:tc>
          <w:tcPr>
            <w:tcW w:w="1234" w:type="pct"/>
            <w:shd w:val="clear" w:color="auto" w:fill="0F4761" w:themeFill="accent1" w:themeFillShade="BF"/>
          </w:tcPr>
          <w:p w14:paraId="2FD1BBCE" w14:textId="77777777" w:rsidR="00A2471A" w:rsidRPr="00004DEA" w:rsidRDefault="00A2471A" w:rsidP="00062791">
            <w:pPr>
              <w:jc w:val="center"/>
              <w:rPr>
                <w:rFonts w:ascii="Aptos" w:hAnsi="Aptos"/>
                <w:b/>
                <w:sz w:val="20"/>
                <w:szCs w:val="20"/>
              </w:rPr>
            </w:pPr>
            <w:r w:rsidRPr="00004DEA">
              <w:rPr>
                <w:rFonts w:ascii="Aptos" w:hAnsi="Aptos"/>
                <w:b/>
                <w:sz w:val="20"/>
                <w:szCs w:val="20"/>
              </w:rPr>
              <w:t xml:space="preserve">HOPD </w:t>
            </w:r>
          </w:p>
          <w:p w14:paraId="1C1EA9ED" w14:textId="77777777" w:rsidR="00A2471A" w:rsidRPr="00004DEA" w:rsidRDefault="00A2471A" w:rsidP="00062791">
            <w:pPr>
              <w:jc w:val="center"/>
              <w:rPr>
                <w:rFonts w:ascii="Aptos" w:hAnsi="Aptos"/>
                <w:b/>
                <w:sz w:val="20"/>
                <w:szCs w:val="20"/>
              </w:rPr>
            </w:pPr>
            <w:r w:rsidRPr="00004DEA">
              <w:rPr>
                <w:rFonts w:ascii="Aptos" w:hAnsi="Aptos"/>
                <w:b/>
                <w:sz w:val="20"/>
                <w:szCs w:val="20"/>
              </w:rPr>
              <w:t>Out-of-Pocket Costs</w:t>
            </w:r>
          </w:p>
        </w:tc>
        <w:tc>
          <w:tcPr>
            <w:tcW w:w="1235" w:type="pct"/>
            <w:shd w:val="clear" w:color="auto" w:fill="0F4761" w:themeFill="accent1" w:themeFillShade="BF"/>
          </w:tcPr>
          <w:p w14:paraId="04FC8101" w14:textId="77777777" w:rsidR="002973CA" w:rsidRPr="00004DEA" w:rsidRDefault="00A2471A" w:rsidP="00062791">
            <w:pPr>
              <w:jc w:val="center"/>
              <w:rPr>
                <w:rFonts w:ascii="Aptos" w:hAnsi="Aptos"/>
                <w:b/>
                <w:sz w:val="20"/>
                <w:szCs w:val="20"/>
              </w:rPr>
            </w:pPr>
            <w:r w:rsidRPr="00004DEA">
              <w:rPr>
                <w:rFonts w:ascii="Aptos" w:hAnsi="Aptos"/>
                <w:b/>
                <w:sz w:val="20"/>
                <w:szCs w:val="20"/>
              </w:rPr>
              <w:t xml:space="preserve">ASC Patient </w:t>
            </w:r>
          </w:p>
          <w:p w14:paraId="5F69A5A3" w14:textId="478D3711" w:rsidR="00A2471A" w:rsidRPr="00004DEA" w:rsidRDefault="002973CA" w:rsidP="00062791">
            <w:pPr>
              <w:jc w:val="center"/>
              <w:rPr>
                <w:rFonts w:ascii="Aptos" w:hAnsi="Aptos"/>
                <w:b/>
                <w:sz w:val="20"/>
                <w:szCs w:val="20"/>
              </w:rPr>
            </w:pPr>
            <w:r w:rsidRPr="00004DEA">
              <w:rPr>
                <w:rFonts w:ascii="Aptos" w:hAnsi="Aptos"/>
                <w:b/>
                <w:sz w:val="20"/>
                <w:szCs w:val="20"/>
              </w:rPr>
              <w:t>Out</w:t>
            </w:r>
            <w:r w:rsidR="007B2757" w:rsidRPr="00004DEA">
              <w:rPr>
                <w:rFonts w:ascii="Aptos" w:hAnsi="Aptos"/>
                <w:b/>
                <w:sz w:val="20"/>
                <w:szCs w:val="20"/>
              </w:rPr>
              <w:t>-</w:t>
            </w:r>
            <w:r w:rsidRPr="00004DEA">
              <w:rPr>
                <w:rFonts w:ascii="Aptos" w:hAnsi="Aptos"/>
                <w:b/>
                <w:sz w:val="20"/>
                <w:szCs w:val="20"/>
              </w:rPr>
              <w:t>of</w:t>
            </w:r>
            <w:r w:rsidR="007B2757" w:rsidRPr="00004DEA">
              <w:rPr>
                <w:rFonts w:ascii="Aptos" w:hAnsi="Aptos"/>
                <w:b/>
                <w:sz w:val="20"/>
                <w:szCs w:val="20"/>
              </w:rPr>
              <w:t>-P</w:t>
            </w:r>
            <w:r w:rsidRPr="00004DEA">
              <w:rPr>
                <w:rFonts w:ascii="Aptos" w:hAnsi="Aptos"/>
                <w:b/>
                <w:sz w:val="20"/>
                <w:szCs w:val="20"/>
              </w:rPr>
              <w:t xml:space="preserve">ocket </w:t>
            </w:r>
            <w:r w:rsidR="00A2471A" w:rsidRPr="00004DEA">
              <w:rPr>
                <w:rFonts w:ascii="Aptos" w:hAnsi="Aptos"/>
                <w:b/>
                <w:sz w:val="20"/>
                <w:szCs w:val="20"/>
              </w:rPr>
              <w:t>Savings</w:t>
            </w:r>
          </w:p>
        </w:tc>
      </w:tr>
      <w:tr w:rsidR="00A2471A" w:rsidRPr="009555DC" w14:paraId="7C2135B1" w14:textId="77777777" w:rsidTr="00D74D13">
        <w:trPr>
          <w:cantSplit/>
        </w:trPr>
        <w:tc>
          <w:tcPr>
            <w:tcW w:w="1297" w:type="pct"/>
          </w:tcPr>
          <w:p w14:paraId="084E1011" w14:textId="77777777" w:rsidR="00A2471A" w:rsidRPr="00004DEA" w:rsidRDefault="00A2471A" w:rsidP="00062791">
            <w:pPr>
              <w:rPr>
                <w:rFonts w:ascii="Aptos" w:hAnsi="Aptos"/>
                <w:b/>
                <w:bCs/>
                <w:color w:val="000000" w:themeColor="text1"/>
                <w:sz w:val="20"/>
                <w:szCs w:val="20"/>
              </w:rPr>
            </w:pPr>
            <w:r w:rsidRPr="00004DEA">
              <w:rPr>
                <w:rFonts w:ascii="Aptos" w:hAnsi="Aptos" w:cs="Calibri"/>
                <w:b/>
                <w:bCs/>
                <w:color w:val="000000" w:themeColor="text1"/>
                <w:sz w:val="20"/>
                <w:szCs w:val="20"/>
              </w:rPr>
              <w:t>Colonoscopy</w:t>
            </w:r>
          </w:p>
        </w:tc>
        <w:tc>
          <w:tcPr>
            <w:tcW w:w="1234" w:type="pct"/>
          </w:tcPr>
          <w:p w14:paraId="35CB0B28"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$164</w:t>
            </w:r>
          </w:p>
        </w:tc>
        <w:tc>
          <w:tcPr>
            <w:tcW w:w="1234" w:type="pct"/>
          </w:tcPr>
          <w:p w14:paraId="4977D319"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$273</w:t>
            </w:r>
          </w:p>
        </w:tc>
        <w:tc>
          <w:tcPr>
            <w:tcW w:w="1235" w:type="pct"/>
          </w:tcPr>
          <w:p w14:paraId="14EA508F"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$109</w:t>
            </w:r>
          </w:p>
        </w:tc>
      </w:tr>
      <w:tr w:rsidR="00A2471A" w:rsidRPr="009555DC" w14:paraId="0F89F8CA" w14:textId="77777777" w:rsidTr="00D74D13">
        <w:trPr>
          <w:cantSplit/>
        </w:trPr>
        <w:tc>
          <w:tcPr>
            <w:tcW w:w="1297" w:type="pct"/>
          </w:tcPr>
          <w:p w14:paraId="2115CCE6" w14:textId="77777777" w:rsidR="00A2471A" w:rsidRPr="00004DEA" w:rsidRDefault="00A2471A" w:rsidP="00062791">
            <w:pPr>
              <w:rPr>
                <w:rFonts w:ascii="Aptos" w:hAnsi="Aptos" w:cs="Calibri"/>
                <w:b/>
                <w:bCs/>
                <w:color w:val="000000" w:themeColor="text1"/>
                <w:sz w:val="20"/>
                <w:szCs w:val="20"/>
              </w:rPr>
            </w:pPr>
            <w:r w:rsidRPr="00004DEA">
              <w:rPr>
                <w:rFonts w:ascii="Aptos" w:hAnsi="Aptos" w:cs="Calibri"/>
                <w:b/>
                <w:bCs/>
                <w:color w:val="000000" w:themeColor="text1"/>
                <w:sz w:val="20"/>
                <w:szCs w:val="20"/>
              </w:rPr>
              <w:t xml:space="preserve">EGD </w:t>
            </w:r>
          </w:p>
        </w:tc>
        <w:tc>
          <w:tcPr>
            <w:tcW w:w="1234" w:type="pct"/>
          </w:tcPr>
          <w:p w14:paraId="5C62684C"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$126</w:t>
            </w:r>
          </w:p>
        </w:tc>
        <w:tc>
          <w:tcPr>
            <w:tcW w:w="1234" w:type="pct"/>
          </w:tcPr>
          <w:p w14:paraId="46481628"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$213</w:t>
            </w:r>
          </w:p>
        </w:tc>
        <w:tc>
          <w:tcPr>
            <w:tcW w:w="1235" w:type="pct"/>
          </w:tcPr>
          <w:p w14:paraId="5686E19C"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$87</w:t>
            </w:r>
          </w:p>
        </w:tc>
      </w:tr>
      <w:tr w:rsidR="00A2471A" w:rsidRPr="009555DC" w14:paraId="5EB19E90" w14:textId="77777777" w:rsidTr="00D74D13">
        <w:trPr>
          <w:cantSplit/>
        </w:trPr>
        <w:tc>
          <w:tcPr>
            <w:tcW w:w="1297" w:type="pct"/>
          </w:tcPr>
          <w:p w14:paraId="3B1A0C10" w14:textId="77777777" w:rsidR="00A2471A" w:rsidRPr="00004DEA" w:rsidRDefault="00A2471A" w:rsidP="00062791">
            <w:pPr>
              <w:rPr>
                <w:rFonts w:ascii="Aptos" w:hAnsi="Aptos" w:cs="Calibri"/>
                <w:b/>
                <w:bCs/>
                <w:color w:val="000000" w:themeColor="text1"/>
                <w:sz w:val="20"/>
                <w:szCs w:val="20"/>
              </w:rPr>
            </w:pPr>
            <w:r w:rsidRPr="00004DEA">
              <w:rPr>
                <w:rFonts w:ascii="Aptos" w:hAnsi="Aptos" w:cs="Calibri"/>
                <w:b/>
                <w:bCs/>
                <w:color w:val="000000" w:themeColor="text1"/>
                <w:sz w:val="20"/>
                <w:szCs w:val="20"/>
              </w:rPr>
              <w:t xml:space="preserve">Enteroscopy </w:t>
            </w:r>
          </w:p>
        </w:tc>
        <w:tc>
          <w:tcPr>
            <w:tcW w:w="1234" w:type="pct"/>
          </w:tcPr>
          <w:p w14:paraId="714DA1DE"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$202</w:t>
            </w:r>
          </w:p>
        </w:tc>
        <w:tc>
          <w:tcPr>
            <w:tcW w:w="1234" w:type="pct"/>
          </w:tcPr>
          <w:p w14:paraId="4A47BC9B"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$409</w:t>
            </w:r>
          </w:p>
        </w:tc>
        <w:tc>
          <w:tcPr>
            <w:tcW w:w="1235" w:type="pct"/>
          </w:tcPr>
          <w:p w14:paraId="3D1B62FF"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$207</w:t>
            </w:r>
          </w:p>
        </w:tc>
      </w:tr>
      <w:tr w:rsidR="00A2471A" w:rsidRPr="009555DC" w14:paraId="6273B1B2" w14:textId="77777777" w:rsidTr="00D74D13">
        <w:trPr>
          <w:cantSplit/>
        </w:trPr>
        <w:tc>
          <w:tcPr>
            <w:tcW w:w="1297" w:type="pct"/>
          </w:tcPr>
          <w:p w14:paraId="5F1CD08E" w14:textId="77777777" w:rsidR="00A2471A" w:rsidRPr="00004DEA" w:rsidRDefault="00A2471A" w:rsidP="00062791">
            <w:pPr>
              <w:rPr>
                <w:rFonts w:ascii="Aptos" w:hAnsi="Aptos" w:cs="Calibri"/>
                <w:b/>
                <w:bCs/>
                <w:color w:val="000000" w:themeColor="text1"/>
                <w:sz w:val="20"/>
                <w:szCs w:val="20"/>
              </w:rPr>
            </w:pPr>
            <w:r w:rsidRPr="00004DEA">
              <w:rPr>
                <w:rFonts w:ascii="Aptos" w:hAnsi="Aptos" w:cs="Calibri"/>
                <w:b/>
                <w:bCs/>
                <w:color w:val="000000" w:themeColor="text1"/>
                <w:sz w:val="20"/>
                <w:szCs w:val="20"/>
              </w:rPr>
              <w:t xml:space="preserve">Esophagoscopy </w:t>
            </w:r>
          </w:p>
        </w:tc>
        <w:tc>
          <w:tcPr>
            <w:tcW w:w="1234" w:type="pct"/>
          </w:tcPr>
          <w:p w14:paraId="6F79B40B"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$191</w:t>
            </w:r>
          </w:p>
        </w:tc>
        <w:tc>
          <w:tcPr>
            <w:tcW w:w="1234" w:type="pct"/>
          </w:tcPr>
          <w:p w14:paraId="2AFD0FBF"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$398</w:t>
            </w:r>
          </w:p>
        </w:tc>
        <w:tc>
          <w:tcPr>
            <w:tcW w:w="1235" w:type="pct"/>
          </w:tcPr>
          <w:p w14:paraId="4951CEB4" w14:textId="77777777" w:rsidR="00A2471A" w:rsidRPr="00004DEA" w:rsidRDefault="00A2471A" w:rsidP="00062791">
            <w:pPr>
              <w:jc w:val="center"/>
              <w:rPr>
                <w:rFonts w:ascii="Aptos" w:hAnsi="Aptos" w:cs="Calibri"/>
                <w:color w:val="000000" w:themeColor="text1"/>
                <w:sz w:val="20"/>
                <w:szCs w:val="20"/>
              </w:rPr>
            </w:pPr>
            <w:r w:rsidRPr="00004DEA">
              <w:rPr>
                <w:rFonts w:ascii="Aptos" w:hAnsi="Aptos" w:cs="Calibri"/>
                <w:color w:val="000000" w:themeColor="text1"/>
                <w:sz w:val="20"/>
                <w:szCs w:val="20"/>
              </w:rPr>
              <w:t>$208</w:t>
            </w:r>
          </w:p>
        </w:tc>
      </w:tr>
    </w:tbl>
    <w:p w14:paraId="0B74DF7F" w14:textId="77777777" w:rsidR="00A2471A" w:rsidRPr="009555DC" w:rsidRDefault="00A2471A" w:rsidP="00A2471A">
      <w:pPr>
        <w:spacing w:after="120"/>
        <w:jc w:val="both"/>
        <w:rPr>
          <w:rFonts w:ascii="Aptos" w:hAnsi="Aptos"/>
          <w:bCs/>
          <w:sz w:val="21"/>
          <w:szCs w:val="21"/>
        </w:rPr>
      </w:pPr>
    </w:p>
    <w:p w14:paraId="1DAEB8D8" w14:textId="5B6ED691" w:rsidR="00A2471A" w:rsidRPr="009555DC" w:rsidRDefault="00A2471A" w:rsidP="00A2471A">
      <w:pPr>
        <w:spacing w:after="120"/>
        <w:jc w:val="both"/>
        <w:rPr>
          <w:rFonts w:ascii="Aptos" w:hAnsi="Aptos"/>
          <w:bCs/>
          <w:sz w:val="21"/>
          <w:szCs w:val="21"/>
        </w:rPr>
      </w:pPr>
      <w:r w:rsidRPr="009555DC">
        <w:rPr>
          <w:rFonts w:ascii="Aptos" w:hAnsi="Aptos"/>
          <w:bCs/>
          <w:sz w:val="21"/>
          <w:szCs w:val="21"/>
        </w:rPr>
        <w:t xml:space="preserve">Massachusetts aims to reduce healthcare costs by expanding access to high-quality, affordable services. The </w:t>
      </w:r>
      <w:r w:rsidR="003D749E" w:rsidRPr="009555DC">
        <w:rPr>
          <w:rFonts w:ascii="Aptos" w:hAnsi="Aptos"/>
          <w:bCs/>
          <w:sz w:val="21"/>
          <w:szCs w:val="21"/>
        </w:rPr>
        <w:t>HPC</w:t>
      </w:r>
      <w:r w:rsidRPr="009555DC">
        <w:rPr>
          <w:rFonts w:ascii="Aptos" w:hAnsi="Aptos"/>
          <w:bCs/>
          <w:sz w:val="21"/>
          <w:szCs w:val="21"/>
        </w:rPr>
        <w:t xml:space="preserve"> emphasizes that achieving this goal requires making </w:t>
      </w:r>
      <w:r w:rsidRPr="009555DC">
        <w:rPr>
          <w:rFonts w:ascii="Aptos" w:hAnsi="Aptos"/>
          <w:bCs/>
          <w:i/>
          <w:iCs/>
          <w:sz w:val="21"/>
          <w:szCs w:val="21"/>
        </w:rPr>
        <w:t>health care more affordable, transparent, and equitable</w:t>
      </w:r>
      <w:r w:rsidRPr="009555DC">
        <w:rPr>
          <w:rFonts w:ascii="Aptos" w:hAnsi="Aptos"/>
          <w:bCs/>
          <w:sz w:val="21"/>
          <w:szCs w:val="21"/>
        </w:rPr>
        <w:t>.</w:t>
      </w:r>
      <w:r w:rsidRPr="009555DC">
        <w:rPr>
          <w:rStyle w:val="FootnoteReference"/>
          <w:rFonts w:ascii="Aptos" w:hAnsi="Aptos"/>
          <w:sz w:val="21"/>
          <w:szCs w:val="21"/>
        </w:rPr>
        <w:footnoteReference w:id="78"/>
      </w:r>
      <w:r w:rsidRPr="009555DC">
        <w:rPr>
          <w:rFonts w:ascii="Aptos" w:hAnsi="Aptos"/>
          <w:bCs/>
          <w:sz w:val="21"/>
          <w:szCs w:val="21"/>
        </w:rPr>
        <w:t xml:space="preserve"> However, the HPC recently reported that the Commonwealth ranks fourth lowest in the nation for ASCs per capita.</w:t>
      </w:r>
      <w:r w:rsidRPr="009555DC">
        <w:rPr>
          <w:rStyle w:val="FootnoteReference"/>
          <w:rFonts w:ascii="Aptos" w:hAnsi="Aptos"/>
          <w:sz w:val="21"/>
          <w:szCs w:val="21"/>
        </w:rPr>
        <w:footnoteReference w:id="79"/>
      </w:r>
      <w:r w:rsidRPr="009555DC">
        <w:rPr>
          <w:rFonts w:ascii="Aptos" w:hAnsi="Aptos"/>
          <w:bCs/>
          <w:sz w:val="21"/>
          <w:szCs w:val="21"/>
        </w:rPr>
        <w:t xml:space="preserve"> Of the ASCs operating in the Commonwealth, there are only 18 offering endoscopy services (12 single-specialty and 6 multi-specialty).</w:t>
      </w:r>
      <w:r w:rsidRPr="009555DC">
        <w:rPr>
          <w:rStyle w:val="FootnoteReference"/>
          <w:rFonts w:ascii="Aptos" w:hAnsi="Aptos"/>
          <w:sz w:val="21"/>
          <w:szCs w:val="21"/>
        </w:rPr>
        <w:footnoteReference w:id="80"/>
      </w:r>
      <w:r w:rsidRPr="009555DC">
        <w:rPr>
          <w:rFonts w:ascii="Aptos" w:hAnsi="Aptos"/>
          <w:bCs/>
          <w:sz w:val="21"/>
          <w:szCs w:val="21"/>
        </w:rPr>
        <w:t xml:space="preserve"> As a result, there is insufficient ASC availability and capacity to meet the needs of the Massachusetts population and patients must rely on HOPD services to receive low-acuity procedures, thereby increasing total healthcare costs. To address this problem, the Proposed Project will create an additional ASC, thereby improving the rate of ASCs per capita in the Commonwealth.</w:t>
      </w:r>
    </w:p>
    <w:p w14:paraId="52F608AA" w14:textId="5D855E1B" w:rsidR="00A2471A" w:rsidRPr="009555DC" w:rsidRDefault="00A2471A" w:rsidP="00A2471A">
      <w:pPr>
        <w:spacing w:after="120"/>
        <w:jc w:val="both"/>
        <w:rPr>
          <w:rFonts w:ascii="Aptos" w:hAnsi="Aptos"/>
          <w:bCs/>
          <w:sz w:val="21"/>
          <w:szCs w:val="21"/>
        </w:rPr>
      </w:pPr>
      <w:r w:rsidRPr="009555DC">
        <w:rPr>
          <w:rFonts w:ascii="Aptos" w:hAnsi="Aptos"/>
          <w:bCs/>
          <w:sz w:val="21"/>
          <w:szCs w:val="21"/>
        </w:rPr>
        <w:t xml:space="preserve">The existing ASCs in Massachusetts lack enough procedure rooms to ensure timely access </w:t>
      </w:r>
      <w:r w:rsidR="000C5EBD" w:rsidRPr="009555DC">
        <w:rPr>
          <w:rFonts w:ascii="Aptos" w:hAnsi="Aptos"/>
          <w:bCs/>
          <w:sz w:val="21"/>
          <w:szCs w:val="21"/>
        </w:rPr>
        <w:t xml:space="preserve">to care </w:t>
      </w:r>
      <w:r w:rsidR="00711C7F" w:rsidRPr="009555DC">
        <w:rPr>
          <w:rFonts w:ascii="Aptos" w:hAnsi="Aptos"/>
          <w:bCs/>
          <w:sz w:val="21"/>
          <w:szCs w:val="21"/>
        </w:rPr>
        <w:t>for all patients seeking low-acuity outpatient care</w:t>
      </w:r>
      <w:r w:rsidRPr="009555DC">
        <w:rPr>
          <w:rFonts w:ascii="Aptos" w:hAnsi="Aptos"/>
          <w:bCs/>
          <w:sz w:val="21"/>
          <w:szCs w:val="21"/>
        </w:rPr>
        <w:t>. According to the HPC, in 2023 Massachusetts had only 23 ASC operating rooms per one million residents, compared to the national average of 56.</w:t>
      </w:r>
      <w:r w:rsidRPr="009555DC">
        <w:rPr>
          <w:rStyle w:val="FootnoteReference"/>
          <w:rFonts w:ascii="Aptos" w:hAnsi="Aptos"/>
          <w:sz w:val="21"/>
          <w:szCs w:val="21"/>
        </w:rPr>
        <w:footnoteReference w:id="81"/>
      </w:r>
      <w:r w:rsidRPr="009555DC">
        <w:rPr>
          <w:rFonts w:ascii="Aptos" w:hAnsi="Aptos"/>
          <w:bCs/>
          <w:sz w:val="21"/>
          <w:szCs w:val="21"/>
        </w:rPr>
        <w:t xml:space="preserve"> To meet this benchmark and promote cost containment, Massachusetts must more than double the total number of ASC procedure rooms.</w:t>
      </w:r>
      <w:r w:rsidRPr="009555DC">
        <w:rPr>
          <w:rStyle w:val="FootnoteReference"/>
          <w:rFonts w:ascii="Aptos" w:hAnsi="Aptos"/>
          <w:sz w:val="21"/>
          <w:szCs w:val="21"/>
        </w:rPr>
        <w:footnoteReference w:id="82"/>
      </w:r>
      <w:r w:rsidRPr="009555DC">
        <w:rPr>
          <w:rFonts w:ascii="Aptos" w:hAnsi="Aptos"/>
          <w:bCs/>
          <w:sz w:val="21"/>
          <w:szCs w:val="21"/>
        </w:rPr>
        <w:t xml:space="preserve"> Since the HPC’s report, the Department has approved only </w:t>
      </w:r>
      <w:r w:rsidR="009676A0">
        <w:rPr>
          <w:rFonts w:ascii="Aptos" w:hAnsi="Aptos"/>
          <w:bCs/>
          <w:sz w:val="21"/>
          <w:szCs w:val="21"/>
        </w:rPr>
        <w:t>two (</w:t>
      </w:r>
      <w:r w:rsidRPr="009555DC">
        <w:rPr>
          <w:rFonts w:ascii="Aptos" w:hAnsi="Aptos"/>
          <w:bCs/>
          <w:sz w:val="21"/>
          <w:szCs w:val="21"/>
        </w:rPr>
        <w:t>2</w:t>
      </w:r>
      <w:r w:rsidR="009676A0">
        <w:rPr>
          <w:rFonts w:ascii="Aptos" w:hAnsi="Aptos"/>
          <w:bCs/>
          <w:sz w:val="21"/>
          <w:szCs w:val="21"/>
        </w:rPr>
        <w:t>)</w:t>
      </w:r>
      <w:r w:rsidRPr="009555DC">
        <w:rPr>
          <w:rFonts w:ascii="Aptos" w:hAnsi="Aptos"/>
          <w:bCs/>
          <w:sz w:val="21"/>
          <w:szCs w:val="21"/>
        </w:rPr>
        <w:t xml:space="preserve"> endoscopy ASC </w:t>
      </w:r>
      <w:proofErr w:type="spellStart"/>
      <w:r w:rsidRPr="009555DC">
        <w:rPr>
          <w:rFonts w:ascii="Aptos" w:hAnsi="Aptos"/>
          <w:bCs/>
          <w:sz w:val="21"/>
          <w:szCs w:val="21"/>
        </w:rPr>
        <w:t>DoN</w:t>
      </w:r>
      <w:proofErr w:type="spellEnd"/>
      <w:r w:rsidRPr="009555DC">
        <w:rPr>
          <w:rFonts w:ascii="Aptos" w:hAnsi="Aptos"/>
          <w:bCs/>
          <w:sz w:val="21"/>
          <w:szCs w:val="21"/>
        </w:rPr>
        <w:t xml:space="preserve"> applications, adding just </w:t>
      </w:r>
      <w:r w:rsidR="009676A0">
        <w:rPr>
          <w:rFonts w:ascii="Aptos" w:hAnsi="Aptos"/>
          <w:bCs/>
          <w:sz w:val="21"/>
          <w:szCs w:val="21"/>
        </w:rPr>
        <w:t>five (</w:t>
      </w:r>
      <w:r w:rsidRPr="009555DC">
        <w:rPr>
          <w:rFonts w:ascii="Aptos" w:hAnsi="Aptos"/>
          <w:bCs/>
          <w:sz w:val="21"/>
          <w:szCs w:val="21"/>
        </w:rPr>
        <w:t>5</w:t>
      </w:r>
      <w:r w:rsidR="009676A0">
        <w:rPr>
          <w:rFonts w:ascii="Aptos" w:hAnsi="Aptos"/>
          <w:bCs/>
          <w:sz w:val="21"/>
          <w:szCs w:val="21"/>
        </w:rPr>
        <w:t>)</w:t>
      </w:r>
      <w:r w:rsidRPr="009555DC">
        <w:rPr>
          <w:rFonts w:ascii="Aptos" w:hAnsi="Aptos"/>
          <w:bCs/>
          <w:sz w:val="21"/>
          <w:szCs w:val="21"/>
        </w:rPr>
        <w:t xml:space="preserve"> new operating rooms across the Commonwealth, an increase that falls far short of what is needed to align with national standards and meet growing patient demand.</w:t>
      </w:r>
      <w:r w:rsidRPr="009555DC">
        <w:rPr>
          <w:rStyle w:val="FootnoteReference"/>
          <w:rFonts w:ascii="Aptos" w:hAnsi="Aptos"/>
          <w:sz w:val="21"/>
          <w:szCs w:val="21"/>
        </w:rPr>
        <w:footnoteReference w:id="83"/>
      </w:r>
      <w:r w:rsidRPr="009555DC">
        <w:rPr>
          <w:rFonts w:ascii="Aptos" w:hAnsi="Aptos"/>
          <w:bCs/>
          <w:sz w:val="21"/>
          <w:szCs w:val="21"/>
        </w:rPr>
        <w:t xml:space="preserve"> Thus, Massachusetts residents remain overwhelmingly dependent on HOPDs to provide screening and diagnostic endoscopy services, which stunts the Commonwealth’s goal of cost containment. Accordingly, the Proposed Project will assist the Commonwealth in working toward matching the national average of ASC operating rooms per one million residents. </w:t>
      </w:r>
    </w:p>
    <w:p w14:paraId="68F47D0D" w14:textId="70AC4B69" w:rsidR="00A2471A" w:rsidRPr="009555DC" w:rsidRDefault="00A2471A" w:rsidP="00A2471A">
      <w:pPr>
        <w:spacing w:after="120"/>
        <w:jc w:val="both"/>
        <w:rPr>
          <w:rFonts w:ascii="Aptos" w:hAnsi="Aptos"/>
          <w:bCs/>
          <w:sz w:val="21"/>
          <w:szCs w:val="21"/>
        </w:rPr>
      </w:pPr>
      <w:r w:rsidRPr="009555DC">
        <w:rPr>
          <w:rFonts w:ascii="Aptos" w:hAnsi="Aptos"/>
          <w:bCs/>
          <w:sz w:val="21"/>
          <w:szCs w:val="21"/>
        </w:rPr>
        <w:t xml:space="preserve">Increasing the number of ASCs offering endoscopy services will further the Commonwealth’s goal of cost containment by reducing overall reliance on HOPDs to provide low-acuity procedures, which result in significantly higher </w:t>
      </w:r>
      <w:proofErr w:type="gramStart"/>
      <w:r w:rsidRPr="009555DC">
        <w:rPr>
          <w:rFonts w:ascii="Aptos" w:hAnsi="Aptos"/>
          <w:bCs/>
          <w:sz w:val="21"/>
          <w:szCs w:val="21"/>
        </w:rPr>
        <w:t>TME</w:t>
      </w:r>
      <w:proofErr w:type="gramEnd"/>
      <w:r w:rsidRPr="009555DC">
        <w:rPr>
          <w:rFonts w:ascii="Aptos" w:hAnsi="Aptos"/>
          <w:bCs/>
          <w:sz w:val="21"/>
          <w:szCs w:val="21"/>
        </w:rPr>
        <w:t xml:space="preserve"> and provider costs compared to ASCs. </w:t>
      </w:r>
    </w:p>
    <w:p w14:paraId="598A659F" w14:textId="03EB3065" w:rsidR="00F83596" w:rsidRPr="009555DC" w:rsidRDefault="00F83596" w:rsidP="00A2471A">
      <w:pPr>
        <w:spacing w:after="120"/>
        <w:jc w:val="both"/>
        <w:rPr>
          <w:rFonts w:ascii="Aptos" w:hAnsi="Aptos"/>
          <w:bCs/>
          <w:sz w:val="21"/>
          <w:szCs w:val="21"/>
        </w:rPr>
      </w:pPr>
      <w:r w:rsidRPr="009555DC">
        <w:rPr>
          <w:rFonts w:ascii="Aptos" w:hAnsi="Aptos"/>
          <w:bCs/>
          <w:sz w:val="21"/>
          <w:szCs w:val="21"/>
        </w:rPr>
        <w:lastRenderedPageBreak/>
        <w:t xml:space="preserve">Moreover, the cost savings derived from more accessible ASC services extend beyond the services themselves. Increasing the availability of colonoscopies through additional procedural capacity also impacts TME through the overall reduction of colorectal cancers that require treatment. </w:t>
      </w:r>
      <w:r w:rsidR="00046FC3" w:rsidRPr="009555DC">
        <w:rPr>
          <w:rFonts w:ascii="Aptos" w:hAnsi="Aptos"/>
          <w:bCs/>
          <w:sz w:val="21"/>
          <w:szCs w:val="21"/>
        </w:rPr>
        <w:t>In 2020, the cost of colorectal cancer care was $24.3 billion and accounted for 11.6% of all cancer treatment costs.</w:t>
      </w:r>
      <w:r w:rsidR="00046FC3" w:rsidRPr="009555DC">
        <w:rPr>
          <w:rStyle w:val="FootnoteReference"/>
          <w:rFonts w:ascii="Aptos" w:hAnsi="Aptos"/>
          <w:bCs/>
          <w:sz w:val="21"/>
          <w:szCs w:val="21"/>
        </w:rPr>
        <w:footnoteReference w:id="84"/>
      </w:r>
      <w:r w:rsidR="00046FC3" w:rsidRPr="009555DC">
        <w:rPr>
          <w:rFonts w:ascii="Aptos" w:hAnsi="Aptos"/>
          <w:bCs/>
          <w:sz w:val="21"/>
          <w:szCs w:val="21"/>
        </w:rPr>
        <w:t xml:space="preserve"> The average per-patient costs for medical services during the first year after diagnosis is $66,500.</w:t>
      </w:r>
      <w:r w:rsidR="00046FC3" w:rsidRPr="009555DC">
        <w:rPr>
          <w:rStyle w:val="FootnoteReference"/>
          <w:rFonts w:ascii="Aptos" w:hAnsi="Aptos"/>
          <w:bCs/>
          <w:sz w:val="21"/>
          <w:szCs w:val="21"/>
        </w:rPr>
        <w:footnoteReference w:id="85"/>
      </w:r>
      <w:r w:rsidR="00046FC3" w:rsidRPr="009555DC">
        <w:rPr>
          <w:rFonts w:ascii="Aptos" w:hAnsi="Aptos"/>
          <w:bCs/>
          <w:sz w:val="21"/>
          <w:szCs w:val="21"/>
        </w:rPr>
        <w:t xml:space="preserve"> Increasing screening prevalence to 70% among adults age 50 to 64 could reduce Medicare spending by $14 billion (in 2010 dollars) by 2050.</w:t>
      </w:r>
      <w:r w:rsidR="00046FC3" w:rsidRPr="009555DC">
        <w:rPr>
          <w:rStyle w:val="FootnoteReference"/>
          <w:rFonts w:ascii="Aptos" w:hAnsi="Aptos"/>
          <w:bCs/>
          <w:sz w:val="21"/>
          <w:szCs w:val="21"/>
        </w:rPr>
        <w:footnoteReference w:id="86"/>
      </w:r>
      <w:r w:rsidR="00046FC3" w:rsidRPr="009555DC">
        <w:rPr>
          <w:rFonts w:ascii="Aptos" w:hAnsi="Aptos"/>
          <w:bCs/>
          <w:sz w:val="21"/>
          <w:szCs w:val="21"/>
        </w:rPr>
        <w:t xml:space="preserve"> Increasing the availability of colonoscopy has a direct impact on patient outcomes and health care spending. </w:t>
      </w:r>
    </w:p>
    <w:p w14:paraId="066E5077" w14:textId="06C8ECAF" w:rsidR="00A2471A" w:rsidRPr="009555DC" w:rsidRDefault="00F63527" w:rsidP="00A2471A">
      <w:pPr>
        <w:jc w:val="both"/>
        <w:rPr>
          <w:rFonts w:ascii="Aptos" w:hAnsi="Aptos"/>
          <w:sz w:val="21"/>
          <w:szCs w:val="21"/>
        </w:rPr>
      </w:pPr>
      <w:r w:rsidRPr="009555DC">
        <w:rPr>
          <w:rFonts w:ascii="Aptos" w:hAnsi="Aptos"/>
          <w:sz w:val="21"/>
          <w:szCs w:val="21"/>
        </w:rPr>
        <w:t>For these reasons, the Proposed Project</w:t>
      </w:r>
      <w:r w:rsidR="00A2471A" w:rsidRPr="009555DC">
        <w:rPr>
          <w:rFonts w:ascii="Aptos" w:hAnsi="Aptos"/>
          <w:sz w:val="21"/>
          <w:szCs w:val="21"/>
        </w:rPr>
        <w:t xml:space="preserve"> will meaningfully and significantly </w:t>
      </w:r>
      <w:r w:rsidR="007F1DEF" w:rsidRPr="009555DC">
        <w:rPr>
          <w:rFonts w:ascii="Aptos" w:hAnsi="Aptos"/>
          <w:sz w:val="21"/>
          <w:szCs w:val="21"/>
        </w:rPr>
        <w:t>contribute to</w:t>
      </w:r>
      <w:r w:rsidR="00A2471A" w:rsidRPr="009555DC">
        <w:rPr>
          <w:rFonts w:ascii="Aptos" w:hAnsi="Aptos"/>
          <w:sz w:val="21"/>
          <w:szCs w:val="21"/>
        </w:rPr>
        <w:t xml:space="preserve"> the Commonwealth’s cost containment goals. </w:t>
      </w:r>
    </w:p>
    <w:p w14:paraId="5111988E" w14:textId="77777777" w:rsidR="00A2471A" w:rsidRPr="009555DC" w:rsidRDefault="00A2471A" w:rsidP="00A2471A">
      <w:pPr>
        <w:rPr>
          <w:rFonts w:ascii="Aptos" w:hAnsi="Aptos"/>
          <w:sz w:val="21"/>
          <w:szCs w:val="21"/>
        </w:rPr>
      </w:pPr>
    </w:p>
    <w:p w14:paraId="2B1669B0" w14:textId="77777777" w:rsidR="00A2471A" w:rsidRPr="009555DC" w:rsidRDefault="00A2471A" w:rsidP="0031751C">
      <w:pPr>
        <w:pStyle w:val="Heading2"/>
      </w:pPr>
      <w:r w:rsidRPr="009555DC">
        <w:t>F2.b.</w:t>
      </w:r>
      <w:r w:rsidRPr="009555DC">
        <w:tab/>
      </w:r>
      <w:r w:rsidRPr="009555DC">
        <w:tab/>
      </w:r>
      <w:r w:rsidRPr="0031751C">
        <w:rPr>
          <w:b/>
          <w:bCs w:val="0"/>
        </w:rPr>
        <w:t>Public Health Outcomes</w:t>
      </w:r>
    </w:p>
    <w:p w14:paraId="15E14035" w14:textId="77777777" w:rsidR="00A2471A" w:rsidRPr="009555DC" w:rsidRDefault="00A2471A" w:rsidP="00A2471A">
      <w:pPr>
        <w:spacing w:after="120"/>
        <w:ind w:left="1440"/>
        <w:rPr>
          <w:rFonts w:ascii="Aptos" w:hAnsi="Aptos"/>
          <w:bCs/>
          <w:i/>
          <w:iCs/>
          <w:sz w:val="21"/>
          <w:szCs w:val="21"/>
        </w:rPr>
      </w:pPr>
      <w:r w:rsidRPr="009555DC">
        <w:rPr>
          <w:rFonts w:ascii="Aptos" w:hAnsi="Aptos"/>
          <w:bCs/>
          <w:i/>
          <w:iCs/>
          <w:sz w:val="21"/>
          <w:szCs w:val="21"/>
        </w:rPr>
        <w:t xml:space="preserve">Describe, as relevant, for each new or expanded service, how the Proposed Project will improve public health outcomes. </w:t>
      </w:r>
    </w:p>
    <w:p w14:paraId="6EE12CEF" w14:textId="266E8E64" w:rsidR="00711C7F" w:rsidRPr="009555DC" w:rsidRDefault="00A2471A" w:rsidP="00711C7F">
      <w:pPr>
        <w:spacing w:after="120"/>
        <w:jc w:val="both"/>
        <w:rPr>
          <w:rFonts w:ascii="Aptos" w:hAnsi="Aptos"/>
          <w:bCs/>
          <w:sz w:val="21"/>
          <w:szCs w:val="21"/>
        </w:rPr>
      </w:pPr>
      <w:r w:rsidRPr="009555DC">
        <w:rPr>
          <w:rFonts w:ascii="Aptos" w:hAnsi="Aptos"/>
          <w:bCs/>
          <w:sz w:val="21"/>
          <w:szCs w:val="21"/>
        </w:rPr>
        <w:t xml:space="preserve">The Proposed Project will advance public health </w:t>
      </w:r>
      <w:r w:rsidR="000C5EBD" w:rsidRPr="009555DC">
        <w:rPr>
          <w:rFonts w:ascii="Aptos" w:hAnsi="Aptos"/>
          <w:bCs/>
          <w:sz w:val="21"/>
          <w:szCs w:val="21"/>
        </w:rPr>
        <w:t xml:space="preserve">outcomes </w:t>
      </w:r>
      <w:r w:rsidRPr="009555DC">
        <w:rPr>
          <w:rFonts w:ascii="Aptos" w:hAnsi="Aptos"/>
          <w:bCs/>
          <w:sz w:val="21"/>
          <w:szCs w:val="21"/>
        </w:rPr>
        <w:t xml:space="preserve">by </w:t>
      </w:r>
      <w:r w:rsidR="00F63527" w:rsidRPr="009555DC">
        <w:rPr>
          <w:rFonts w:ascii="Aptos" w:hAnsi="Aptos"/>
          <w:bCs/>
          <w:sz w:val="21"/>
          <w:szCs w:val="21"/>
        </w:rPr>
        <w:t>increasing access</w:t>
      </w:r>
      <w:r w:rsidRPr="009555DC">
        <w:rPr>
          <w:rFonts w:ascii="Aptos" w:hAnsi="Aptos"/>
          <w:bCs/>
          <w:sz w:val="21"/>
          <w:szCs w:val="21"/>
        </w:rPr>
        <w:t xml:space="preserve"> </w:t>
      </w:r>
      <w:r w:rsidR="00103587">
        <w:rPr>
          <w:rFonts w:ascii="Aptos" w:hAnsi="Aptos"/>
          <w:bCs/>
          <w:sz w:val="21"/>
          <w:szCs w:val="21"/>
        </w:rPr>
        <w:t xml:space="preserve">to </w:t>
      </w:r>
      <w:r w:rsidRPr="009555DC">
        <w:rPr>
          <w:rFonts w:ascii="Aptos" w:hAnsi="Aptos"/>
          <w:bCs/>
          <w:sz w:val="21"/>
          <w:szCs w:val="21"/>
        </w:rPr>
        <w:t xml:space="preserve">high-quality endoscopy </w:t>
      </w:r>
      <w:r w:rsidR="00F63527" w:rsidRPr="009555DC">
        <w:rPr>
          <w:rFonts w:ascii="Aptos" w:hAnsi="Aptos"/>
          <w:bCs/>
          <w:sz w:val="21"/>
          <w:szCs w:val="21"/>
        </w:rPr>
        <w:t>for the Patient Panel in a lower-cost, more convenient setting</w:t>
      </w:r>
      <w:r w:rsidRPr="009555DC">
        <w:rPr>
          <w:rFonts w:ascii="Aptos" w:hAnsi="Aptos"/>
          <w:bCs/>
          <w:sz w:val="21"/>
          <w:szCs w:val="21"/>
        </w:rPr>
        <w:t xml:space="preserve">. ASCs offer a convenient, accessible, and cost-effective alternative to HOPDs, which can significantly improve the patient experience and increase adherence to recommended colorectal cancer screening guidelines, particularly among individuals aged 45–75. </w:t>
      </w:r>
      <w:r w:rsidR="00C24952" w:rsidRPr="009555DC">
        <w:rPr>
          <w:rFonts w:ascii="Aptos" w:eastAsia="Arial" w:hAnsi="Aptos"/>
          <w:color w:val="000000" w:themeColor="text1"/>
          <w:sz w:val="21"/>
          <w:szCs w:val="21"/>
        </w:rPr>
        <w:t xml:space="preserve">As discussed throughout this application, timely access to </w:t>
      </w:r>
      <w:r w:rsidR="00CB6812">
        <w:rPr>
          <w:rFonts w:ascii="Aptos" w:eastAsia="Arial" w:hAnsi="Aptos"/>
          <w:color w:val="000000" w:themeColor="text1"/>
          <w:sz w:val="21"/>
          <w:szCs w:val="21"/>
        </w:rPr>
        <w:t xml:space="preserve">screenings and treatment </w:t>
      </w:r>
      <w:r w:rsidR="00C24952" w:rsidRPr="009555DC">
        <w:rPr>
          <w:rFonts w:ascii="Aptos" w:eastAsia="Arial" w:hAnsi="Aptos"/>
          <w:color w:val="000000" w:themeColor="text1"/>
          <w:sz w:val="21"/>
          <w:szCs w:val="21"/>
        </w:rPr>
        <w:t>not only improve</w:t>
      </w:r>
      <w:r w:rsidR="0066595B">
        <w:rPr>
          <w:rFonts w:ascii="Aptos" w:eastAsia="Arial" w:hAnsi="Aptos"/>
          <w:color w:val="000000" w:themeColor="text1"/>
          <w:sz w:val="21"/>
          <w:szCs w:val="21"/>
        </w:rPr>
        <w:t>s</w:t>
      </w:r>
      <w:r w:rsidR="00C24952" w:rsidRPr="009555DC">
        <w:rPr>
          <w:rFonts w:ascii="Aptos" w:eastAsia="Arial" w:hAnsi="Aptos"/>
          <w:color w:val="000000" w:themeColor="text1"/>
          <w:sz w:val="21"/>
          <w:szCs w:val="21"/>
        </w:rPr>
        <w:t xml:space="preserve"> health outcomes but also minimizes avoidable costs patients incur </w:t>
      </w:r>
      <w:proofErr w:type="gramStart"/>
      <w:r w:rsidR="00C24952" w:rsidRPr="009555DC">
        <w:rPr>
          <w:rFonts w:ascii="Aptos" w:eastAsia="Arial" w:hAnsi="Aptos"/>
          <w:color w:val="000000" w:themeColor="text1"/>
          <w:sz w:val="21"/>
          <w:szCs w:val="21"/>
        </w:rPr>
        <w:t>as a result of</w:t>
      </w:r>
      <w:proofErr w:type="gramEnd"/>
      <w:r w:rsidR="00C24952" w:rsidRPr="009555DC">
        <w:rPr>
          <w:rFonts w:ascii="Aptos" w:eastAsia="Arial" w:hAnsi="Aptos"/>
          <w:color w:val="000000" w:themeColor="text1"/>
          <w:sz w:val="21"/>
          <w:szCs w:val="21"/>
        </w:rPr>
        <w:t xml:space="preserve"> delays in treatment. </w:t>
      </w:r>
      <w:r w:rsidRPr="009555DC">
        <w:rPr>
          <w:rFonts w:ascii="Aptos" w:hAnsi="Aptos"/>
          <w:bCs/>
          <w:sz w:val="21"/>
          <w:szCs w:val="21"/>
        </w:rPr>
        <w:t xml:space="preserve">When services are more affordable and easier to access, patients are more likely to undergo timely screenings, leading to earlier detection of colorectal cancer and more effective treatment. The Applicant also anticipates that individuals aged 20–39 will benefit from improved outcomes through more timely access to diagnostic and therapeutic endoscopy services. By promoting earlier diagnostic and treatment opportunities, the Proposed Project </w:t>
      </w:r>
      <w:r w:rsidR="000C5EBD" w:rsidRPr="009555DC">
        <w:rPr>
          <w:rFonts w:ascii="Aptos" w:hAnsi="Aptos"/>
          <w:bCs/>
          <w:sz w:val="21"/>
          <w:szCs w:val="21"/>
        </w:rPr>
        <w:t>will improve</w:t>
      </w:r>
      <w:r w:rsidRPr="009555DC">
        <w:rPr>
          <w:rFonts w:ascii="Aptos" w:hAnsi="Aptos"/>
          <w:bCs/>
          <w:sz w:val="21"/>
          <w:szCs w:val="21"/>
        </w:rPr>
        <w:t xml:space="preserve"> health outcomes for the Applicant’s </w:t>
      </w:r>
      <w:r w:rsidR="000C5EBD" w:rsidRPr="009555DC">
        <w:rPr>
          <w:rFonts w:ascii="Aptos" w:hAnsi="Aptos"/>
          <w:bCs/>
          <w:sz w:val="21"/>
          <w:szCs w:val="21"/>
        </w:rPr>
        <w:t>Patient P</w:t>
      </w:r>
      <w:r w:rsidRPr="009555DC">
        <w:rPr>
          <w:rFonts w:ascii="Aptos" w:hAnsi="Aptos"/>
          <w:bCs/>
          <w:sz w:val="21"/>
          <w:szCs w:val="21"/>
        </w:rPr>
        <w:t>anel.</w:t>
      </w:r>
    </w:p>
    <w:p w14:paraId="7BAD984B" w14:textId="69EC3EDF" w:rsidR="00711C7F" w:rsidRPr="009555DC" w:rsidRDefault="00E61A76" w:rsidP="00A2471A">
      <w:pPr>
        <w:spacing w:after="120"/>
        <w:jc w:val="both"/>
        <w:rPr>
          <w:rFonts w:ascii="Aptos" w:hAnsi="Aptos"/>
          <w:bCs/>
          <w:sz w:val="21"/>
          <w:szCs w:val="21"/>
        </w:rPr>
      </w:pPr>
      <w:r w:rsidRPr="009555DC">
        <w:rPr>
          <w:rFonts w:ascii="Aptos" w:hAnsi="Aptos"/>
          <w:bCs/>
          <w:sz w:val="21"/>
          <w:szCs w:val="21"/>
        </w:rPr>
        <w:t>T</w:t>
      </w:r>
      <w:r w:rsidR="00711C7F" w:rsidRPr="009555DC">
        <w:rPr>
          <w:rFonts w:ascii="Aptos" w:hAnsi="Aptos"/>
          <w:bCs/>
          <w:sz w:val="21"/>
          <w:szCs w:val="21"/>
        </w:rPr>
        <w:t>he Proposed Project will expand access to endoscopy services for the Applicant’s Patient Panel</w:t>
      </w:r>
      <w:r w:rsidRPr="009555DC">
        <w:rPr>
          <w:rFonts w:ascii="Aptos" w:hAnsi="Aptos"/>
          <w:bCs/>
          <w:sz w:val="21"/>
          <w:szCs w:val="21"/>
        </w:rPr>
        <w:t xml:space="preserve"> in support of adherence to the updated colorectal cancer screening guidelines</w:t>
      </w:r>
      <w:r w:rsidR="00711C7F" w:rsidRPr="009555DC">
        <w:rPr>
          <w:rFonts w:ascii="Aptos" w:hAnsi="Aptos"/>
          <w:bCs/>
          <w:sz w:val="21"/>
          <w:szCs w:val="21"/>
        </w:rPr>
        <w:t>, contributing to earlier detection and improved outcomes. Since the recommended colonoscopy screening age was lowered from 50 to 45 in 2018, screening rates among adults ages 45-49 increased by 62% between 2019 to 2023.</w:t>
      </w:r>
      <w:r w:rsidR="00711C7F" w:rsidRPr="009555DC">
        <w:rPr>
          <w:rStyle w:val="FootnoteReference"/>
          <w:rFonts w:ascii="Aptos" w:hAnsi="Aptos"/>
          <w:bCs/>
          <w:sz w:val="21"/>
          <w:szCs w:val="21"/>
        </w:rPr>
        <w:footnoteReference w:id="87"/>
      </w:r>
      <w:r w:rsidR="00711C7F" w:rsidRPr="009555DC">
        <w:rPr>
          <w:rFonts w:ascii="Aptos" w:hAnsi="Aptos"/>
          <w:bCs/>
          <w:sz w:val="21"/>
          <w:szCs w:val="21"/>
        </w:rPr>
        <w:t xml:space="preserve"> This rise in screenings has led to a notable increase in diagnosed cases, from an annual rate of 1.1% between 2004 to 2019 to 12% between 2019 to 2022, primarily due to first-time screenings rather than a true surge in colorectal cancer prevalence.</w:t>
      </w:r>
      <w:r w:rsidR="00711C7F" w:rsidRPr="009555DC">
        <w:rPr>
          <w:rStyle w:val="FootnoteReference"/>
          <w:rFonts w:ascii="Aptos" w:hAnsi="Aptos"/>
          <w:bCs/>
          <w:sz w:val="21"/>
          <w:szCs w:val="21"/>
        </w:rPr>
        <w:footnoteReference w:id="88"/>
      </w:r>
      <w:r w:rsidR="00711C7F" w:rsidRPr="009555DC">
        <w:rPr>
          <w:rFonts w:ascii="Aptos" w:hAnsi="Aptos"/>
          <w:bCs/>
          <w:sz w:val="21"/>
          <w:szCs w:val="21"/>
        </w:rPr>
        <w:t xml:space="preserve"> Earlier detection allows for timely intervention, which is critical given the significantly higher survival rates and lower treatment costs associated with early-stage diagnoses. These trends underscore the importance of expanding access to endoscopy screening services, particularly through approval of the Proposed Project, to ensure that individuals can maintain adherence to guidelines to continue improving cancer outcomes and reduce long-term healthcare burdens. </w:t>
      </w:r>
    </w:p>
    <w:p w14:paraId="40011EBB" w14:textId="62852D33" w:rsidR="00A2471A" w:rsidRPr="009555DC" w:rsidRDefault="00A2471A" w:rsidP="00A2471A">
      <w:pPr>
        <w:spacing w:after="120"/>
        <w:jc w:val="both"/>
        <w:rPr>
          <w:rFonts w:ascii="Aptos" w:hAnsi="Aptos"/>
          <w:bCs/>
          <w:sz w:val="21"/>
          <w:szCs w:val="21"/>
        </w:rPr>
      </w:pPr>
      <w:bookmarkStart w:id="22" w:name="_Hlk204092167"/>
      <w:r w:rsidRPr="009555DC">
        <w:rPr>
          <w:rFonts w:ascii="Aptos" w:hAnsi="Aptos"/>
          <w:bCs/>
          <w:sz w:val="21"/>
          <w:szCs w:val="21"/>
        </w:rPr>
        <w:t>The Applicant</w:t>
      </w:r>
      <w:r w:rsidR="00831E29" w:rsidRPr="009555DC">
        <w:rPr>
          <w:rFonts w:ascii="Aptos" w:hAnsi="Aptos"/>
          <w:bCs/>
          <w:sz w:val="21"/>
          <w:szCs w:val="21"/>
        </w:rPr>
        <w:t>’s owners are</w:t>
      </w:r>
      <w:r w:rsidRPr="009555DC">
        <w:rPr>
          <w:rFonts w:ascii="Aptos" w:hAnsi="Aptos"/>
          <w:bCs/>
          <w:sz w:val="21"/>
          <w:szCs w:val="21"/>
        </w:rPr>
        <w:t xml:space="preserve"> committed to improving public health outcomes and employ a range of strategies to promote colorectal cancer screening across its service area. </w:t>
      </w:r>
      <w:r w:rsidR="00AA4865">
        <w:rPr>
          <w:rFonts w:ascii="Aptos" w:hAnsi="Aptos"/>
          <w:bCs/>
          <w:sz w:val="21"/>
          <w:szCs w:val="21"/>
        </w:rPr>
        <w:t>In addition to the initiatives discussed in Section F1.b.iii</w:t>
      </w:r>
      <w:r w:rsidRPr="009555DC">
        <w:rPr>
          <w:rFonts w:ascii="Aptos" w:hAnsi="Aptos"/>
          <w:bCs/>
          <w:sz w:val="21"/>
          <w:szCs w:val="21"/>
        </w:rPr>
        <w:t xml:space="preserve">, </w:t>
      </w:r>
      <w:r w:rsidR="00754B06" w:rsidRPr="009555DC">
        <w:rPr>
          <w:rFonts w:ascii="Aptos" w:hAnsi="Aptos"/>
          <w:bCs/>
          <w:sz w:val="21"/>
          <w:szCs w:val="21"/>
        </w:rPr>
        <w:t xml:space="preserve">MGB </w:t>
      </w:r>
      <w:r w:rsidRPr="009555DC">
        <w:rPr>
          <w:rFonts w:ascii="Aptos" w:hAnsi="Aptos"/>
          <w:bCs/>
          <w:sz w:val="21"/>
          <w:szCs w:val="21"/>
        </w:rPr>
        <w:t xml:space="preserve">conducts public outreach through advertisements in MBTA stations </w:t>
      </w:r>
      <w:r w:rsidRPr="009555DC">
        <w:rPr>
          <w:rFonts w:ascii="Aptos" w:hAnsi="Aptos"/>
          <w:bCs/>
          <w:sz w:val="21"/>
          <w:szCs w:val="21"/>
        </w:rPr>
        <w:lastRenderedPageBreak/>
        <w:t xml:space="preserve">and other high-traffic locations, emphasizing the importance of adhering to screening guidelines. At the patient level, </w:t>
      </w:r>
      <w:r w:rsidR="00754B06" w:rsidRPr="009555DC">
        <w:rPr>
          <w:rFonts w:ascii="Aptos" w:hAnsi="Aptos"/>
          <w:bCs/>
          <w:sz w:val="21"/>
          <w:szCs w:val="21"/>
        </w:rPr>
        <w:t>MGB</w:t>
      </w:r>
      <w:r w:rsidRPr="009555DC">
        <w:rPr>
          <w:rFonts w:ascii="Aptos" w:hAnsi="Aptos"/>
          <w:bCs/>
          <w:sz w:val="21"/>
          <w:szCs w:val="21"/>
        </w:rPr>
        <w:t xml:space="preserve"> uses its online Patient Gateway to send screening reminders and follow-up messages directly to patients. This platform also enables population health coordinators to engage with individuals, particularly those affected by social determinants of health</w:t>
      </w:r>
      <w:r w:rsidR="00831E29" w:rsidRPr="009555DC">
        <w:rPr>
          <w:rFonts w:ascii="Aptos" w:hAnsi="Aptos"/>
          <w:bCs/>
          <w:sz w:val="21"/>
          <w:szCs w:val="21"/>
        </w:rPr>
        <w:t xml:space="preserve"> barriers</w:t>
      </w:r>
      <w:r w:rsidRPr="009555DC">
        <w:rPr>
          <w:rFonts w:ascii="Aptos" w:hAnsi="Aptos"/>
          <w:bCs/>
          <w:sz w:val="21"/>
          <w:szCs w:val="21"/>
        </w:rPr>
        <w:t xml:space="preserve">, to encourage them to receive colorectal cancer screenings. In clinical settings, when care gaps are identified, </w:t>
      </w:r>
      <w:r w:rsidR="00754B06" w:rsidRPr="009555DC">
        <w:rPr>
          <w:rFonts w:ascii="Aptos" w:hAnsi="Aptos"/>
          <w:bCs/>
          <w:sz w:val="21"/>
          <w:szCs w:val="21"/>
        </w:rPr>
        <w:t>MGB</w:t>
      </w:r>
      <w:r w:rsidRPr="009555DC">
        <w:rPr>
          <w:rFonts w:ascii="Aptos" w:hAnsi="Aptos"/>
          <w:bCs/>
          <w:sz w:val="21"/>
          <w:szCs w:val="21"/>
        </w:rPr>
        <w:t xml:space="preserve"> notifies the patient’s provider to reinforce the need for timely endoscopy screenings and adherence to follow-up and treatment protocols. Through its Ambulatory Safety Net outreach and navigation efforts, </w:t>
      </w:r>
      <w:r w:rsidR="00754B06" w:rsidRPr="009555DC">
        <w:rPr>
          <w:rFonts w:ascii="Aptos" w:hAnsi="Aptos"/>
          <w:bCs/>
          <w:sz w:val="21"/>
          <w:szCs w:val="21"/>
        </w:rPr>
        <w:t>MGB</w:t>
      </w:r>
      <w:r w:rsidRPr="009555DC">
        <w:rPr>
          <w:rFonts w:ascii="Aptos" w:hAnsi="Aptos"/>
          <w:bCs/>
          <w:sz w:val="21"/>
          <w:szCs w:val="21"/>
        </w:rPr>
        <w:t xml:space="preserve"> ensures that patients with abnormal results receive appropriate and timely follow-up care, including adherence to recommended endoscopy intervals of 6 months, 1 year, or 2 years for high-risk individuals. Approval of this Proposed Project will expand </w:t>
      </w:r>
      <w:r w:rsidR="00754B06" w:rsidRPr="009555DC">
        <w:rPr>
          <w:rFonts w:ascii="Aptos" w:hAnsi="Aptos"/>
          <w:bCs/>
          <w:sz w:val="21"/>
          <w:szCs w:val="21"/>
        </w:rPr>
        <w:t>MGB</w:t>
      </w:r>
      <w:r w:rsidRPr="009555DC">
        <w:rPr>
          <w:rFonts w:ascii="Aptos" w:hAnsi="Aptos"/>
          <w:bCs/>
          <w:sz w:val="21"/>
          <w:szCs w:val="21"/>
        </w:rPr>
        <w:t xml:space="preserve">’s capacity to serve </w:t>
      </w:r>
      <w:r w:rsidR="00831E29" w:rsidRPr="009555DC">
        <w:rPr>
          <w:rFonts w:ascii="Aptos" w:hAnsi="Aptos"/>
          <w:bCs/>
          <w:sz w:val="21"/>
          <w:szCs w:val="21"/>
        </w:rPr>
        <w:t>its Patient Panel</w:t>
      </w:r>
      <w:r w:rsidRPr="009555DC">
        <w:rPr>
          <w:rFonts w:ascii="Aptos" w:hAnsi="Aptos"/>
          <w:bCs/>
          <w:sz w:val="21"/>
          <w:szCs w:val="21"/>
        </w:rPr>
        <w:t>, increasing access to education and services that support timely colorectal cancer screening and follow-up care.</w:t>
      </w:r>
    </w:p>
    <w:bookmarkEnd w:id="22"/>
    <w:p w14:paraId="5263AF99" w14:textId="796E66B0" w:rsidR="00711C7F" w:rsidRPr="009555DC" w:rsidRDefault="00711C7F" w:rsidP="00711C7F">
      <w:pPr>
        <w:spacing w:after="120"/>
        <w:jc w:val="both"/>
        <w:rPr>
          <w:rFonts w:ascii="Aptos" w:hAnsi="Aptos"/>
          <w:bCs/>
          <w:color w:val="000000" w:themeColor="text1"/>
          <w:sz w:val="21"/>
          <w:szCs w:val="21"/>
        </w:rPr>
      </w:pPr>
      <w:r w:rsidRPr="009555DC">
        <w:rPr>
          <w:rFonts w:ascii="Aptos" w:hAnsi="Aptos"/>
          <w:bCs/>
          <w:color w:val="000000" w:themeColor="text1"/>
          <w:sz w:val="21"/>
          <w:szCs w:val="21"/>
        </w:rPr>
        <w:t xml:space="preserve">Lastly, the Proposed Project will contribute to public health outcomes by reducing volume at the </w:t>
      </w:r>
      <w:r w:rsidR="009500B2" w:rsidRPr="009555DC">
        <w:rPr>
          <w:rFonts w:ascii="Aptos" w:hAnsi="Aptos"/>
          <w:bCs/>
          <w:color w:val="000000" w:themeColor="text1"/>
          <w:sz w:val="21"/>
          <w:szCs w:val="21"/>
        </w:rPr>
        <w:t xml:space="preserve">MGB </w:t>
      </w:r>
      <w:r w:rsidRPr="009555DC">
        <w:rPr>
          <w:rFonts w:ascii="Aptos" w:hAnsi="Aptos"/>
          <w:bCs/>
          <w:color w:val="000000" w:themeColor="text1"/>
          <w:sz w:val="21"/>
          <w:szCs w:val="21"/>
        </w:rPr>
        <w:t>AMC</w:t>
      </w:r>
      <w:r w:rsidR="009500B2" w:rsidRPr="009555DC">
        <w:rPr>
          <w:rFonts w:ascii="Aptos" w:hAnsi="Aptos"/>
          <w:bCs/>
          <w:color w:val="000000" w:themeColor="text1"/>
          <w:sz w:val="21"/>
          <w:szCs w:val="21"/>
        </w:rPr>
        <w:t>s</w:t>
      </w:r>
      <w:r w:rsidRPr="009555DC">
        <w:rPr>
          <w:rFonts w:ascii="Aptos" w:hAnsi="Aptos"/>
          <w:bCs/>
          <w:color w:val="000000" w:themeColor="text1"/>
          <w:sz w:val="21"/>
          <w:szCs w:val="21"/>
        </w:rPr>
        <w:t xml:space="preserve">, in turn improving access to endoscopy for </w:t>
      </w:r>
      <w:proofErr w:type="gramStart"/>
      <w:r w:rsidRPr="009555DC">
        <w:rPr>
          <w:rFonts w:ascii="Aptos" w:hAnsi="Aptos"/>
          <w:bCs/>
          <w:color w:val="000000" w:themeColor="text1"/>
          <w:sz w:val="21"/>
          <w:szCs w:val="21"/>
        </w:rPr>
        <w:t>emergency</w:t>
      </w:r>
      <w:proofErr w:type="gramEnd"/>
      <w:r w:rsidRPr="009555DC">
        <w:rPr>
          <w:rFonts w:ascii="Aptos" w:hAnsi="Aptos"/>
          <w:bCs/>
          <w:color w:val="000000" w:themeColor="text1"/>
          <w:sz w:val="21"/>
          <w:szCs w:val="21"/>
        </w:rPr>
        <w:t xml:space="preserve"> and inpatient </w:t>
      </w:r>
      <w:proofErr w:type="gramStart"/>
      <w:r w:rsidRPr="009555DC">
        <w:rPr>
          <w:rFonts w:ascii="Aptos" w:hAnsi="Aptos"/>
          <w:bCs/>
          <w:color w:val="000000" w:themeColor="text1"/>
          <w:sz w:val="21"/>
          <w:szCs w:val="21"/>
        </w:rPr>
        <w:t>endoscopy</w:t>
      </w:r>
      <w:proofErr w:type="gramEnd"/>
      <w:r w:rsidRPr="009555DC">
        <w:rPr>
          <w:rFonts w:ascii="Aptos" w:hAnsi="Aptos"/>
          <w:bCs/>
          <w:color w:val="000000" w:themeColor="text1"/>
          <w:sz w:val="21"/>
          <w:szCs w:val="21"/>
        </w:rPr>
        <w:t xml:space="preserve">. </w:t>
      </w:r>
      <w:r w:rsidR="009500B2" w:rsidRPr="009555DC">
        <w:rPr>
          <w:rFonts w:ascii="Aptos" w:hAnsi="Aptos"/>
          <w:bCs/>
          <w:color w:val="000000" w:themeColor="text1"/>
          <w:sz w:val="21"/>
          <w:szCs w:val="21"/>
        </w:rPr>
        <w:t xml:space="preserve">The MGB </w:t>
      </w:r>
      <w:r w:rsidRPr="009555DC">
        <w:rPr>
          <w:rFonts w:ascii="Aptos" w:hAnsi="Aptos"/>
          <w:bCs/>
          <w:color w:val="000000" w:themeColor="text1"/>
          <w:sz w:val="21"/>
          <w:szCs w:val="21"/>
        </w:rPr>
        <w:t xml:space="preserve">AMC endoscopy procedure rooms </w:t>
      </w:r>
      <w:proofErr w:type="gramStart"/>
      <w:r w:rsidRPr="009555DC">
        <w:rPr>
          <w:rFonts w:ascii="Aptos" w:hAnsi="Aptos"/>
          <w:bCs/>
          <w:color w:val="000000" w:themeColor="text1"/>
          <w:sz w:val="21"/>
          <w:szCs w:val="21"/>
        </w:rPr>
        <w:t xml:space="preserve">are </w:t>
      </w:r>
      <w:r w:rsidR="009500B2" w:rsidRPr="009555DC">
        <w:rPr>
          <w:rFonts w:ascii="Aptos" w:hAnsi="Aptos"/>
          <w:bCs/>
          <w:color w:val="000000" w:themeColor="text1"/>
          <w:sz w:val="21"/>
          <w:szCs w:val="21"/>
        </w:rPr>
        <w:t>operating</w:t>
      </w:r>
      <w:proofErr w:type="gramEnd"/>
      <w:r w:rsidR="009500B2" w:rsidRPr="009555DC">
        <w:rPr>
          <w:rFonts w:ascii="Aptos" w:hAnsi="Aptos"/>
          <w:bCs/>
          <w:color w:val="000000" w:themeColor="text1"/>
          <w:sz w:val="21"/>
          <w:szCs w:val="21"/>
        </w:rPr>
        <w:t xml:space="preserve"> near or above target utilization (78%)</w:t>
      </w:r>
      <w:r w:rsidRPr="009555DC">
        <w:rPr>
          <w:rFonts w:ascii="Aptos" w:hAnsi="Aptos"/>
          <w:bCs/>
          <w:color w:val="000000" w:themeColor="text1"/>
          <w:sz w:val="21"/>
          <w:szCs w:val="21"/>
        </w:rPr>
        <w:t xml:space="preserve"> </w:t>
      </w:r>
      <w:r w:rsidR="009500B2" w:rsidRPr="009555DC">
        <w:rPr>
          <w:rFonts w:ascii="Aptos" w:hAnsi="Aptos"/>
          <w:bCs/>
          <w:color w:val="000000" w:themeColor="text1"/>
          <w:sz w:val="21"/>
          <w:szCs w:val="21"/>
        </w:rPr>
        <w:t>which delays</w:t>
      </w:r>
      <w:r w:rsidRPr="009555DC">
        <w:rPr>
          <w:rFonts w:ascii="Aptos" w:hAnsi="Aptos"/>
          <w:bCs/>
          <w:color w:val="000000" w:themeColor="text1"/>
          <w:sz w:val="21"/>
          <w:szCs w:val="21"/>
        </w:rPr>
        <w:t xml:space="preserve"> inpatients </w:t>
      </w:r>
      <w:r w:rsidR="009500B2" w:rsidRPr="009555DC">
        <w:rPr>
          <w:rFonts w:ascii="Aptos" w:hAnsi="Aptos"/>
          <w:bCs/>
          <w:color w:val="000000" w:themeColor="text1"/>
          <w:sz w:val="21"/>
          <w:szCs w:val="21"/>
        </w:rPr>
        <w:t>procedures and extends their hospital stay</w:t>
      </w:r>
      <w:r w:rsidRPr="009555DC">
        <w:rPr>
          <w:rFonts w:ascii="Aptos" w:hAnsi="Aptos"/>
          <w:bCs/>
          <w:color w:val="000000" w:themeColor="text1"/>
          <w:sz w:val="21"/>
          <w:szCs w:val="21"/>
        </w:rPr>
        <w:t xml:space="preserve">. Many of these patients are ready to be discharged but cannot be until they receive </w:t>
      </w:r>
      <w:r w:rsidR="009500B2" w:rsidRPr="009555DC">
        <w:rPr>
          <w:rFonts w:ascii="Aptos" w:hAnsi="Aptos"/>
          <w:bCs/>
          <w:color w:val="000000" w:themeColor="text1"/>
          <w:sz w:val="21"/>
          <w:szCs w:val="21"/>
        </w:rPr>
        <w:t>the endoscopy ordered by the treating physician</w:t>
      </w:r>
      <w:r w:rsidRPr="009555DC">
        <w:rPr>
          <w:rFonts w:ascii="Aptos" w:hAnsi="Aptos"/>
          <w:bCs/>
          <w:color w:val="000000" w:themeColor="text1"/>
          <w:sz w:val="21"/>
          <w:szCs w:val="21"/>
        </w:rPr>
        <w:t>. The delays caused by insufficient operating capacity unnecessarily extends inpatient stays, not only leading to higher costs, but may also contribute to an increased risk of hospital-acquired infections, functional decline, and negative patient experience.</w:t>
      </w:r>
      <w:r w:rsidRPr="009555DC">
        <w:rPr>
          <w:rStyle w:val="FootnoteReference"/>
          <w:rFonts w:ascii="Aptos" w:hAnsi="Aptos"/>
          <w:color w:val="000000" w:themeColor="text1"/>
          <w:sz w:val="21"/>
          <w:szCs w:val="21"/>
        </w:rPr>
        <w:footnoteReference w:id="89"/>
      </w:r>
      <w:r w:rsidRPr="009555DC">
        <w:rPr>
          <w:rFonts w:ascii="Aptos" w:hAnsi="Aptos"/>
          <w:bCs/>
          <w:color w:val="000000" w:themeColor="text1"/>
          <w:sz w:val="21"/>
          <w:szCs w:val="21"/>
        </w:rPr>
        <w:t xml:space="preserve"> </w:t>
      </w:r>
      <w:r w:rsidR="009500B2" w:rsidRPr="009555DC">
        <w:rPr>
          <w:rFonts w:ascii="Aptos" w:hAnsi="Aptos"/>
          <w:bCs/>
          <w:color w:val="000000" w:themeColor="text1"/>
          <w:sz w:val="21"/>
          <w:szCs w:val="21"/>
        </w:rPr>
        <w:t>Moreover, the</w:t>
      </w:r>
      <w:r w:rsidR="00AA4865">
        <w:rPr>
          <w:rFonts w:ascii="Aptos" w:hAnsi="Aptos"/>
          <w:bCs/>
          <w:color w:val="000000" w:themeColor="text1"/>
          <w:sz w:val="21"/>
          <w:szCs w:val="21"/>
        </w:rPr>
        <w:t>se</w:t>
      </w:r>
      <w:r w:rsidR="009500B2" w:rsidRPr="009555DC">
        <w:rPr>
          <w:rFonts w:ascii="Aptos" w:hAnsi="Aptos"/>
          <w:bCs/>
          <w:color w:val="000000" w:themeColor="text1"/>
          <w:sz w:val="21"/>
          <w:szCs w:val="21"/>
        </w:rPr>
        <w:t xml:space="preserve"> extended stays </w:t>
      </w:r>
      <w:r w:rsidR="00AA4865">
        <w:rPr>
          <w:rFonts w:ascii="Aptos" w:hAnsi="Aptos"/>
          <w:bCs/>
          <w:color w:val="000000" w:themeColor="text1"/>
          <w:sz w:val="21"/>
          <w:szCs w:val="21"/>
        </w:rPr>
        <w:t xml:space="preserve">due to endoscopy delays </w:t>
      </w:r>
      <w:r w:rsidR="009500B2" w:rsidRPr="009555DC">
        <w:rPr>
          <w:rFonts w:ascii="Aptos" w:hAnsi="Aptos"/>
          <w:bCs/>
          <w:color w:val="000000" w:themeColor="text1"/>
          <w:sz w:val="21"/>
          <w:szCs w:val="21"/>
        </w:rPr>
        <w:t xml:space="preserve">prevent better throughput for patients boarding in the ED </w:t>
      </w:r>
      <w:r w:rsidR="00AA4865">
        <w:rPr>
          <w:rFonts w:ascii="Aptos" w:hAnsi="Aptos"/>
          <w:bCs/>
          <w:color w:val="000000" w:themeColor="text1"/>
          <w:sz w:val="21"/>
          <w:szCs w:val="21"/>
        </w:rPr>
        <w:t xml:space="preserve">or waiting in a community hospital bed </w:t>
      </w:r>
      <w:r w:rsidR="009500B2" w:rsidRPr="009555DC">
        <w:rPr>
          <w:rFonts w:ascii="Aptos" w:hAnsi="Aptos"/>
          <w:bCs/>
          <w:color w:val="000000" w:themeColor="text1"/>
          <w:sz w:val="21"/>
          <w:szCs w:val="21"/>
        </w:rPr>
        <w:t xml:space="preserve">for an inpatient bed </w:t>
      </w:r>
      <w:r w:rsidR="00AA4865">
        <w:rPr>
          <w:rFonts w:ascii="Aptos" w:hAnsi="Aptos"/>
          <w:bCs/>
          <w:color w:val="000000" w:themeColor="text1"/>
          <w:sz w:val="21"/>
          <w:szCs w:val="21"/>
        </w:rPr>
        <w:t xml:space="preserve">at the MGB AMCs </w:t>
      </w:r>
      <w:r w:rsidR="009500B2" w:rsidRPr="009555DC">
        <w:rPr>
          <w:rFonts w:ascii="Aptos" w:hAnsi="Aptos"/>
          <w:bCs/>
          <w:color w:val="000000" w:themeColor="text1"/>
          <w:sz w:val="21"/>
          <w:szCs w:val="21"/>
        </w:rPr>
        <w:t xml:space="preserve">to become available. </w:t>
      </w:r>
      <w:r w:rsidRPr="009555DC">
        <w:rPr>
          <w:rFonts w:ascii="Aptos" w:hAnsi="Aptos"/>
          <w:bCs/>
          <w:color w:val="000000" w:themeColor="text1"/>
          <w:sz w:val="21"/>
          <w:szCs w:val="21"/>
        </w:rPr>
        <w:t xml:space="preserve">Reducing endoscopy volume at the </w:t>
      </w:r>
      <w:r w:rsidR="009500B2" w:rsidRPr="009555DC">
        <w:rPr>
          <w:rFonts w:ascii="Aptos" w:hAnsi="Aptos"/>
          <w:bCs/>
          <w:color w:val="000000" w:themeColor="text1"/>
          <w:sz w:val="21"/>
          <w:szCs w:val="21"/>
        </w:rPr>
        <w:t xml:space="preserve">MGB </w:t>
      </w:r>
      <w:r w:rsidRPr="009555DC">
        <w:rPr>
          <w:rFonts w:ascii="Aptos" w:hAnsi="Aptos"/>
          <w:bCs/>
          <w:color w:val="000000" w:themeColor="text1"/>
          <w:sz w:val="21"/>
          <w:szCs w:val="21"/>
        </w:rPr>
        <w:t xml:space="preserve">AMCs is imperative to improving procedure room throughput, timely discharge, and in turn health outcomes. </w:t>
      </w:r>
    </w:p>
    <w:p w14:paraId="7E80617B" w14:textId="77777777" w:rsidR="00A2471A" w:rsidRPr="009555DC" w:rsidRDefault="00A2471A" w:rsidP="00A2471A">
      <w:pPr>
        <w:rPr>
          <w:rFonts w:ascii="Aptos" w:hAnsi="Aptos"/>
          <w:bCs/>
          <w:i/>
          <w:iCs/>
          <w:sz w:val="21"/>
          <w:szCs w:val="21"/>
        </w:rPr>
      </w:pPr>
    </w:p>
    <w:p w14:paraId="1E289F4D" w14:textId="77777777" w:rsidR="00A2471A" w:rsidRPr="009555DC" w:rsidRDefault="00A2471A" w:rsidP="0031751C">
      <w:pPr>
        <w:pStyle w:val="Heading2"/>
      </w:pPr>
      <w:r w:rsidRPr="009555DC">
        <w:t>F2.c.</w:t>
      </w:r>
      <w:r w:rsidRPr="009555DC">
        <w:tab/>
      </w:r>
      <w:r w:rsidRPr="009555DC">
        <w:tab/>
      </w:r>
      <w:r w:rsidRPr="0031751C">
        <w:rPr>
          <w:b/>
          <w:bCs w:val="0"/>
        </w:rPr>
        <w:t>Delivery System Transformation</w:t>
      </w:r>
    </w:p>
    <w:p w14:paraId="17740AF1" w14:textId="77777777" w:rsidR="00A2471A" w:rsidRPr="009555DC" w:rsidRDefault="00A2471A" w:rsidP="00A2471A">
      <w:pPr>
        <w:spacing w:after="120"/>
        <w:ind w:left="1440"/>
        <w:jc w:val="both"/>
        <w:rPr>
          <w:rFonts w:ascii="Aptos" w:hAnsi="Aptos"/>
          <w:b/>
          <w:i/>
          <w:iCs/>
          <w:sz w:val="21"/>
          <w:szCs w:val="21"/>
        </w:rPr>
      </w:pPr>
      <w:r w:rsidRPr="009555DC">
        <w:rPr>
          <w:rFonts w:ascii="Aptos" w:hAnsi="Aptos"/>
          <w:b/>
          <w:i/>
          <w:iCs/>
          <w:sz w:val="21"/>
          <w:szCs w:val="21"/>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59D47B58" w14:textId="77777777" w:rsidR="00A2471A" w:rsidRPr="009555DC" w:rsidRDefault="00A2471A" w:rsidP="00A2471A">
      <w:pPr>
        <w:pStyle w:val="ListParagraph"/>
        <w:numPr>
          <w:ilvl w:val="0"/>
          <w:numId w:val="13"/>
        </w:numPr>
        <w:spacing w:after="120"/>
        <w:contextualSpacing w:val="0"/>
        <w:jc w:val="both"/>
        <w:rPr>
          <w:rFonts w:ascii="Aptos" w:hAnsi="Aptos"/>
          <w:bCs/>
          <w:sz w:val="21"/>
          <w:szCs w:val="21"/>
          <w:u w:val="single"/>
        </w:rPr>
      </w:pPr>
      <w:r w:rsidRPr="009555DC">
        <w:rPr>
          <w:rFonts w:ascii="Aptos" w:hAnsi="Aptos"/>
          <w:bCs/>
          <w:sz w:val="21"/>
          <w:szCs w:val="21"/>
          <w:u w:val="single"/>
        </w:rPr>
        <w:t>Commitment to Health Equity and Community Partnerships</w:t>
      </w:r>
    </w:p>
    <w:p w14:paraId="478CB6DC" w14:textId="19674211" w:rsidR="00A2471A" w:rsidRPr="009555DC" w:rsidRDefault="00A2471A" w:rsidP="00A2471A">
      <w:pPr>
        <w:pStyle w:val="ListParagraph"/>
        <w:spacing w:after="120"/>
        <w:ind w:left="0"/>
        <w:contextualSpacing w:val="0"/>
        <w:jc w:val="both"/>
        <w:rPr>
          <w:rFonts w:ascii="Aptos" w:hAnsi="Aptos"/>
          <w:bCs/>
          <w:sz w:val="21"/>
          <w:szCs w:val="21"/>
          <w:u w:val="single"/>
        </w:rPr>
      </w:pPr>
      <w:r w:rsidRPr="009555DC">
        <w:rPr>
          <w:rFonts w:ascii="Aptos" w:hAnsi="Aptos"/>
          <w:bCs/>
          <w:sz w:val="21"/>
          <w:szCs w:val="21"/>
        </w:rPr>
        <w:t>The Applicant</w:t>
      </w:r>
      <w:r w:rsidR="00F84C33" w:rsidRPr="009555DC">
        <w:rPr>
          <w:rFonts w:ascii="Aptos" w:hAnsi="Aptos"/>
          <w:bCs/>
          <w:sz w:val="21"/>
          <w:szCs w:val="21"/>
        </w:rPr>
        <w:t xml:space="preserve"> </w:t>
      </w:r>
      <w:r w:rsidRPr="009555DC">
        <w:rPr>
          <w:rFonts w:ascii="Aptos" w:hAnsi="Aptos"/>
          <w:bCs/>
          <w:sz w:val="21"/>
          <w:szCs w:val="21"/>
        </w:rPr>
        <w:t xml:space="preserve">will contribute to delivery system transformation through </w:t>
      </w:r>
      <w:r w:rsidR="00AA4865">
        <w:rPr>
          <w:rFonts w:ascii="Aptos" w:hAnsi="Aptos"/>
          <w:bCs/>
          <w:sz w:val="21"/>
          <w:szCs w:val="21"/>
        </w:rPr>
        <w:t>the integration of</w:t>
      </w:r>
      <w:r w:rsidRPr="009555DC">
        <w:rPr>
          <w:rFonts w:ascii="Aptos" w:hAnsi="Aptos"/>
          <w:bCs/>
          <w:sz w:val="21"/>
          <w:szCs w:val="21"/>
        </w:rPr>
        <w:t xml:space="preserve"> social services and community-based expertise to address the needs of its </w:t>
      </w:r>
      <w:r w:rsidR="00831E29" w:rsidRPr="009555DC">
        <w:rPr>
          <w:rFonts w:ascii="Aptos" w:hAnsi="Aptos"/>
          <w:bCs/>
          <w:sz w:val="21"/>
          <w:szCs w:val="21"/>
        </w:rPr>
        <w:t>Patient Panel</w:t>
      </w:r>
      <w:r w:rsidRPr="009555DC">
        <w:rPr>
          <w:rFonts w:ascii="Aptos" w:hAnsi="Aptos"/>
          <w:bCs/>
          <w:sz w:val="21"/>
          <w:szCs w:val="21"/>
        </w:rPr>
        <w:t xml:space="preserve">. To achieve this goal, the </w:t>
      </w:r>
      <w:r w:rsidR="00831E29" w:rsidRPr="009555DC">
        <w:rPr>
          <w:rFonts w:ascii="Aptos" w:hAnsi="Aptos"/>
          <w:bCs/>
          <w:sz w:val="21"/>
          <w:szCs w:val="21"/>
        </w:rPr>
        <w:t xml:space="preserve">Applicant will connect </w:t>
      </w:r>
      <w:r w:rsidRPr="009555DC">
        <w:rPr>
          <w:rFonts w:ascii="Aptos" w:hAnsi="Aptos"/>
          <w:bCs/>
          <w:sz w:val="21"/>
          <w:szCs w:val="21"/>
        </w:rPr>
        <w:t>the medical services it provides with social support by working closely with local communities. Th</w:t>
      </w:r>
      <w:r w:rsidR="00F84C33" w:rsidRPr="009555DC">
        <w:rPr>
          <w:rFonts w:ascii="Aptos" w:hAnsi="Aptos"/>
          <w:bCs/>
          <w:sz w:val="21"/>
          <w:szCs w:val="21"/>
        </w:rPr>
        <w:t>e Applicant will review opportunities for</w:t>
      </w:r>
      <w:r w:rsidRPr="009555DC">
        <w:rPr>
          <w:rFonts w:ascii="Aptos" w:hAnsi="Aptos"/>
          <w:bCs/>
          <w:sz w:val="21"/>
          <w:szCs w:val="21"/>
        </w:rPr>
        <w:t xml:space="preserve"> partnering with diverse </w:t>
      </w:r>
      <w:r w:rsidR="00F84C33" w:rsidRPr="009555DC">
        <w:rPr>
          <w:rFonts w:ascii="Aptos" w:hAnsi="Aptos"/>
          <w:bCs/>
          <w:sz w:val="21"/>
          <w:szCs w:val="21"/>
        </w:rPr>
        <w:t>groups and</w:t>
      </w:r>
      <w:r w:rsidRPr="009555DC">
        <w:rPr>
          <w:rFonts w:ascii="Aptos" w:hAnsi="Aptos"/>
          <w:bCs/>
          <w:sz w:val="21"/>
          <w:szCs w:val="21"/>
        </w:rPr>
        <w:t xml:space="preserve"> </w:t>
      </w:r>
      <w:r w:rsidR="00831E29" w:rsidRPr="009555DC">
        <w:rPr>
          <w:rFonts w:ascii="Aptos" w:hAnsi="Aptos"/>
          <w:bCs/>
          <w:sz w:val="21"/>
          <w:szCs w:val="21"/>
        </w:rPr>
        <w:t>will provide</w:t>
      </w:r>
      <w:r w:rsidRPr="009555DC">
        <w:rPr>
          <w:rFonts w:ascii="Aptos" w:hAnsi="Aptos"/>
          <w:bCs/>
          <w:sz w:val="21"/>
          <w:szCs w:val="21"/>
        </w:rPr>
        <w:t xml:space="preserve"> high-quality care while addressing social determinants of health such as housing, food security, and </w:t>
      </w:r>
      <w:r w:rsidRPr="00AA4865">
        <w:rPr>
          <w:rFonts w:ascii="Aptos" w:hAnsi="Aptos"/>
          <w:bCs/>
          <w:sz w:val="21"/>
          <w:szCs w:val="21"/>
        </w:rPr>
        <w:t xml:space="preserve">education. </w:t>
      </w:r>
      <w:r w:rsidR="00CB6812" w:rsidRPr="00AA4865">
        <w:rPr>
          <w:rFonts w:ascii="Aptos" w:hAnsi="Aptos"/>
          <w:bCs/>
          <w:sz w:val="21"/>
          <w:szCs w:val="21"/>
        </w:rPr>
        <w:t xml:space="preserve">The Applicant is also exploring opportunities for MGB </w:t>
      </w:r>
      <w:r w:rsidR="0066595B" w:rsidRPr="00AA4865">
        <w:rPr>
          <w:rFonts w:ascii="Aptos" w:hAnsi="Aptos"/>
          <w:bCs/>
          <w:sz w:val="21"/>
          <w:szCs w:val="21"/>
        </w:rPr>
        <w:t xml:space="preserve">to </w:t>
      </w:r>
      <w:r w:rsidR="00CB6812" w:rsidRPr="00AA4865">
        <w:rPr>
          <w:rFonts w:ascii="Aptos" w:hAnsi="Aptos"/>
          <w:bCs/>
          <w:sz w:val="21"/>
          <w:szCs w:val="21"/>
        </w:rPr>
        <w:t>collaborate with community organizations to address barriers that can limit access to healthcare services for groups within its Patient Panel</w:t>
      </w:r>
      <w:r w:rsidR="00103587" w:rsidRPr="00AA4865">
        <w:rPr>
          <w:rFonts w:ascii="Aptos" w:hAnsi="Aptos"/>
          <w:bCs/>
          <w:sz w:val="21"/>
          <w:szCs w:val="21"/>
        </w:rPr>
        <w:t>.</w:t>
      </w:r>
      <w:r w:rsidRPr="00AA4865">
        <w:rPr>
          <w:rFonts w:ascii="Aptos" w:hAnsi="Aptos"/>
          <w:bCs/>
          <w:sz w:val="21"/>
          <w:szCs w:val="21"/>
        </w:rPr>
        <w:t xml:space="preserve"> Therefore, the Proposed Project will contribute to the Commonwealth’s goal of delivery system </w:t>
      </w:r>
      <w:r w:rsidR="00AA4865" w:rsidRPr="00AA4865">
        <w:rPr>
          <w:rFonts w:ascii="Aptos" w:hAnsi="Aptos"/>
          <w:bCs/>
          <w:sz w:val="21"/>
          <w:szCs w:val="21"/>
        </w:rPr>
        <w:t xml:space="preserve">transformation </w:t>
      </w:r>
      <w:r w:rsidRPr="00AA4865">
        <w:rPr>
          <w:rFonts w:ascii="Aptos" w:hAnsi="Aptos"/>
          <w:bCs/>
          <w:sz w:val="21"/>
          <w:szCs w:val="21"/>
        </w:rPr>
        <w:t xml:space="preserve">by </w:t>
      </w:r>
      <w:r w:rsidR="00AA4865" w:rsidRPr="00AA4865">
        <w:rPr>
          <w:rFonts w:ascii="Aptos" w:hAnsi="Aptos"/>
          <w:bCs/>
          <w:sz w:val="21"/>
          <w:szCs w:val="21"/>
        </w:rPr>
        <w:t>providing</w:t>
      </w:r>
      <w:r w:rsidRPr="00AA4865">
        <w:rPr>
          <w:rFonts w:ascii="Aptos" w:hAnsi="Aptos"/>
          <w:bCs/>
          <w:sz w:val="21"/>
          <w:szCs w:val="21"/>
        </w:rPr>
        <w:t xml:space="preserve"> comprehensive care planning </w:t>
      </w:r>
      <w:r w:rsidR="00AA4865" w:rsidRPr="00AA4865">
        <w:rPr>
          <w:rFonts w:ascii="Aptos" w:hAnsi="Aptos"/>
          <w:bCs/>
          <w:sz w:val="21"/>
          <w:szCs w:val="21"/>
        </w:rPr>
        <w:t xml:space="preserve">and holistic care delivery </w:t>
      </w:r>
      <w:r w:rsidRPr="00AA4865">
        <w:rPr>
          <w:rFonts w:ascii="Aptos" w:hAnsi="Aptos"/>
          <w:bCs/>
          <w:sz w:val="21"/>
          <w:szCs w:val="21"/>
        </w:rPr>
        <w:t>to a greater number of Massachusetts residents.</w:t>
      </w:r>
      <w:r w:rsidRPr="009555DC">
        <w:rPr>
          <w:rFonts w:ascii="Aptos" w:hAnsi="Aptos"/>
          <w:bCs/>
          <w:sz w:val="21"/>
          <w:szCs w:val="21"/>
        </w:rPr>
        <w:t xml:space="preserve">  </w:t>
      </w:r>
    </w:p>
    <w:p w14:paraId="7C4FF23B" w14:textId="6C9900C0" w:rsidR="00A2471A" w:rsidRPr="009555DC" w:rsidRDefault="00A2471A" w:rsidP="00A2471A">
      <w:pPr>
        <w:pStyle w:val="ListParagraph"/>
        <w:ind w:left="0"/>
        <w:jc w:val="both"/>
        <w:rPr>
          <w:rFonts w:ascii="Aptos" w:hAnsi="Aptos"/>
          <w:bCs/>
          <w:sz w:val="21"/>
          <w:szCs w:val="21"/>
        </w:rPr>
      </w:pPr>
      <w:r w:rsidRPr="009555DC">
        <w:rPr>
          <w:rFonts w:ascii="Aptos" w:hAnsi="Aptos"/>
          <w:bCs/>
          <w:sz w:val="21"/>
          <w:szCs w:val="21"/>
        </w:rPr>
        <w:t xml:space="preserve">The Proposed Project supports the Commonwealth’s goal of expanding access to community-based care by increasing overall ASC endoscopy procedural capacity. Creating outpatient endoscopy services at the proposed ASC will directly benefit the Applicant’s </w:t>
      </w:r>
      <w:r w:rsidR="00831E29" w:rsidRPr="009555DC">
        <w:rPr>
          <w:rFonts w:ascii="Aptos" w:hAnsi="Aptos"/>
          <w:bCs/>
          <w:sz w:val="21"/>
          <w:szCs w:val="21"/>
        </w:rPr>
        <w:t xml:space="preserve">Patient Panel </w:t>
      </w:r>
      <w:r w:rsidRPr="009555DC">
        <w:rPr>
          <w:rFonts w:ascii="Aptos" w:hAnsi="Aptos"/>
          <w:bCs/>
          <w:sz w:val="21"/>
          <w:szCs w:val="21"/>
        </w:rPr>
        <w:t>by promoting timely access to routine screenings and diagnostic procedures, particularly for colorectal cancer</w:t>
      </w:r>
      <w:r w:rsidR="00F84C33" w:rsidRPr="009555DC">
        <w:rPr>
          <w:rFonts w:ascii="Aptos" w:hAnsi="Aptos"/>
          <w:bCs/>
          <w:sz w:val="21"/>
          <w:szCs w:val="21"/>
        </w:rPr>
        <w:t xml:space="preserve">. </w:t>
      </w:r>
      <w:r w:rsidR="00831E29" w:rsidRPr="009555DC">
        <w:rPr>
          <w:rFonts w:ascii="Aptos" w:hAnsi="Aptos"/>
          <w:bCs/>
          <w:sz w:val="21"/>
          <w:szCs w:val="21"/>
        </w:rPr>
        <w:t>The</w:t>
      </w:r>
      <w:r w:rsidRPr="009555DC">
        <w:rPr>
          <w:rFonts w:ascii="Aptos" w:hAnsi="Aptos"/>
          <w:bCs/>
          <w:sz w:val="21"/>
          <w:szCs w:val="21"/>
        </w:rPr>
        <w:t xml:space="preserve"> proposed ASC will meet growing demand, reduce </w:t>
      </w:r>
      <w:proofErr w:type="gramStart"/>
      <w:r w:rsidRPr="009555DC">
        <w:rPr>
          <w:rFonts w:ascii="Aptos" w:hAnsi="Aptos"/>
          <w:bCs/>
          <w:sz w:val="21"/>
          <w:szCs w:val="21"/>
        </w:rPr>
        <w:t>wait</w:t>
      </w:r>
      <w:proofErr w:type="gramEnd"/>
      <w:r w:rsidRPr="009555DC">
        <w:rPr>
          <w:rFonts w:ascii="Aptos" w:hAnsi="Aptos"/>
          <w:bCs/>
          <w:sz w:val="21"/>
          <w:szCs w:val="21"/>
        </w:rPr>
        <w:t xml:space="preserve"> times, and improve adherence to screening guidelines, all of which are </w:t>
      </w:r>
      <w:r w:rsidRPr="009555DC">
        <w:rPr>
          <w:rFonts w:ascii="Aptos" w:hAnsi="Aptos"/>
          <w:bCs/>
          <w:sz w:val="21"/>
          <w:szCs w:val="21"/>
        </w:rPr>
        <w:lastRenderedPageBreak/>
        <w:t xml:space="preserve">critical for early detection and treatment. As a result, the Applicant’s commitment to </w:t>
      </w:r>
      <w:r w:rsidR="00831E29" w:rsidRPr="009555DC">
        <w:rPr>
          <w:rFonts w:ascii="Aptos" w:hAnsi="Aptos"/>
          <w:bCs/>
          <w:sz w:val="21"/>
          <w:szCs w:val="21"/>
        </w:rPr>
        <w:t xml:space="preserve">ensuring </w:t>
      </w:r>
      <w:r w:rsidRPr="009555DC">
        <w:rPr>
          <w:rFonts w:ascii="Aptos" w:hAnsi="Aptos"/>
          <w:bCs/>
          <w:sz w:val="21"/>
          <w:szCs w:val="21"/>
        </w:rPr>
        <w:t xml:space="preserve">timely access </w:t>
      </w:r>
      <w:r w:rsidR="00831E29" w:rsidRPr="009555DC">
        <w:rPr>
          <w:rFonts w:ascii="Aptos" w:hAnsi="Aptos"/>
          <w:bCs/>
          <w:sz w:val="21"/>
          <w:szCs w:val="21"/>
        </w:rPr>
        <w:t xml:space="preserve">to preventative care and treatment </w:t>
      </w:r>
      <w:r w:rsidRPr="009555DC">
        <w:rPr>
          <w:rFonts w:ascii="Aptos" w:hAnsi="Aptos"/>
          <w:bCs/>
          <w:sz w:val="21"/>
          <w:szCs w:val="21"/>
        </w:rPr>
        <w:t xml:space="preserve">will enhance patient satisfaction and contribute to better health outcomes for its </w:t>
      </w:r>
      <w:r w:rsidR="00831E29" w:rsidRPr="009555DC">
        <w:rPr>
          <w:rFonts w:ascii="Aptos" w:hAnsi="Aptos"/>
          <w:bCs/>
          <w:sz w:val="21"/>
          <w:szCs w:val="21"/>
        </w:rPr>
        <w:t>Patient Panel</w:t>
      </w:r>
      <w:r w:rsidRPr="009555DC">
        <w:rPr>
          <w:rFonts w:ascii="Aptos" w:hAnsi="Aptos"/>
          <w:bCs/>
          <w:sz w:val="21"/>
          <w:szCs w:val="21"/>
        </w:rPr>
        <w:t xml:space="preserve">. Thus, the Proposed Project will directly support long-term improvements in the overall population health of Massachusetts.  </w:t>
      </w:r>
    </w:p>
    <w:p w14:paraId="220CB93F" w14:textId="77777777" w:rsidR="00A2471A" w:rsidRPr="009555DC" w:rsidRDefault="00A2471A" w:rsidP="00A2471A">
      <w:pPr>
        <w:pStyle w:val="ListParagraph"/>
        <w:ind w:left="0"/>
        <w:jc w:val="both"/>
        <w:rPr>
          <w:rFonts w:ascii="Aptos" w:hAnsi="Aptos"/>
          <w:bCs/>
          <w:sz w:val="21"/>
          <w:szCs w:val="21"/>
          <w:u w:val="single"/>
        </w:rPr>
      </w:pPr>
    </w:p>
    <w:p w14:paraId="5D2B6A72" w14:textId="77777777" w:rsidR="00A2471A" w:rsidRPr="009555DC" w:rsidRDefault="00A2471A" w:rsidP="00A2471A">
      <w:pPr>
        <w:pStyle w:val="ListParagraph"/>
        <w:numPr>
          <w:ilvl w:val="0"/>
          <w:numId w:val="13"/>
        </w:numPr>
        <w:spacing w:after="120"/>
        <w:contextualSpacing w:val="0"/>
        <w:jc w:val="both"/>
        <w:rPr>
          <w:rFonts w:ascii="Aptos" w:hAnsi="Aptos"/>
          <w:bCs/>
          <w:sz w:val="21"/>
          <w:szCs w:val="21"/>
          <w:u w:val="single"/>
        </w:rPr>
      </w:pPr>
      <w:r w:rsidRPr="009555DC">
        <w:rPr>
          <w:rFonts w:ascii="Aptos" w:hAnsi="Aptos"/>
          <w:bCs/>
          <w:sz w:val="21"/>
          <w:szCs w:val="21"/>
          <w:u w:val="single"/>
        </w:rPr>
        <w:t>Addressing Socioeconomic Barriers to Cancer Care</w:t>
      </w:r>
    </w:p>
    <w:p w14:paraId="659F78F8" w14:textId="1D1B2030" w:rsidR="00A2471A" w:rsidRPr="009555DC" w:rsidRDefault="00A2471A" w:rsidP="00A2471A">
      <w:pPr>
        <w:jc w:val="both"/>
        <w:rPr>
          <w:rFonts w:ascii="Aptos" w:hAnsi="Aptos"/>
          <w:bCs/>
          <w:sz w:val="21"/>
          <w:szCs w:val="21"/>
        </w:rPr>
      </w:pPr>
      <w:r w:rsidRPr="009555DC">
        <w:rPr>
          <w:rFonts w:ascii="Aptos" w:hAnsi="Aptos"/>
          <w:bCs/>
          <w:sz w:val="21"/>
          <w:szCs w:val="21"/>
        </w:rPr>
        <w:t>As demonstrated throughout this Application, timely access to cancer screening and treatment is closely linked to improved outcomes. However, research consistently demonstrates that socioeconomic status significantly affects a patient’s ability to access and complete necessary cancer care.</w:t>
      </w:r>
      <w:r w:rsidRPr="009555DC">
        <w:rPr>
          <w:rStyle w:val="FootnoteReference"/>
          <w:rFonts w:ascii="Aptos" w:hAnsi="Aptos"/>
          <w:sz w:val="21"/>
          <w:szCs w:val="21"/>
        </w:rPr>
        <w:footnoteReference w:id="90"/>
      </w:r>
      <w:r w:rsidRPr="009555DC">
        <w:rPr>
          <w:rFonts w:ascii="Aptos" w:hAnsi="Aptos"/>
          <w:bCs/>
          <w:sz w:val="21"/>
          <w:szCs w:val="21"/>
        </w:rPr>
        <w:t xml:space="preserve"> Barriers such as poverty, housing instability, and transportation challenges often prevent individuals from adhering to routine screening guidelines.</w:t>
      </w:r>
      <w:r w:rsidRPr="009555DC">
        <w:rPr>
          <w:rStyle w:val="FootnoteReference"/>
          <w:rFonts w:ascii="Aptos" w:hAnsi="Aptos"/>
          <w:sz w:val="21"/>
          <w:szCs w:val="21"/>
        </w:rPr>
        <w:footnoteReference w:id="91"/>
      </w:r>
      <w:r w:rsidRPr="009555DC">
        <w:rPr>
          <w:rFonts w:ascii="Aptos" w:hAnsi="Aptos"/>
          <w:bCs/>
          <w:sz w:val="21"/>
          <w:szCs w:val="21"/>
        </w:rPr>
        <w:t xml:space="preserve"> These same factors are associated with delays in treatment initiation, lower quality of care, and higher rates of treatment non-adherence or early discontinuation, all of which negatively affect a patient’s overall outcome.</w:t>
      </w:r>
      <w:r w:rsidRPr="009555DC">
        <w:rPr>
          <w:rStyle w:val="FootnoteReference"/>
          <w:rFonts w:ascii="Aptos" w:hAnsi="Aptos"/>
          <w:sz w:val="21"/>
          <w:szCs w:val="21"/>
        </w:rPr>
        <w:footnoteReference w:id="92"/>
      </w:r>
      <w:r w:rsidRPr="009555DC">
        <w:rPr>
          <w:rFonts w:ascii="Aptos" w:hAnsi="Aptos"/>
          <w:bCs/>
          <w:sz w:val="21"/>
          <w:szCs w:val="21"/>
        </w:rPr>
        <w:t xml:space="preserve"> By expanding access to affordable, high-quality endoscopy services, the Applicant aims to mitigate the negative effects of socioeconomic </w:t>
      </w:r>
      <w:r w:rsidR="00CB6812">
        <w:rPr>
          <w:rFonts w:ascii="Aptos" w:hAnsi="Aptos"/>
          <w:bCs/>
          <w:sz w:val="21"/>
          <w:szCs w:val="21"/>
        </w:rPr>
        <w:t>barriers</w:t>
      </w:r>
      <w:r w:rsidR="00CB6812" w:rsidRPr="009555DC">
        <w:rPr>
          <w:rFonts w:ascii="Aptos" w:hAnsi="Aptos"/>
          <w:bCs/>
          <w:sz w:val="21"/>
          <w:szCs w:val="21"/>
        </w:rPr>
        <w:t xml:space="preserve"> </w:t>
      </w:r>
      <w:r w:rsidRPr="009555DC">
        <w:rPr>
          <w:rFonts w:ascii="Aptos" w:hAnsi="Aptos"/>
          <w:bCs/>
          <w:sz w:val="21"/>
          <w:szCs w:val="21"/>
        </w:rPr>
        <w:t xml:space="preserve">on healthcare access, diagnosis, and treatment. As a result, the Proposed Project will promote health </w:t>
      </w:r>
      <w:r w:rsidR="00CB6812">
        <w:rPr>
          <w:rFonts w:ascii="Aptos" w:hAnsi="Aptos"/>
          <w:bCs/>
          <w:sz w:val="21"/>
          <w:szCs w:val="21"/>
        </w:rPr>
        <w:t>outcomes</w:t>
      </w:r>
      <w:r w:rsidR="00CB6812" w:rsidRPr="009555DC">
        <w:rPr>
          <w:rFonts w:ascii="Aptos" w:hAnsi="Aptos"/>
          <w:bCs/>
          <w:sz w:val="21"/>
          <w:szCs w:val="21"/>
        </w:rPr>
        <w:t xml:space="preserve"> </w:t>
      </w:r>
      <w:r w:rsidR="00CB6812">
        <w:rPr>
          <w:rFonts w:ascii="Aptos" w:hAnsi="Aptos"/>
          <w:bCs/>
          <w:sz w:val="21"/>
          <w:szCs w:val="21"/>
        </w:rPr>
        <w:t>in alignment</w:t>
      </w:r>
      <w:r w:rsidRPr="009555DC">
        <w:rPr>
          <w:rFonts w:ascii="Aptos" w:hAnsi="Aptos"/>
          <w:bCs/>
          <w:sz w:val="21"/>
          <w:szCs w:val="21"/>
        </w:rPr>
        <w:t xml:space="preserve"> with the Commonwealth’s broader efforts to improve outcomes for all residents.</w:t>
      </w:r>
    </w:p>
    <w:p w14:paraId="31092FF5" w14:textId="77777777" w:rsidR="00A2471A" w:rsidRPr="009555DC" w:rsidRDefault="00A2471A" w:rsidP="006B2AF7">
      <w:pPr>
        <w:spacing w:after="120"/>
        <w:jc w:val="both"/>
        <w:rPr>
          <w:rFonts w:asciiTheme="minorHAnsi" w:hAnsiTheme="minorHAnsi"/>
          <w:sz w:val="21"/>
          <w:szCs w:val="21"/>
        </w:rPr>
      </w:pPr>
    </w:p>
    <w:p w14:paraId="0E2EF3A6" w14:textId="77777777" w:rsidR="00087783" w:rsidRPr="009555DC" w:rsidRDefault="00087783" w:rsidP="0031751C">
      <w:pPr>
        <w:pStyle w:val="Heading1"/>
      </w:pPr>
      <w:r w:rsidRPr="009555DC">
        <w:t>Factor 5: Relative Merit</w:t>
      </w:r>
    </w:p>
    <w:p w14:paraId="3A45F2AF" w14:textId="77777777" w:rsidR="00087783" w:rsidRPr="009555DC" w:rsidRDefault="00087783" w:rsidP="0031751C">
      <w:pPr>
        <w:pStyle w:val="Heading2"/>
      </w:pPr>
      <w:r w:rsidRPr="009555DC">
        <w:t>F5.</w:t>
      </w:r>
      <w:proofErr w:type="gramStart"/>
      <w:r w:rsidRPr="009555DC">
        <w:t>a.i</w:t>
      </w:r>
      <w:proofErr w:type="gramEnd"/>
      <w:r w:rsidRPr="009555DC">
        <w:tab/>
      </w:r>
      <w:r w:rsidRPr="0031751C">
        <w:rPr>
          <w:b/>
          <w:bCs w:val="0"/>
          <w:i/>
          <w:iCs/>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31751C">
        <w:rPr>
          <w:b/>
          <w:bCs w:val="0"/>
          <w:i/>
          <w:iCs/>
        </w:rPr>
        <w:t>take into account</w:t>
      </w:r>
      <w:proofErr w:type="gramEnd"/>
      <w:r w:rsidRPr="0031751C">
        <w:rPr>
          <w:b/>
          <w:bCs w:val="0"/>
          <w:i/>
          <w:iCs/>
        </w:rPr>
        <w:t>, at a minimum, the quality, efficiency, and capital and operating costs of the Proposed Project relative to potential alternatives or substitutes, including alternative evidence-based strategies and public health interventions.</w:t>
      </w:r>
    </w:p>
    <w:p w14:paraId="287BF313" w14:textId="219D3E7F" w:rsidR="00087783" w:rsidRPr="009555DC" w:rsidRDefault="00087783" w:rsidP="00087783">
      <w:pPr>
        <w:tabs>
          <w:tab w:val="left" w:pos="1440"/>
        </w:tabs>
        <w:autoSpaceDE w:val="0"/>
        <w:autoSpaceDN w:val="0"/>
        <w:adjustRightInd w:val="0"/>
        <w:ind w:left="1440" w:hanging="1440"/>
        <w:jc w:val="both"/>
        <w:rPr>
          <w:rFonts w:ascii="Aptos" w:hAnsi="Aptos" w:cs="Arial"/>
          <w:bCs/>
          <w:sz w:val="21"/>
          <w:szCs w:val="21"/>
        </w:rPr>
      </w:pPr>
      <w:r w:rsidRPr="009555DC">
        <w:rPr>
          <w:rFonts w:ascii="Aptos" w:hAnsi="Aptos" w:cs="Arial"/>
          <w:b/>
          <w:sz w:val="21"/>
          <w:szCs w:val="21"/>
        </w:rPr>
        <w:t xml:space="preserve">Alternative Proposal 1: </w:t>
      </w:r>
      <w:r w:rsidRPr="009555DC">
        <w:rPr>
          <w:rFonts w:ascii="Aptos" w:hAnsi="Aptos" w:cs="Arial"/>
          <w:bCs/>
          <w:sz w:val="21"/>
          <w:szCs w:val="21"/>
        </w:rPr>
        <w:t xml:space="preserve">Use the existing procedure rooms </w:t>
      </w:r>
      <w:r w:rsidR="00693B72">
        <w:rPr>
          <w:rFonts w:ascii="Aptos" w:hAnsi="Aptos" w:cs="Arial"/>
          <w:bCs/>
          <w:sz w:val="21"/>
          <w:szCs w:val="21"/>
        </w:rPr>
        <w:t>in the HOPDs at</w:t>
      </w:r>
      <w:r w:rsidRPr="009555DC">
        <w:rPr>
          <w:rFonts w:ascii="Aptos" w:hAnsi="Aptos" w:cs="Arial"/>
          <w:bCs/>
          <w:sz w:val="21"/>
          <w:szCs w:val="21"/>
        </w:rPr>
        <w:t xml:space="preserve"> BWH and MGH to continue to </w:t>
      </w:r>
    </w:p>
    <w:p w14:paraId="3628EF07" w14:textId="77777777" w:rsidR="00087783" w:rsidRPr="009555DC" w:rsidRDefault="00087783" w:rsidP="00087783">
      <w:pPr>
        <w:tabs>
          <w:tab w:val="left" w:pos="1440"/>
        </w:tabs>
        <w:autoSpaceDE w:val="0"/>
        <w:autoSpaceDN w:val="0"/>
        <w:adjustRightInd w:val="0"/>
        <w:ind w:left="1440" w:hanging="1440"/>
        <w:jc w:val="both"/>
        <w:rPr>
          <w:rFonts w:ascii="Aptos" w:hAnsi="Aptos" w:cs="Arial"/>
          <w:bCs/>
          <w:sz w:val="21"/>
          <w:szCs w:val="21"/>
        </w:rPr>
      </w:pPr>
      <w:r w:rsidRPr="009555DC">
        <w:rPr>
          <w:rFonts w:ascii="Aptos" w:hAnsi="Aptos" w:cs="Arial"/>
          <w:bCs/>
          <w:sz w:val="21"/>
          <w:szCs w:val="21"/>
        </w:rPr>
        <w:t xml:space="preserve">provide endoscopy procedures. </w:t>
      </w:r>
    </w:p>
    <w:p w14:paraId="5B66B230" w14:textId="77777777" w:rsidR="00087783" w:rsidRPr="009555DC" w:rsidRDefault="00087783" w:rsidP="00087783">
      <w:pPr>
        <w:tabs>
          <w:tab w:val="left" w:pos="1440"/>
        </w:tabs>
        <w:autoSpaceDE w:val="0"/>
        <w:autoSpaceDN w:val="0"/>
        <w:adjustRightInd w:val="0"/>
        <w:ind w:left="1440" w:hanging="1440"/>
        <w:jc w:val="both"/>
        <w:rPr>
          <w:rFonts w:ascii="Aptos" w:hAnsi="Aptos" w:cs="Arial"/>
          <w:bCs/>
          <w:sz w:val="21"/>
          <w:szCs w:val="21"/>
        </w:rPr>
      </w:pPr>
    </w:p>
    <w:p w14:paraId="0DCEC2B1" w14:textId="75D09E6F" w:rsidR="00087783" w:rsidRPr="009555DC" w:rsidRDefault="00087783" w:rsidP="00087783">
      <w:pPr>
        <w:tabs>
          <w:tab w:val="left" w:pos="1440"/>
        </w:tabs>
        <w:autoSpaceDE w:val="0"/>
        <w:autoSpaceDN w:val="0"/>
        <w:adjustRightInd w:val="0"/>
        <w:spacing w:after="120"/>
        <w:ind w:left="1440" w:hanging="1440"/>
        <w:jc w:val="both"/>
        <w:rPr>
          <w:rFonts w:ascii="Aptos" w:hAnsi="Aptos" w:cs="Arial"/>
          <w:bCs/>
          <w:sz w:val="21"/>
          <w:szCs w:val="21"/>
        </w:rPr>
      </w:pPr>
      <w:r w:rsidRPr="009555DC">
        <w:rPr>
          <w:rFonts w:ascii="Aptos" w:hAnsi="Aptos" w:cs="Arial"/>
          <w:b/>
          <w:sz w:val="21"/>
          <w:szCs w:val="21"/>
        </w:rPr>
        <w:tab/>
        <w:t xml:space="preserve">Alternative Quality: </w:t>
      </w:r>
      <w:r w:rsidRPr="009555DC">
        <w:rPr>
          <w:rFonts w:ascii="Aptos" w:hAnsi="Aptos" w:cs="Arial"/>
          <w:bCs/>
          <w:sz w:val="21"/>
          <w:szCs w:val="21"/>
        </w:rPr>
        <w:t xml:space="preserve">This alternative option fails to leverage the high-quality of patient care ASCs provide. Compared to HOPDs, ASCs have higher patient satisfaction rates and lower incidences of post-procedure hospitalization. </w:t>
      </w:r>
      <w:r w:rsidR="009500B2" w:rsidRPr="009555DC">
        <w:rPr>
          <w:rFonts w:ascii="Aptos" w:hAnsi="Aptos" w:cs="Arial"/>
          <w:bCs/>
          <w:sz w:val="21"/>
          <w:szCs w:val="21"/>
        </w:rPr>
        <w:t>Moreover, the Proposed Project will increase capacity and expand access which cannot be achieved by this Alternative.</w:t>
      </w:r>
    </w:p>
    <w:p w14:paraId="500FBF51" w14:textId="5EA30A52" w:rsidR="00087783" w:rsidRPr="009555DC" w:rsidRDefault="00087783" w:rsidP="00087783">
      <w:pPr>
        <w:tabs>
          <w:tab w:val="left" w:pos="1440"/>
        </w:tabs>
        <w:autoSpaceDE w:val="0"/>
        <w:autoSpaceDN w:val="0"/>
        <w:adjustRightInd w:val="0"/>
        <w:spacing w:after="120"/>
        <w:ind w:left="1440" w:hanging="1440"/>
        <w:jc w:val="both"/>
        <w:rPr>
          <w:rFonts w:ascii="Aptos" w:hAnsi="Aptos" w:cs="Arial"/>
          <w:bCs/>
          <w:sz w:val="21"/>
          <w:szCs w:val="21"/>
        </w:rPr>
      </w:pPr>
      <w:r w:rsidRPr="009555DC">
        <w:rPr>
          <w:rFonts w:ascii="Aptos" w:hAnsi="Aptos" w:cs="Arial"/>
          <w:b/>
          <w:sz w:val="21"/>
          <w:szCs w:val="21"/>
        </w:rPr>
        <w:tab/>
        <w:t xml:space="preserve">Alternative Efficiency: </w:t>
      </w:r>
      <w:r w:rsidR="00F84C33" w:rsidRPr="009555DC">
        <w:rPr>
          <w:rFonts w:ascii="Aptos" w:hAnsi="Aptos" w:cs="Arial"/>
          <w:bCs/>
          <w:sz w:val="21"/>
          <w:szCs w:val="21"/>
        </w:rPr>
        <w:t xml:space="preserve">Continuing to rely on the AMC procedure rooms will further strain an already inefficient system, leading to longer wait times for endoscopy access. These delays, often exceeding six months, can significantly impact timely diagnosis and treatment, ultimately affecting patient outcomes. Extended </w:t>
      </w:r>
      <w:proofErr w:type="gramStart"/>
      <w:r w:rsidR="00F84C33" w:rsidRPr="009555DC">
        <w:rPr>
          <w:rFonts w:ascii="Aptos" w:hAnsi="Aptos" w:cs="Arial"/>
          <w:bCs/>
          <w:sz w:val="21"/>
          <w:szCs w:val="21"/>
        </w:rPr>
        <w:t>wait</w:t>
      </w:r>
      <w:proofErr w:type="gramEnd"/>
      <w:r w:rsidR="00F84C33" w:rsidRPr="009555DC">
        <w:rPr>
          <w:rFonts w:ascii="Aptos" w:hAnsi="Aptos" w:cs="Arial"/>
          <w:bCs/>
          <w:sz w:val="21"/>
          <w:szCs w:val="21"/>
        </w:rPr>
        <w:t xml:space="preserve"> times also increase the risk that patients will </w:t>
      </w:r>
      <w:proofErr w:type="gramStart"/>
      <w:r w:rsidR="00F84C33" w:rsidRPr="009555DC">
        <w:rPr>
          <w:rFonts w:ascii="Aptos" w:hAnsi="Aptos" w:cs="Arial"/>
          <w:bCs/>
          <w:sz w:val="21"/>
          <w:szCs w:val="21"/>
        </w:rPr>
        <w:t>forgo</w:t>
      </w:r>
      <w:proofErr w:type="gramEnd"/>
      <w:r w:rsidR="00F84C33" w:rsidRPr="009555DC">
        <w:rPr>
          <w:rFonts w:ascii="Aptos" w:hAnsi="Aptos" w:cs="Arial"/>
          <w:bCs/>
          <w:sz w:val="21"/>
          <w:szCs w:val="21"/>
        </w:rPr>
        <w:t xml:space="preserve"> their appointments altogether, perceiving the service as non-essential. Moreover, inefficient throughput in the AMC setting contributes to longer inpatient lengths of stay as patients awaiting procedures occupy beds that could otherwise be used for admissions</w:t>
      </w:r>
      <w:r w:rsidR="00D70662">
        <w:rPr>
          <w:rFonts w:ascii="Aptos" w:hAnsi="Aptos" w:cs="Arial"/>
          <w:bCs/>
          <w:sz w:val="21"/>
          <w:szCs w:val="21"/>
        </w:rPr>
        <w:t xml:space="preserve"> from the ED or for patients who need a higher level of care than available in the community</w:t>
      </w:r>
      <w:r w:rsidR="00F84C33" w:rsidRPr="009555DC">
        <w:rPr>
          <w:rFonts w:ascii="Aptos" w:hAnsi="Aptos" w:cs="Arial"/>
          <w:bCs/>
          <w:sz w:val="21"/>
          <w:szCs w:val="21"/>
        </w:rPr>
        <w:t xml:space="preserve">. This bottleneck affects the entire hospital system, delaying care for all patients waiting for a bed. Expanding access to timely endoscopy screenings is essential to addressing the rising incidence of cancer and improving overall </w:t>
      </w:r>
      <w:r w:rsidR="00F84C33" w:rsidRPr="009555DC">
        <w:rPr>
          <w:rFonts w:ascii="Aptos" w:hAnsi="Aptos" w:cs="Arial"/>
          <w:bCs/>
          <w:sz w:val="21"/>
          <w:szCs w:val="21"/>
        </w:rPr>
        <w:lastRenderedPageBreak/>
        <w:t>patient care. Without improvements in procedural access, these goals remain out of reach.</w:t>
      </w:r>
    </w:p>
    <w:p w14:paraId="072B570D" w14:textId="77777777" w:rsidR="00087783" w:rsidRPr="009555DC" w:rsidRDefault="00087783" w:rsidP="00087783">
      <w:pPr>
        <w:tabs>
          <w:tab w:val="left" w:pos="1440"/>
        </w:tabs>
        <w:autoSpaceDE w:val="0"/>
        <w:autoSpaceDN w:val="0"/>
        <w:adjustRightInd w:val="0"/>
        <w:spacing w:after="120"/>
        <w:ind w:left="1440" w:hanging="1440"/>
        <w:jc w:val="both"/>
        <w:rPr>
          <w:rFonts w:ascii="Aptos" w:hAnsi="Aptos" w:cs="Arial"/>
          <w:bCs/>
          <w:sz w:val="21"/>
          <w:szCs w:val="21"/>
        </w:rPr>
      </w:pPr>
      <w:r w:rsidRPr="009555DC">
        <w:rPr>
          <w:rFonts w:ascii="Aptos" w:hAnsi="Aptos" w:cs="Arial"/>
          <w:b/>
          <w:sz w:val="21"/>
          <w:szCs w:val="21"/>
        </w:rPr>
        <w:tab/>
        <w:t xml:space="preserve">Alternative Capital Expenses: </w:t>
      </w:r>
      <w:r w:rsidRPr="009555DC">
        <w:rPr>
          <w:rFonts w:ascii="Aptos" w:hAnsi="Aptos" w:cs="Arial"/>
          <w:bCs/>
          <w:sz w:val="21"/>
          <w:szCs w:val="21"/>
        </w:rPr>
        <w:t xml:space="preserve">There are no capital expenses under this alternative. </w:t>
      </w:r>
    </w:p>
    <w:p w14:paraId="24B75249" w14:textId="3E4A4C67" w:rsidR="00087783" w:rsidRPr="009555DC" w:rsidRDefault="00087783" w:rsidP="00087783">
      <w:pPr>
        <w:tabs>
          <w:tab w:val="left" w:pos="1440"/>
        </w:tabs>
        <w:autoSpaceDE w:val="0"/>
        <w:autoSpaceDN w:val="0"/>
        <w:adjustRightInd w:val="0"/>
        <w:spacing w:after="120"/>
        <w:ind w:left="1440" w:hanging="1440"/>
        <w:jc w:val="both"/>
        <w:rPr>
          <w:rFonts w:ascii="Aptos" w:hAnsi="Aptos" w:cs="Arial"/>
          <w:bCs/>
          <w:sz w:val="21"/>
          <w:szCs w:val="21"/>
        </w:rPr>
      </w:pPr>
      <w:r w:rsidRPr="009555DC">
        <w:rPr>
          <w:rFonts w:ascii="Aptos" w:hAnsi="Aptos" w:cs="Arial"/>
          <w:b/>
          <w:sz w:val="21"/>
          <w:szCs w:val="21"/>
        </w:rPr>
        <w:tab/>
        <w:t xml:space="preserve">Alternative Operating Costs: </w:t>
      </w:r>
      <w:r w:rsidR="00F348BF" w:rsidRPr="009555DC">
        <w:rPr>
          <w:rFonts w:ascii="Aptos" w:hAnsi="Aptos" w:cs="Arial"/>
          <w:bCs/>
          <w:sz w:val="21"/>
          <w:szCs w:val="21"/>
        </w:rPr>
        <w:t>The</w:t>
      </w:r>
      <w:r w:rsidR="00F348BF" w:rsidRPr="009555DC">
        <w:rPr>
          <w:rFonts w:ascii="Aptos" w:hAnsi="Aptos" w:cs="Arial"/>
          <w:b/>
          <w:sz w:val="21"/>
          <w:szCs w:val="21"/>
        </w:rPr>
        <w:t xml:space="preserve"> </w:t>
      </w:r>
      <w:r w:rsidRPr="009555DC">
        <w:rPr>
          <w:rFonts w:ascii="Aptos" w:hAnsi="Aptos" w:cs="Arial"/>
          <w:bCs/>
          <w:sz w:val="21"/>
          <w:szCs w:val="21"/>
        </w:rPr>
        <w:t>HOPDs at BWH and MGH have higher operating expenses than the Proposed Project</w:t>
      </w:r>
      <w:r w:rsidR="00CE79BC" w:rsidRPr="009555DC">
        <w:rPr>
          <w:rFonts w:ascii="Aptos" w:hAnsi="Aptos" w:cs="Arial"/>
          <w:bCs/>
          <w:sz w:val="21"/>
          <w:szCs w:val="21"/>
        </w:rPr>
        <w:t xml:space="preserve"> due to the overhead costs required of a hospital, including clinical and administrative workforces, capital </w:t>
      </w:r>
      <w:proofErr w:type="gramStart"/>
      <w:r w:rsidR="00CE79BC" w:rsidRPr="009555DC">
        <w:rPr>
          <w:rFonts w:ascii="Aptos" w:hAnsi="Aptos" w:cs="Arial"/>
          <w:bCs/>
          <w:sz w:val="21"/>
          <w:szCs w:val="21"/>
        </w:rPr>
        <w:t xml:space="preserve">investments, </w:t>
      </w:r>
      <w:r w:rsidRPr="009555DC">
        <w:rPr>
          <w:rFonts w:ascii="Aptos" w:hAnsi="Aptos" w:cs="Arial"/>
          <w:bCs/>
          <w:sz w:val="21"/>
          <w:szCs w:val="21"/>
        </w:rPr>
        <w:t xml:space="preserve"> </w:t>
      </w:r>
      <w:r w:rsidR="00CE79BC" w:rsidRPr="009555DC">
        <w:rPr>
          <w:rFonts w:ascii="Aptos" w:hAnsi="Aptos" w:cs="Arial"/>
          <w:bCs/>
          <w:sz w:val="21"/>
          <w:szCs w:val="21"/>
        </w:rPr>
        <w:t>utility</w:t>
      </w:r>
      <w:proofErr w:type="gramEnd"/>
      <w:r w:rsidR="00CE79BC" w:rsidRPr="009555DC">
        <w:rPr>
          <w:rFonts w:ascii="Aptos" w:hAnsi="Aptos" w:cs="Arial"/>
          <w:bCs/>
          <w:sz w:val="21"/>
          <w:szCs w:val="21"/>
        </w:rPr>
        <w:t xml:space="preserve"> expenses, and equipment costs</w:t>
      </w:r>
      <w:r w:rsidRPr="009555DC">
        <w:rPr>
          <w:rFonts w:ascii="Aptos" w:hAnsi="Aptos" w:cs="Arial"/>
          <w:bCs/>
          <w:sz w:val="21"/>
          <w:szCs w:val="21"/>
        </w:rPr>
        <w:t>. Operating costs will remain the same under this alternative.</w:t>
      </w:r>
    </w:p>
    <w:p w14:paraId="27DC75B7" w14:textId="77777777" w:rsidR="00087783" w:rsidRPr="009555DC" w:rsidRDefault="00087783" w:rsidP="00087783">
      <w:pPr>
        <w:tabs>
          <w:tab w:val="left" w:pos="1440"/>
        </w:tabs>
        <w:autoSpaceDE w:val="0"/>
        <w:autoSpaceDN w:val="0"/>
        <w:adjustRightInd w:val="0"/>
        <w:ind w:left="1440" w:hanging="1440"/>
        <w:jc w:val="both"/>
        <w:rPr>
          <w:rFonts w:ascii="Aptos" w:hAnsi="Aptos" w:cs="Arial"/>
          <w:bCs/>
          <w:sz w:val="21"/>
          <w:szCs w:val="21"/>
        </w:rPr>
      </w:pPr>
      <w:r w:rsidRPr="009555DC">
        <w:rPr>
          <w:rFonts w:ascii="Aptos" w:hAnsi="Aptos" w:cs="Arial"/>
          <w:b/>
          <w:sz w:val="21"/>
          <w:szCs w:val="21"/>
        </w:rPr>
        <w:t xml:space="preserve">Alternative Proposal 2: </w:t>
      </w:r>
      <w:r w:rsidRPr="009555DC">
        <w:rPr>
          <w:rFonts w:ascii="Aptos" w:hAnsi="Aptos" w:cs="Arial"/>
          <w:bCs/>
          <w:sz w:val="21"/>
          <w:szCs w:val="21"/>
        </w:rPr>
        <w:t xml:space="preserve">Construct and license additional endoscopy procedures rooms at BWH and </w:t>
      </w:r>
    </w:p>
    <w:p w14:paraId="4F9CB3FD" w14:textId="77777777" w:rsidR="00087783" w:rsidRPr="009555DC" w:rsidRDefault="00087783" w:rsidP="00087783">
      <w:pPr>
        <w:tabs>
          <w:tab w:val="left" w:pos="1440"/>
        </w:tabs>
        <w:autoSpaceDE w:val="0"/>
        <w:autoSpaceDN w:val="0"/>
        <w:adjustRightInd w:val="0"/>
        <w:ind w:left="1440" w:hanging="1440"/>
        <w:jc w:val="both"/>
        <w:rPr>
          <w:rFonts w:ascii="Aptos" w:hAnsi="Aptos" w:cs="Arial"/>
          <w:bCs/>
          <w:sz w:val="21"/>
          <w:szCs w:val="21"/>
        </w:rPr>
      </w:pPr>
      <w:r w:rsidRPr="009555DC">
        <w:rPr>
          <w:rFonts w:ascii="Aptos" w:hAnsi="Aptos" w:cs="Arial"/>
          <w:bCs/>
          <w:sz w:val="21"/>
          <w:szCs w:val="21"/>
        </w:rPr>
        <w:t>MGH.</w:t>
      </w:r>
    </w:p>
    <w:p w14:paraId="49B1C7D4" w14:textId="2499397E" w:rsidR="00087783" w:rsidRPr="009555DC" w:rsidRDefault="00087783" w:rsidP="00087783">
      <w:pPr>
        <w:tabs>
          <w:tab w:val="left" w:pos="1440"/>
        </w:tabs>
        <w:autoSpaceDE w:val="0"/>
        <w:autoSpaceDN w:val="0"/>
        <w:adjustRightInd w:val="0"/>
        <w:spacing w:after="120"/>
        <w:ind w:left="1440" w:hanging="1440"/>
        <w:jc w:val="both"/>
        <w:rPr>
          <w:rFonts w:ascii="Aptos" w:hAnsi="Aptos" w:cs="Arial"/>
          <w:bCs/>
          <w:sz w:val="21"/>
          <w:szCs w:val="21"/>
        </w:rPr>
      </w:pPr>
      <w:r w:rsidRPr="009555DC">
        <w:rPr>
          <w:rFonts w:ascii="Aptos" w:hAnsi="Aptos" w:cs="Arial"/>
          <w:b/>
          <w:sz w:val="21"/>
          <w:szCs w:val="21"/>
        </w:rPr>
        <w:tab/>
        <w:t xml:space="preserve">Alternative Quality: </w:t>
      </w:r>
      <w:r w:rsidR="009500B2" w:rsidRPr="009555DC">
        <w:rPr>
          <w:rFonts w:ascii="Aptos" w:hAnsi="Aptos" w:cs="Arial"/>
          <w:bCs/>
          <w:sz w:val="21"/>
          <w:szCs w:val="21"/>
        </w:rPr>
        <w:t>As stated above, this alternative option fails to leverage the high-quality of patient care ASCs provide. Compared to HOPDs, ASCs have higher patient satisfaction rates and lower incidences of post-procedure hospitalization. Moreover, the Proposed Project will increase capacity and expand access which cannot be achieved by this Alternative.</w:t>
      </w:r>
    </w:p>
    <w:p w14:paraId="444BDE77" w14:textId="6576B584" w:rsidR="00087783" w:rsidRPr="009555DC" w:rsidRDefault="00087783" w:rsidP="00087783">
      <w:pPr>
        <w:tabs>
          <w:tab w:val="left" w:pos="1440"/>
        </w:tabs>
        <w:autoSpaceDE w:val="0"/>
        <w:autoSpaceDN w:val="0"/>
        <w:adjustRightInd w:val="0"/>
        <w:spacing w:after="120"/>
        <w:ind w:left="1440" w:hanging="1440"/>
        <w:jc w:val="both"/>
        <w:rPr>
          <w:rFonts w:ascii="Aptos" w:hAnsi="Aptos" w:cs="Arial"/>
          <w:bCs/>
          <w:sz w:val="21"/>
          <w:szCs w:val="21"/>
        </w:rPr>
      </w:pPr>
      <w:r w:rsidRPr="009555DC">
        <w:rPr>
          <w:rFonts w:ascii="Aptos" w:hAnsi="Aptos" w:cs="Arial"/>
          <w:b/>
          <w:sz w:val="21"/>
          <w:szCs w:val="21"/>
        </w:rPr>
        <w:tab/>
        <w:t xml:space="preserve">Alternative Efficiency: </w:t>
      </w:r>
      <w:r w:rsidRPr="009555DC">
        <w:rPr>
          <w:rFonts w:ascii="Aptos" w:hAnsi="Aptos" w:cs="Arial"/>
          <w:bCs/>
          <w:sz w:val="21"/>
          <w:szCs w:val="21"/>
        </w:rPr>
        <w:t xml:space="preserve">Expanding endoscopy services at BWH’s and MGH’s HOPDs fails to leverage the operational efficiencies and </w:t>
      </w:r>
      <w:r w:rsidR="00CE79BC" w:rsidRPr="009555DC">
        <w:rPr>
          <w:rFonts w:ascii="Aptos" w:hAnsi="Aptos" w:cs="Arial"/>
          <w:bCs/>
          <w:sz w:val="21"/>
          <w:szCs w:val="21"/>
        </w:rPr>
        <w:t xml:space="preserve">financial benefits </w:t>
      </w:r>
      <w:r w:rsidR="00F74DA3">
        <w:rPr>
          <w:rFonts w:ascii="Aptos" w:hAnsi="Aptos" w:cs="Arial"/>
          <w:bCs/>
          <w:sz w:val="21"/>
          <w:szCs w:val="21"/>
        </w:rPr>
        <w:t>that the Proposed Project offers patients and payers</w:t>
      </w:r>
      <w:r w:rsidRPr="009555DC">
        <w:rPr>
          <w:rFonts w:ascii="Aptos" w:hAnsi="Aptos" w:cs="Arial"/>
          <w:bCs/>
          <w:sz w:val="21"/>
          <w:szCs w:val="21"/>
        </w:rPr>
        <w:t xml:space="preserve">. Further, the construction projects necessary to complete this alternative option will impact patient care, potentially increasing </w:t>
      </w:r>
      <w:proofErr w:type="gramStart"/>
      <w:r w:rsidRPr="009555DC">
        <w:rPr>
          <w:rFonts w:ascii="Aptos" w:hAnsi="Aptos" w:cs="Arial"/>
          <w:bCs/>
          <w:sz w:val="21"/>
          <w:szCs w:val="21"/>
        </w:rPr>
        <w:t>wait</w:t>
      </w:r>
      <w:proofErr w:type="gramEnd"/>
      <w:r w:rsidRPr="009555DC">
        <w:rPr>
          <w:rFonts w:ascii="Aptos" w:hAnsi="Aptos" w:cs="Arial"/>
          <w:bCs/>
          <w:sz w:val="21"/>
          <w:szCs w:val="21"/>
        </w:rPr>
        <w:t xml:space="preserve"> times</w:t>
      </w:r>
      <w:r w:rsidR="00CE79BC" w:rsidRPr="009555DC">
        <w:rPr>
          <w:rFonts w:ascii="Aptos" w:hAnsi="Aptos" w:cs="Arial"/>
          <w:bCs/>
          <w:sz w:val="21"/>
          <w:szCs w:val="21"/>
        </w:rPr>
        <w:t xml:space="preserve"> above what they are now</w:t>
      </w:r>
      <w:r w:rsidRPr="009555DC">
        <w:rPr>
          <w:rFonts w:ascii="Aptos" w:hAnsi="Aptos" w:cs="Arial"/>
          <w:bCs/>
          <w:sz w:val="21"/>
          <w:szCs w:val="21"/>
        </w:rPr>
        <w:t xml:space="preserve">.  </w:t>
      </w:r>
    </w:p>
    <w:p w14:paraId="2DA25BE4" w14:textId="5C4DA062" w:rsidR="00087783" w:rsidRPr="009555DC" w:rsidRDefault="00087783" w:rsidP="00087783">
      <w:pPr>
        <w:tabs>
          <w:tab w:val="left" w:pos="1440"/>
        </w:tabs>
        <w:autoSpaceDE w:val="0"/>
        <w:autoSpaceDN w:val="0"/>
        <w:adjustRightInd w:val="0"/>
        <w:spacing w:after="120"/>
        <w:ind w:left="1440" w:hanging="1440"/>
        <w:jc w:val="both"/>
        <w:rPr>
          <w:rFonts w:ascii="Aptos" w:hAnsi="Aptos" w:cs="Arial"/>
          <w:bCs/>
          <w:sz w:val="21"/>
          <w:szCs w:val="21"/>
        </w:rPr>
      </w:pPr>
      <w:r w:rsidRPr="009555DC">
        <w:rPr>
          <w:rFonts w:ascii="Aptos" w:hAnsi="Aptos" w:cs="Arial"/>
          <w:b/>
          <w:sz w:val="21"/>
          <w:szCs w:val="21"/>
        </w:rPr>
        <w:tab/>
        <w:t xml:space="preserve">Alternative Capital Expenses: </w:t>
      </w:r>
      <w:r w:rsidRPr="009555DC">
        <w:rPr>
          <w:rFonts w:ascii="Aptos" w:hAnsi="Aptos" w:cs="Arial"/>
          <w:bCs/>
          <w:sz w:val="21"/>
          <w:szCs w:val="21"/>
        </w:rPr>
        <w:t xml:space="preserve">The capital expenses under this alternative would be significant </w:t>
      </w:r>
      <w:r w:rsidR="0089183A" w:rsidRPr="009555DC">
        <w:rPr>
          <w:rFonts w:ascii="Aptos" w:hAnsi="Aptos" w:cs="Arial"/>
          <w:bCs/>
          <w:sz w:val="21"/>
          <w:szCs w:val="21"/>
        </w:rPr>
        <w:t>as there is not currently available space at the AMCs to add more procedure rooms</w:t>
      </w:r>
      <w:r w:rsidRPr="009555DC">
        <w:rPr>
          <w:rFonts w:ascii="Aptos" w:hAnsi="Aptos" w:cs="Arial"/>
          <w:bCs/>
          <w:sz w:val="21"/>
          <w:szCs w:val="21"/>
        </w:rPr>
        <w:t xml:space="preserve">. </w:t>
      </w:r>
    </w:p>
    <w:p w14:paraId="48ABF971" w14:textId="64598D0B" w:rsidR="00087783" w:rsidRPr="009555DC" w:rsidRDefault="00087783" w:rsidP="00087783">
      <w:pPr>
        <w:tabs>
          <w:tab w:val="left" w:pos="1440"/>
        </w:tabs>
        <w:autoSpaceDE w:val="0"/>
        <w:autoSpaceDN w:val="0"/>
        <w:adjustRightInd w:val="0"/>
        <w:spacing w:after="120"/>
        <w:ind w:left="1440" w:hanging="1440"/>
        <w:jc w:val="both"/>
        <w:rPr>
          <w:rFonts w:ascii="Aptos" w:hAnsi="Aptos" w:cs="Arial"/>
          <w:bCs/>
          <w:i/>
          <w:iCs/>
          <w:sz w:val="21"/>
          <w:szCs w:val="21"/>
        </w:rPr>
      </w:pPr>
      <w:r w:rsidRPr="009555DC">
        <w:rPr>
          <w:rFonts w:ascii="Aptos" w:hAnsi="Aptos" w:cs="Arial"/>
          <w:b/>
          <w:sz w:val="21"/>
          <w:szCs w:val="21"/>
        </w:rPr>
        <w:tab/>
        <w:t xml:space="preserve">Alternative Operating Costs: </w:t>
      </w:r>
      <w:r w:rsidR="00F84C33" w:rsidRPr="009555DC">
        <w:rPr>
          <w:rFonts w:ascii="Aptos" w:hAnsi="Aptos" w:cs="Arial"/>
          <w:bCs/>
          <w:sz w:val="21"/>
          <w:szCs w:val="21"/>
        </w:rPr>
        <w:t xml:space="preserve">The endoscopy rooms at the </w:t>
      </w:r>
      <w:r w:rsidR="00CE79BC" w:rsidRPr="009555DC">
        <w:rPr>
          <w:rFonts w:ascii="Aptos" w:hAnsi="Aptos" w:cs="Arial"/>
          <w:bCs/>
          <w:sz w:val="21"/>
          <w:szCs w:val="21"/>
        </w:rPr>
        <w:t xml:space="preserve">MGB </w:t>
      </w:r>
      <w:r w:rsidR="00F84C33" w:rsidRPr="009555DC">
        <w:rPr>
          <w:rFonts w:ascii="Aptos" w:hAnsi="Aptos" w:cs="Arial"/>
          <w:bCs/>
          <w:sz w:val="21"/>
          <w:szCs w:val="21"/>
        </w:rPr>
        <w:t xml:space="preserve">AMCs </w:t>
      </w:r>
      <w:r w:rsidR="00004DEA">
        <w:rPr>
          <w:rFonts w:ascii="Aptos" w:hAnsi="Aptos" w:cs="Arial"/>
          <w:bCs/>
          <w:sz w:val="21"/>
          <w:szCs w:val="21"/>
        </w:rPr>
        <w:t>require higher operating costs</w:t>
      </w:r>
      <w:r w:rsidR="00F84C33" w:rsidRPr="009555DC">
        <w:rPr>
          <w:rFonts w:ascii="Aptos" w:hAnsi="Aptos" w:cs="Arial"/>
          <w:bCs/>
          <w:sz w:val="21"/>
          <w:szCs w:val="21"/>
        </w:rPr>
        <w:t xml:space="preserve"> compared to the Proposed Project</w:t>
      </w:r>
      <w:r w:rsidR="00CE79BC" w:rsidRPr="009555DC">
        <w:rPr>
          <w:rFonts w:ascii="Aptos" w:hAnsi="Aptos" w:cs="Arial"/>
          <w:bCs/>
          <w:sz w:val="21"/>
          <w:szCs w:val="21"/>
        </w:rPr>
        <w:t xml:space="preserve"> due to the associated overhead expenses of a hospital</w:t>
      </w:r>
      <w:r w:rsidR="00004DEA">
        <w:rPr>
          <w:rFonts w:ascii="Aptos" w:hAnsi="Aptos" w:cs="Arial"/>
          <w:bCs/>
          <w:sz w:val="21"/>
          <w:szCs w:val="21"/>
        </w:rPr>
        <w:t xml:space="preserve">, </w:t>
      </w:r>
      <w:r w:rsidR="00004DEA" w:rsidRPr="009555DC">
        <w:rPr>
          <w:rFonts w:ascii="Aptos" w:hAnsi="Aptos" w:cs="Arial"/>
          <w:bCs/>
          <w:sz w:val="21"/>
          <w:szCs w:val="21"/>
        </w:rPr>
        <w:t>including clinical and administrative workforces, capital investments, utility expenses, and equipment costs</w:t>
      </w:r>
      <w:r w:rsidR="00F84C33" w:rsidRPr="009555DC">
        <w:rPr>
          <w:rFonts w:ascii="Aptos" w:hAnsi="Aptos" w:cs="Arial"/>
          <w:bCs/>
          <w:sz w:val="21"/>
          <w:szCs w:val="21"/>
        </w:rPr>
        <w:t xml:space="preserve">. </w:t>
      </w:r>
      <w:r w:rsidR="00004DEA">
        <w:rPr>
          <w:rFonts w:ascii="Aptos" w:hAnsi="Aptos" w:cs="Arial"/>
          <w:bCs/>
          <w:sz w:val="21"/>
          <w:szCs w:val="21"/>
        </w:rPr>
        <w:t>As with the first alternative</w:t>
      </w:r>
      <w:r w:rsidR="00F84C33" w:rsidRPr="009555DC">
        <w:rPr>
          <w:rFonts w:ascii="Aptos" w:hAnsi="Aptos" w:cs="Arial"/>
          <w:bCs/>
          <w:sz w:val="21"/>
          <w:szCs w:val="21"/>
        </w:rPr>
        <w:t>, operating costs are expected to remain stable</w:t>
      </w:r>
      <w:r w:rsidR="00CE79BC" w:rsidRPr="009555DC">
        <w:rPr>
          <w:rFonts w:ascii="Aptos" w:hAnsi="Aptos" w:cs="Arial"/>
          <w:bCs/>
          <w:sz w:val="21"/>
          <w:szCs w:val="21"/>
        </w:rPr>
        <w:t xml:space="preserve">, without any financial benefit compared to the Proposed Project. </w:t>
      </w:r>
    </w:p>
    <w:p w14:paraId="088D4610" w14:textId="77777777" w:rsidR="00087783" w:rsidRPr="009555DC" w:rsidRDefault="00087783" w:rsidP="00087783">
      <w:pPr>
        <w:rPr>
          <w:sz w:val="21"/>
          <w:szCs w:val="21"/>
        </w:rPr>
      </w:pPr>
    </w:p>
    <w:p w14:paraId="621657B0" w14:textId="77777777" w:rsidR="00087783" w:rsidRPr="009555DC" w:rsidRDefault="00087783" w:rsidP="006B2AF7">
      <w:pPr>
        <w:spacing w:after="120"/>
        <w:jc w:val="both"/>
        <w:rPr>
          <w:rFonts w:asciiTheme="minorHAnsi" w:hAnsiTheme="minorHAnsi"/>
          <w:sz w:val="21"/>
          <w:szCs w:val="21"/>
        </w:rPr>
      </w:pPr>
    </w:p>
    <w:sectPr w:rsidR="00087783" w:rsidRPr="009555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02FC" w14:textId="77777777" w:rsidR="00A76361" w:rsidRDefault="00A76361" w:rsidP="00D56D3B">
      <w:r>
        <w:separator/>
      </w:r>
    </w:p>
  </w:endnote>
  <w:endnote w:type="continuationSeparator" w:id="0">
    <w:p w14:paraId="5F715754" w14:textId="77777777" w:rsidR="00A76361" w:rsidRDefault="00A76361" w:rsidP="00D5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F50B" w14:textId="77777777" w:rsidR="0005394E" w:rsidRDefault="00053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D767" w14:textId="77777777" w:rsidR="0005394E" w:rsidRDefault="00053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2CE" w14:textId="77777777" w:rsidR="0005394E" w:rsidRDefault="000539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7010" w14:textId="77777777" w:rsidR="00D56D3B" w:rsidRDefault="00D56D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77B" w14:textId="77777777" w:rsidR="00D56D3B" w:rsidRDefault="00D56D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EF1E" w14:textId="77777777" w:rsidR="00D56D3B" w:rsidRDefault="00D56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4470" w14:textId="77777777" w:rsidR="00A76361" w:rsidRDefault="00A76361" w:rsidP="00D56D3B">
      <w:r>
        <w:separator/>
      </w:r>
    </w:p>
  </w:footnote>
  <w:footnote w:type="continuationSeparator" w:id="0">
    <w:p w14:paraId="0D37DFED" w14:textId="77777777" w:rsidR="00A76361" w:rsidRDefault="00A76361" w:rsidP="00D56D3B">
      <w:r>
        <w:continuationSeparator/>
      </w:r>
    </w:p>
  </w:footnote>
  <w:footnote w:id="1">
    <w:p w14:paraId="291E89A7" w14:textId="3894D78A" w:rsidR="00A52C44" w:rsidRPr="00763E26" w:rsidRDefault="00A52C44">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1" w:history="1">
        <w:r w:rsidR="00C73E4F" w:rsidRPr="009A45AF">
          <w:rPr>
            <w:rStyle w:val="Hyperlink"/>
            <w:rFonts w:asciiTheme="minorHAnsi" w:hAnsiTheme="minorHAnsi"/>
            <w:i/>
            <w:iCs/>
            <w:color w:val="auto"/>
            <w:sz w:val="16"/>
            <w:szCs w:val="16"/>
            <w:u w:val="none"/>
          </w:rPr>
          <w:t>Key Statistics for Colorectal Cancer</w:t>
        </w:r>
      </w:hyperlink>
      <w:r w:rsidR="00C73E4F" w:rsidRPr="009A45AF">
        <w:rPr>
          <w:rFonts w:asciiTheme="minorHAnsi" w:hAnsiTheme="minorHAnsi"/>
          <w:sz w:val="16"/>
          <w:szCs w:val="16"/>
        </w:rPr>
        <w:t xml:space="preserve">, </w:t>
      </w:r>
      <w:r w:rsidR="00C73E4F" w:rsidRPr="009A45AF">
        <w:rPr>
          <w:rFonts w:asciiTheme="minorHAnsi" w:hAnsiTheme="minorHAnsi"/>
          <w:smallCaps/>
          <w:sz w:val="16"/>
          <w:szCs w:val="16"/>
        </w:rPr>
        <w:t xml:space="preserve">American </w:t>
      </w:r>
      <w:r w:rsidR="00C73E4F" w:rsidRPr="00763E26">
        <w:rPr>
          <w:rFonts w:asciiTheme="minorHAnsi" w:hAnsiTheme="minorHAnsi"/>
          <w:smallCaps/>
          <w:sz w:val="16"/>
          <w:szCs w:val="16"/>
        </w:rPr>
        <w:t>Cancer Society</w:t>
      </w:r>
      <w:r w:rsidR="00C73E4F" w:rsidRPr="00763E26">
        <w:rPr>
          <w:rFonts w:asciiTheme="minorHAnsi" w:hAnsiTheme="minorHAnsi"/>
          <w:sz w:val="16"/>
          <w:szCs w:val="16"/>
        </w:rPr>
        <w:t xml:space="preserve">, </w:t>
      </w:r>
      <w:hyperlink r:id="rId2" w:history="1">
        <w:r w:rsidR="00C73E4F" w:rsidRPr="00763E26">
          <w:rPr>
            <w:rStyle w:val="Hyperlink"/>
            <w:rFonts w:asciiTheme="minorHAnsi" w:hAnsiTheme="minorHAnsi"/>
            <w:sz w:val="16"/>
            <w:szCs w:val="16"/>
          </w:rPr>
          <w:t>https://www.cancer.org/cancer/types/colon-rectal-cancer/about/key-statistics.html</w:t>
        </w:r>
      </w:hyperlink>
      <w:r w:rsidR="0017356C" w:rsidRPr="00763E26">
        <w:rPr>
          <w:rFonts w:asciiTheme="minorHAnsi" w:hAnsiTheme="minorHAnsi"/>
          <w:sz w:val="16"/>
          <w:szCs w:val="16"/>
        </w:rPr>
        <w:t xml:space="preserve"> </w:t>
      </w:r>
      <w:r w:rsidR="00C73E4F" w:rsidRPr="00763E26">
        <w:rPr>
          <w:rFonts w:asciiTheme="minorHAnsi" w:hAnsiTheme="minorHAnsi"/>
          <w:sz w:val="16"/>
          <w:szCs w:val="16"/>
        </w:rPr>
        <w:t>(last revised Apr. 28, 2025).</w:t>
      </w:r>
    </w:p>
  </w:footnote>
  <w:footnote w:id="2">
    <w:p w14:paraId="2EEE1CFE" w14:textId="26656B60" w:rsidR="009676A0" w:rsidRPr="00763E26" w:rsidRDefault="009676A0">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3" w:history="1">
        <w:r w:rsidR="00C73E4F" w:rsidRPr="009A45AF">
          <w:rPr>
            <w:rStyle w:val="Hyperlink"/>
            <w:rFonts w:asciiTheme="minorHAnsi" w:hAnsiTheme="minorHAnsi"/>
            <w:i/>
            <w:iCs/>
            <w:color w:val="auto"/>
            <w:sz w:val="16"/>
            <w:szCs w:val="16"/>
            <w:u w:val="none"/>
          </w:rPr>
          <w:t>Colorectal Cancer Screening</w:t>
        </w:r>
        <w:r w:rsidR="00C73E4F" w:rsidRPr="009A45AF">
          <w:rPr>
            <w:rStyle w:val="Hyperlink"/>
            <w:rFonts w:asciiTheme="minorHAnsi" w:hAnsiTheme="minorHAnsi"/>
            <w:color w:val="auto"/>
            <w:sz w:val="16"/>
            <w:szCs w:val="16"/>
            <w:u w:val="none"/>
          </w:rPr>
          <w:t>,</w:t>
        </w:r>
      </w:hyperlink>
      <w:r w:rsidR="00C73E4F" w:rsidRPr="009A45AF">
        <w:rPr>
          <w:rFonts w:asciiTheme="minorHAnsi" w:hAnsiTheme="minorHAnsi"/>
          <w:sz w:val="16"/>
          <w:szCs w:val="16"/>
        </w:rPr>
        <w:t xml:space="preserve"> </w:t>
      </w:r>
      <w:r w:rsidR="00C73E4F" w:rsidRPr="009A45AF">
        <w:rPr>
          <w:rFonts w:asciiTheme="minorHAnsi" w:hAnsiTheme="minorHAnsi"/>
          <w:smallCaps/>
          <w:sz w:val="16"/>
          <w:szCs w:val="16"/>
        </w:rPr>
        <w:t xml:space="preserve">Centers </w:t>
      </w:r>
      <w:r w:rsidR="00C73E4F" w:rsidRPr="00763E26">
        <w:rPr>
          <w:rFonts w:asciiTheme="minorHAnsi" w:hAnsiTheme="minorHAnsi"/>
          <w:smallCaps/>
          <w:sz w:val="16"/>
          <w:szCs w:val="16"/>
        </w:rPr>
        <w:t>for Disease Control &amp; Prevention</w:t>
      </w:r>
      <w:r w:rsidR="00C73E4F" w:rsidRPr="00763E26">
        <w:rPr>
          <w:rFonts w:asciiTheme="minorHAnsi" w:hAnsiTheme="minorHAnsi"/>
          <w:sz w:val="16"/>
          <w:szCs w:val="16"/>
        </w:rPr>
        <w:t xml:space="preserve">, </w:t>
      </w:r>
      <w:hyperlink r:id="rId4" w:history="1">
        <w:r w:rsidR="00C73E4F" w:rsidRPr="00763E26">
          <w:rPr>
            <w:rStyle w:val="Hyperlink"/>
            <w:rFonts w:asciiTheme="minorHAnsi" w:hAnsiTheme="minorHAnsi"/>
            <w:sz w:val="16"/>
            <w:szCs w:val="16"/>
          </w:rPr>
          <w:t>https://www.cdc.gov/colorectal-cancer/screening/index.html</w:t>
        </w:r>
      </w:hyperlink>
      <w:r w:rsidR="0017356C" w:rsidRPr="00763E26">
        <w:rPr>
          <w:rFonts w:asciiTheme="minorHAnsi" w:hAnsiTheme="minorHAnsi"/>
          <w:sz w:val="16"/>
          <w:szCs w:val="16"/>
        </w:rPr>
        <w:t xml:space="preserve"> </w:t>
      </w:r>
      <w:r w:rsidR="00C73E4F" w:rsidRPr="00763E26">
        <w:rPr>
          <w:rFonts w:asciiTheme="minorHAnsi" w:hAnsiTheme="minorHAnsi"/>
          <w:sz w:val="16"/>
          <w:szCs w:val="16"/>
        </w:rPr>
        <w:t>(Feb. 26, 2025).</w:t>
      </w:r>
    </w:p>
  </w:footnote>
  <w:footnote w:id="3">
    <w:p w14:paraId="4132C1A3" w14:textId="066C149F" w:rsidR="009676A0" w:rsidRPr="00763E26" w:rsidRDefault="009676A0">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17356C" w:rsidRPr="00763E26">
        <w:rPr>
          <w:rFonts w:asciiTheme="minorHAnsi" w:hAnsiTheme="minorHAnsi"/>
          <w:sz w:val="16"/>
          <w:szCs w:val="16"/>
        </w:rPr>
        <w:t xml:space="preserve">Meester RG, </w:t>
      </w:r>
      <w:proofErr w:type="spellStart"/>
      <w:r w:rsidR="0017356C" w:rsidRPr="00763E26">
        <w:rPr>
          <w:rFonts w:asciiTheme="minorHAnsi" w:hAnsiTheme="minorHAnsi"/>
          <w:sz w:val="16"/>
          <w:szCs w:val="16"/>
        </w:rPr>
        <w:t>Doubeni</w:t>
      </w:r>
      <w:proofErr w:type="spellEnd"/>
      <w:r w:rsidR="0017356C" w:rsidRPr="00763E26">
        <w:rPr>
          <w:rFonts w:asciiTheme="minorHAnsi" w:hAnsiTheme="minorHAnsi"/>
          <w:sz w:val="16"/>
          <w:szCs w:val="16"/>
        </w:rPr>
        <w:t xml:space="preserve"> CA, Zauber AG, et al. </w:t>
      </w:r>
      <w:hyperlink r:id="rId5" w:history="1">
        <w:r w:rsidR="00420C7E" w:rsidRPr="009A45AF">
          <w:rPr>
            <w:rStyle w:val="Hyperlink"/>
            <w:rFonts w:asciiTheme="minorHAnsi" w:hAnsiTheme="minorHAnsi"/>
            <w:color w:val="auto"/>
            <w:sz w:val="16"/>
            <w:szCs w:val="16"/>
            <w:u w:val="none"/>
          </w:rPr>
          <w:t>Public Health Impact Of Achieving 80% Colorectal Cancer Screening Rates In The United States By 2018</w:t>
        </w:r>
      </w:hyperlink>
      <w:r w:rsidR="0017356C" w:rsidRPr="009A45AF">
        <w:rPr>
          <w:rFonts w:asciiTheme="minorHAnsi" w:hAnsiTheme="minorHAnsi"/>
          <w:sz w:val="16"/>
          <w:szCs w:val="16"/>
        </w:rPr>
        <w:t>. </w:t>
      </w:r>
      <w:r w:rsidR="0017356C" w:rsidRPr="00763E26">
        <w:rPr>
          <w:rFonts w:asciiTheme="minorHAnsi" w:hAnsiTheme="minorHAnsi"/>
          <w:i/>
          <w:iCs/>
          <w:sz w:val="16"/>
          <w:szCs w:val="16"/>
        </w:rPr>
        <w:t>Cancer</w:t>
      </w:r>
      <w:r w:rsidR="0017356C" w:rsidRPr="00763E26">
        <w:rPr>
          <w:rFonts w:asciiTheme="minorHAnsi" w:hAnsiTheme="minorHAnsi"/>
          <w:sz w:val="16"/>
          <w:szCs w:val="16"/>
        </w:rPr>
        <w:t>. 2015;121(13):2281–2285</w:t>
      </w:r>
      <w:r w:rsidR="00420C7E" w:rsidRPr="00763E26">
        <w:rPr>
          <w:rFonts w:asciiTheme="minorHAnsi" w:hAnsiTheme="minorHAnsi"/>
          <w:sz w:val="16"/>
          <w:szCs w:val="16"/>
        </w:rPr>
        <w:t xml:space="preserve">, </w:t>
      </w:r>
      <w:hyperlink r:id="rId6" w:history="1">
        <w:r w:rsidR="00420C7E" w:rsidRPr="00763E26">
          <w:rPr>
            <w:rStyle w:val="Hyperlink"/>
            <w:rFonts w:asciiTheme="minorHAnsi" w:hAnsiTheme="minorHAnsi"/>
            <w:sz w:val="16"/>
            <w:szCs w:val="16"/>
          </w:rPr>
          <w:t>https://acsjournals.onlinelibrary.wiley.com/doi/10.3322/caac.21772</w:t>
        </w:r>
      </w:hyperlink>
      <w:r w:rsidR="00420C7E" w:rsidRPr="00763E26">
        <w:rPr>
          <w:rFonts w:asciiTheme="minorHAnsi" w:hAnsiTheme="minorHAnsi"/>
          <w:sz w:val="16"/>
          <w:szCs w:val="16"/>
        </w:rPr>
        <w:t>.</w:t>
      </w:r>
    </w:p>
  </w:footnote>
  <w:footnote w:id="4">
    <w:p w14:paraId="6560B82C" w14:textId="482C9DA7" w:rsidR="009676A0" w:rsidRPr="00763E26" w:rsidRDefault="009676A0">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7" w:history="1">
        <w:r w:rsidR="00420C7E" w:rsidRPr="007C16EC">
          <w:rPr>
            <w:rStyle w:val="Hyperlink"/>
            <w:rFonts w:asciiTheme="minorHAnsi" w:hAnsiTheme="minorHAnsi"/>
            <w:i/>
            <w:iCs/>
            <w:color w:val="auto"/>
            <w:sz w:val="16"/>
            <w:szCs w:val="16"/>
            <w:u w:val="none"/>
          </w:rPr>
          <w:t>Colorectal Cancer</w:t>
        </w:r>
      </w:hyperlink>
      <w:r w:rsidR="00420C7E" w:rsidRPr="007C16EC">
        <w:rPr>
          <w:rFonts w:asciiTheme="minorHAnsi" w:hAnsiTheme="minorHAnsi"/>
          <w:sz w:val="16"/>
          <w:szCs w:val="16"/>
        </w:rPr>
        <w:t xml:space="preserve">, </w:t>
      </w:r>
      <w:r w:rsidR="00420C7E" w:rsidRPr="007C16EC">
        <w:rPr>
          <w:rFonts w:asciiTheme="minorHAnsi" w:hAnsiTheme="minorHAnsi"/>
          <w:smallCaps/>
          <w:sz w:val="16"/>
          <w:szCs w:val="16"/>
        </w:rPr>
        <w:t xml:space="preserve">Centers </w:t>
      </w:r>
      <w:r w:rsidR="00420C7E" w:rsidRPr="00763E26">
        <w:rPr>
          <w:rFonts w:asciiTheme="minorHAnsi" w:hAnsiTheme="minorHAnsi"/>
          <w:smallCaps/>
          <w:sz w:val="16"/>
          <w:szCs w:val="16"/>
        </w:rPr>
        <w:t>for Disease Control &amp; Prevention</w:t>
      </w:r>
      <w:r w:rsidR="00420C7E" w:rsidRPr="00763E26">
        <w:rPr>
          <w:rFonts w:asciiTheme="minorHAnsi" w:hAnsiTheme="minorHAnsi"/>
          <w:sz w:val="16"/>
          <w:szCs w:val="16"/>
        </w:rPr>
        <w:t xml:space="preserve">, </w:t>
      </w:r>
      <w:hyperlink r:id="rId8" w:history="1">
        <w:r w:rsidR="00420C7E" w:rsidRPr="00763E26">
          <w:rPr>
            <w:rStyle w:val="Hyperlink"/>
            <w:rFonts w:asciiTheme="minorHAnsi" w:hAnsiTheme="minorHAnsi"/>
            <w:sz w:val="16"/>
            <w:szCs w:val="16"/>
          </w:rPr>
          <w:t>https://www.cdc.gov/nccdphp/priorities/colorectal-cancer.html</w:t>
        </w:r>
      </w:hyperlink>
      <w:r w:rsidR="0017356C" w:rsidRPr="00763E26">
        <w:rPr>
          <w:rFonts w:asciiTheme="minorHAnsi" w:hAnsiTheme="minorHAnsi"/>
          <w:sz w:val="16"/>
          <w:szCs w:val="16"/>
        </w:rPr>
        <w:t xml:space="preserve"> </w:t>
      </w:r>
      <w:r w:rsidR="00420C7E" w:rsidRPr="00763E26">
        <w:rPr>
          <w:rFonts w:asciiTheme="minorHAnsi" w:hAnsiTheme="minorHAnsi"/>
          <w:sz w:val="16"/>
          <w:szCs w:val="16"/>
        </w:rPr>
        <w:t>(Oct. 16, 2024).</w:t>
      </w:r>
    </w:p>
  </w:footnote>
  <w:footnote w:id="5">
    <w:p w14:paraId="7CD5CD4C" w14:textId="7A6B1EDA" w:rsidR="006E391E" w:rsidRPr="00763E26" w:rsidRDefault="006E391E">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420C7E" w:rsidRPr="00763E26">
        <w:rPr>
          <w:rFonts w:asciiTheme="minorHAnsi" w:hAnsiTheme="minorHAnsi"/>
          <w:sz w:val="16"/>
          <w:szCs w:val="16"/>
        </w:rPr>
        <w:t xml:space="preserve">Claire Wallace, </w:t>
      </w:r>
      <w:hyperlink r:id="rId9" w:history="1">
        <w:r w:rsidR="00420C7E" w:rsidRPr="003774BA">
          <w:rPr>
            <w:rStyle w:val="Hyperlink"/>
            <w:rFonts w:asciiTheme="minorHAnsi" w:hAnsiTheme="minorHAnsi"/>
            <w:i/>
            <w:iCs/>
            <w:color w:val="auto"/>
            <w:sz w:val="16"/>
            <w:szCs w:val="16"/>
            <w:u w:val="none"/>
          </w:rPr>
          <w:t>ASCs Per Capita In All 50 States</w:t>
        </w:r>
      </w:hyperlink>
      <w:r w:rsidR="00420C7E" w:rsidRPr="003774BA">
        <w:rPr>
          <w:rFonts w:asciiTheme="minorHAnsi" w:hAnsiTheme="minorHAnsi"/>
          <w:sz w:val="16"/>
          <w:szCs w:val="16"/>
        </w:rPr>
        <w:t xml:space="preserve">, </w:t>
      </w:r>
      <w:r w:rsidR="00420C7E" w:rsidRPr="00763E26">
        <w:rPr>
          <w:rFonts w:asciiTheme="minorHAnsi" w:hAnsiTheme="minorHAnsi"/>
          <w:smallCaps/>
          <w:sz w:val="16"/>
          <w:szCs w:val="16"/>
        </w:rPr>
        <w:t>Becker’s ASC Review</w:t>
      </w:r>
      <w:r w:rsidR="00420C7E" w:rsidRPr="00763E26">
        <w:rPr>
          <w:rFonts w:asciiTheme="minorHAnsi" w:hAnsiTheme="minorHAnsi"/>
          <w:sz w:val="16"/>
          <w:szCs w:val="16"/>
        </w:rPr>
        <w:t xml:space="preserve"> (Nov. 6, 2023), </w:t>
      </w:r>
      <w:hyperlink r:id="rId10" w:history="1">
        <w:r w:rsidR="00420C7E" w:rsidRPr="00763E26">
          <w:rPr>
            <w:rStyle w:val="Hyperlink"/>
            <w:rFonts w:asciiTheme="minorHAnsi" w:hAnsiTheme="minorHAnsi"/>
            <w:sz w:val="16"/>
            <w:szCs w:val="16"/>
          </w:rPr>
          <w:t>https://www.beckersasc.com/asc-news/ascs-per-capita-in-all-50-states-2023/</w:t>
        </w:r>
      </w:hyperlink>
      <w:r w:rsidR="00420C7E" w:rsidRPr="00763E26">
        <w:rPr>
          <w:rFonts w:asciiTheme="minorHAnsi" w:hAnsiTheme="minorHAnsi"/>
          <w:sz w:val="16"/>
          <w:szCs w:val="16"/>
        </w:rPr>
        <w:t>.</w:t>
      </w:r>
      <w:r w:rsidR="00563D9E" w:rsidRPr="00763E26">
        <w:rPr>
          <w:rFonts w:asciiTheme="minorHAnsi" w:hAnsiTheme="minorHAnsi"/>
          <w:sz w:val="16"/>
          <w:szCs w:val="16"/>
        </w:rPr>
        <w:t xml:space="preserve"> </w:t>
      </w:r>
    </w:p>
  </w:footnote>
  <w:footnote w:id="6">
    <w:p w14:paraId="5FD4E3DA" w14:textId="669EFAE7" w:rsidR="006E391E" w:rsidRPr="00763E26" w:rsidRDefault="006E391E">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11" w:history="1">
        <w:r w:rsidR="00420C7E" w:rsidRPr="003774BA">
          <w:rPr>
            <w:rStyle w:val="Hyperlink"/>
            <w:rFonts w:ascii="Aptos" w:hAnsi="Aptos"/>
            <w:i/>
            <w:iCs/>
            <w:color w:val="auto"/>
            <w:sz w:val="16"/>
            <w:szCs w:val="16"/>
            <w:u w:val="none"/>
          </w:rPr>
          <w:t>HPC DataPoints, Issue 26: Trends in Ambulatory Surgical Centers in Massachusetts</w:t>
        </w:r>
      </w:hyperlink>
      <w:r w:rsidR="00420C7E" w:rsidRPr="003774BA">
        <w:rPr>
          <w:rFonts w:ascii="Aptos" w:hAnsi="Aptos"/>
          <w:sz w:val="16"/>
          <w:szCs w:val="16"/>
        </w:rPr>
        <w:t xml:space="preserve">, </w:t>
      </w:r>
      <w:r w:rsidR="00420C7E" w:rsidRPr="00763E26">
        <w:rPr>
          <w:rFonts w:ascii="Aptos" w:hAnsi="Aptos"/>
          <w:sz w:val="16"/>
          <w:szCs w:val="16"/>
        </w:rPr>
        <w:t xml:space="preserve">MASSACHUSETTS HEALTH POLICY COMMISSION, </w:t>
      </w:r>
      <w:hyperlink r:id="rId12" w:history="1">
        <w:r w:rsidR="00420C7E" w:rsidRPr="00763E26">
          <w:rPr>
            <w:rStyle w:val="Hyperlink"/>
            <w:rFonts w:ascii="Aptos" w:hAnsi="Aptos"/>
            <w:sz w:val="16"/>
            <w:szCs w:val="16"/>
          </w:rPr>
          <w:t>https://www.mass.gov/doc/datapoints-issue-26-printable-version/download</w:t>
        </w:r>
      </w:hyperlink>
      <w:r w:rsidR="00420C7E" w:rsidRPr="00763E26">
        <w:rPr>
          <w:rFonts w:ascii="Aptos" w:hAnsi="Aptos"/>
          <w:sz w:val="16"/>
          <w:szCs w:val="16"/>
        </w:rPr>
        <w:t xml:space="preserve"> (last visited June 18, 2025).</w:t>
      </w:r>
    </w:p>
  </w:footnote>
  <w:footnote w:id="7">
    <w:p w14:paraId="35631EBA" w14:textId="212967F3" w:rsidR="0017356C" w:rsidRPr="00763E26" w:rsidRDefault="0017356C">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 xml:space="preserve">See </w:t>
      </w:r>
      <w:hyperlink r:id="rId13" w:history="1">
        <w:r w:rsidRPr="00763E26">
          <w:rPr>
            <w:rStyle w:val="Hyperlink"/>
            <w:rFonts w:asciiTheme="minorHAnsi" w:hAnsiTheme="minorHAnsi"/>
            <w:sz w:val="16"/>
            <w:szCs w:val="16"/>
          </w:rPr>
          <w:t xml:space="preserve">Weymouth </w:t>
        </w:r>
        <w:r w:rsidR="00104B43" w:rsidRPr="00763E26">
          <w:rPr>
            <w:rStyle w:val="Hyperlink"/>
            <w:rFonts w:asciiTheme="minorHAnsi" w:hAnsiTheme="minorHAnsi"/>
            <w:sz w:val="16"/>
            <w:szCs w:val="16"/>
          </w:rPr>
          <w:t xml:space="preserve">Endoscopy, LLC </w:t>
        </w:r>
        <w:r w:rsidRPr="00763E26">
          <w:rPr>
            <w:rStyle w:val="Hyperlink"/>
            <w:rFonts w:asciiTheme="minorHAnsi" w:hAnsiTheme="minorHAnsi"/>
            <w:sz w:val="16"/>
            <w:szCs w:val="16"/>
          </w:rPr>
          <w:t>D</w:t>
        </w:r>
        <w:r w:rsidR="00104B43" w:rsidRPr="00763E26">
          <w:rPr>
            <w:rStyle w:val="Hyperlink"/>
            <w:rFonts w:asciiTheme="minorHAnsi" w:hAnsiTheme="minorHAnsi"/>
            <w:sz w:val="16"/>
            <w:szCs w:val="16"/>
          </w:rPr>
          <w:t>etermination of Need Application</w:t>
        </w:r>
      </w:hyperlink>
      <w:r w:rsidR="00104B43" w:rsidRPr="00763E26">
        <w:rPr>
          <w:rFonts w:asciiTheme="minorHAnsi" w:hAnsiTheme="minorHAnsi"/>
          <w:sz w:val="16"/>
          <w:szCs w:val="16"/>
        </w:rPr>
        <w:t xml:space="preserve">. </w:t>
      </w:r>
      <w:r w:rsidR="00104B43" w:rsidRPr="00763E26">
        <w:rPr>
          <w:rFonts w:asciiTheme="minorHAnsi" w:hAnsiTheme="minorHAnsi"/>
          <w:i/>
          <w:iCs/>
          <w:sz w:val="16"/>
          <w:szCs w:val="16"/>
        </w:rPr>
        <w:t>See also</w:t>
      </w:r>
      <w:r w:rsidRPr="00763E26">
        <w:rPr>
          <w:rFonts w:asciiTheme="minorHAnsi" w:hAnsiTheme="minorHAnsi"/>
          <w:sz w:val="16"/>
          <w:szCs w:val="16"/>
        </w:rPr>
        <w:t xml:space="preserve"> </w:t>
      </w:r>
      <w:hyperlink r:id="rId14" w:history="1">
        <w:r w:rsidR="00104B43" w:rsidRPr="00763E26">
          <w:rPr>
            <w:rStyle w:val="Hyperlink"/>
            <w:rFonts w:asciiTheme="minorHAnsi" w:hAnsiTheme="minorHAnsi"/>
            <w:sz w:val="16"/>
            <w:szCs w:val="16"/>
          </w:rPr>
          <w:t>West Bridgewater MA Endoscopy ASC Determination of Need Application</w:t>
        </w:r>
      </w:hyperlink>
      <w:r w:rsidRPr="00763E26">
        <w:rPr>
          <w:rFonts w:asciiTheme="minorHAnsi" w:hAnsiTheme="minorHAnsi"/>
          <w:sz w:val="16"/>
          <w:szCs w:val="16"/>
        </w:rPr>
        <w:t>.</w:t>
      </w:r>
      <w:r w:rsidRPr="00763E26">
        <w:rPr>
          <w:sz w:val="16"/>
          <w:szCs w:val="16"/>
        </w:rPr>
        <w:t xml:space="preserve"> </w:t>
      </w:r>
    </w:p>
  </w:footnote>
  <w:footnote w:id="8">
    <w:p w14:paraId="28895137" w14:textId="1F9369A2" w:rsidR="00A43A52" w:rsidRPr="00763E26" w:rsidRDefault="00A43A52" w:rsidP="00A43A52">
      <w:pPr>
        <w:pStyle w:val="FootnoteText"/>
        <w:rPr>
          <w:sz w:val="16"/>
          <w:szCs w:val="16"/>
        </w:rPr>
      </w:pPr>
      <w:r w:rsidRPr="00763E26">
        <w:rPr>
          <w:rStyle w:val="FootnoteReference"/>
          <w:sz w:val="16"/>
          <w:szCs w:val="16"/>
        </w:rPr>
        <w:footnoteRef/>
      </w:r>
      <w:r w:rsidRPr="00763E26">
        <w:rPr>
          <w:sz w:val="16"/>
          <w:szCs w:val="16"/>
        </w:rPr>
        <w:t xml:space="preserve"> </w:t>
      </w:r>
      <w:bookmarkStart w:id="2" w:name="_Hlk204262714"/>
      <w:r w:rsidRPr="00763E26">
        <w:rPr>
          <w:rFonts w:ascii="Aptos" w:hAnsi="Aptos"/>
          <w:sz w:val="16"/>
          <w:szCs w:val="16"/>
        </w:rPr>
        <w:t xml:space="preserve">Colonoscopy - Diagnostic/Screening; Colonoscopy – Procedural; EGD – Diagnostic; EGD – Procedural; Anoscopy – Procedural; Enteroscopy – Diagnostic; Enteroscopy – Procedural; Esophagoscopy – Diagnostic; Esophagoscopy – Procedural; Other GI Procedures - Dilation – Esophagus; Other GI Procedures - GI Tube Insertion/Replacement/Service – Percutaneous; Other GI Procedures - Other Tube </w:t>
      </w:r>
      <w:r w:rsidR="00736837" w:rsidRPr="00763E26">
        <w:rPr>
          <w:rFonts w:ascii="Aptos" w:hAnsi="Aptos"/>
          <w:sz w:val="16"/>
          <w:szCs w:val="16"/>
        </w:rPr>
        <w:t>Placement</w:t>
      </w:r>
      <w:r w:rsidRPr="00763E26">
        <w:rPr>
          <w:rFonts w:ascii="Aptos" w:hAnsi="Aptos"/>
          <w:sz w:val="16"/>
          <w:szCs w:val="16"/>
        </w:rPr>
        <w:t>; Proctosigmoidoscopy – Diagnostic; Proctosigmoidoscopy – Procedural; Sigmoidoscopy - Diagnostic/Screening; Sigmoidoscopy - Procedural</w:t>
      </w:r>
      <w:bookmarkEnd w:id="2"/>
    </w:p>
  </w:footnote>
  <w:footnote w:id="9">
    <w:p w14:paraId="31828A1D" w14:textId="5337EF72" w:rsidR="00763772" w:rsidRPr="00763E26" w:rsidRDefault="00763772">
      <w:pPr>
        <w:pStyle w:val="FootnoteText"/>
        <w:rPr>
          <w:sz w:val="16"/>
          <w:szCs w:val="16"/>
        </w:rPr>
      </w:pPr>
      <w:r w:rsidRPr="00763E26">
        <w:rPr>
          <w:rStyle w:val="FootnoteReference"/>
          <w:sz w:val="16"/>
          <w:szCs w:val="16"/>
        </w:rPr>
        <w:footnoteRef/>
      </w:r>
      <w:r w:rsidRPr="00763E26">
        <w:rPr>
          <w:sz w:val="16"/>
          <w:szCs w:val="16"/>
        </w:rPr>
        <w:t xml:space="preserve"> </w:t>
      </w:r>
      <w:r w:rsidRPr="00763E26">
        <w:rPr>
          <w:rFonts w:ascii="Aptos" w:hAnsi="Aptos"/>
          <w:sz w:val="16"/>
          <w:szCs w:val="16"/>
        </w:rPr>
        <w:t>Includes Native Hawaiian, Race Not Listed, Unavailable, and Declined</w:t>
      </w:r>
      <w:r w:rsidRPr="00763E26">
        <w:rPr>
          <w:sz w:val="16"/>
          <w:szCs w:val="16"/>
        </w:rPr>
        <w:t>.</w:t>
      </w:r>
    </w:p>
  </w:footnote>
  <w:footnote w:id="10">
    <w:p w14:paraId="168605C8" w14:textId="56AA0507" w:rsidR="00854409" w:rsidRPr="00763E26" w:rsidRDefault="00854409">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hyperlink r:id="rId15" w:history="1">
        <w:r w:rsidR="00590778" w:rsidRPr="00131ED4">
          <w:rPr>
            <w:rStyle w:val="Hyperlink"/>
            <w:rFonts w:ascii="Aptos" w:hAnsi="Aptos"/>
            <w:i/>
            <w:iCs/>
            <w:color w:val="auto"/>
            <w:sz w:val="16"/>
            <w:szCs w:val="16"/>
            <w:u w:val="none"/>
          </w:rPr>
          <w:t>Cancer Stat Facts: Colorectal Cancer</w:t>
        </w:r>
      </w:hyperlink>
      <w:r w:rsidR="00590778" w:rsidRPr="00131ED4">
        <w:rPr>
          <w:rFonts w:ascii="Aptos" w:hAnsi="Aptos"/>
          <w:sz w:val="16"/>
          <w:szCs w:val="16"/>
        </w:rPr>
        <w:t xml:space="preserve">, </w:t>
      </w:r>
      <w:r w:rsidR="00590778" w:rsidRPr="00763E26">
        <w:rPr>
          <w:rFonts w:ascii="Aptos" w:hAnsi="Aptos"/>
          <w:smallCaps/>
          <w:sz w:val="16"/>
          <w:szCs w:val="16"/>
        </w:rPr>
        <w:t>National Cancer Institute</w:t>
      </w:r>
      <w:r w:rsidR="00590778" w:rsidRPr="00763E26">
        <w:rPr>
          <w:rFonts w:ascii="Aptos" w:hAnsi="Aptos"/>
          <w:sz w:val="16"/>
          <w:szCs w:val="16"/>
        </w:rPr>
        <w:t xml:space="preserve">, </w:t>
      </w:r>
      <w:hyperlink r:id="rId16" w:history="1">
        <w:r w:rsidR="00590778" w:rsidRPr="00763E26">
          <w:rPr>
            <w:rStyle w:val="Hyperlink"/>
            <w:rFonts w:ascii="Aptos" w:hAnsi="Aptos"/>
            <w:sz w:val="16"/>
            <w:szCs w:val="16"/>
          </w:rPr>
          <w:t>https://seer.cancer.gov/statfacts/html/colorect.html</w:t>
        </w:r>
      </w:hyperlink>
      <w:r w:rsidR="00590778" w:rsidRPr="00763E26">
        <w:rPr>
          <w:rFonts w:ascii="Aptos" w:hAnsi="Aptos"/>
          <w:sz w:val="16"/>
          <w:szCs w:val="16"/>
        </w:rPr>
        <w:t xml:space="preserve"> (last visited July 11, 2025).</w:t>
      </w:r>
    </w:p>
  </w:footnote>
  <w:footnote w:id="11">
    <w:p w14:paraId="37453951" w14:textId="761E08F0" w:rsidR="0008778C" w:rsidRPr="00763E26" w:rsidRDefault="0008778C" w:rsidP="0008778C">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hyperlink r:id="rId17" w:history="1">
        <w:r w:rsidRPr="007A3B14">
          <w:rPr>
            <w:rStyle w:val="Hyperlink"/>
            <w:rFonts w:ascii="Aptos" w:hAnsi="Aptos"/>
            <w:i/>
            <w:iCs/>
            <w:color w:val="auto"/>
            <w:sz w:val="16"/>
            <w:szCs w:val="16"/>
            <w:u w:val="none"/>
          </w:rPr>
          <w:t>How Well Do Colonoscopies Prevent Colorectal Cancer? What You Need To Know</w:t>
        </w:r>
      </w:hyperlink>
      <w:r w:rsidRPr="007A3B14">
        <w:rPr>
          <w:rFonts w:ascii="Aptos" w:hAnsi="Aptos"/>
          <w:sz w:val="16"/>
          <w:szCs w:val="16"/>
        </w:rPr>
        <w:t xml:space="preserve">, </w:t>
      </w:r>
      <w:r w:rsidRPr="00763E26">
        <w:rPr>
          <w:rFonts w:ascii="Aptos" w:hAnsi="Aptos"/>
          <w:sz w:val="16"/>
          <w:szCs w:val="16"/>
        </w:rPr>
        <w:t xml:space="preserve">HARVARD MEDICAL SCHOOL, </w:t>
      </w:r>
      <w:hyperlink r:id="rId18" w:history="1">
        <w:r w:rsidRPr="00763E26">
          <w:rPr>
            <w:rStyle w:val="Hyperlink"/>
            <w:rFonts w:ascii="Aptos" w:hAnsi="Aptos"/>
            <w:sz w:val="16"/>
            <w:szCs w:val="16"/>
          </w:rPr>
          <w:t>https://www.health.harvard.edu/blog/how-well-do-colonoscopies-prevent-colorectal-cancer-what-you-need-to-know-202210182834</w:t>
        </w:r>
      </w:hyperlink>
      <w:r w:rsidRPr="00763E26">
        <w:rPr>
          <w:rFonts w:ascii="Aptos" w:hAnsi="Aptos"/>
          <w:sz w:val="16"/>
          <w:szCs w:val="16"/>
        </w:rPr>
        <w:t xml:space="preserve"> (last visited July 11, 2025).</w:t>
      </w:r>
    </w:p>
  </w:footnote>
  <w:footnote w:id="12">
    <w:p w14:paraId="27C8975B" w14:textId="63BA9737" w:rsidR="00B00841" w:rsidRPr="00763E26" w:rsidRDefault="00B00841">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r w:rsidR="00590778" w:rsidRPr="00763E26">
        <w:rPr>
          <w:rFonts w:ascii="Aptos" w:hAnsi="Aptos"/>
          <w:sz w:val="16"/>
          <w:szCs w:val="16"/>
        </w:rPr>
        <w:t xml:space="preserve">Siyu Wang et al., </w:t>
      </w:r>
      <w:hyperlink r:id="rId19" w:history="1">
        <w:r w:rsidR="00590778" w:rsidRPr="007D69B8">
          <w:rPr>
            <w:rStyle w:val="Hyperlink"/>
            <w:rFonts w:ascii="Aptos" w:hAnsi="Aptos"/>
            <w:i/>
            <w:iCs/>
            <w:color w:val="auto"/>
            <w:sz w:val="16"/>
            <w:szCs w:val="16"/>
            <w:u w:val="none"/>
          </w:rPr>
          <w:t>Colorectal Cancer: Epidemiology, Risk Factors, and Prevention</w:t>
        </w:r>
      </w:hyperlink>
      <w:r w:rsidR="00590778" w:rsidRPr="007D69B8">
        <w:rPr>
          <w:rFonts w:ascii="Aptos" w:hAnsi="Aptos"/>
          <w:sz w:val="16"/>
          <w:szCs w:val="16"/>
        </w:rPr>
        <w:t xml:space="preserve">, </w:t>
      </w:r>
      <w:r w:rsidR="00590778" w:rsidRPr="007D69B8">
        <w:rPr>
          <w:rFonts w:ascii="Aptos" w:hAnsi="Aptos"/>
          <w:smallCaps/>
          <w:sz w:val="16"/>
          <w:szCs w:val="16"/>
        </w:rPr>
        <w:t xml:space="preserve">Preventive </w:t>
      </w:r>
      <w:r w:rsidR="00590778" w:rsidRPr="00763E26">
        <w:rPr>
          <w:rFonts w:ascii="Aptos" w:hAnsi="Aptos"/>
          <w:smallCaps/>
          <w:sz w:val="16"/>
          <w:szCs w:val="16"/>
        </w:rPr>
        <w:t>Medicine Reports</w:t>
      </w:r>
      <w:r w:rsidR="00590778" w:rsidRPr="00763E26">
        <w:rPr>
          <w:rFonts w:ascii="Aptos" w:hAnsi="Aptos"/>
          <w:sz w:val="16"/>
          <w:szCs w:val="16"/>
        </w:rPr>
        <w:t xml:space="preserve"> (Jan. 2024), </w:t>
      </w:r>
      <w:hyperlink r:id="rId20" w:history="1">
        <w:r w:rsidR="00590778" w:rsidRPr="00763E26">
          <w:rPr>
            <w:rStyle w:val="Hyperlink"/>
            <w:rFonts w:ascii="Aptos" w:hAnsi="Aptos"/>
            <w:sz w:val="16"/>
            <w:szCs w:val="16"/>
          </w:rPr>
          <w:t>https://pmc.ncbi.nlm.nih.gov/articles/PMC10788250/</w:t>
        </w:r>
      </w:hyperlink>
      <w:r w:rsidR="00590778" w:rsidRPr="00763E26">
        <w:rPr>
          <w:rFonts w:ascii="Aptos" w:hAnsi="Aptos"/>
          <w:sz w:val="16"/>
          <w:szCs w:val="16"/>
        </w:rPr>
        <w:t>.</w:t>
      </w:r>
    </w:p>
  </w:footnote>
  <w:footnote w:id="13">
    <w:p w14:paraId="1E1E2B57" w14:textId="50C85633" w:rsidR="00E44B3A" w:rsidRPr="00763E26" w:rsidRDefault="00E44B3A" w:rsidP="00E44B3A">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hyperlink r:id="rId21" w:history="1">
        <w:r w:rsidR="00590778" w:rsidRPr="007D69B8">
          <w:rPr>
            <w:rStyle w:val="Hyperlink"/>
            <w:rFonts w:ascii="Aptos" w:hAnsi="Aptos"/>
            <w:i/>
            <w:iCs/>
            <w:color w:val="auto"/>
            <w:sz w:val="16"/>
            <w:szCs w:val="16"/>
            <w:u w:val="none"/>
          </w:rPr>
          <w:t>Archive of COVID-19 Public Health Guidance and Directives</w:t>
        </w:r>
      </w:hyperlink>
      <w:r w:rsidR="00590778" w:rsidRPr="007D69B8">
        <w:rPr>
          <w:rFonts w:ascii="Aptos" w:hAnsi="Aptos"/>
          <w:sz w:val="16"/>
          <w:szCs w:val="16"/>
        </w:rPr>
        <w:t xml:space="preserve">, </w:t>
      </w:r>
      <w:r w:rsidR="00590778" w:rsidRPr="00763E26">
        <w:rPr>
          <w:rFonts w:ascii="Aptos" w:hAnsi="Aptos"/>
          <w:smallCaps/>
          <w:sz w:val="16"/>
          <w:szCs w:val="16"/>
        </w:rPr>
        <w:t xml:space="preserve">Mass. </w:t>
      </w:r>
      <w:proofErr w:type="spellStart"/>
      <w:r w:rsidR="00590778" w:rsidRPr="00763E26">
        <w:rPr>
          <w:rFonts w:ascii="Aptos" w:hAnsi="Aptos"/>
          <w:smallCaps/>
          <w:sz w:val="16"/>
          <w:szCs w:val="16"/>
        </w:rPr>
        <w:t>Dep’t</w:t>
      </w:r>
      <w:proofErr w:type="spellEnd"/>
      <w:r w:rsidR="00590778" w:rsidRPr="00763E26">
        <w:rPr>
          <w:rFonts w:ascii="Aptos" w:hAnsi="Aptos"/>
          <w:smallCaps/>
          <w:sz w:val="16"/>
          <w:szCs w:val="16"/>
        </w:rPr>
        <w:t xml:space="preserve"> Pub. Health</w:t>
      </w:r>
      <w:r w:rsidR="00590778" w:rsidRPr="00763E26">
        <w:rPr>
          <w:rFonts w:ascii="Aptos" w:hAnsi="Aptos"/>
          <w:sz w:val="16"/>
          <w:szCs w:val="16"/>
        </w:rPr>
        <w:t xml:space="preserve">, </w:t>
      </w:r>
      <w:hyperlink r:id="rId22" w:history="1">
        <w:r w:rsidR="00590778" w:rsidRPr="00763E26">
          <w:rPr>
            <w:rStyle w:val="Hyperlink"/>
            <w:rFonts w:ascii="Aptos" w:hAnsi="Aptos"/>
            <w:sz w:val="16"/>
            <w:szCs w:val="16"/>
          </w:rPr>
          <w:t>https://www.mass.gov/info-details/archive-of-covid-19-public-health-guidance-and-directives</w:t>
        </w:r>
      </w:hyperlink>
      <w:r w:rsidRPr="00763E26">
        <w:rPr>
          <w:rFonts w:ascii="Aptos" w:hAnsi="Aptos"/>
          <w:sz w:val="16"/>
          <w:szCs w:val="16"/>
        </w:rPr>
        <w:t xml:space="preserve"> </w:t>
      </w:r>
      <w:r w:rsidR="00590778" w:rsidRPr="00763E26">
        <w:rPr>
          <w:rFonts w:ascii="Aptos" w:hAnsi="Aptos"/>
          <w:sz w:val="16"/>
          <w:szCs w:val="16"/>
        </w:rPr>
        <w:t>(last visited July 11, 2025).</w:t>
      </w:r>
    </w:p>
  </w:footnote>
  <w:footnote w:id="14">
    <w:p w14:paraId="06717DBA" w14:textId="2D46A50F" w:rsidR="00E44B3A" w:rsidRPr="00763E26" w:rsidRDefault="00E44B3A" w:rsidP="00E44B3A">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r w:rsidR="00441FB7" w:rsidRPr="00763E26">
        <w:rPr>
          <w:rFonts w:ascii="Aptos" w:hAnsi="Aptos"/>
          <w:sz w:val="16"/>
          <w:szCs w:val="16"/>
        </w:rPr>
        <w:t xml:space="preserve">Robert King, </w:t>
      </w:r>
      <w:hyperlink r:id="rId23" w:history="1">
        <w:r w:rsidR="00441FB7" w:rsidRPr="007D69B8">
          <w:rPr>
            <w:rStyle w:val="Hyperlink"/>
            <w:rFonts w:ascii="Aptos" w:hAnsi="Aptos"/>
            <w:i/>
            <w:iCs/>
            <w:color w:val="auto"/>
            <w:sz w:val="16"/>
            <w:szCs w:val="16"/>
            <w:u w:val="none"/>
          </w:rPr>
          <w:t>Massachusetts Calls on Hospitals to Reduce Elective Procedures Amid Staffing Shortages</w:t>
        </w:r>
      </w:hyperlink>
      <w:r w:rsidR="00441FB7" w:rsidRPr="007D69B8">
        <w:rPr>
          <w:rFonts w:ascii="Aptos" w:hAnsi="Aptos"/>
          <w:sz w:val="16"/>
          <w:szCs w:val="16"/>
        </w:rPr>
        <w:t xml:space="preserve">, </w:t>
      </w:r>
      <w:r w:rsidR="00441FB7" w:rsidRPr="00763E26">
        <w:rPr>
          <w:rFonts w:ascii="Aptos" w:hAnsi="Aptos"/>
          <w:smallCaps/>
          <w:sz w:val="16"/>
          <w:szCs w:val="16"/>
        </w:rPr>
        <w:t>Fierce Healthcare</w:t>
      </w:r>
      <w:r w:rsidR="00441FB7" w:rsidRPr="00763E26">
        <w:rPr>
          <w:rFonts w:ascii="Aptos" w:hAnsi="Aptos"/>
          <w:sz w:val="16"/>
          <w:szCs w:val="16"/>
        </w:rPr>
        <w:t xml:space="preserve"> (Nov. 27, 2021), </w:t>
      </w:r>
      <w:hyperlink r:id="rId24" w:history="1">
        <w:r w:rsidR="00441FB7" w:rsidRPr="00763E26">
          <w:rPr>
            <w:rStyle w:val="Hyperlink"/>
            <w:rFonts w:ascii="Aptos" w:hAnsi="Aptos"/>
            <w:sz w:val="16"/>
            <w:szCs w:val="16"/>
          </w:rPr>
          <w:t>https://www.fiercehealthcare.com/hospitals/mass-calls-hospitals-to-reduce-elective-procedures-amid-staffing-shortages</w:t>
        </w:r>
      </w:hyperlink>
      <w:r w:rsidR="00441FB7" w:rsidRPr="00763E26">
        <w:rPr>
          <w:rFonts w:ascii="Aptos" w:hAnsi="Aptos"/>
          <w:sz w:val="16"/>
          <w:szCs w:val="16"/>
        </w:rPr>
        <w:t>.</w:t>
      </w:r>
      <w:r w:rsidRPr="00763E26">
        <w:rPr>
          <w:rFonts w:ascii="Aptos" w:hAnsi="Aptos"/>
          <w:sz w:val="16"/>
          <w:szCs w:val="16"/>
        </w:rPr>
        <w:t xml:space="preserve"> </w:t>
      </w:r>
    </w:p>
  </w:footnote>
  <w:footnote w:id="15">
    <w:p w14:paraId="4AF1093C" w14:textId="4240E8FD" w:rsidR="00E44B3A" w:rsidRPr="00763E26" w:rsidRDefault="00E44B3A" w:rsidP="00E44B3A">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r w:rsidR="00441FB7" w:rsidRPr="00763E26">
        <w:rPr>
          <w:rFonts w:ascii="Aptos" w:hAnsi="Aptos"/>
          <w:sz w:val="16"/>
          <w:szCs w:val="16"/>
        </w:rPr>
        <w:t xml:space="preserve">Jackie Fortier, </w:t>
      </w:r>
      <w:hyperlink r:id="rId25" w:history="1">
        <w:r w:rsidR="00441FB7" w:rsidRPr="007D69B8">
          <w:rPr>
            <w:rStyle w:val="Hyperlink"/>
            <w:rFonts w:ascii="Aptos" w:hAnsi="Aptos"/>
            <w:i/>
            <w:iCs/>
            <w:color w:val="auto"/>
            <w:sz w:val="16"/>
            <w:szCs w:val="16"/>
            <w:u w:val="none"/>
          </w:rPr>
          <w:t>Nationwide IV Fluid Shortage Changing How Hospitals Manage Patient Hydration</w:t>
        </w:r>
      </w:hyperlink>
      <w:r w:rsidR="00441FB7" w:rsidRPr="007D69B8">
        <w:rPr>
          <w:rFonts w:ascii="Aptos" w:hAnsi="Aptos"/>
          <w:sz w:val="16"/>
          <w:szCs w:val="16"/>
        </w:rPr>
        <w:t xml:space="preserve">, </w:t>
      </w:r>
      <w:r w:rsidR="00441FB7" w:rsidRPr="007D69B8">
        <w:rPr>
          <w:rFonts w:ascii="Aptos" w:hAnsi="Aptos"/>
          <w:smallCaps/>
          <w:sz w:val="16"/>
          <w:szCs w:val="16"/>
        </w:rPr>
        <w:t>NPR</w:t>
      </w:r>
      <w:r w:rsidR="00441FB7" w:rsidRPr="007D69B8">
        <w:rPr>
          <w:rFonts w:ascii="Aptos" w:hAnsi="Aptos"/>
          <w:sz w:val="16"/>
          <w:szCs w:val="16"/>
        </w:rPr>
        <w:t xml:space="preserve"> </w:t>
      </w:r>
      <w:r w:rsidR="00441FB7" w:rsidRPr="00763E26">
        <w:rPr>
          <w:rFonts w:ascii="Aptos" w:hAnsi="Aptos"/>
          <w:sz w:val="16"/>
          <w:szCs w:val="16"/>
        </w:rPr>
        <w:t xml:space="preserve">(Nov. 19, 2024), </w:t>
      </w:r>
      <w:hyperlink r:id="rId26" w:history="1">
        <w:r w:rsidR="00441FB7" w:rsidRPr="00763E26">
          <w:rPr>
            <w:rStyle w:val="Hyperlink"/>
            <w:rFonts w:ascii="Aptos" w:hAnsi="Aptos"/>
            <w:sz w:val="16"/>
            <w:szCs w:val="16"/>
          </w:rPr>
          <w:t>https://www.npr.org/sections/shots-health-news/2024/11/19/nx-s1-5193027/nationwide-iv-fluid-shortage-intravenous-drugs-hospitals-patient-hydration-helene-hurricane-baxter</w:t>
        </w:r>
      </w:hyperlink>
      <w:r w:rsidR="00441FB7" w:rsidRPr="00763E26">
        <w:rPr>
          <w:rFonts w:ascii="Aptos" w:hAnsi="Aptos"/>
          <w:sz w:val="16"/>
          <w:szCs w:val="16"/>
        </w:rPr>
        <w:t>.</w:t>
      </w:r>
      <w:r w:rsidRPr="00763E26">
        <w:rPr>
          <w:rFonts w:ascii="Aptos" w:hAnsi="Aptos"/>
          <w:sz w:val="16"/>
          <w:szCs w:val="16"/>
        </w:rPr>
        <w:t xml:space="preserve"> </w:t>
      </w:r>
    </w:p>
  </w:footnote>
  <w:footnote w:id="16">
    <w:p w14:paraId="27163428" w14:textId="27D8A991" w:rsidR="00B242F6" w:rsidRPr="00763E26" w:rsidRDefault="00B242F6">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hyperlink r:id="rId27" w:history="1">
        <w:r w:rsidR="002E3FAE" w:rsidRPr="007D69B8">
          <w:rPr>
            <w:rStyle w:val="Hyperlink"/>
            <w:rFonts w:ascii="Aptos" w:hAnsi="Aptos"/>
            <w:i/>
            <w:iCs/>
            <w:color w:val="auto"/>
            <w:sz w:val="16"/>
            <w:szCs w:val="16"/>
            <w:u w:val="none"/>
          </w:rPr>
          <w:t>American Cancer Society Guideline for Colorectal Cancer Screening</w:t>
        </w:r>
        <w:r w:rsidR="002E3FAE" w:rsidRPr="007D69B8">
          <w:rPr>
            <w:rStyle w:val="Hyperlink"/>
            <w:rFonts w:ascii="Aptos" w:hAnsi="Aptos"/>
            <w:color w:val="auto"/>
            <w:sz w:val="16"/>
            <w:szCs w:val="16"/>
            <w:u w:val="none"/>
          </w:rPr>
          <w:t>,</w:t>
        </w:r>
      </w:hyperlink>
      <w:r w:rsidR="002E3FAE" w:rsidRPr="007D69B8">
        <w:rPr>
          <w:rFonts w:ascii="Aptos" w:hAnsi="Aptos"/>
          <w:sz w:val="16"/>
          <w:szCs w:val="16"/>
        </w:rPr>
        <w:t xml:space="preserve"> AMERICAN </w:t>
      </w:r>
      <w:r w:rsidR="002E3FAE" w:rsidRPr="00763E26">
        <w:rPr>
          <w:rFonts w:ascii="Aptos" w:hAnsi="Aptos"/>
          <w:sz w:val="16"/>
          <w:szCs w:val="16"/>
        </w:rPr>
        <w:t xml:space="preserve">CANCER SOCIETY, </w:t>
      </w:r>
      <w:hyperlink r:id="rId28" w:history="1">
        <w:r w:rsidR="002E3FAE" w:rsidRPr="00763E26">
          <w:rPr>
            <w:rStyle w:val="Hyperlink"/>
            <w:rFonts w:ascii="Aptos" w:hAnsi="Aptos"/>
            <w:sz w:val="16"/>
            <w:szCs w:val="16"/>
          </w:rPr>
          <w:t>https://www.cancer.org/cancer/types/colon-rectal-cancer/detection-diagnosis-staging/acs-recommendations.html</w:t>
        </w:r>
      </w:hyperlink>
      <w:r w:rsidR="002E3FAE" w:rsidRPr="00763E26">
        <w:rPr>
          <w:rFonts w:ascii="Aptos" w:hAnsi="Aptos"/>
          <w:sz w:val="16"/>
          <w:szCs w:val="16"/>
        </w:rPr>
        <w:t xml:space="preserve"> (last visited June 12, 2025).</w:t>
      </w:r>
    </w:p>
  </w:footnote>
  <w:footnote w:id="17">
    <w:p w14:paraId="22EFF06A" w14:textId="6748F3ED" w:rsidR="0008778C" w:rsidRPr="00763E26" w:rsidRDefault="0008778C" w:rsidP="0008778C">
      <w:pPr>
        <w:pStyle w:val="FootnoteText"/>
        <w:rPr>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hyperlink r:id="rId29" w:history="1">
        <w:r w:rsidRPr="00885FA7">
          <w:rPr>
            <w:rStyle w:val="Hyperlink"/>
            <w:rFonts w:ascii="Aptos" w:hAnsi="Aptos"/>
            <w:i/>
            <w:iCs/>
            <w:color w:val="auto"/>
            <w:sz w:val="16"/>
            <w:szCs w:val="16"/>
            <w:u w:val="none"/>
          </w:rPr>
          <w:t>Colorectal Cancer Rates Are Skyrocketing in Young Adults – Is Your Lifestyle Putting you at Risk?</w:t>
        </w:r>
        <w:r w:rsidRPr="00885FA7">
          <w:rPr>
            <w:rStyle w:val="Hyperlink"/>
            <w:rFonts w:ascii="Aptos" w:hAnsi="Aptos"/>
            <w:color w:val="auto"/>
            <w:sz w:val="16"/>
            <w:szCs w:val="16"/>
            <w:u w:val="none"/>
          </w:rPr>
          <w:t>,</w:t>
        </w:r>
      </w:hyperlink>
      <w:r w:rsidRPr="00885FA7">
        <w:rPr>
          <w:rFonts w:ascii="Aptos" w:hAnsi="Aptos"/>
          <w:sz w:val="16"/>
          <w:szCs w:val="16"/>
        </w:rPr>
        <w:t xml:space="preserve"> </w:t>
      </w:r>
      <w:r w:rsidRPr="00763E26">
        <w:rPr>
          <w:rFonts w:ascii="Aptos" w:hAnsi="Aptos"/>
          <w:sz w:val="16"/>
          <w:szCs w:val="16"/>
        </w:rPr>
        <w:t xml:space="preserve">CANCER RESEARCH INSTITUTE, </w:t>
      </w:r>
      <w:hyperlink r:id="rId30" w:history="1">
        <w:r w:rsidRPr="00763E26">
          <w:rPr>
            <w:rStyle w:val="Hyperlink"/>
            <w:rFonts w:ascii="Aptos" w:hAnsi="Aptos"/>
            <w:sz w:val="16"/>
            <w:szCs w:val="16"/>
          </w:rPr>
          <w:t>https://www.cancerresearch.org/blog/colorectal-cancer-awareness-month</w:t>
        </w:r>
      </w:hyperlink>
      <w:r w:rsidRPr="00763E26">
        <w:rPr>
          <w:rFonts w:ascii="Aptos" w:hAnsi="Aptos"/>
          <w:sz w:val="16"/>
          <w:szCs w:val="16"/>
        </w:rPr>
        <w:t xml:space="preserve"> (last visited July 11, 2025).</w:t>
      </w:r>
      <w:r w:rsidRPr="00763E26">
        <w:rPr>
          <w:sz w:val="16"/>
          <w:szCs w:val="16"/>
        </w:rPr>
        <w:t xml:space="preserve"> </w:t>
      </w:r>
    </w:p>
  </w:footnote>
  <w:footnote w:id="18">
    <w:p w14:paraId="0A738FBE" w14:textId="36B8D2CE" w:rsidR="008477FF" w:rsidRPr="00763E26" w:rsidRDefault="008477FF">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Includes follow-up for positive FIT/Cologuard and surveillance for history of polyps.</w:t>
      </w:r>
    </w:p>
  </w:footnote>
  <w:footnote w:id="19">
    <w:p w14:paraId="795995BD" w14:textId="7005942F" w:rsidR="007A1CD9" w:rsidRPr="00763E26" w:rsidRDefault="007A1CD9">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MGH’s current endoscopy room utilization is down 10 percentage points from FY24 (85%) due to the opening of a second inpatient room in the afternoon to accommodate the growing number of inpatient endoscopy cases. </w:t>
      </w:r>
    </w:p>
  </w:footnote>
  <w:footnote w:id="20">
    <w:p w14:paraId="23439942" w14:textId="38773B52" w:rsidR="00F74DA3" w:rsidRPr="00763E26" w:rsidRDefault="00F74DA3">
      <w:pPr>
        <w:pStyle w:val="FootnoteText"/>
        <w:rPr>
          <w:sz w:val="16"/>
          <w:szCs w:val="16"/>
        </w:rPr>
      </w:pPr>
      <w:r w:rsidRPr="00763E26">
        <w:rPr>
          <w:rStyle w:val="FootnoteReference"/>
          <w:rFonts w:ascii="Aptos" w:hAnsi="Aptos"/>
          <w:sz w:val="16"/>
          <w:szCs w:val="16"/>
        </w:rPr>
        <w:footnoteRef/>
      </w:r>
      <w:r w:rsidRPr="00763E26">
        <w:rPr>
          <w:rFonts w:ascii="Aptos" w:hAnsi="Aptos"/>
          <w:sz w:val="16"/>
          <w:szCs w:val="16"/>
        </w:rPr>
        <w:t xml:space="preserve"> David W. Bates et al, </w:t>
      </w:r>
      <w:hyperlink r:id="rId31" w:history="1">
        <w:r w:rsidRPr="0038709A">
          <w:rPr>
            <w:rStyle w:val="Hyperlink"/>
            <w:rFonts w:ascii="Aptos" w:hAnsi="Aptos"/>
            <w:i/>
            <w:iCs/>
            <w:color w:val="auto"/>
            <w:sz w:val="16"/>
            <w:szCs w:val="16"/>
            <w:u w:val="none"/>
          </w:rPr>
          <w:t>The Safety of Inpatient Health Care</w:t>
        </w:r>
      </w:hyperlink>
      <w:r w:rsidRPr="0038709A">
        <w:rPr>
          <w:rFonts w:ascii="Aptos" w:hAnsi="Aptos"/>
          <w:sz w:val="16"/>
          <w:szCs w:val="16"/>
        </w:rPr>
        <w:t xml:space="preserve">, NEW </w:t>
      </w:r>
      <w:r w:rsidRPr="00763E26">
        <w:rPr>
          <w:rFonts w:ascii="Aptos" w:hAnsi="Aptos"/>
          <w:sz w:val="16"/>
          <w:szCs w:val="16"/>
        </w:rPr>
        <w:t xml:space="preserve">ENGLAND JOURNAL OF MEDICINE, available at </w:t>
      </w:r>
      <w:hyperlink r:id="rId32" w:history="1">
        <w:r w:rsidR="00515F2B" w:rsidRPr="00763E26">
          <w:rPr>
            <w:rStyle w:val="Hyperlink"/>
            <w:rFonts w:ascii="Aptos" w:hAnsi="Aptos"/>
            <w:sz w:val="16"/>
            <w:szCs w:val="16"/>
          </w:rPr>
          <w:t>https://www.nejm.org/doi/full/10.1056/NEJMsa2206117</w:t>
        </w:r>
      </w:hyperlink>
      <w:r w:rsidR="00EF18D1">
        <w:rPr>
          <w:sz w:val="16"/>
          <w:szCs w:val="16"/>
        </w:rPr>
        <w:t>.</w:t>
      </w:r>
      <w:r w:rsidR="00515F2B" w:rsidRPr="00763E26">
        <w:rPr>
          <w:rFonts w:ascii="Aptos" w:hAnsi="Aptos"/>
          <w:sz w:val="16"/>
          <w:szCs w:val="16"/>
        </w:rPr>
        <w:t xml:space="preserve"> </w:t>
      </w:r>
    </w:p>
  </w:footnote>
  <w:footnote w:id="21">
    <w:p w14:paraId="26F89435" w14:textId="5F92B39D" w:rsidR="00CF38AC" w:rsidRPr="00763E26" w:rsidRDefault="00CF38AC" w:rsidP="00CF38AC">
      <w:pPr>
        <w:rPr>
          <w:rFonts w:ascii="Aptos" w:hAnsi="Aptos"/>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33" w:history="1">
        <w:r w:rsidRPr="00103A3F">
          <w:rPr>
            <w:rStyle w:val="Hyperlink"/>
            <w:rFonts w:ascii="Aptos" w:hAnsi="Aptos"/>
            <w:i/>
            <w:iCs/>
            <w:color w:val="auto"/>
            <w:sz w:val="16"/>
            <w:szCs w:val="16"/>
            <w:u w:val="none"/>
          </w:rPr>
          <w:t>UMDI-V2024 Massachusetts Population Projections</w:t>
        </w:r>
      </w:hyperlink>
      <w:r w:rsidRPr="00103A3F">
        <w:rPr>
          <w:rFonts w:ascii="Aptos" w:hAnsi="Aptos"/>
          <w:sz w:val="16"/>
          <w:szCs w:val="16"/>
        </w:rPr>
        <w:t xml:space="preserve">, UMASS </w:t>
      </w:r>
      <w:r w:rsidRPr="00763E26">
        <w:rPr>
          <w:rFonts w:ascii="Aptos" w:hAnsi="Aptos"/>
          <w:sz w:val="16"/>
          <w:szCs w:val="16"/>
        </w:rPr>
        <w:t xml:space="preserve">DONAHUE INSTITUTE, </w:t>
      </w:r>
      <w:hyperlink r:id="rId34" w:history="1">
        <w:r w:rsidRPr="00763E26">
          <w:rPr>
            <w:rStyle w:val="Hyperlink"/>
            <w:rFonts w:ascii="Aptos" w:hAnsi="Aptos"/>
            <w:sz w:val="16"/>
            <w:szCs w:val="16"/>
          </w:rPr>
          <w:t>https://donahue.umass.edu/documents/UMDI_V2024_Long-Term_Population_Projections_MCD%2C_County%2C_RPA%2C_State_Age_Sex_detail_2010-2050.xlsx</w:t>
        </w:r>
      </w:hyperlink>
      <w:r w:rsidRPr="00763E26">
        <w:rPr>
          <w:rFonts w:ascii="Aptos" w:hAnsi="Aptos"/>
          <w:sz w:val="16"/>
          <w:szCs w:val="16"/>
        </w:rPr>
        <w:t xml:space="preserve"> (last visited July 11, 2025).</w:t>
      </w:r>
    </w:p>
  </w:footnote>
  <w:footnote w:id="22">
    <w:p w14:paraId="295A8102" w14:textId="273DA97D" w:rsidR="00CF38AC" w:rsidRPr="00763E26" w:rsidRDefault="00CF38AC" w:rsidP="00CF38AC">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7C74AC" w:rsidRPr="00763E26">
        <w:rPr>
          <w:rFonts w:ascii="Aptos" w:hAnsi="Aptos"/>
          <w:i/>
          <w:iCs/>
          <w:sz w:val="16"/>
          <w:szCs w:val="16"/>
        </w:rPr>
        <w:t>Id.</w:t>
      </w:r>
    </w:p>
  </w:footnote>
  <w:footnote w:id="23">
    <w:p w14:paraId="5FE6F921" w14:textId="299A679B"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Johnathan B. Imran et al</w:t>
      </w:r>
      <w:r w:rsidRPr="002F7F69">
        <w:rPr>
          <w:rFonts w:asciiTheme="minorHAnsi" w:hAnsiTheme="minorHAnsi"/>
          <w:sz w:val="16"/>
          <w:szCs w:val="16"/>
        </w:rPr>
        <w:t xml:space="preserve">, </w:t>
      </w:r>
      <w:hyperlink r:id="rId35" w:history="1">
        <w:r w:rsidRPr="002F7F69">
          <w:rPr>
            <w:rStyle w:val="Hyperlink"/>
            <w:rFonts w:asciiTheme="minorHAnsi" w:hAnsiTheme="minorHAnsi"/>
            <w:color w:val="auto"/>
            <w:sz w:val="16"/>
            <w:szCs w:val="16"/>
            <w:u w:val="none"/>
          </w:rPr>
          <w:t>A</w:t>
        </w:r>
        <w:r w:rsidRPr="002F7F69">
          <w:rPr>
            <w:rStyle w:val="Hyperlink"/>
            <w:rFonts w:asciiTheme="minorHAnsi" w:hAnsiTheme="minorHAnsi"/>
            <w:i/>
            <w:iCs/>
            <w:color w:val="auto"/>
            <w:sz w:val="16"/>
            <w:szCs w:val="16"/>
            <w:u w:val="none"/>
          </w:rPr>
          <w:t>nalysis of Operating Room Efficiency Between a Hospital-Owned Ambulatory Surgical Center and Hospital Outpatient Department</w:t>
        </w:r>
      </w:hyperlink>
      <w:r w:rsidRPr="002F7F69">
        <w:rPr>
          <w:rFonts w:asciiTheme="minorHAnsi" w:hAnsiTheme="minorHAnsi"/>
          <w:sz w:val="16"/>
          <w:szCs w:val="16"/>
        </w:rPr>
        <w:t xml:space="preserve">, </w:t>
      </w:r>
      <w:r w:rsidRPr="00763E26">
        <w:rPr>
          <w:rFonts w:asciiTheme="minorHAnsi" w:hAnsiTheme="minorHAnsi"/>
          <w:sz w:val="16"/>
          <w:szCs w:val="16"/>
        </w:rPr>
        <w:t xml:space="preserve">AMERICAN JOURNAL OF SURGERY (2019), available at </w:t>
      </w:r>
      <w:hyperlink r:id="rId36" w:history="1">
        <w:r w:rsidRPr="00763E26">
          <w:rPr>
            <w:rStyle w:val="Hyperlink"/>
            <w:rFonts w:asciiTheme="minorHAnsi" w:hAnsiTheme="minorHAnsi"/>
            <w:sz w:val="16"/>
            <w:szCs w:val="16"/>
          </w:rPr>
          <w:t>https://www.americanjournalofsurgery.com/article/S0002-9610(18)31528-9/abstract</w:t>
        </w:r>
      </w:hyperlink>
      <w:r w:rsidRPr="00763E26">
        <w:rPr>
          <w:rFonts w:asciiTheme="minorHAnsi" w:hAnsiTheme="minorHAnsi"/>
          <w:sz w:val="16"/>
          <w:szCs w:val="16"/>
        </w:rPr>
        <w:t>.</w:t>
      </w:r>
    </w:p>
  </w:footnote>
  <w:footnote w:id="24">
    <w:p w14:paraId="3AF05B94" w14:textId="7DF97977"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37" w:history="1">
        <w:r w:rsidRPr="007A4DAC">
          <w:rPr>
            <w:rStyle w:val="Hyperlink"/>
            <w:rFonts w:asciiTheme="minorHAnsi" w:hAnsiTheme="minorHAnsi"/>
            <w:i/>
            <w:iCs/>
            <w:color w:val="auto"/>
            <w:sz w:val="16"/>
            <w:szCs w:val="16"/>
            <w:u w:val="none"/>
          </w:rPr>
          <w:t>Procedure Price Lookup</w:t>
        </w:r>
      </w:hyperlink>
      <w:r w:rsidRPr="007A4DAC">
        <w:rPr>
          <w:rFonts w:asciiTheme="minorHAnsi" w:hAnsiTheme="minorHAnsi"/>
          <w:sz w:val="16"/>
          <w:szCs w:val="16"/>
        </w:rPr>
        <w:t>, MEDICARE</w:t>
      </w:r>
      <w:r w:rsidRPr="00763E26">
        <w:rPr>
          <w:rFonts w:asciiTheme="minorHAnsi" w:hAnsiTheme="minorHAnsi"/>
          <w:sz w:val="16"/>
          <w:szCs w:val="16"/>
        </w:rPr>
        <w:t xml:space="preserve">.GOV, </w:t>
      </w:r>
      <w:hyperlink r:id="rId38" w:history="1">
        <w:r w:rsidRPr="00763E26">
          <w:rPr>
            <w:rStyle w:val="Hyperlink"/>
            <w:rFonts w:asciiTheme="minorHAnsi" w:hAnsiTheme="minorHAnsi"/>
            <w:sz w:val="16"/>
            <w:szCs w:val="16"/>
          </w:rPr>
          <w:t>https://www.medicare.gov/procedure-price-lookup/</w:t>
        </w:r>
      </w:hyperlink>
      <w:r w:rsidRPr="00763E26">
        <w:rPr>
          <w:rFonts w:asciiTheme="minorHAnsi" w:hAnsiTheme="minorHAnsi"/>
          <w:sz w:val="16"/>
          <w:szCs w:val="16"/>
        </w:rPr>
        <w:t xml:space="preserve"> (last visited July 1, 2025).</w:t>
      </w:r>
    </w:p>
  </w:footnote>
  <w:footnote w:id="25">
    <w:p w14:paraId="31F60885" w14:textId="0AE4784F"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660A5E" w:rsidRPr="00763E26">
        <w:rPr>
          <w:rFonts w:asciiTheme="minorHAnsi" w:hAnsiTheme="minorHAnsi"/>
          <w:sz w:val="16"/>
          <w:szCs w:val="16"/>
        </w:rPr>
        <w:t xml:space="preserve">Beverly B. Green MD, MPH, Richard T. Meenan PhD, MPH, </w:t>
      </w:r>
      <w:hyperlink r:id="rId39" w:history="1">
        <w:r w:rsidR="00660A5E" w:rsidRPr="007A4DAC">
          <w:rPr>
            <w:rStyle w:val="Hyperlink"/>
            <w:rFonts w:asciiTheme="minorHAnsi" w:hAnsiTheme="minorHAnsi"/>
            <w:i/>
            <w:iCs/>
            <w:color w:val="auto"/>
            <w:sz w:val="16"/>
            <w:szCs w:val="16"/>
            <w:u w:val="none"/>
          </w:rPr>
          <w:t>Colorectal Cancer Screening: The Costs and Benefits of Getting to 80% in Every Community</w:t>
        </w:r>
      </w:hyperlink>
      <w:r w:rsidR="00660A5E" w:rsidRPr="007A4DAC">
        <w:rPr>
          <w:rFonts w:asciiTheme="minorHAnsi" w:hAnsiTheme="minorHAnsi"/>
          <w:sz w:val="16"/>
          <w:szCs w:val="16"/>
        </w:rPr>
        <w:t xml:space="preserve">, </w:t>
      </w:r>
      <w:r w:rsidR="00660A5E" w:rsidRPr="007A4DAC">
        <w:rPr>
          <w:rFonts w:asciiTheme="minorHAnsi" w:hAnsiTheme="minorHAnsi"/>
          <w:smallCaps/>
          <w:sz w:val="16"/>
          <w:szCs w:val="16"/>
        </w:rPr>
        <w:t>Cancer</w:t>
      </w:r>
      <w:r w:rsidR="00660A5E" w:rsidRPr="007A4DAC">
        <w:rPr>
          <w:rFonts w:asciiTheme="minorHAnsi" w:hAnsiTheme="minorHAnsi"/>
          <w:sz w:val="16"/>
          <w:szCs w:val="16"/>
        </w:rPr>
        <w:t xml:space="preserve"> </w:t>
      </w:r>
      <w:r w:rsidR="00660A5E" w:rsidRPr="00763E26">
        <w:rPr>
          <w:rFonts w:asciiTheme="minorHAnsi" w:hAnsiTheme="minorHAnsi"/>
          <w:sz w:val="16"/>
          <w:szCs w:val="16"/>
        </w:rPr>
        <w:t xml:space="preserve">(July 20, 2020), </w:t>
      </w:r>
      <w:hyperlink r:id="rId40" w:history="1">
        <w:r w:rsidR="00660A5E" w:rsidRPr="00763E26">
          <w:rPr>
            <w:rStyle w:val="Hyperlink"/>
            <w:rFonts w:asciiTheme="minorHAnsi" w:hAnsiTheme="minorHAnsi"/>
            <w:sz w:val="16"/>
            <w:szCs w:val="16"/>
          </w:rPr>
          <w:t>https://acsjournals.onlinelibrary.wiley.com/doi/10.1002/cncr.32990</w:t>
        </w:r>
      </w:hyperlink>
      <w:r w:rsidR="00660A5E" w:rsidRPr="00763E26">
        <w:rPr>
          <w:rFonts w:asciiTheme="minorHAnsi" w:hAnsiTheme="minorHAnsi"/>
          <w:sz w:val="16"/>
          <w:szCs w:val="16"/>
        </w:rPr>
        <w:t xml:space="preserve">. </w:t>
      </w:r>
    </w:p>
  </w:footnote>
  <w:footnote w:id="26">
    <w:p w14:paraId="46B1A24B" w14:textId="1B940EF3"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660A5E" w:rsidRPr="00763E26">
        <w:rPr>
          <w:rFonts w:asciiTheme="minorHAnsi" w:hAnsiTheme="minorHAnsi"/>
          <w:i/>
          <w:iCs/>
          <w:sz w:val="16"/>
          <w:szCs w:val="16"/>
        </w:rPr>
        <w:t>Id.</w:t>
      </w:r>
    </w:p>
  </w:footnote>
  <w:footnote w:id="27">
    <w:p w14:paraId="27ABF821" w14:textId="77777777"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lang w:val="de-DE"/>
        </w:rPr>
        <w:t xml:space="preserve"> </w:t>
      </w:r>
      <w:r w:rsidRPr="00763E26">
        <w:rPr>
          <w:rFonts w:asciiTheme="minorHAnsi" w:hAnsiTheme="minorHAnsi"/>
          <w:sz w:val="16"/>
          <w:szCs w:val="16"/>
          <w:lang w:val="de-DE"/>
        </w:rPr>
        <w:t xml:space="preserve">Goede SL, Kuntz KM, van Ballegooijen M, et al. </w:t>
      </w:r>
      <w:r w:rsidRPr="00763E26">
        <w:rPr>
          <w:rFonts w:asciiTheme="minorHAnsi" w:hAnsiTheme="minorHAnsi"/>
          <w:sz w:val="16"/>
          <w:szCs w:val="16"/>
        </w:rPr>
        <w:t>Cost-savings to Medicare from pre-Medicare colorectal cancer screening. </w:t>
      </w:r>
      <w:r w:rsidRPr="00763E26">
        <w:rPr>
          <w:rFonts w:asciiTheme="minorHAnsi" w:hAnsiTheme="minorHAnsi"/>
          <w:i/>
          <w:iCs/>
          <w:sz w:val="16"/>
          <w:szCs w:val="16"/>
        </w:rPr>
        <w:t>Medical Care</w:t>
      </w:r>
      <w:r w:rsidRPr="00763E26">
        <w:rPr>
          <w:rFonts w:asciiTheme="minorHAnsi" w:hAnsiTheme="minorHAnsi"/>
          <w:sz w:val="16"/>
          <w:szCs w:val="16"/>
        </w:rPr>
        <w:t>. 2015;53(7):630–638.</w:t>
      </w:r>
    </w:p>
  </w:footnote>
  <w:footnote w:id="28">
    <w:p w14:paraId="0B5ADE83" w14:textId="56839BBA"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6C0968" w:rsidRPr="00763E26">
        <w:rPr>
          <w:rFonts w:asciiTheme="minorHAnsi" w:hAnsiTheme="minorHAnsi"/>
          <w:i/>
          <w:iCs/>
          <w:sz w:val="16"/>
          <w:szCs w:val="16"/>
        </w:rPr>
        <w:t>Id.</w:t>
      </w:r>
    </w:p>
  </w:footnote>
  <w:footnote w:id="29">
    <w:p w14:paraId="3816F6DF" w14:textId="5EF55499"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6C0968" w:rsidRPr="00763E26">
        <w:rPr>
          <w:rFonts w:asciiTheme="minorHAnsi" w:hAnsiTheme="minorHAnsi"/>
          <w:i/>
          <w:iCs/>
          <w:sz w:val="16"/>
          <w:szCs w:val="16"/>
        </w:rPr>
        <w:t>Id.</w:t>
      </w:r>
    </w:p>
  </w:footnote>
  <w:footnote w:id="30">
    <w:p w14:paraId="4B323CFB" w14:textId="4C54F6A9"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41" w:history="1">
        <w:r w:rsidRPr="00E913A8">
          <w:rPr>
            <w:rStyle w:val="Hyperlink"/>
            <w:rFonts w:asciiTheme="minorHAnsi" w:hAnsiTheme="minorHAnsi"/>
            <w:i/>
            <w:iCs/>
            <w:color w:val="auto"/>
            <w:sz w:val="16"/>
            <w:szCs w:val="16"/>
            <w:u w:val="none"/>
          </w:rPr>
          <w:t>Medicare Cost Savings Tied to ASCs</w:t>
        </w:r>
      </w:hyperlink>
      <w:r w:rsidRPr="00E913A8">
        <w:rPr>
          <w:rFonts w:asciiTheme="minorHAnsi" w:hAnsiTheme="minorHAnsi"/>
          <w:sz w:val="16"/>
          <w:szCs w:val="16"/>
        </w:rPr>
        <w:t xml:space="preserve">, AMBULATORY </w:t>
      </w:r>
      <w:r w:rsidRPr="00763E26">
        <w:rPr>
          <w:rFonts w:asciiTheme="minorHAnsi" w:hAnsiTheme="minorHAnsi"/>
          <w:sz w:val="16"/>
          <w:szCs w:val="16"/>
        </w:rPr>
        <w:t xml:space="preserve">SURGERY CENTER ASSOCIATION, </w:t>
      </w:r>
      <w:hyperlink r:id="rId42" w:history="1">
        <w:r w:rsidRPr="00763E26">
          <w:rPr>
            <w:rStyle w:val="Hyperlink"/>
            <w:rFonts w:asciiTheme="minorHAnsi" w:hAnsiTheme="minorHAnsi"/>
            <w:sz w:val="16"/>
            <w:szCs w:val="16"/>
          </w:rPr>
          <w:t>https://www.ascassociation.org/asca/about-ascs/savings/medicare-cost-savings/medicare-cost-savings-tied-to-ascs</w:t>
        </w:r>
      </w:hyperlink>
      <w:r w:rsidRPr="00763E26">
        <w:rPr>
          <w:rFonts w:asciiTheme="minorHAnsi" w:hAnsiTheme="minorHAnsi"/>
          <w:sz w:val="16"/>
          <w:szCs w:val="16"/>
        </w:rPr>
        <w:t xml:space="preserve"> (last visited June 18, 2025).</w:t>
      </w:r>
    </w:p>
  </w:footnote>
  <w:footnote w:id="31">
    <w:p w14:paraId="615A5441" w14:textId="3CE586C8"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43" w:history="1">
        <w:r w:rsidRPr="004C1F59">
          <w:rPr>
            <w:rStyle w:val="Hyperlink"/>
            <w:rFonts w:asciiTheme="minorHAnsi" w:hAnsiTheme="minorHAnsi"/>
            <w:i/>
            <w:iCs/>
            <w:color w:val="auto"/>
            <w:sz w:val="16"/>
            <w:szCs w:val="16"/>
            <w:u w:val="none"/>
          </w:rPr>
          <w:t>Medicare Cost Savings: An Overview</w:t>
        </w:r>
        <w:r w:rsidRPr="004C1F59">
          <w:rPr>
            <w:rStyle w:val="Hyperlink"/>
            <w:rFonts w:asciiTheme="minorHAnsi" w:hAnsiTheme="minorHAnsi"/>
            <w:color w:val="auto"/>
            <w:sz w:val="16"/>
            <w:szCs w:val="16"/>
            <w:u w:val="none"/>
          </w:rPr>
          <w:t>,</w:t>
        </w:r>
      </w:hyperlink>
      <w:r w:rsidRPr="004C1F59">
        <w:rPr>
          <w:rFonts w:asciiTheme="minorHAnsi" w:hAnsiTheme="minorHAnsi"/>
          <w:sz w:val="16"/>
          <w:szCs w:val="16"/>
        </w:rPr>
        <w:t xml:space="preserve"> AMBULATORY </w:t>
      </w:r>
      <w:r w:rsidRPr="00763E26">
        <w:rPr>
          <w:rFonts w:asciiTheme="minorHAnsi" w:hAnsiTheme="minorHAnsi"/>
          <w:sz w:val="16"/>
          <w:szCs w:val="16"/>
        </w:rPr>
        <w:t xml:space="preserve">SURGERY CENTER ASSOCIATION, </w:t>
      </w:r>
      <w:hyperlink r:id="rId44" w:history="1">
        <w:r w:rsidRPr="00763E26">
          <w:rPr>
            <w:rStyle w:val="Hyperlink"/>
            <w:rFonts w:asciiTheme="minorHAnsi" w:hAnsiTheme="minorHAnsi"/>
            <w:sz w:val="16"/>
            <w:szCs w:val="16"/>
          </w:rPr>
          <w:t>https://www.ascassociation.org/asca/about-ascs/savings/overview</w:t>
        </w:r>
      </w:hyperlink>
      <w:r w:rsidRPr="00763E26">
        <w:rPr>
          <w:rFonts w:asciiTheme="minorHAnsi" w:hAnsiTheme="minorHAnsi"/>
          <w:sz w:val="16"/>
          <w:szCs w:val="16"/>
        </w:rPr>
        <w:t xml:space="preserve"> (last visited June 18, 2025).</w:t>
      </w:r>
    </w:p>
  </w:footnote>
  <w:footnote w:id="32">
    <w:p w14:paraId="615F311B" w14:textId="20C8DDF7" w:rsidR="00CF38AC" w:rsidRPr="00763E26" w:rsidRDefault="00CF38AC" w:rsidP="00CF38AC">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45" w:history="1">
        <w:r w:rsidRPr="0064225F">
          <w:rPr>
            <w:rStyle w:val="Hyperlink"/>
            <w:rFonts w:asciiTheme="minorHAnsi" w:hAnsiTheme="minorHAnsi"/>
            <w:i/>
            <w:iCs/>
            <w:color w:val="auto"/>
            <w:sz w:val="16"/>
            <w:szCs w:val="16"/>
            <w:u w:val="none"/>
          </w:rPr>
          <w:t>Reducing Medicare Costs</w:t>
        </w:r>
        <w:r w:rsidRPr="0064225F">
          <w:rPr>
            <w:rStyle w:val="Hyperlink"/>
            <w:rFonts w:asciiTheme="minorHAnsi" w:hAnsiTheme="minorHAnsi"/>
            <w:color w:val="auto"/>
            <w:sz w:val="16"/>
            <w:szCs w:val="16"/>
            <w:u w:val="none"/>
          </w:rPr>
          <w:t>,</w:t>
        </w:r>
      </w:hyperlink>
      <w:r w:rsidRPr="0064225F">
        <w:rPr>
          <w:rFonts w:asciiTheme="minorHAnsi" w:hAnsiTheme="minorHAnsi"/>
          <w:sz w:val="16"/>
          <w:szCs w:val="16"/>
        </w:rPr>
        <w:t xml:space="preserve"> AMBULATORY </w:t>
      </w:r>
      <w:r w:rsidRPr="00763E26">
        <w:rPr>
          <w:rFonts w:asciiTheme="minorHAnsi" w:hAnsiTheme="minorHAnsi"/>
          <w:sz w:val="16"/>
          <w:szCs w:val="16"/>
        </w:rPr>
        <w:t xml:space="preserve">SURGERY CENTER ASSOCIATION, </w:t>
      </w:r>
      <w:hyperlink r:id="rId46" w:history="1">
        <w:r w:rsidRPr="00763E26">
          <w:rPr>
            <w:rStyle w:val="Hyperlink"/>
            <w:rFonts w:asciiTheme="minorHAnsi" w:hAnsiTheme="minorHAnsi"/>
            <w:sz w:val="16"/>
            <w:szCs w:val="16"/>
          </w:rPr>
          <w:t>https://www.ascassociation.org/asca/about-ascs/savings/medicare-cost-savings/reducing-medicare-costs</w:t>
        </w:r>
      </w:hyperlink>
      <w:r w:rsidRPr="00763E26">
        <w:rPr>
          <w:rFonts w:asciiTheme="minorHAnsi" w:hAnsiTheme="minorHAnsi"/>
          <w:sz w:val="16"/>
          <w:szCs w:val="16"/>
        </w:rPr>
        <w:t xml:space="preserve"> (last visited June 18, 2025).</w:t>
      </w:r>
    </w:p>
  </w:footnote>
  <w:footnote w:id="33">
    <w:p w14:paraId="78435CB6" w14:textId="22A7C567" w:rsidR="008F12DA" w:rsidRPr="00763E26" w:rsidRDefault="008F12DA" w:rsidP="008F12DA">
      <w:pPr>
        <w:pStyle w:val="FootnoteText"/>
        <w:rPr>
          <w:sz w:val="16"/>
          <w:szCs w:val="16"/>
        </w:rPr>
      </w:pPr>
      <w:r w:rsidRPr="00763E26">
        <w:rPr>
          <w:rStyle w:val="FootnoteReference"/>
          <w:sz w:val="16"/>
          <w:szCs w:val="16"/>
        </w:rPr>
        <w:footnoteRef/>
      </w:r>
      <w:r w:rsidRPr="00763E26">
        <w:rPr>
          <w:sz w:val="16"/>
          <w:szCs w:val="16"/>
        </w:rPr>
        <w:t xml:space="preserve"> </w:t>
      </w:r>
      <w:r w:rsidRPr="00763E26">
        <w:rPr>
          <w:rFonts w:asciiTheme="minorHAnsi" w:hAnsiTheme="minorHAnsi"/>
          <w:sz w:val="16"/>
          <w:szCs w:val="16"/>
        </w:rPr>
        <w:t xml:space="preserve">Please note, the endoscopy services costs are based on </w:t>
      </w:r>
      <w:hyperlink r:id="rId47" w:history="1">
        <w:r w:rsidRPr="0064225F">
          <w:rPr>
            <w:rStyle w:val="Hyperlink"/>
            <w:rFonts w:asciiTheme="minorHAnsi" w:hAnsiTheme="minorHAnsi"/>
            <w:color w:val="auto"/>
            <w:sz w:val="16"/>
            <w:szCs w:val="16"/>
            <w:u w:val="none"/>
          </w:rPr>
          <w:t>Medicare’s 2025 payments and copayments rates</w:t>
        </w:r>
      </w:hyperlink>
      <w:r w:rsidRPr="0064225F">
        <w:rPr>
          <w:rFonts w:asciiTheme="minorHAnsi" w:hAnsiTheme="minorHAnsi"/>
          <w:sz w:val="16"/>
          <w:szCs w:val="16"/>
        </w:rPr>
        <w:t xml:space="preserve">, </w:t>
      </w:r>
      <w:r w:rsidRPr="00763E26">
        <w:rPr>
          <w:rFonts w:asciiTheme="minorHAnsi" w:hAnsiTheme="minorHAnsi"/>
          <w:sz w:val="16"/>
          <w:szCs w:val="16"/>
        </w:rPr>
        <w:t>as reviewed on July 1, 2025</w:t>
      </w:r>
      <w:r w:rsidR="007F1DEF" w:rsidRPr="00763E26">
        <w:rPr>
          <w:rFonts w:asciiTheme="minorHAnsi" w:hAnsiTheme="minorHAnsi"/>
          <w:sz w:val="16"/>
          <w:szCs w:val="16"/>
        </w:rPr>
        <w:t xml:space="preserve"> and are available at </w:t>
      </w:r>
      <w:hyperlink r:id="rId48" w:history="1">
        <w:r w:rsidR="007F1DEF" w:rsidRPr="00763E26">
          <w:rPr>
            <w:rStyle w:val="Hyperlink"/>
            <w:rFonts w:asciiTheme="minorHAnsi" w:hAnsiTheme="minorHAnsi"/>
            <w:sz w:val="16"/>
            <w:szCs w:val="16"/>
          </w:rPr>
          <w:t>https://www.medicare.gov/procedure-price-lookup/</w:t>
        </w:r>
      </w:hyperlink>
      <w:r w:rsidR="007F1DEF" w:rsidRPr="00763E26">
        <w:rPr>
          <w:sz w:val="16"/>
          <w:szCs w:val="16"/>
        </w:rPr>
        <w:t>.</w:t>
      </w:r>
    </w:p>
  </w:footnote>
  <w:footnote w:id="34">
    <w:p w14:paraId="7AF2F7D9" w14:textId="2FEC86D3" w:rsidR="00CF38AC" w:rsidRPr="00763E26" w:rsidRDefault="00CF38AC" w:rsidP="00CF38AC">
      <w:pPr>
        <w:pStyle w:val="FootnoteText"/>
        <w:rPr>
          <w:sz w:val="16"/>
          <w:szCs w:val="16"/>
        </w:rPr>
      </w:pPr>
      <w:r w:rsidRPr="00763E26">
        <w:rPr>
          <w:rStyle w:val="FootnoteReference"/>
          <w:rFonts w:asciiTheme="minorHAnsi" w:hAnsiTheme="minorHAnsi"/>
          <w:sz w:val="16"/>
          <w:szCs w:val="16"/>
        </w:rPr>
        <w:footnoteRef/>
      </w:r>
      <w:r w:rsidRPr="00763E26">
        <w:rPr>
          <w:sz w:val="16"/>
          <w:szCs w:val="16"/>
        </w:rPr>
        <w:t xml:space="preserve"> </w:t>
      </w:r>
      <w:r w:rsidRPr="00763E26">
        <w:rPr>
          <w:rFonts w:ascii="Aptos" w:hAnsi="Aptos"/>
          <w:i/>
          <w:iCs/>
          <w:sz w:val="16"/>
          <w:szCs w:val="16"/>
        </w:rPr>
        <w:t xml:space="preserve">HPC </w:t>
      </w:r>
      <w:proofErr w:type="spellStart"/>
      <w:r w:rsidRPr="00763E26">
        <w:rPr>
          <w:rFonts w:ascii="Aptos" w:hAnsi="Aptos"/>
          <w:i/>
          <w:iCs/>
          <w:sz w:val="16"/>
          <w:szCs w:val="16"/>
        </w:rPr>
        <w:t>DataPoints</w:t>
      </w:r>
      <w:proofErr w:type="spellEnd"/>
      <w:r w:rsidRPr="00763E26">
        <w:rPr>
          <w:rFonts w:ascii="Aptos" w:hAnsi="Aptos"/>
          <w:i/>
          <w:iCs/>
          <w:sz w:val="16"/>
          <w:szCs w:val="16"/>
        </w:rPr>
        <w:t>, Issue 26</w:t>
      </w:r>
      <w:r w:rsidR="00420C7E" w:rsidRPr="00763E26">
        <w:rPr>
          <w:rFonts w:ascii="Aptos" w:hAnsi="Aptos"/>
          <w:i/>
          <w:iCs/>
          <w:sz w:val="16"/>
          <w:szCs w:val="16"/>
        </w:rPr>
        <w:t>, 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35">
    <w:p w14:paraId="561B2BBA" w14:textId="49D7EE31" w:rsidR="00CF38AC" w:rsidRPr="00763E26" w:rsidRDefault="00CF38AC" w:rsidP="00CF38AC">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Aptos" w:hAnsi="Aptos"/>
          <w:i/>
          <w:iCs/>
          <w:sz w:val="16"/>
          <w:szCs w:val="16"/>
        </w:rPr>
        <w:t xml:space="preserve">HPC </w:t>
      </w:r>
      <w:proofErr w:type="spellStart"/>
      <w:r w:rsidRPr="00763E26">
        <w:rPr>
          <w:rFonts w:ascii="Aptos" w:hAnsi="Aptos"/>
          <w:i/>
          <w:iCs/>
          <w:sz w:val="16"/>
          <w:szCs w:val="16"/>
        </w:rPr>
        <w:t>DataPoints</w:t>
      </w:r>
      <w:proofErr w:type="spellEnd"/>
      <w:r w:rsidRPr="00763E26">
        <w:rPr>
          <w:rFonts w:ascii="Aptos" w:hAnsi="Aptos"/>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36">
    <w:p w14:paraId="6B696DFD" w14:textId="68E705E7" w:rsidR="00CF38AC" w:rsidRPr="00763E26" w:rsidRDefault="00CF38AC" w:rsidP="00CF38AC">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Aptos" w:hAnsi="Aptos"/>
          <w:i/>
          <w:iCs/>
          <w:sz w:val="16"/>
          <w:szCs w:val="16"/>
        </w:rPr>
        <w:t xml:space="preserve">HPC </w:t>
      </w:r>
      <w:proofErr w:type="spellStart"/>
      <w:r w:rsidRPr="00763E26">
        <w:rPr>
          <w:rFonts w:ascii="Aptos" w:hAnsi="Aptos"/>
          <w:i/>
          <w:iCs/>
          <w:sz w:val="16"/>
          <w:szCs w:val="16"/>
        </w:rPr>
        <w:t>DataPoints</w:t>
      </w:r>
      <w:proofErr w:type="spellEnd"/>
      <w:r w:rsidRPr="00763E26">
        <w:rPr>
          <w:rFonts w:ascii="Aptos" w:hAnsi="Aptos"/>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37">
    <w:p w14:paraId="46AD6092" w14:textId="307071C4" w:rsidR="00CF38AC" w:rsidRPr="00763E26" w:rsidRDefault="00CF38AC" w:rsidP="00CF38AC">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Aptos" w:hAnsi="Aptos"/>
          <w:i/>
          <w:iCs/>
          <w:sz w:val="16"/>
          <w:szCs w:val="16"/>
        </w:rPr>
        <w:t xml:space="preserve">HPC </w:t>
      </w:r>
      <w:proofErr w:type="spellStart"/>
      <w:r w:rsidRPr="00763E26">
        <w:rPr>
          <w:rFonts w:ascii="Aptos" w:hAnsi="Aptos"/>
          <w:i/>
          <w:iCs/>
          <w:sz w:val="16"/>
          <w:szCs w:val="16"/>
        </w:rPr>
        <w:t>DataPoints</w:t>
      </w:r>
      <w:proofErr w:type="spellEnd"/>
      <w:r w:rsidRPr="00763E26">
        <w:rPr>
          <w:rFonts w:ascii="Aptos" w:hAnsi="Aptos"/>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38">
    <w:p w14:paraId="045E9CFB" w14:textId="18FE37C2" w:rsidR="00CF38AC" w:rsidRPr="00763E26" w:rsidRDefault="00CF38AC" w:rsidP="00CF38AC">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Aptos" w:hAnsi="Aptos"/>
          <w:i/>
          <w:iCs/>
          <w:sz w:val="16"/>
          <w:szCs w:val="16"/>
        </w:rPr>
        <w:t xml:space="preserve">HPC </w:t>
      </w:r>
      <w:proofErr w:type="spellStart"/>
      <w:r w:rsidRPr="00763E26">
        <w:rPr>
          <w:rFonts w:ascii="Aptos" w:hAnsi="Aptos"/>
          <w:i/>
          <w:iCs/>
          <w:sz w:val="16"/>
          <w:szCs w:val="16"/>
        </w:rPr>
        <w:t>DataPoints</w:t>
      </w:r>
      <w:proofErr w:type="spellEnd"/>
      <w:r w:rsidRPr="00763E26">
        <w:rPr>
          <w:rFonts w:ascii="Aptos" w:hAnsi="Aptos"/>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39">
    <w:p w14:paraId="3CB8F7CA" w14:textId="07AA15F5" w:rsidR="00CF38AC" w:rsidRPr="00763E26" w:rsidRDefault="00CF38AC" w:rsidP="00CF38AC">
      <w:pPr>
        <w:pStyle w:val="FootnoteText"/>
        <w:rPr>
          <w:sz w:val="16"/>
          <w:szCs w:val="16"/>
        </w:rPr>
      </w:pPr>
      <w:r w:rsidRPr="00763E26">
        <w:rPr>
          <w:rStyle w:val="FootnoteReference"/>
          <w:rFonts w:asciiTheme="minorHAnsi" w:hAnsiTheme="minorHAnsi"/>
          <w:sz w:val="16"/>
          <w:szCs w:val="16"/>
        </w:rPr>
        <w:footnoteRef/>
      </w:r>
      <w:r w:rsidRPr="00763E26">
        <w:rPr>
          <w:sz w:val="16"/>
          <w:szCs w:val="16"/>
        </w:rPr>
        <w:t xml:space="preserve"> </w:t>
      </w:r>
      <w:r w:rsidRPr="00763E26">
        <w:rPr>
          <w:rFonts w:ascii="Aptos" w:hAnsi="Aptos"/>
          <w:i/>
          <w:iCs/>
          <w:sz w:val="16"/>
          <w:szCs w:val="16"/>
        </w:rPr>
        <w:t xml:space="preserve">HPC </w:t>
      </w:r>
      <w:proofErr w:type="spellStart"/>
      <w:r w:rsidRPr="00763E26">
        <w:rPr>
          <w:rFonts w:ascii="Aptos" w:hAnsi="Aptos"/>
          <w:i/>
          <w:iCs/>
          <w:sz w:val="16"/>
          <w:szCs w:val="16"/>
        </w:rPr>
        <w:t>DataPoints</w:t>
      </w:r>
      <w:proofErr w:type="spellEnd"/>
      <w:r w:rsidRPr="00763E26">
        <w:rPr>
          <w:rFonts w:ascii="Aptos" w:hAnsi="Aptos"/>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40">
    <w:p w14:paraId="3B51E736" w14:textId="6087C9B9"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49" w:history="1">
        <w:r w:rsidRPr="0064225F">
          <w:rPr>
            <w:rStyle w:val="Hyperlink"/>
            <w:rFonts w:asciiTheme="minorHAnsi" w:hAnsiTheme="minorHAnsi"/>
            <w:i/>
            <w:iCs/>
            <w:color w:val="auto"/>
            <w:sz w:val="16"/>
            <w:szCs w:val="16"/>
            <w:u w:val="none"/>
          </w:rPr>
          <w:t>Endoscopy</w:t>
        </w:r>
      </w:hyperlink>
      <w:r w:rsidRPr="0064225F">
        <w:rPr>
          <w:rFonts w:asciiTheme="minorHAnsi" w:hAnsiTheme="minorHAnsi"/>
          <w:sz w:val="16"/>
          <w:szCs w:val="16"/>
        </w:rPr>
        <w:t xml:space="preserve">, CLEVELAND </w:t>
      </w:r>
      <w:r w:rsidRPr="00763E26">
        <w:rPr>
          <w:rFonts w:asciiTheme="minorHAnsi" w:hAnsiTheme="minorHAnsi"/>
          <w:sz w:val="16"/>
          <w:szCs w:val="16"/>
        </w:rPr>
        <w:t xml:space="preserve">CLINIC, </w:t>
      </w:r>
      <w:hyperlink r:id="rId50" w:history="1">
        <w:r w:rsidRPr="00763E26">
          <w:rPr>
            <w:rStyle w:val="Hyperlink"/>
            <w:rFonts w:asciiTheme="minorHAnsi" w:hAnsiTheme="minorHAnsi"/>
            <w:sz w:val="16"/>
            <w:szCs w:val="16"/>
          </w:rPr>
          <w:t>https://my.clevelandclinic.org/health/diagnostics/25126-endoscopy</w:t>
        </w:r>
      </w:hyperlink>
      <w:r w:rsidRPr="00763E26">
        <w:rPr>
          <w:rFonts w:asciiTheme="minorHAnsi" w:hAnsiTheme="minorHAnsi"/>
          <w:sz w:val="16"/>
          <w:szCs w:val="16"/>
        </w:rPr>
        <w:t xml:space="preserve"> (last visited June 4, 2025).</w:t>
      </w:r>
    </w:p>
  </w:footnote>
  <w:footnote w:id="41">
    <w:p w14:paraId="501FDEA1" w14:textId="1FFF0F5B"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51" w:history="1">
        <w:r w:rsidRPr="008B02C1">
          <w:rPr>
            <w:rStyle w:val="Hyperlink"/>
            <w:rFonts w:asciiTheme="minorHAnsi" w:hAnsiTheme="minorHAnsi"/>
            <w:i/>
            <w:iCs/>
            <w:color w:val="auto"/>
            <w:sz w:val="16"/>
            <w:szCs w:val="16"/>
            <w:u w:val="none"/>
          </w:rPr>
          <w:t>Upper Endoscopy</w:t>
        </w:r>
      </w:hyperlink>
      <w:r w:rsidRPr="008B02C1">
        <w:rPr>
          <w:rFonts w:asciiTheme="minorHAnsi" w:hAnsiTheme="minorHAnsi"/>
          <w:sz w:val="16"/>
          <w:szCs w:val="16"/>
        </w:rPr>
        <w:t xml:space="preserve">, MAYO </w:t>
      </w:r>
      <w:r w:rsidRPr="00763E26">
        <w:rPr>
          <w:rFonts w:asciiTheme="minorHAnsi" w:hAnsiTheme="minorHAnsi"/>
          <w:sz w:val="16"/>
          <w:szCs w:val="16"/>
        </w:rPr>
        <w:t xml:space="preserve">CLINIC, </w:t>
      </w:r>
      <w:hyperlink r:id="rId52" w:history="1">
        <w:r w:rsidRPr="00763E26">
          <w:rPr>
            <w:rStyle w:val="Hyperlink"/>
            <w:rFonts w:asciiTheme="minorHAnsi" w:hAnsiTheme="minorHAnsi"/>
            <w:sz w:val="16"/>
            <w:szCs w:val="16"/>
          </w:rPr>
          <w:t>https://www.mayoclinic.org/tests-procedures/endoscopy/about/pac-20395197</w:t>
        </w:r>
      </w:hyperlink>
      <w:r w:rsidRPr="00763E26">
        <w:rPr>
          <w:rFonts w:asciiTheme="minorHAnsi" w:hAnsiTheme="minorHAnsi"/>
          <w:sz w:val="16"/>
          <w:szCs w:val="16"/>
        </w:rPr>
        <w:t xml:space="preserve"> (last visited June 4, 2025).</w:t>
      </w:r>
    </w:p>
  </w:footnote>
  <w:footnote w:id="42">
    <w:p w14:paraId="71ACADE3" w14:textId="69820949"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763E26">
        <w:rPr>
          <w:rFonts w:asciiTheme="minorHAnsi" w:hAnsiTheme="minorHAnsi"/>
          <w:i/>
          <w:iCs/>
          <w:sz w:val="16"/>
          <w:szCs w:val="16"/>
        </w:rPr>
        <w:t>Id.</w:t>
      </w:r>
    </w:p>
  </w:footnote>
  <w:footnote w:id="43">
    <w:p w14:paraId="0897D0C8" w14:textId="7744B07F"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Johnathan Y </w:t>
      </w:r>
      <w:proofErr w:type="gramStart"/>
      <w:r w:rsidRPr="00763E26">
        <w:rPr>
          <w:rFonts w:asciiTheme="minorHAnsi" w:hAnsiTheme="minorHAnsi"/>
          <w:sz w:val="16"/>
          <w:szCs w:val="16"/>
        </w:rPr>
        <w:t>Xia  and</w:t>
      </w:r>
      <w:proofErr w:type="gramEnd"/>
      <w:r w:rsidRPr="00763E26">
        <w:rPr>
          <w:rFonts w:asciiTheme="minorHAnsi" w:hAnsiTheme="minorHAnsi"/>
          <w:sz w:val="16"/>
          <w:szCs w:val="16"/>
        </w:rPr>
        <w:t xml:space="preserve"> Aziz Aadam, </w:t>
      </w:r>
      <w:hyperlink r:id="rId53" w:history="1">
        <w:r w:rsidRPr="00DF6840">
          <w:rPr>
            <w:rStyle w:val="Hyperlink"/>
            <w:rFonts w:asciiTheme="minorHAnsi" w:hAnsiTheme="minorHAnsi"/>
            <w:i/>
            <w:iCs/>
            <w:color w:val="auto"/>
            <w:sz w:val="16"/>
            <w:szCs w:val="16"/>
            <w:u w:val="none"/>
          </w:rPr>
          <w:t>Advances in Screening and Detection of Gastric Cancer</w:t>
        </w:r>
      </w:hyperlink>
      <w:r w:rsidRPr="00DF6840">
        <w:rPr>
          <w:rFonts w:asciiTheme="minorHAnsi" w:hAnsiTheme="minorHAnsi"/>
          <w:sz w:val="16"/>
          <w:szCs w:val="16"/>
        </w:rPr>
        <w:t xml:space="preserve">, J Surg </w:t>
      </w:r>
      <w:r w:rsidRPr="00763E26">
        <w:rPr>
          <w:rFonts w:asciiTheme="minorHAnsi" w:hAnsiTheme="minorHAnsi"/>
          <w:sz w:val="16"/>
          <w:szCs w:val="16"/>
        </w:rPr>
        <w:t>Oncol. 125(7) (2022)</w:t>
      </w:r>
      <w:r w:rsidR="000C3D2C" w:rsidRPr="00763E26">
        <w:rPr>
          <w:rFonts w:asciiTheme="minorHAnsi" w:hAnsiTheme="minorHAnsi"/>
          <w:sz w:val="16"/>
          <w:szCs w:val="16"/>
        </w:rPr>
        <w:t xml:space="preserve">, </w:t>
      </w:r>
      <w:r w:rsidRPr="00763E26">
        <w:rPr>
          <w:rFonts w:asciiTheme="minorHAnsi" w:hAnsiTheme="minorHAnsi"/>
          <w:sz w:val="16"/>
          <w:szCs w:val="16"/>
        </w:rPr>
        <w:t xml:space="preserve">available at </w:t>
      </w:r>
      <w:hyperlink r:id="rId54" w:history="1">
        <w:r w:rsidRPr="00763E26">
          <w:rPr>
            <w:rStyle w:val="Hyperlink"/>
            <w:rFonts w:asciiTheme="minorHAnsi" w:hAnsiTheme="minorHAnsi"/>
            <w:sz w:val="16"/>
            <w:szCs w:val="16"/>
          </w:rPr>
          <w:t>https://pmc.ncbi.nlm.nih.gov/articles/PMC9322671/</w:t>
        </w:r>
      </w:hyperlink>
      <w:r w:rsidRPr="00763E26">
        <w:rPr>
          <w:rFonts w:asciiTheme="minorHAnsi" w:hAnsiTheme="minorHAnsi"/>
          <w:sz w:val="16"/>
          <w:szCs w:val="16"/>
        </w:rPr>
        <w:t>.</w:t>
      </w:r>
    </w:p>
  </w:footnote>
  <w:footnote w:id="44">
    <w:p w14:paraId="4331511D" w14:textId="13AEF5CA"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Endoscopy</w:t>
      </w:r>
      <w:r w:rsidRPr="00763E26">
        <w:rPr>
          <w:rFonts w:asciiTheme="minorHAnsi" w:hAnsiTheme="minorHAnsi"/>
          <w:sz w:val="16"/>
          <w:szCs w:val="16"/>
        </w:rPr>
        <w:t xml:space="preserve">, </w:t>
      </w:r>
      <w:r w:rsidR="000C3D2C" w:rsidRPr="00763E26">
        <w:rPr>
          <w:rFonts w:asciiTheme="minorHAnsi" w:hAnsiTheme="minorHAnsi"/>
          <w:i/>
          <w:iCs/>
          <w:sz w:val="16"/>
          <w:szCs w:val="16"/>
        </w:rPr>
        <w:t xml:space="preserve">supra </w:t>
      </w:r>
      <w:r w:rsidR="000C3D2C" w:rsidRPr="00763E26">
        <w:rPr>
          <w:rFonts w:asciiTheme="minorHAnsi" w:hAnsiTheme="minorHAnsi"/>
          <w:sz w:val="16"/>
          <w:szCs w:val="16"/>
        </w:rPr>
        <w:t xml:space="preserve">note </w:t>
      </w:r>
      <w:r w:rsidR="00E560D2" w:rsidRPr="00763E26">
        <w:rPr>
          <w:rFonts w:asciiTheme="minorHAnsi" w:hAnsiTheme="minorHAnsi"/>
          <w:sz w:val="16"/>
          <w:szCs w:val="16"/>
        </w:rPr>
        <w:fldChar w:fldCharType="begin"/>
      </w:r>
      <w:r w:rsidR="00E560D2" w:rsidRPr="00763E26">
        <w:rPr>
          <w:rFonts w:asciiTheme="minorHAnsi" w:hAnsiTheme="minorHAnsi"/>
          <w:sz w:val="16"/>
          <w:szCs w:val="16"/>
        </w:rPr>
        <w:instrText xml:space="preserve"> NOTEREF _Ref207177954 \h </w:instrText>
      </w:r>
      <w:r w:rsidR="00763E26">
        <w:rPr>
          <w:rFonts w:asciiTheme="minorHAnsi" w:hAnsiTheme="minorHAnsi"/>
          <w:sz w:val="16"/>
          <w:szCs w:val="16"/>
        </w:rPr>
        <w:instrText xml:space="preserve"> \* MERGEFORMAT </w:instrText>
      </w:r>
      <w:r w:rsidR="00E560D2" w:rsidRPr="00763E26">
        <w:rPr>
          <w:rFonts w:asciiTheme="minorHAnsi" w:hAnsiTheme="minorHAnsi"/>
          <w:sz w:val="16"/>
          <w:szCs w:val="16"/>
        </w:rPr>
      </w:r>
      <w:r w:rsidR="00E560D2" w:rsidRPr="00763E26">
        <w:rPr>
          <w:rFonts w:asciiTheme="minorHAnsi" w:hAnsiTheme="minorHAnsi"/>
          <w:sz w:val="16"/>
          <w:szCs w:val="16"/>
        </w:rPr>
        <w:fldChar w:fldCharType="separate"/>
      </w:r>
      <w:r w:rsidR="00233739">
        <w:rPr>
          <w:rFonts w:asciiTheme="minorHAnsi" w:hAnsiTheme="minorHAnsi"/>
          <w:sz w:val="16"/>
          <w:szCs w:val="16"/>
        </w:rPr>
        <w:t>40</w:t>
      </w:r>
      <w:r w:rsidR="00E560D2" w:rsidRPr="00763E26">
        <w:rPr>
          <w:rFonts w:asciiTheme="minorHAnsi" w:hAnsiTheme="minorHAnsi"/>
          <w:sz w:val="16"/>
          <w:szCs w:val="16"/>
        </w:rPr>
        <w:fldChar w:fldCharType="end"/>
      </w:r>
      <w:r w:rsidR="000C3D2C" w:rsidRPr="00763E26">
        <w:rPr>
          <w:rFonts w:asciiTheme="minorHAnsi" w:hAnsiTheme="minorHAnsi"/>
          <w:sz w:val="16"/>
          <w:szCs w:val="16"/>
        </w:rPr>
        <w:t>.</w:t>
      </w:r>
    </w:p>
  </w:footnote>
  <w:footnote w:id="45">
    <w:p w14:paraId="560191D0" w14:textId="1E4ED25F"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55" w:history="1">
        <w:r w:rsidRPr="000713B3">
          <w:rPr>
            <w:rStyle w:val="Hyperlink"/>
            <w:rFonts w:asciiTheme="minorHAnsi" w:hAnsiTheme="minorHAnsi"/>
            <w:color w:val="auto"/>
            <w:sz w:val="16"/>
            <w:szCs w:val="16"/>
            <w:u w:val="none"/>
          </w:rPr>
          <w:t>Upper Endoscopy</w:t>
        </w:r>
      </w:hyperlink>
      <w:r w:rsidRPr="000713B3">
        <w:rPr>
          <w:rFonts w:asciiTheme="minorHAnsi" w:hAnsiTheme="minorHAnsi"/>
          <w:sz w:val="16"/>
          <w:szCs w:val="16"/>
        </w:rPr>
        <w:t xml:space="preserve">, American </w:t>
      </w:r>
      <w:r w:rsidRPr="00763E26">
        <w:rPr>
          <w:rFonts w:asciiTheme="minorHAnsi" w:hAnsiTheme="minorHAnsi"/>
          <w:sz w:val="16"/>
          <w:szCs w:val="16"/>
        </w:rPr>
        <w:t xml:space="preserve">Cancer Society, </w:t>
      </w:r>
      <w:hyperlink r:id="rId56" w:history="1">
        <w:r w:rsidRPr="00763E26">
          <w:rPr>
            <w:rStyle w:val="Hyperlink"/>
            <w:rFonts w:asciiTheme="minorHAnsi" w:hAnsiTheme="minorHAnsi"/>
            <w:sz w:val="16"/>
            <w:szCs w:val="16"/>
          </w:rPr>
          <w:t>https://www.cancer.org/cancer/diagnosis-staging/tests/endoscopy/upper-endoscopy.html</w:t>
        </w:r>
      </w:hyperlink>
      <w:r w:rsidRPr="00763E26">
        <w:rPr>
          <w:rFonts w:asciiTheme="minorHAnsi" w:hAnsiTheme="minorHAnsi"/>
          <w:sz w:val="16"/>
          <w:szCs w:val="16"/>
        </w:rPr>
        <w:t xml:space="preserve"> (last visited June 4, 2025).</w:t>
      </w:r>
    </w:p>
  </w:footnote>
  <w:footnote w:id="46">
    <w:p w14:paraId="1543AEF5" w14:textId="5DABD18D" w:rsidR="00362C79" w:rsidRPr="00763E26" w:rsidRDefault="00362C79" w:rsidP="00362C79">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57" w:history="1">
        <w:r w:rsidRPr="000713B3">
          <w:rPr>
            <w:rStyle w:val="Hyperlink"/>
            <w:rFonts w:asciiTheme="minorHAnsi" w:hAnsiTheme="minorHAnsi"/>
            <w:i/>
            <w:iCs/>
            <w:color w:val="auto"/>
            <w:sz w:val="16"/>
            <w:szCs w:val="16"/>
            <w:u w:val="none"/>
          </w:rPr>
          <w:t>EGD Procedure (Upper Endoscopy)</w:t>
        </w:r>
        <w:r w:rsidRPr="000713B3">
          <w:rPr>
            <w:rStyle w:val="Hyperlink"/>
            <w:rFonts w:asciiTheme="minorHAnsi" w:hAnsiTheme="minorHAnsi"/>
            <w:color w:val="auto"/>
            <w:sz w:val="16"/>
            <w:szCs w:val="16"/>
            <w:u w:val="none"/>
          </w:rPr>
          <w:t>,</w:t>
        </w:r>
      </w:hyperlink>
      <w:r w:rsidRPr="000713B3">
        <w:rPr>
          <w:rFonts w:asciiTheme="minorHAnsi" w:hAnsiTheme="minorHAnsi"/>
          <w:sz w:val="16"/>
          <w:szCs w:val="16"/>
        </w:rPr>
        <w:t xml:space="preserve"> CLEVELAND </w:t>
      </w:r>
      <w:r w:rsidRPr="00763E26">
        <w:rPr>
          <w:rFonts w:asciiTheme="minorHAnsi" w:hAnsiTheme="minorHAnsi"/>
          <w:sz w:val="16"/>
          <w:szCs w:val="16"/>
        </w:rPr>
        <w:t xml:space="preserve">CLINIC, </w:t>
      </w:r>
      <w:hyperlink r:id="rId58" w:history="1">
        <w:r w:rsidRPr="00763E26">
          <w:rPr>
            <w:rStyle w:val="Hyperlink"/>
            <w:rFonts w:asciiTheme="minorHAnsi" w:hAnsiTheme="minorHAnsi"/>
            <w:sz w:val="16"/>
            <w:szCs w:val="16"/>
          </w:rPr>
          <w:t>https://my.clevelandclinic.org/health/procedures/22549-egd-procedure-upper-endoscopy</w:t>
        </w:r>
      </w:hyperlink>
      <w:r w:rsidRPr="00763E26">
        <w:rPr>
          <w:rFonts w:asciiTheme="minorHAnsi" w:hAnsiTheme="minorHAnsi"/>
          <w:sz w:val="16"/>
          <w:szCs w:val="16"/>
        </w:rPr>
        <w:t xml:space="preserve"> (last visited June 4, 2025).</w:t>
      </w:r>
    </w:p>
  </w:footnote>
  <w:footnote w:id="47">
    <w:p w14:paraId="609BB10A" w14:textId="058049F4"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59" w:history="1">
        <w:r w:rsidRPr="000713B3">
          <w:rPr>
            <w:rStyle w:val="Hyperlink"/>
            <w:rFonts w:asciiTheme="minorHAnsi" w:hAnsiTheme="minorHAnsi"/>
            <w:i/>
            <w:iCs/>
            <w:color w:val="auto"/>
            <w:sz w:val="16"/>
            <w:szCs w:val="16"/>
            <w:u w:val="none"/>
          </w:rPr>
          <w:t>Colonoscopy</w:t>
        </w:r>
      </w:hyperlink>
      <w:r w:rsidRPr="000713B3">
        <w:rPr>
          <w:rFonts w:asciiTheme="minorHAnsi" w:hAnsiTheme="minorHAnsi"/>
          <w:sz w:val="16"/>
          <w:szCs w:val="16"/>
        </w:rPr>
        <w:t xml:space="preserve">, AMERICAN </w:t>
      </w:r>
      <w:r w:rsidRPr="00763E26">
        <w:rPr>
          <w:rFonts w:asciiTheme="minorHAnsi" w:hAnsiTheme="minorHAnsi"/>
          <w:sz w:val="16"/>
          <w:szCs w:val="16"/>
        </w:rPr>
        <w:t xml:space="preserve">CANCER SOCIETY, </w:t>
      </w:r>
      <w:hyperlink r:id="rId60" w:history="1">
        <w:r w:rsidRPr="00763E26">
          <w:rPr>
            <w:rStyle w:val="Hyperlink"/>
            <w:rFonts w:asciiTheme="minorHAnsi" w:hAnsiTheme="minorHAnsi"/>
            <w:sz w:val="16"/>
            <w:szCs w:val="16"/>
          </w:rPr>
          <w:t>https://www.cancer.org/cancer/diagnosis-staging/tests/endoscopy/colonoscopy.html</w:t>
        </w:r>
      </w:hyperlink>
      <w:r w:rsidRPr="00763E26">
        <w:rPr>
          <w:rFonts w:asciiTheme="minorHAnsi" w:hAnsiTheme="minorHAnsi"/>
          <w:sz w:val="16"/>
          <w:szCs w:val="16"/>
        </w:rPr>
        <w:t xml:space="preserve"> (last visited June 4, 2025).</w:t>
      </w:r>
    </w:p>
  </w:footnote>
  <w:footnote w:id="48">
    <w:p w14:paraId="66312DF1" w14:textId="4512BC02"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E560D2" w:rsidRPr="00763E26">
        <w:rPr>
          <w:rFonts w:asciiTheme="minorHAnsi" w:hAnsiTheme="minorHAnsi"/>
          <w:i/>
          <w:iCs/>
          <w:sz w:val="16"/>
          <w:szCs w:val="16"/>
        </w:rPr>
        <w:t>Key Statistics for Colorectal Cancer</w:t>
      </w:r>
      <w:r w:rsidR="00E560D2" w:rsidRPr="00763E26">
        <w:rPr>
          <w:rFonts w:asciiTheme="minorHAnsi" w:hAnsiTheme="minorHAnsi"/>
          <w:sz w:val="16"/>
          <w:szCs w:val="16"/>
        </w:rPr>
        <w:t xml:space="preserve">, </w:t>
      </w:r>
      <w:r w:rsidR="00E560D2" w:rsidRPr="00763E26">
        <w:rPr>
          <w:rFonts w:asciiTheme="minorHAnsi" w:hAnsiTheme="minorHAnsi"/>
          <w:i/>
          <w:iCs/>
          <w:sz w:val="16"/>
          <w:szCs w:val="16"/>
        </w:rPr>
        <w:t xml:space="preserve">supra </w:t>
      </w:r>
      <w:r w:rsidR="00E560D2" w:rsidRPr="00763E26">
        <w:rPr>
          <w:rFonts w:asciiTheme="minorHAnsi" w:hAnsiTheme="minorHAnsi"/>
          <w:sz w:val="16"/>
          <w:szCs w:val="16"/>
        </w:rPr>
        <w:t xml:space="preserve">note </w:t>
      </w:r>
      <w:r w:rsidR="00E560D2" w:rsidRPr="00763E26">
        <w:rPr>
          <w:rFonts w:asciiTheme="minorHAnsi" w:hAnsiTheme="minorHAnsi"/>
          <w:sz w:val="16"/>
          <w:szCs w:val="16"/>
        </w:rPr>
        <w:fldChar w:fldCharType="begin"/>
      </w:r>
      <w:r w:rsidR="00E560D2" w:rsidRPr="00763E26">
        <w:rPr>
          <w:rFonts w:asciiTheme="minorHAnsi" w:hAnsiTheme="minorHAnsi"/>
          <w:sz w:val="16"/>
          <w:szCs w:val="16"/>
        </w:rPr>
        <w:instrText xml:space="preserve"> NOTEREF _Ref207177991 \h </w:instrText>
      </w:r>
      <w:r w:rsidR="00763E26">
        <w:rPr>
          <w:rFonts w:asciiTheme="minorHAnsi" w:hAnsiTheme="minorHAnsi"/>
          <w:sz w:val="16"/>
          <w:szCs w:val="16"/>
        </w:rPr>
        <w:instrText xml:space="preserve"> \* MERGEFORMAT </w:instrText>
      </w:r>
      <w:r w:rsidR="00E560D2" w:rsidRPr="00763E26">
        <w:rPr>
          <w:rFonts w:asciiTheme="minorHAnsi" w:hAnsiTheme="minorHAnsi"/>
          <w:sz w:val="16"/>
          <w:szCs w:val="16"/>
        </w:rPr>
      </w:r>
      <w:r w:rsidR="00E560D2" w:rsidRPr="00763E26">
        <w:rPr>
          <w:rFonts w:asciiTheme="minorHAnsi" w:hAnsiTheme="minorHAnsi"/>
          <w:sz w:val="16"/>
          <w:szCs w:val="16"/>
        </w:rPr>
        <w:fldChar w:fldCharType="separate"/>
      </w:r>
      <w:r w:rsidR="00233739">
        <w:rPr>
          <w:rFonts w:asciiTheme="minorHAnsi" w:hAnsiTheme="minorHAnsi"/>
          <w:sz w:val="16"/>
          <w:szCs w:val="16"/>
        </w:rPr>
        <w:t>1</w:t>
      </w:r>
      <w:r w:rsidR="00E560D2" w:rsidRPr="00763E26">
        <w:rPr>
          <w:rFonts w:asciiTheme="minorHAnsi" w:hAnsiTheme="minorHAnsi"/>
          <w:sz w:val="16"/>
          <w:szCs w:val="16"/>
        </w:rPr>
        <w:fldChar w:fldCharType="end"/>
      </w:r>
      <w:r w:rsidR="00E560D2" w:rsidRPr="00763E26">
        <w:rPr>
          <w:rFonts w:asciiTheme="minorHAnsi" w:hAnsiTheme="minorHAnsi"/>
          <w:sz w:val="16"/>
          <w:szCs w:val="16"/>
        </w:rPr>
        <w:t>.</w:t>
      </w:r>
    </w:p>
  </w:footnote>
  <w:footnote w:id="49">
    <w:p w14:paraId="07BC5E42" w14:textId="77777777"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Rebecca L Siegel et al, </w:t>
      </w:r>
      <w:r w:rsidRPr="00763E26">
        <w:rPr>
          <w:rFonts w:asciiTheme="minorHAnsi" w:hAnsiTheme="minorHAnsi"/>
          <w:i/>
          <w:iCs/>
          <w:sz w:val="16"/>
          <w:szCs w:val="16"/>
        </w:rPr>
        <w:t>Colorectal Cancer Statistics</w:t>
      </w:r>
      <w:r w:rsidRPr="00763E26">
        <w:rPr>
          <w:rFonts w:asciiTheme="minorHAnsi" w:hAnsiTheme="minorHAnsi"/>
          <w:sz w:val="16"/>
          <w:szCs w:val="16"/>
        </w:rPr>
        <w:t>, 2020, CA CANCER J CLIN. (2020), available at https://pubmed.ncbi.nlm.nih.gov/32133645/.</w:t>
      </w:r>
    </w:p>
  </w:footnote>
  <w:footnote w:id="50">
    <w:p w14:paraId="6078B189" w14:textId="362340F4"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Key Statistics for Colorectal Cancer</w:t>
      </w:r>
      <w:r w:rsidRPr="00763E26">
        <w:rPr>
          <w:rFonts w:asciiTheme="minorHAnsi" w:hAnsiTheme="minorHAnsi"/>
          <w:sz w:val="16"/>
          <w:szCs w:val="16"/>
        </w:rPr>
        <w:t xml:space="preserve">, </w:t>
      </w:r>
      <w:r w:rsidRPr="00763E26">
        <w:rPr>
          <w:rFonts w:asciiTheme="minorHAnsi" w:hAnsiTheme="minorHAnsi"/>
          <w:i/>
          <w:iCs/>
          <w:sz w:val="16"/>
          <w:szCs w:val="16"/>
        </w:rPr>
        <w:t xml:space="preserve">supra </w:t>
      </w:r>
      <w:r w:rsidRPr="00763E26">
        <w:rPr>
          <w:rFonts w:asciiTheme="minorHAnsi" w:hAnsiTheme="minorHAnsi"/>
          <w:sz w:val="16"/>
          <w:szCs w:val="16"/>
        </w:rPr>
        <w:t xml:space="preserve">note </w:t>
      </w:r>
      <w:r w:rsidR="00E560D2" w:rsidRPr="00763E26">
        <w:rPr>
          <w:rFonts w:asciiTheme="minorHAnsi" w:hAnsiTheme="minorHAnsi"/>
          <w:sz w:val="16"/>
          <w:szCs w:val="16"/>
        </w:rPr>
        <w:fldChar w:fldCharType="begin"/>
      </w:r>
      <w:r w:rsidR="00E560D2" w:rsidRPr="00763E26">
        <w:rPr>
          <w:rFonts w:asciiTheme="minorHAnsi" w:hAnsiTheme="minorHAnsi"/>
          <w:sz w:val="16"/>
          <w:szCs w:val="16"/>
        </w:rPr>
        <w:instrText xml:space="preserve"> NOTEREF _Ref207177991 \h </w:instrText>
      </w:r>
      <w:r w:rsidR="00763E26">
        <w:rPr>
          <w:rFonts w:asciiTheme="minorHAnsi" w:hAnsiTheme="minorHAnsi"/>
          <w:sz w:val="16"/>
          <w:szCs w:val="16"/>
        </w:rPr>
        <w:instrText xml:space="preserve"> \* MERGEFORMAT </w:instrText>
      </w:r>
      <w:r w:rsidR="00E560D2" w:rsidRPr="00763E26">
        <w:rPr>
          <w:rFonts w:asciiTheme="minorHAnsi" w:hAnsiTheme="minorHAnsi"/>
          <w:sz w:val="16"/>
          <w:szCs w:val="16"/>
        </w:rPr>
      </w:r>
      <w:r w:rsidR="00E560D2" w:rsidRPr="00763E26">
        <w:rPr>
          <w:rFonts w:asciiTheme="minorHAnsi" w:hAnsiTheme="minorHAnsi"/>
          <w:sz w:val="16"/>
          <w:szCs w:val="16"/>
        </w:rPr>
        <w:fldChar w:fldCharType="separate"/>
      </w:r>
      <w:r w:rsidR="00233739">
        <w:rPr>
          <w:rFonts w:asciiTheme="minorHAnsi" w:hAnsiTheme="minorHAnsi"/>
          <w:sz w:val="16"/>
          <w:szCs w:val="16"/>
        </w:rPr>
        <w:t>1</w:t>
      </w:r>
      <w:r w:rsidR="00E560D2" w:rsidRPr="00763E26">
        <w:rPr>
          <w:rFonts w:asciiTheme="minorHAnsi" w:hAnsiTheme="minorHAnsi"/>
          <w:sz w:val="16"/>
          <w:szCs w:val="16"/>
        </w:rPr>
        <w:fldChar w:fldCharType="end"/>
      </w:r>
      <w:r w:rsidRPr="00763E26">
        <w:rPr>
          <w:rFonts w:asciiTheme="minorHAnsi" w:hAnsiTheme="minorHAnsi"/>
          <w:sz w:val="16"/>
          <w:szCs w:val="16"/>
        </w:rPr>
        <w:t>.</w:t>
      </w:r>
    </w:p>
  </w:footnote>
  <w:footnote w:id="51">
    <w:p w14:paraId="113FD161" w14:textId="15EFC025"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61" w:history="1">
        <w:r w:rsidRPr="008160BC">
          <w:rPr>
            <w:rStyle w:val="Hyperlink"/>
            <w:rFonts w:asciiTheme="minorHAnsi" w:hAnsiTheme="minorHAnsi"/>
            <w:i/>
            <w:iCs/>
            <w:color w:val="auto"/>
            <w:sz w:val="16"/>
            <w:szCs w:val="16"/>
            <w:u w:val="none"/>
          </w:rPr>
          <w:t>Key Statistics for Cancers in Young Adults</w:t>
        </w:r>
      </w:hyperlink>
      <w:r w:rsidRPr="008160BC">
        <w:rPr>
          <w:rFonts w:asciiTheme="minorHAnsi" w:hAnsiTheme="minorHAnsi"/>
          <w:sz w:val="16"/>
          <w:szCs w:val="16"/>
        </w:rPr>
        <w:t xml:space="preserve">, </w:t>
      </w:r>
      <w:r w:rsidRPr="00763E26">
        <w:rPr>
          <w:rFonts w:asciiTheme="minorHAnsi" w:hAnsiTheme="minorHAnsi"/>
          <w:sz w:val="16"/>
          <w:szCs w:val="16"/>
        </w:rPr>
        <w:t xml:space="preserve">AMERICAN CANCER SOCIETY, </w:t>
      </w:r>
      <w:hyperlink r:id="rId62" w:history="1">
        <w:r w:rsidRPr="00763E26">
          <w:rPr>
            <w:rStyle w:val="Hyperlink"/>
            <w:rFonts w:asciiTheme="minorHAnsi" w:hAnsiTheme="minorHAnsi"/>
            <w:sz w:val="16"/>
            <w:szCs w:val="16"/>
          </w:rPr>
          <w:t>https://www.cancer.org/cancer/types/cancer-in-young-adults/key-statistics.html</w:t>
        </w:r>
      </w:hyperlink>
      <w:r w:rsidRPr="00763E26">
        <w:rPr>
          <w:rFonts w:asciiTheme="minorHAnsi" w:hAnsiTheme="minorHAnsi"/>
          <w:sz w:val="16"/>
          <w:szCs w:val="16"/>
        </w:rPr>
        <w:t xml:space="preserve"> (last visited June 9, 2025).</w:t>
      </w:r>
    </w:p>
  </w:footnote>
  <w:footnote w:id="52">
    <w:p w14:paraId="58502C56" w14:textId="646B16D6"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63" w:history="1">
        <w:r w:rsidRPr="008160BC">
          <w:rPr>
            <w:rStyle w:val="Hyperlink"/>
            <w:rFonts w:asciiTheme="minorHAnsi" w:hAnsiTheme="minorHAnsi"/>
            <w:i/>
            <w:iCs/>
            <w:color w:val="auto"/>
            <w:sz w:val="16"/>
            <w:szCs w:val="16"/>
            <w:u w:val="none"/>
          </w:rPr>
          <w:t>Can Cancers in Young Adults Be Prevented?</w:t>
        </w:r>
        <w:r w:rsidRPr="008160BC">
          <w:rPr>
            <w:rStyle w:val="Hyperlink"/>
            <w:rFonts w:asciiTheme="minorHAnsi" w:hAnsiTheme="minorHAnsi"/>
            <w:color w:val="auto"/>
            <w:sz w:val="16"/>
            <w:szCs w:val="16"/>
            <w:u w:val="none"/>
          </w:rPr>
          <w:t>,</w:t>
        </w:r>
      </w:hyperlink>
      <w:r w:rsidRPr="008160BC">
        <w:rPr>
          <w:rFonts w:asciiTheme="minorHAnsi" w:hAnsiTheme="minorHAnsi"/>
          <w:sz w:val="16"/>
          <w:szCs w:val="16"/>
        </w:rPr>
        <w:t xml:space="preserve"> AMERICAN </w:t>
      </w:r>
      <w:r w:rsidRPr="00763E26">
        <w:rPr>
          <w:rFonts w:asciiTheme="minorHAnsi" w:hAnsiTheme="minorHAnsi"/>
          <w:sz w:val="16"/>
          <w:szCs w:val="16"/>
        </w:rPr>
        <w:t xml:space="preserve">CANCER SOCIETY, </w:t>
      </w:r>
      <w:hyperlink r:id="rId64" w:history="1">
        <w:r w:rsidRPr="00763E26">
          <w:rPr>
            <w:rStyle w:val="Hyperlink"/>
            <w:rFonts w:asciiTheme="minorHAnsi" w:hAnsiTheme="minorHAnsi"/>
            <w:sz w:val="16"/>
            <w:szCs w:val="16"/>
          </w:rPr>
          <w:t>https://www.cancer.org/cancer/types/cancer-in-young-adults/prevention.html</w:t>
        </w:r>
      </w:hyperlink>
      <w:r w:rsidRPr="00763E26">
        <w:rPr>
          <w:rFonts w:asciiTheme="minorHAnsi" w:hAnsiTheme="minorHAnsi"/>
          <w:sz w:val="16"/>
          <w:szCs w:val="16"/>
        </w:rPr>
        <w:t xml:space="preserve"> (last visited June 9, 2025).</w:t>
      </w:r>
    </w:p>
  </w:footnote>
  <w:footnote w:id="53">
    <w:p w14:paraId="16C1BEA1" w14:textId="18910FCF"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Key Statistics for Cancers in Young Adults</w:t>
      </w:r>
      <w:r w:rsidRPr="00763E26">
        <w:rPr>
          <w:rFonts w:asciiTheme="minorHAnsi" w:hAnsiTheme="minorHAnsi"/>
          <w:sz w:val="16"/>
          <w:szCs w:val="16"/>
        </w:rPr>
        <w:t xml:space="preserve">, </w:t>
      </w:r>
      <w:r w:rsidRPr="00763E26">
        <w:rPr>
          <w:rFonts w:asciiTheme="minorHAnsi" w:hAnsiTheme="minorHAnsi"/>
          <w:i/>
          <w:iCs/>
          <w:sz w:val="16"/>
          <w:szCs w:val="16"/>
        </w:rPr>
        <w:t xml:space="preserve">supra </w:t>
      </w:r>
      <w:r w:rsidRPr="00763E26">
        <w:rPr>
          <w:rFonts w:asciiTheme="minorHAnsi" w:hAnsiTheme="minorHAnsi"/>
          <w:sz w:val="16"/>
          <w:szCs w:val="16"/>
        </w:rPr>
        <w:t xml:space="preserve">note </w:t>
      </w:r>
      <w:r w:rsidR="00E560D2" w:rsidRPr="00763E26">
        <w:rPr>
          <w:rFonts w:asciiTheme="minorHAnsi" w:hAnsiTheme="minorHAnsi"/>
          <w:sz w:val="16"/>
          <w:szCs w:val="16"/>
        </w:rPr>
        <w:fldChar w:fldCharType="begin"/>
      </w:r>
      <w:r w:rsidR="00E560D2" w:rsidRPr="00763E26">
        <w:rPr>
          <w:rFonts w:asciiTheme="minorHAnsi" w:hAnsiTheme="minorHAnsi"/>
          <w:sz w:val="16"/>
          <w:szCs w:val="16"/>
        </w:rPr>
        <w:instrText xml:space="preserve"> NOTEREF _Ref207178020 \h </w:instrText>
      </w:r>
      <w:r w:rsidR="00763E26">
        <w:rPr>
          <w:rFonts w:asciiTheme="minorHAnsi" w:hAnsiTheme="minorHAnsi"/>
          <w:sz w:val="16"/>
          <w:szCs w:val="16"/>
        </w:rPr>
        <w:instrText xml:space="preserve"> \* MERGEFORMAT </w:instrText>
      </w:r>
      <w:r w:rsidR="00E560D2" w:rsidRPr="00763E26">
        <w:rPr>
          <w:rFonts w:asciiTheme="minorHAnsi" w:hAnsiTheme="minorHAnsi"/>
          <w:sz w:val="16"/>
          <w:szCs w:val="16"/>
        </w:rPr>
      </w:r>
      <w:r w:rsidR="00E560D2" w:rsidRPr="00763E26">
        <w:rPr>
          <w:rFonts w:asciiTheme="minorHAnsi" w:hAnsiTheme="minorHAnsi"/>
          <w:sz w:val="16"/>
          <w:szCs w:val="16"/>
        </w:rPr>
        <w:fldChar w:fldCharType="separate"/>
      </w:r>
      <w:r w:rsidR="00233739">
        <w:rPr>
          <w:rFonts w:asciiTheme="minorHAnsi" w:hAnsiTheme="minorHAnsi"/>
          <w:sz w:val="16"/>
          <w:szCs w:val="16"/>
        </w:rPr>
        <w:t>51</w:t>
      </w:r>
      <w:r w:rsidR="00E560D2" w:rsidRPr="00763E26">
        <w:rPr>
          <w:rFonts w:asciiTheme="minorHAnsi" w:hAnsiTheme="minorHAnsi"/>
          <w:sz w:val="16"/>
          <w:szCs w:val="16"/>
        </w:rPr>
        <w:fldChar w:fldCharType="end"/>
      </w:r>
      <w:r w:rsidRPr="00763E26">
        <w:rPr>
          <w:rFonts w:asciiTheme="minorHAnsi" w:hAnsiTheme="minorHAnsi"/>
          <w:sz w:val="16"/>
          <w:szCs w:val="16"/>
        </w:rPr>
        <w:t xml:space="preserve">. </w:t>
      </w:r>
    </w:p>
  </w:footnote>
  <w:footnote w:id="54">
    <w:p w14:paraId="592CB1CB" w14:textId="0B3C1E6B" w:rsidR="00761B84" w:rsidRPr="00763E26" w:rsidRDefault="00761B84">
      <w:pPr>
        <w:pStyle w:val="FootnoteText"/>
        <w:rPr>
          <w:sz w:val="16"/>
          <w:szCs w:val="16"/>
        </w:rPr>
      </w:pPr>
      <w:r w:rsidRPr="00763E26">
        <w:rPr>
          <w:rStyle w:val="FootnoteReference"/>
          <w:sz w:val="16"/>
          <w:szCs w:val="16"/>
        </w:rPr>
        <w:footnoteRef/>
      </w:r>
      <w:r w:rsidRPr="00763E26">
        <w:rPr>
          <w:sz w:val="16"/>
          <w:szCs w:val="16"/>
        </w:rPr>
        <w:t xml:space="preserve"> </w:t>
      </w:r>
      <w:r w:rsidR="00E560D2" w:rsidRPr="00763E26">
        <w:rPr>
          <w:rFonts w:asciiTheme="minorHAnsi" w:hAnsiTheme="minorHAnsi"/>
          <w:i/>
          <w:iCs/>
          <w:sz w:val="16"/>
          <w:szCs w:val="16"/>
        </w:rPr>
        <w:t>Key Statistics for Colorectal Cancer</w:t>
      </w:r>
      <w:r w:rsidR="00E560D2" w:rsidRPr="00763E26">
        <w:rPr>
          <w:rFonts w:asciiTheme="minorHAnsi" w:hAnsiTheme="minorHAnsi"/>
          <w:sz w:val="16"/>
          <w:szCs w:val="16"/>
        </w:rPr>
        <w:t xml:space="preserve">, </w:t>
      </w:r>
      <w:r w:rsidR="00E560D2" w:rsidRPr="00763E26">
        <w:rPr>
          <w:rFonts w:asciiTheme="minorHAnsi" w:hAnsiTheme="minorHAnsi"/>
          <w:i/>
          <w:iCs/>
          <w:sz w:val="16"/>
          <w:szCs w:val="16"/>
        </w:rPr>
        <w:t xml:space="preserve">supra </w:t>
      </w:r>
      <w:r w:rsidR="00E560D2" w:rsidRPr="00763E26">
        <w:rPr>
          <w:rFonts w:asciiTheme="minorHAnsi" w:hAnsiTheme="minorHAnsi"/>
          <w:sz w:val="16"/>
          <w:szCs w:val="16"/>
        </w:rPr>
        <w:t xml:space="preserve">note </w:t>
      </w:r>
      <w:r w:rsidR="00E560D2" w:rsidRPr="00763E26">
        <w:rPr>
          <w:rFonts w:asciiTheme="minorHAnsi" w:hAnsiTheme="minorHAnsi"/>
          <w:sz w:val="16"/>
          <w:szCs w:val="16"/>
        </w:rPr>
        <w:fldChar w:fldCharType="begin"/>
      </w:r>
      <w:r w:rsidR="00E560D2" w:rsidRPr="00763E26">
        <w:rPr>
          <w:rFonts w:asciiTheme="minorHAnsi" w:hAnsiTheme="minorHAnsi"/>
          <w:sz w:val="16"/>
          <w:szCs w:val="16"/>
        </w:rPr>
        <w:instrText xml:space="preserve"> NOTEREF _Ref207177991 \h </w:instrText>
      </w:r>
      <w:r w:rsidR="00763E26">
        <w:rPr>
          <w:rFonts w:asciiTheme="minorHAnsi" w:hAnsiTheme="minorHAnsi"/>
          <w:sz w:val="16"/>
          <w:szCs w:val="16"/>
        </w:rPr>
        <w:instrText xml:space="preserve"> \* MERGEFORMAT </w:instrText>
      </w:r>
      <w:r w:rsidR="00E560D2" w:rsidRPr="00763E26">
        <w:rPr>
          <w:rFonts w:asciiTheme="minorHAnsi" w:hAnsiTheme="minorHAnsi"/>
          <w:sz w:val="16"/>
          <w:szCs w:val="16"/>
        </w:rPr>
      </w:r>
      <w:r w:rsidR="00E560D2" w:rsidRPr="00763E26">
        <w:rPr>
          <w:rFonts w:asciiTheme="minorHAnsi" w:hAnsiTheme="minorHAnsi"/>
          <w:sz w:val="16"/>
          <w:szCs w:val="16"/>
        </w:rPr>
        <w:fldChar w:fldCharType="separate"/>
      </w:r>
      <w:r w:rsidR="00233739">
        <w:rPr>
          <w:rFonts w:asciiTheme="minorHAnsi" w:hAnsiTheme="minorHAnsi"/>
          <w:sz w:val="16"/>
          <w:szCs w:val="16"/>
        </w:rPr>
        <w:t>1</w:t>
      </w:r>
      <w:r w:rsidR="00E560D2" w:rsidRPr="00763E26">
        <w:rPr>
          <w:rFonts w:asciiTheme="minorHAnsi" w:hAnsiTheme="minorHAnsi"/>
          <w:sz w:val="16"/>
          <w:szCs w:val="16"/>
        </w:rPr>
        <w:fldChar w:fldCharType="end"/>
      </w:r>
      <w:r w:rsidR="00E560D2" w:rsidRPr="00763E26">
        <w:rPr>
          <w:rFonts w:asciiTheme="minorHAnsi" w:hAnsiTheme="minorHAnsi"/>
          <w:sz w:val="16"/>
          <w:szCs w:val="16"/>
        </w:rPr>
        <w:t>.</w:t>
      </w:r>
    </w:p>
  </w:footnote>
  <w:footnote w:id="55">
    <w:p w14:paraId="21BAE2BC" w14:textId="52066CD2"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E560D2" w:rsidRPr="00763E26">
        <w:rPr>
          <w:rFonts w:asciiTheme="minorHAnsi" w:hAnsiTheme="minorHAnsi"/>
          <w:i/>
          <w:iCs/>
          <w:sz w:val="16"/>
          <w:szCs w:val="16"/>
        </w:rPr>
        <w:t>Key Statistics for Colorectal Cancer</w:t>
      </w:r>
      <w:r w:rsidR="00E560D2" w:rsidRPr="00763E26">
        <w:rPr>
          <w:rFonts w:asciiTheme="minorHAnsi" w:hAnsiTheme="minorHAnsi"/>
          <w:sz w:val="16"/>
          <w:szCs w:val="16"/>
        </w:rPr>
        <w:t xml:space="preserve">, </w:t>
      </w:r>
      <w:r w:rsidR="00E560D2" w:rsidRPr="00763E26">
        <w:rPr>
          <w:rFonts w:asciiTheme="minorHAnsi" w:hAnsiTheme="minorHAnsi"/>
          <w:i/>
          <w:iCs/>
          <w:sz w:val="16"/>
          <w:szCs w:val="16"/>
        </w:rPr>
        <w:t xml:space="preserve">supra </w:t>
      </w:r>
      <w:r w:rsidR="00E560D2" w:rsidRPr="00763E26">
        <w:rPr>
          <w:rFonts w:asciiTheme="minorHAnsi" w:hAnsiTheme="minorHAnsi"/>
          <w:sz w:val="16"/>
          <w:szCs w:val="16"/>
        </w:rPr>
        <w:t xml:space="preserve">note </w:t>
      </w:r>
      <w:r w:rsidR="00E560D2" w:rsidRPr="00763E26">
        <w:rPr>
          <w:rFonts w:asciiTheme="minorHAnsi" w:hAnsiTheme="minorHAnsi"/>
          <w:sz w:val="16"/>
          <w:szCs w:val="16"/>
        </w:rPr>
        <w:fldChar w:fldCharType="begin"/>
      </w:r>
      <w:r w:rsidR="00E560D2" w:rsidRPr="00763E26">
        <w:rPr>
          <w:rFonts w:asciiTheme="minorHAnsi" w:hAnsiTheme="minorHAnsi"/>
          <w:sz w:val="16"/>
          <w:szCs w:val="16"/>
        </w:rPr>
        <w:instrText xml:space="preserve"> NOTEREF _Ref207177991 \h </w:instrText>
      </w:r>
      <w:r w:rsidR="00763E26">
        <w:rPr>
          <w:rFonts w:asciiTheme="minorHAnsi" w:hAnsiTheme="minorHAnsi"/>
          <w:sz w:val="16"/>
          <w:szCs w:val="16"/>
        </w:rPr>
        <w:instrText xml:space="preserve"> \* MERGEFORMAT </w:instrText>
      </w:r>
      <w:r w:rsidR="00E560D2" w:rsidRPr="00763E26">
        <w:rPr>
          <w:rFonts w:asciiTheme="minorHAnsi" w:hAnsiTheme="minorHAnsi"/>
          <w:sz w:val="16"/>
          <w:szCs w:val="16"/>
        </w:rPr>
      </w:r>
      <w:r w:rsidR="00E560D2" w:rsidRPr="00763E26">
        <w:rPr>
          <w:rFonts w:asciiTheme="minorHAnsi" w:hAnsiTheme="minorHAnsi"/>
          <w:sz w:val="16"/>
          <w:szCs w:val="16"/>
        </w:rPr>
        <w:fldChar w:fldCharType="separate"/>
      </w:r>
      <w:r w:rsidR="00233739">
        <w:rPr>
          <w:rFonts w:asciiTheme="minorHAnsi" w:hAnsiTheme="minorHAnsi"/>
          <w:sz w:val="16"/>
          <w:szCs w:val="16"/>
        </w:rPr>
        <w:t>1</w:t>
      </w:r>
      <w:r w:rsidR="00E560D2" w:rsidRPr="00763E26">
        <w:rPr>
          <w:rFonts w:asciiTheme="minorHAnsi" w:hAnsiTheme="minorHAnsi"/>
          <w:sz w:val="16"/>
          <w:szCs w:val="16"/>
        </w:rPr>
        <w:fldChar w:fldCharType="end"/>
      </w:r>
      <w:r w:rsidRPr="00763E26">
        <w:rPr>
          <w:rFonts w:asciiTheme="minorHAnsi" w:hAnsiTheme="minorHAnsi"/>
          <w:sz w:val="16"/>
          <w:szCs w:val="16"/>
        </w:rPr>
        <w:t>.</w:t>
      </w:r>
    </w:p>
  </w:footnote>
  <w:footnote w:id="56">
    <w:p w14:paraId="1998FB46" w14:textId="3F6995E9"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Michael Bretthauer et al, </w:t>
      </w:r>
      <w:hyperlink r:id="rId65" w:history="1">
        <w:r w:rsidRPr="00C10905">
          <w:rPr>
            <w:rStyle w:val="Hyperlink"/>
            <w:rFonts w:asciiTheme="minorHAnsi" w:hAnsiTheme="minorHAnsi"/>
            <w:i/>
            <w:iCs/>
            <w:color w:val="auto"/>
            <w:sz w:val="16"/>
            <w:szCs w:val="16"/>
            <w:u w:val="none"/>
          </w:rPr>
          <w:t>Effect of Colonoscopy Screening on Risks of Colorectal Cancer and Related Death</w:t>
        </w:r>
      </w:hyperlink>
      <w:r w:rsidRPr="00C10905">
        <w:rPr>
          <w:rFonts w:asciiTheme="minorHAnsi" w:hAnsiTheme="minorHAnsi"/>
          <w:sz w:val="16"/>
          <w:szCs w:val="16"/>
        </w:rPr>
        <w:t xml:space="preserve">, THE NEW </w:t>
      </w:r>
      <w:r w:rsidRPr="00763E26">
        <w:rPr>
          <w:rFonts w:asciiTheme="minorHAnsi" w:hAnsiTheme="minorHAnsi"/>
          <w:sz w:val="16"/>
          <w:szCs w:val="16"/>
        </w:rPr>
        <w:t xml:space="preserve">ENGLAND JOURNAL OF MEDICINE (2022), available at </w:t>
      </w:r>
      <w:hyperlink r:id="rId66" w:history="1">
        <w:r w:rsidRPr="00763E26">
          <w:rPr>
            <w:rStyle w:val="Hyperlink"/>
            <w:rFonts w:asciiTheme="minorHAnsi" w:hAnsiTheme="minorHAnsi"/>
            <w:sz w:val="16"/>
            <w:szCs w:val="16"/>
          </w:rPr>
          <w:t>https://www.nejm.org/doi/full/10.1056/NEJMoa2208375.</w:t>
        </w:r>
      </w:hyperlink>
    </w:p>
  </w:footnote>
  <w:footnote w:id="57">
    <w:p w14:paraId="1CEC7004" w14:textId="4A9801AC"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 xml:space="preserve">American Cancer Society Guideline for Colorectal Cancer Screening, supra </w:t>
      </w:r>
      <w:r w:rsidRPr="00763E26">
        <w:rPr>
          <w:rFonts w:asciiTheme="minorHAnsi" w:hAnsiTheme="minorHAnsi"/>
          <w:sz w:val="16"/>
          <w:szCs w:val="16"/>
        </w:rPr>
        <w:t xml:space="preserve">note </w:t>
      </w:r>
      <w:r w:rsidR="00E560D2" w:rsidRPr="00763E26">
        <w:rPr>
          <w:rFonts w:asciiTheme="minorHAnsi" w:hAnsiTheme="minorHAnsi"/>
          <w:sz w:val="16"/>
          <w:szCs w:val="16"/>
        </w:rPr>
        <w:fldChar w:fldCharType="begin"/>
      </w:r>
      <w:r w:rsidR="00E560D2" w:rsidRPr="00763E26">
        <w:rPr>
          <w:rFonts w:asciiTheme="minorHAnsi" w:hAnsiTheme="minorHAnsi"/>
          <w:sz w:val="16"/>
          <w:szCs w:val="16"/>
        </w:rPr>
        <w:instrText xml:space="preserve"> NOTEREF _Ref207178110 \h  \* MERGEFORMAT </w:instrText>
      </w:r>
      <w:r w:rsidR="00E560D2" w:rsidRPr="00763E26">
        <w:rPr>
          <w:rFonts w:asciiTheme="minorHAnsi" w:hAnsiTheme="minorHAnsi"/>
          <w:sz w:val="16"/>
          <w:szCs w:val="16"/>
        </w:rPr>
      </w:r>
      <w:r w:rsidR="00E560D2" w:rsidRPr="00763E26">
        <w:rPr>
          <w:rFonts w:asciiTheme="minorHAnsi" w:hAnsiTheme="minorHAnsi"/>
          <w:sz w:val="16"/>
          <w:szCs w:val="16"/>
        </w:rPr>
        <w:fldChar w:fldCharType="separate"/>
      </w:r>
      <w:r w:rsidR="00233739">
        <w:rPr>
          <w:rFonts w:asciiTheme="minorHAnsi" w:hAnsiTheme="minorHAnsi"/>
          <w:sz w:val="16"/>
          <w:szCs w:val="16"/>
        </w:rPr>
        <w:t>16</w:t>
      </w:r>
      <w:r w:rsidR="00E560D2" w:rsidRPr="00763E26">
        <w:rPr>
          <w:rFonts w:asciiTheme="minorHAnsi" w:hAnsiTheme="minorHAnsi"/>
          <w:sz w:val="16"/>
          <w:szCs w:val="16"/>
        </w:rPr>
        <w:fldChar w:fldCharType="end"/>
      </w:r>
      <w:r w:rsidRPr="00763E26">
        <w:rPr>
          <w:rFonts w:asciiTheme="minorHAnsi" w:hAnsiTheme="minorHAnsi"/>
          <w:i/>
          <w:iCs/>
          <w:sz w:val="16"/>
          <w:szCs w:val="16"/>
        </w:rPr>
        <w:t>.</w:t>
      </w:r>
    </w:p>
  </w:footnote>
  <w:footnote w:id="58">
    <w:p w14:paraId="35921D26" w14:textId="3BFFF5F2"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Key Statistics for Cancers in Young Adults</w:t>
      </w:r>
      <w:r w:rsidRPr="00763E26">
        <w:rPr>
          <w:rFonts w:asciiTheme="minorHAnsi" w:hAnsiTheme="minorHAnsi"/>
          <w:sz w:val="16"/>
          <w:szCs w:val="16"/>
        </w:rPr>
        <w:t xml:space="preserve">, </w:t>
      </w:r>
      <w:r w:rsidR="00E560D2" w:rsidRPr="00763E26">
        <w:rPr>
          <w:rFonts w:asciiTheme="minorHAnsi" w:hAnsiTheme="minorHAnsi"/>
          <w:i/>
          <w:iCs/>
          <w:sz w:val="16"/>
          <w:szCs w:val="16"/>
        </w:rPr>
        <w:t xml:space="preserve">supra </w:t>
      </w:r>
      <w:r w:rsidR="00E560D2" w:rsidRPr="00763E26">
        <w:rPr>
          <w:rFonts w:asciiTheme="minorHAnsi" w:hAnsiTheme="minorHAnsi"/>
          <w:sz w:val="16"/>
          <w:szCs w:val="16"/>
        </w:rPr>
        <w:t xml:space="preserve">note </w:t>
      </w:r>
      <w:r w:rsidR="00E560D2" w:rsidRPr="00763E26">
        <w:rPr>
          <w:rFonts w:asciiTheme="minorHAnsi" w:hAnsiTheme="minorHAnsi"/>
          <w:sz w:val="16"/>
          <w:szCs w:val="16"/>
        </w:rPr>
        <w:fldChar w:fldCharType="begin"/>
      </w:r>
      <w:r w:rsidR="00E560D2" w:rsidRPr="00763E26">
        <w:rPr>
          <w:rFonts w:asciiTheme="minorHAnsi" w:hAnsiTheme="minorHAnsi"/>
          <w:sz w:val="16"/>
          <w:szCs w:val="16"/>
        </w:rPr>
        <w:instrText xml:space="preserve"> NOTEREF _Ref207178020 \h </w:instrText>
      </w:r>
      <w:r w:rsidR="00763E26">
        <w:rPr>
          <w:rFonts w:asciiTheme="minorHAnsi" w:hAnsiTheme="minorHAnsi"/>
          <w:sz w:val="16"/>
          <w:szCs w:val="16"/>
        </w:rPr>
        <w:instrText xml:space="preserve"> \* MERGEFORMAT </w:instrText>
      </w:r>
      <w:r w:rsidR="00E560D2" w:rsidRPr="00763E26">
        <w:rPr>
          <w:rFonts w:asciiTheme="minorHAnsi" w:hAnsiTheme="minorHAnsi"/>
          <w:sz w:val="16"/>
          <w:szCs w:val="16"/>
        </w:rPr>
      </w:r>
      <w:r w:rsidR="00E560D2" w:rsidRPr="00763E26">
        <w:rPr>
          <w:rFonts w:asciiTheme="minorHAnsi" w:hAnsiTheme="minorHAnsi"/>
          <w:sz w:val="16"/>
          <w:szCs w:val="16"/>
        </w:rPr>
        <w:fldChar w:fldCharType="separate"/>
      </w:r>
      <w:r w:rsidR="00233739">
        <w:rPr>
          <w:rFonts w:asciiTheme="minorHAnsi" w:hAnsiTheme="minorHAnsi"/>
          <w:sz w:val="16"/>
          <w:szCs w:val="16"/>
        </w:rPr>
        <w:t>51</w:t>
      </w:r>
      <w:r w:rsidR="00E560D2" w:rsidRPr="00763E26">
        <w:rPr>
          <w:rFonts w:asciiTheme="minorHAnsi" w:hAnsiTheme="minorHAnsi"/>
          <w:sz w:val="16"/>
          <w:szCs w:val="16"/>
        </w:rPr>
        <w:fldChar w:fldCharType="end"/>
      </w:r>
      <w:r w:rsidRPr="00763E26">
        <w:rPr>
          <w:rFonts w:asciiTheme="minorHAnsi" w:hAnsiTheme="minorHAnsi"/>
          <w:sz w:val="16"/>
          <w:szCs w:val="16"/>
        </w:rPr>
        <w:t>.</w:t>
      </w:r>
    </w:p>
  </w:footnote>
  <w:footnote w:id="59">
    <w:p w14:paraId="41751086" w14:textId="74CA7BF3"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67" w:history="1">
        <w:r w:rsidRPr="00C10905">
          <w:rPr>
            <w:rStyle w:val="Hyperlink"/>
            <w:rFonts w:asciiTheme="minorHAnsi" w:hAnsiTheme="minorHAnsi"/>
            <w:i/>
            <w:iCs/>
            <w:color w:val="auto"/>
            <w:sz w:val="16"/>
            <w:szCs w:val="16"/>
            <w:u w:val="none"/>
          </w:rPr>
          <w:t>Colorectal Cancer Is a Major Public Health Problem</w:t>
        </w:r>
      </w:hyperlink>
      <w:r w:rsidRPr="00763E26">
        <w:rPr>
          <w:rFonts w:asciiTheme="minorHAnsi" w:hAnsiTheme="minorHAnsi"/>
          <w:sz w:val="16"/>
          <w:szCs w:val="16"/>
        </w:rPr>
        <w:t xml:space="preserve">, AMERICAN CANCER SOCIETY, </w:t>
      </w:r>
      <w:hyperlink r:id="rId68" w:history="1">
        <w:r w:rsidRPr="00763E26">
          <w:rPr>
            <w:rStyle w:val="Hyperlink"/>
            <w:rFonts w:asciiTheme="minorHAnsi" w:hAnsiTheme="minorHAnsi"/>
            <w:sz w:val="16"/>
            <w:szCs w:val="16"/>
          </w:rPr>
          <w:t>https://nccrt.org/our-impact/data-and-progress/</w:t>
        </w:r>
      </w:hyperlink>
      <w:r w:rsidRPr="00763E26">
        <w:rPr>
          <w:rFonts w:asciiTheme="minorHAnsi" w:hAnsiTheme="minorHAnsi"/>
          <w:sz w:val="16"/>
          <w:szCs w:val="16"/>
        </w:rPr>
        <w:t xml:space="preserve"> (last visited June 4, 2025).</w:t>
      </w:r>
    </w:p>
  </w:footnote>
  <w:footnote w:id="60">
    <w:p w14:paraId="4307B6BA" w14:textId="77777777"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Id.</w:t>
      </w:r>
    </w:p>
  </w:footnote>
  <w:footnote w:id="61">
    <w:p w14:paraId="19F9D371" w14:textId="31E20576" w:rsidR="00D71F42" w:rsidRPr="00763E26" w:rsidRDefault="00D71F42" w:rsidP="00D71F42">
      <w:pPr>
        <w:pStyle w:val="FootnoteText"/>
        <w:rPr>
          <w:rFonts w:asciiTheme="minorHAnsi" w:hAnsiTheme="minorHAnsi"/>
          <w:i/>
          <w:iCs/>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69" w:history="1">
        <w:r w:rsidRPr="00D74D13">
          <w:rPr>
            <w:rStyle w:val="Hyperlink"/>
            <w:rFonts w:asciiTheme="minorHAnsi" w:hAnsiTheme="minorHAnsi"/>
            <w:i/>
            <w:iCs/>
            <w:color w:val="auto"/>
            <w:sz w:val="16"/>
            <w:szCs w:val="16"/>
            <w:u w:val="none"/>
          </w:rPr>
          <w:t>Key Statistics for Colorectal Cancer,</w:t>
        </w:r>
      </w:hyperlink>
      <w:r w:rsidRPr="00D74D13">
        <w:rPr>
          <w:rFonts w:asciiTheme="minorHAnsi" w:hAnsiTheme="minorHAnsi"/>
          <w:i/>
          <w:iCs/>
          <w:sz w:val="16"/>
          <w:szCs w:val="16"/>
        </w:rPr>
        <w:t xml:space="preserve"> </w:t>
      </w:r>
      <w:r w:rsidRPr="00D74D13">
        <w:rPr>
          <w:rFonts w:asciiTheme="minorHAnsi" w:hAnsiTheme="minorHAnsi"/>
          <w:sz w:val="16"/>
          <w:szCs w:val="16"/>
        </w:rPr>
        <w:t xml:space="preserve">AMERICAN </w:t>
      </w:r>
      <w:r w:rsidRPr="00763E26">
        <w:rPr>
          <w:rFonts w:asciiTheme="minorHAnsi" w:hAnsiTheme="minorHAnsi"/>
          <w:sz w:val="16"/>
          <w:szCs w:val="16"/>
        </w:rPr>
        <w:t xml:space="preserve">CANCER SOCIETY, </w:t>
      </w:r>
      <w:hyperlink r:id="rId70" w:history="1">
        <w:r w:rsidRPr="00763E26">
          <w:rPr>
            <w:rStyle w:val="Hyperlink"/>
            <w:rFonts w:asciiTheme="minorHAnsi" w:hAnsiTheme="minorHAnsi"/>
            <w:sz w:val="16"/>
            <w:szCs w:val="16"/>
          </w:rPr>
          <w:t>https://www.cancer.org/cancer/types/colon-rectal-cancer/about/key-statistics.html</w:t>
        </w:r>
      </w:hyperlink>
      <w:r w:rsidRPr="00763E26">
        <w:rPr>
          <w:rFonts w:asciiTheme="minorHAnsi" w:hAnsiTheme="minorHAnsi"/>
          <w:sz w:val="16"/>
          <w:szCs w:val="16"/>
        </w:rPr>
        <w:t xml:space="preserve"> (last visited August 8, 2025) (discussing how the rate of individuals diagnosed with colorectal cancer has dropped overall since the 1980s mostly because of increased colonoscopy screenings and changes in lifestyle-related risk factors).</w:t>
      </w:r>
    </w:p>
  </w:footnote>
  <w:footnote w:id="62">
    <w:p w14:paraId="19934E98" w14:textId="273C9F5F"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71" w:history="1">
        <w:r w:rsidRPr="00D74D13">
          <w:rPr>
            <w:rStyle w:val="Hyperlink"/>
            <w:rFonts w:asciiTheme="minorHAnsi" w:hAnsiTheme="minorHAnsi"/>
            <w:i/>
            <w:iCs/>
            <w:color w:val="auto"/>
            <w:sz w:val="16"/>
            <w:szCs w:val="16"/>
            <w:u w:val="none"/>
          </w:rPr>
          <w:t>Ambulatory Surgery Centers Versus Hospital-</w:t>
        </w:r>
        <w:r w:rsidR="00244A6C" w:rsidRPr="00D74D13">
          <w:rPr>
            <w:rStyle w:val="Hyperlink"/>
            <w:rFonts w:asciiTheme="minorHAnsi" w:hAnsiTheme="minorHAnsi"/>
            <w:i/>
            <w:iCs/>
            <w:color w:val="auto"/>
            <w:sz w:val="16"/>
            <w:szCs w:val="16"/>
            <w:u w:val="none"/>
          </w:rPr>
          <w:t>B</w:t>
        </w:r>
        <w:r w:rsidRPr="00D74D13">
          <w:rPr>
            <w:rStyle w:val="Hyperlink"/>
            <w:rFonts w:asciiTheme="minorHAnsi" w:hAnsiTheme="minorHAnsi"/>
            <w:i/>
            <w:iCs/>
            <w:color w:val="auto"/>
            <w:sz w:val="16"/>
            <w:szCs w:val="16"/>
            <w:u w:val="none"/>
          </w:rPr>
          <w:t>ased Outpatient Departments: What’s the Difference?,</w:t>
        </w:r>
      </w:hyperlink>
      <w:r w:rsidRPr="00D74D13">
        <w:rPr>
          <w:rFonts w:asciiTheme="minorHAnsi" w:hAnsiTheme="minorHAnsi"/>
          <w:sz w:val="16"/>
          <w:szCs w:val="16"/>
        </w:rPr>
        <w:t xml:space="preserve"> AMERICAN </w:t>
      </w:r>
      <w:r w:rsidRPr="00763E26">
        <w:rPr>
          <w:rFonts w:asciiTheme="minorHAnsi" w:hAnsiTheme="minorHAnsi"/>
          <w:sz w:val="16"/>
          <w:szCs w:val="16"/>
        </w:rPr>
        <w:t xml:space="preserve">ACADEMY OF ORTHOPEDIC SURGEONS, </w:t>
      </w:r>
      <w:hyperlink r:id="rId72" w:history="1">
        <w:r w:rsidRPr="00763E26">
          <w:rPr>
            <w:rStyle w:val="Hyperlink"/>
            <w:rFonts w:asciiTheme="minorHAnsi" w:hAnsiTheme="minorHAnsi"/>
            <w:sz w:val="16"/>
            <w:szCs w:val="16"/>
          </w:rPr>
          <w:t>https://www.aaos.org/aaosnow/2019/sep/managing/managing02/</w:t>
        </w:r>
      </w:hyperlink>
      <w:r w:rsidRPr="00763E26">
        <w:rPr>
          <w:rFonts w:asciiTheme="minorHAnsi" w:hAnsiTheme="minorHAnsi"/>
          <w:sz w:val="16"/>
          <w:szCs w:val="16"/>
        </w:rPr>
        <w:t xml:space="preserve"> (last visited June 4, 2025).</w:t>
      </w:r>
    </w:p>
  </w:footnote>
  <w:footnote w:id="63">
    <w:p w14:paraId="433AE42D" w14:textId="1896D41C"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3D749E" w:rsidRPr="00763E26">
        <w:rPr>
          <w:rFonts w:asciiTheme="minorHAnsi" w:hAnsiTheme="minorHAnsi"/>
          <w:i/>
          <w:iCs/>
          <w:sz w:val="16"/>
          <w:szCs w:val="16"/>
        </w:rPr>
        <w:t xml:space="preserve">Id. </w:t>
      </w:r>
    </w:p>
  </w:footnote>
  <w:footnote w:id="64">
    <w:p w14:paraId="45506CB6" w14:textId="7A1D9423"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James C. Robinson and Christoper M. Wh</w:t>
      </w:r>
      <w:r w:rsidRPr="00D74D13">
        <w:rPr>
          <w:rFonts w:asciiTheme="minorHAnsi" w:hAnsiTheme="minorHAnsi"/>
          <w:sz w:val="16"/>
          <w:szCs w:val="16"/>
        </w:rPr>
        <w:t xml:space="preserve">aley, </w:t>
      </w:r>
      <w:hyperlink r:id="rId73" w:history="1">
        <w:r w:rsidRPr="00D74D13">
          <w:rPr>
            <w:rStyle w:val="Hyperlink"/>
            <w:rFonts w:asciiTheme="minorHAnsi" w:hAnsiTheme="minorHAnsi"/>
            <w:i/>
            <w:iCs/>
            <w:color w:val="auto"/>
            <w:sz w:val="16"/>
            <w:szCs w:val="16"/>
            <w:u w:val="none"/>
          </w:rPr>
          <w:t>Prices and Complications in Hospital-Based and Freestanding Surgery Centers</w:t>
        </w:r>
        <w:r w:rsidRPr="00D74D13">
          <w:rPr>
            <w:rStyle w:val="Hyperlink"/>
            <w:rFonts w:asciiTheme="minorHAnsi" w:hAnsiTheme="minorHAnsi"/>
            <w:color w:val="auto"/>
            <w:sz w:val="16"/>
            <w:szCs w:val="16"/>
            <w:u w:val="none"/>
          </w:rPr>
          <w:t>,</w:t>
        </w:r>
      </w:hyperlink>
      <w:r w:rsidRPr="00D74D13">
        <w:rPr>
          <w:rFonts w:asciiTheme="minorHAnsi" w:hAnsiTheme="minorHAnsi"/>
          <w:sz w:val="16"/>
          <w:szCs w:val="16"/>
        </w:rPr>
        <w:t xml:space="preserve"> AMERICAN JOURNAL OF MANAGED CARE, (2024) </w:t>
      </w:r>
      <w:hyperlink r:id="rId74" w:history="1">
        <w:r w:rsidR="00D74D13" w:rsidRPr="00D74D13">
          <w:rPr>
            <w:rStyle w:val="Hyperlink"/>
            <w:rFonts w:asciiTheme="minorHAnsi" w:hAnsiTheme="minorHAnsi"/>
            <w:color w:val="auto"/>
            <w:sz w:val="16"/>
            <w:szCs w:val="16"/>
            <w:u w:val="none"/>
          </w:rPr>
          <w:t>https://www.ajmc.com/view/prices-and-complications-in-hospital-based-and-freestanding-surgery-centers</w:t>
        </w:r>
      </w:hyperlink>
      <w:r w:rsidR="00D74D13" w:rsidRPr="00D74D13">
        <w:rPr>
          <w:rFonts w:asciiTheme="minorHAnsi" w:hAnsiTheme="minorHAnsi"/>
          <w:sz w:val="16"/>
          <w:szCs w:val="16"/>
        </w:rPr>
        <w:t xml:space="preserve"> </w:t>
      </w:r>
      <w:r w:rsidRPr="00D74D13">
        <w:rPr>
          <w:rFonts w:asciiTheme="minorHAnsi" w:hAnsiTheme="minorHAnsi"/>
          <w:sz w:val="16"/>
          <w:szCs w:val="16"/>
        </w:rPr>
        <w:t>.</w:t>
      </w:r>
    </w:p>
  </w:footnote>
  <w:footnote w:id="65">
    <w:p w14:paraId="39675E34" w14:textId="267514C9"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244A6C" w:rsidRPr="00763E26">
        <w:rPr>
          <w:rFonts w:asciiTheme="minorHAnsi" w:hAnsiTheme="minorHAnsi"/>
          <w:i/>
          <w:iCs/>
          <w:sz w:val="16"/>
          <w:szCs w:val="16"/>
        </w:rPr>
        <w:t xml:space="preserve">HPC </w:t>
      </w:r>
      <w:proofErr w:type="spellStart"/>
      <w:r w:rsidR="00244A6C" w:rsidRPr="00763E26">
        <w:rPr>
          <w:rFonts w:asciiTheme="minorHAnsi" w:hAnsiTheme="minorHAnsi"/>
          <w:i/>
          <w:iCs/>
          <w:sz w:val="16"/>
          <w:szCs w:val="16"/>
        </w:rPr>
        <w:t>DataPoints</w:t>
      </w:r>
      <w:proofErr w:type="spellEnd"/>
      <w:r w:rsidR="00244A6C" w:rsidRPr="00763E26">
        <w:rPr>
          <w:rFonts w:asciiTheme="minorHAnsi" w:hAnsiTheme="minorHAnsi"/>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66">
    <w:p w14:paraId="07EB09F6" w14:textId="6592F4E3"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244A6C" w:rsidRPr="00763E26">
        <w:rPr>
          <w:rFonts w:asciiTheme="minorHAnsi" w:hAnsiTheme="minorHAnsi"/>
          <w:i/>
          <w:iCs/>
          <w:sz w:val="16"/>
          <w:szCs w:val="16"/>
        </w:rPr>
        <w:t xml:space="preserve">HPC </w:t>
      </w:r>
      <w:proofErr w:type="spellStart"/>
      <w:r w:rsidR="00244A6C" w:rsidRPr="00763E26">
        <w:rPr>
          <w:rFonts w:asciiTheme="minorHAnsi" w:hAnsiTheme="minorHAnsi"/>
          <w:i/>
          <w:iCs/>
          <w:sz w:val="16"/>
          <w:szCs w:val="16"/>
        </w:rPr>
        <w:t>DataPoints</w:t>
      </w:r>
      <w:proofErr w:type="spellEnd"/>
      <w:r w:rsidR="00244A6C" w:rsidRPr="00763E26">
        <w:rPr>
          <w:rFonts w:asciiTheme="minorHAnsi" w:hAnsiTheme="minorHAnsi"/>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67">
    <w:p w14:paraId="5EE9D577" w14:textId="40417AD4"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244A6C" w:rsidRPr="00763E26">
        <w:rPr>
          <w:rFonts w:asciiTheme="minorHAnsi" w:hAnsiTheme="minorHAnsi"/>
          <w:i/>
          <w:iCs/>
          <w:sz w:val="16"/>
          <w:szCs w:val="16"/>
        </w:rPr>
        <w:t xml:space="preserve">HPC </w:t>
      </w:r>
      <w:proofErr w:type="spellStart"/>
      <w:r w:rsidR="00244A6C" w:rsidRPr="00763E26">
        <w:rPr>
          <w:rFonts w:asciiTheme="minorHAnsi" w:hAnsiTheme="minorHAnsi"/>
          <w:i/>
          <w:iCs/>
          <w:sz w:val="16"/>
          <w:szCs w:val="16"/>
        </w:rPr>
        <w:t>DataPoints</w:t>
      </w:r>
      <w:proofErr w:type="spellEnd"/>
      <w:r w:rsidR="00244A6C" w:rsidRPr="00763E26">
        <w:rPr>
          <w:rFonts w:asciiTheme="minorHAnsi" w:hAnsiTheme="minorHAnsi"/>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68">
    <w:p w14:paraId="16B88097" w14:textId="69719D51" w:rsidR="00D71F42" w:rsidRPr="00DA30C5"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lang w:val="de-DE"/>
        </w:rPr>
        <w:t xml:space="preserve"> </w:t>
      </w:r>
      <w:r w:rsidRPr="00763E26">
        <w:rPr>
          <w:rFonts w:asciiTheme="minorHAnsi" w:hAnsiTheme="minorHAnsi"/>
          <w:sz w:val="16"/>
          <w:szCs w:val="16"/>
          <w:lang w:val="de-DE"/>
        </w:rPr>
        <w:t xml:space="preserve">Goede </w:t>
      </w:r>
      <w:r w:rsidR="00DA30C5">
        <w:rPr>
          <w:rFonts w:asciiTheme="minorHAnsi" w:hAnsiTheme="minorHAnsi"/>
          <w:sz w:val="16"/>
          <w:szCs w:val="16"/>
          <w:lang w:val="de-DE"/>
        </w:rPr>
        <w:t xml:space="preserve">et al, </w:t>
      </w:r>
      <w:r w:rsidR="00DA30C5">
        <w:rPr>
          <w:rFonts w:asciiTheme="minorHAnsi" w:hAnsiTheme="minorHAnsi"/>
          <w:i/>
          <w:iCs/>
          <w:sz w:val="16"/>
          <w:szCs w:val="16"/>
          <w:lang w:val="de-DE"/>
        </w:rPr>
        <w:t>supra</w:t>
      </w:r>
      <w:r w:rsidR="00DA30C5">
        <w:rPr>
          <w:rFonts w:asciiTheme="minorHAnsi" w:hAnsiTheme="minorHAnsi"/>
          <w:sz w:val="16"/>
          <w:szCs w:val="16"/>
          <w:lang w:val="de-DE"/>
        </w:rPr>
        <w:t xml:space="preserve"> note </w:t>
      </w:r>
      <w:r w:rsidR="00DA30C5">
        <w:rPr>
          <w:rFonts w:asciiTheme="minorHAnsi" w:hAnsiTheme="minorHAnsi"/>
          <w:sz w:val="16"/>
          <w:szCs w:val="16"/>
          <w:lang w:val="de-DE"/>
        </w:rPr>
        <w:fldChar w:fldCharType="begin"/>
      </w:r>
      <w:r w:rsidR="00DA30C5">
        <w:rPr>
          <w:rFonts w:asciiTheme="minorHAnsi" w:hAnsiTheme="minorHAnsi"/>
          <w:sz w:val="16"/>
          <w:szCs w:val="16"/>
          <w:lang w:val="de-DE"/>
        </w:rPr>
        <w:instrText xml:space="preserve"> NOTEREF _Ref207179433 \h </w:instrText>
      </w:r>
      <w:r w:rsidR="00DA30C5">
        <w:rPr>
          <w:rFonts w:asciiTheme="minorHAnsi" w:hAnsiTheme="minorHAnsi"/>
          <w:sz w:val="16"/>
          <w:szCs w:val="16"/>
          <w:lang w:val="de-DE"/>
        </w:rPr>
      </w:r>
      <w:r w:rsidR="00DA30C5">
        <w:rPr>
          <w:rFonts w:asciiTheme="minorHAnsi" w:hAnsiTheme="minorHAnsi"/>
          <w:sz w:val="16"/>
          <w:szCs w:val="16"/>
          <w:lang w:val="de-DE"/>
        </w:rPr>
        <w:fldChar w:fldCharType="separate"/>
      </w:r>
      <w:r w:rsidR="00233739">
        <w:rPr>
          <w:rFonts w:asciiTheme="minorHAnsi" w:hAnsiTheme="minorHAnsi"/>
          <w:sz w:val="16"/>
          <w:szCs w:val="16"/>
          <w:lang w:val="de-DE"/>
        </w:rPr>
        <w:t>27</w:t>
      </w:r>
      <w:r w:rsidR="00DA30C5">
        <w:rPr>
          <w:rFonts w:asciiTheme="minorHAnsi" w:hAnsiTheme="minorHAnsi"/>
          <w:sz w:val="16"/>
          <w:szCs w:val="16"/>
          <w:lang w:val="de-DE"/>
        </w:rPr>
        <w:fldChar w:fldCharType="end"/>
      </w:r>
      <w:r w:rsidR="00DA30C5">
        <w:rPr>
          <w:rFonts w:asciiTheme="minorHAnsi" w:hAnsiTheme="minorHAnsi"/>
          <w:sz w:val="16"/>
          <w:szCs w:val="16"/>
          <w:lang w:val="de-DE"/>
        </w:rPr>
        <w:t>.</w:t>
      </w:r>
    </w:p>
  </w:footnote>
  <w:footnote w:id="69">
    <w:p w14:paraId="3F29CDAA" w14:textId="1937B1A6" w:rsidR="00D71F42" w:rsidRPr="00763E26" w:rsidRDefault="00D71F42" w:rsidP="00D71F42">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E560D2" w:rsidRPr="00763E26">
        <w:rPr>
          <w:rFonts w:asciiTheme="minorHAnsi" w:hAnsiTheme="minorHAnsi"/>
          <w:i/>
          <w:iCs/>
          <w:sz w:val="16"/>
          <w:szCs w:val="16"/>
        </w:rPr>
        <w:t>Id.</w:t>
      </w:r>
    </w:p>
  </w:footnote>
  <w:footnote w:id="70">
    <w:p w14:paraId="264CE56F" w14:textId="7FEB7701" w:rsidR="00AA4865" w:rsidRPr="00763E26" w:rsidRDefault="00AA4865" w:rsidP="00AA4865">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E560D2" w:rsidRPr="00763E26">
        <w:rPr>
          <w:rFonts w:asciiTheme="minorHAnsi" w:hAnsiTheme="minorHAnsi"/>
          <w:i/>
          <w:iCs/>
          <w:sz w:val="16"/>
          <w:szCs w:val="16"/>
        </w:rPr>
        <w:t>Id.</w:t>
      </w:r>
    </w:p>
  </w:footnote>
  <w:footnote w:id="71">
    <w:p w14:paraId="6F0A9DF3" w14:textId="73A499B2" w:rsidR="00AA4865" w:rsidRPr="00763E26" w:rsidRDefault="00AA4865" w:rsidP="00AA4865">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E560D2" w:rsidRPr="00763E26">
        <w:rPr>
          <w:rFonts w:asciiTheme="minorHAnsi" w:hAnsiTheme="minorHAnsi"/>
          <w:i/>
          <w:iCs/>
          <w:sz w:val="16"/>
          <w:szCs w:val="16"/>
        </w:rPr>
        <w:t>Id.</w:t>
      </w:r>
    </w:p>
  </w:footnote>
  <w:footnote w:id="72">
    <w:p w14:paraId="1B15DA04" w14:textId="78F2980F"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244A6C" w:rsidRPr="00763E26">
        <w:rPr>
          <w:rFonts w:asciiTheme="minorHAnsi" w:hAnsiTheme="minorHAnsi"/>
          <w:i/>
          <w:iCs/>
          <w:sz w:val="16"/>
          <w:szCs w:val="16"/>
        </w:rPr>
        <w:t xml:space="preserve">HPC </w:t>
      </w:r>
      <w:proofErr w:type="spellStart"/>
      <w:r w:rsidR="00244A6C" w:rsidRPr="00763E26">
        <w:rPr>
          <w:rFonts w:asciiTheme="minorHAnsi" w:hAnsiTheme="minorHAnsi"/>
          <w:i/>
          <w:iCs/>
          <w:sz w:val="16"/>
          <w:szCs w:val="16"/>
        </w:rPr>
        <w:t>DataPoints</w:t>
      </w:r>
      <w:proofErr w:type="spellEnd"/>
      <w:r w:rsidR="00244A6C" w:rsidRPr="00763E26">
        <w:rPr>
          <w:rFonts w:asciiTheme="minorHAnsi" w:hAnsiTheme="minorHAnsi"/>
          <w:i/>
          <w:iCs/>
          <w:sz w:val="16"/>
          <w:szCs w:val="16"/>
        </w:rPr>
        <w:t xml:space="preserve">, Issue 26, </w:t>
      </w:r>
      <w:r w:rsidR="00420C7E" w:rsidRPr="00763E26">
        <w:rPr>
          <w:rFonts w:ascii="Aptos" w:hAnsi="Aptos"/>
          <w:i/>
          <w:iCs/>
          <w:sz w:val="16"/>
          <w:szCs w:val="16"/>
        </w:rPr>
        <w:t>supra</w:t>
      </w:r>
      <w:r w:rsidR="00420C7E" w:rsidRPr="00763E26">
        <w:rPr>
          <w:rFonts w:ascii="Aptos" w:hAnsi="Aptos"/>
          <w:sz w:val="16"/>
          <w:szCs w:val="16"/>
        </w:rPr>
        <w:t xml:space="preserve"> note </w:t>
      </w:r>
      <w:r w:rsidR="00420C7E" w:rsidRPr="00763E26">
        <w:rPr>
          <w:rFonts w:ascii="Aptos" w:hAnsi="Aptos"/>
          <w:sz w:val="16"/>
          <w:szCs w:val="16"/>
        </w:rPr>
        <w:fldChar w:fldCharType="begin"/>
      </w:r>
      <w:r w:rsidR="00420C7E"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420C7E" w:rsidRPr="00763E26">
        <w:rPr>
          <w:rFonts w:ascii="Aptos" w:hAnsi="Aptos"/>
          <w:sz w:val="16"/>
          <w:szCs w:val="16"/>
        </w:rPr>
      </w:r>
      <w:r w:rsidR="00420C7E" w:rsidRPr="00763E26">
        <w:rPr>
          <w:rFonts w:ascii="Aptos" w:hAnsi="Aptos"/>
          <w:sz w:val="16"/>
          <w:szCs w:val="16"/>
        </w:rPr>
        <w:fldChar w:fldCharType="separate"/>
      </w:r>
      <w:r w:rsidR="00233739">
        <w:rPr>
          <w:rFonts w:ascii="Aptos" w:hAnsi="Aptos"/>
          <w:sz w:val="16"/>
          <w:szCs w:val="16"/>
        </w:rPr>
        <w:t>6</w:t>
      </w:r>
      <w:r w:rsidR="00420C7E" w:rsidRPr="00763E26">
        <w:rPr>
          <w:rFonts w:ascii="Aptos" w:hAnsi="Aptos"/>
          <w:sz w:val="16"/>
          <w:szCs w:val="16"/>
        </w:rPr>
        <w:fldChar w:fldCharType="end"/>
      </w:r>
      <w:r w:rsidR="00420C7E" w:rsidRPr="00763E26">
        <w:rPr>
          <w:rFonts w:ascii="Aptos" w:hAnsi="Aptos"/>
          <w:sz w:val="16"/>
          <w:szCs w:val="16"/>
        </w:rPr>
        <w:t>.</w:t>
      </w:r>
    </w:p>
  </w:footnote>
  <w:footnote w:id="73">
    <w:p w14:paraId="305997CE" w14:textId="77777777"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This information is based on the HPC </w:t>
      </w:r>
      <w:r w:rsidRPr="00763E26">
        <w:rPr>
          <w:rFonts w:asciiTheme="minorHAnsi" w:hAnsiTheme="minorHAnsi"/>
          <w:i/>
          <w:iCs/>
          <w:sz w:val="16"/>
          <w:szCs w:val="16"/>
        </w:rPr>
        <w:t>Datapoints</w:t>
      </w:r>
      <w:r w:rsidRPr="00763E26">
        <w:rPr>
          <w:rFonts w:asciiTheme="minorHAnsi" w:hAnsiTheme="minorHAnsi"/>
          <w:sz w:val="16"/>
          <w:szCs w:val="16"/>
        </w:rPr>
        <w:t xml:space="preserve"> released in February 2024 before the approval of any subsequent ASC </w:t>
      </w:r>
      <w:proofErr w:type="spellStart"/>
      <w:r w:rsidRPr="00763E26">
        <w:rPr>
          <w:rFonts w:asciiTheme="minorHAnsi" w:hAnsiTheme="minorHAnsi"/>
          <w:sz w:val="16"/>
          <w:szCs w:val="16"/>
        </w:rPr>
        <w:t>DoN</w:t>
      </w:r>
      <w:proofErr w:type="spellEnd"/>
      <w:r w:rsidRPr="00763E26">
        <w:rPr>
          <w:rFonts w:asciiTheme="minorHAnsi" w:hAnsiTheme="minorHAnsi"/>
          <w:sz w:val="16"/>
          <w:szCs w:val="16"/>
        </w:rPr>
        <w:t xml:space="preserve"> applications.</w:t>
      </w:r>
    </w:p>
  </w:footnote>
  <w:footnote w:id="74">
    <w:p w14:paraId="78219732" w14:textId="77777777" w:rsidR="00362C79" w:rsidRPr="00763E26" w:rsidRDefault="00362C79" w:rsidP="00362C79">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This information is based on the HPC </w:t>
      </w:r>
      <w:r w:rsidRPr="00763E26">
        <w:rPr>
          <w:rFonts w:asciiTheme="minorHAnsi" w:hAnsiTheme="minorHAnsi"/>
          <w:i/>
          <w:iCs/>
          <w:sz w:val="16"/>
          <w:szCs w:val="16"/>
        </w:rPr>
        <w:t>Datapoints</w:t>
      </w:r>
      <w:r w:rsidRPr="00763E26">
        <w:rPr>
          <w:rFonts w:asciiTheme="minorHAnsi" w:hAnsiTheme="minorHAnsi"/>
          <w:sz w:val="16"/>
          <w:szCs w:val="16"/>
        </w:rPr>
        <w:t xml:space="preserve"> released in February 2024 before the approval of any subsequent ASC </w:t>
      </w:r>
      <w:proofErr w:type="spellStart"/>
      <w:r w:rsidRPr="00763E26">
        <w:rPr>
          <w:rFonts w:asciiTheme="minorHAnsi" w:hAnsiTheme="minorHAnsi"/>
          <w:sz w:val="16"/>
          <w:szCs w:val="16"/>
        </w:rPr>
        <w:t>DoN</w:t>
      </w:r>
      <w:proofErr w:type="spellEnd"/>
      <w:r w:rsidRPr="00763E26">
        <w:rPr>
          <w:rFonts w:asciiTheme="minorHAnsi" w:hAnsiTheme="minorHAnsi"/>
          <w:sz w:val="16"/>
          <w:szCs w:val="16"/>
        </w:rPr>
        <w:t xml:space="preserve"> applications.</w:t>
      </w:r>
    </w:p>
  </w:footnote>
  <w:footnote w:id="75">
    <w:p w14:paraId="70563191" w14:textId="14A9C9AF" w:rsidR="005B6EDA" w:rsidRPr="00763E26" w:rsidRDefault="005B6EDA" w:rsidP="005B6EDA">
      <w:pPr>
        <w:pStyle w:val="FootnoteText"/>
        <w:rPr>
          <w:sz w:val="16"/>
          <w:szCs w:val="16"/>
        </w:rPr>
      </w:pPr>
      <w:r w:rsidRPr="00763E26">
        <w:rPr>
          <w:rStyle w:val="FootnoteReference"/>
          <w:rFonts w:ascii="Aptos" w:hAnsi="Aptos"/>
          <w:sz w:val="16"/>
          <w:szCs w:val="16"/>
        </w:rPr>
        <w:footnoteRef/>
      </w:r>
      <w:r w:rsidRPr="00763E26">
        <w:rPr>
          <w:sz w:val="16"/>
          <w:szCs w:val="16"/>
        </w:rPr>
        <w:t xml:space="preserve"> </w:t>
      </w:r>
      <w:hyperlink r:id="rId75" w:history="1">
        <w:r w:rsidRPr="00D74D13">
          <w:rPr>
            <w:rStyle w:val="Hyperlink"/>
            <w:rFonts w:ascii="Aptos" w:hAnsi="Aptos"/>
            <w:i/>
            <w:iCs/>
            <w:color w:val="auto"/>
            <w:sz w:val="16"/>
            <w:szCs w:val="16"/>
            <w:u w:val="none"/>
          </w:rPr>
          <w:t>Quality Indicators for GI Endoscopic Procedures</w:t>
        </w:r>
      </w:hyperlink>
      <w:r w:rsidRPr="00D74D13">
        <w:rPr>
          <w:rFonts w:ascii="Aptos" w:hAnsi="Aptos"/>
          <w:sz w:val="16"/>
          <w:szCs w:val="16"/>
        </w:rPr>
        <w:t xml:space="preserve">, </w:t>
      </w:r>
      <w:r w:rsidRPr="00D74D13">
        <w:rPr>
          <w:rFonts w:ascii="Aptos" w:hAnsi="Aptos"/>
          <w:smallCaps/>
          <w:sz w:val="16"/>
          <w:szCs w:val="16"/>
        </w:rPr>
        <w:t xml:space="preserve">American Society </w:t>
      </w:r>
      <w:r w:rsidRPr="00763E26">
        <w:rPr>
          <w:rFonts w:ascii="Aptos" w:hAnsi="Aptos"/>
          <w:smallCaps/>
          <w:sz w:val="16"/>
          <w:szCs w:val="16"/>
        </w:rPr>
        <w:t>for Gastrointestinal Endoscopy</w:t>
      </w:r>
      <w:r w:rsidRPr="00763E26">
        <w:rPr>
          <w:rFonts w:ascii="Aptos" w:hAnsi="Aptos"/>
          <w:sz w:val="16"/>
          <w:szCs w:val="16"/>
        </w:rPr>
        <w:t>,</w:t>
      </w:r>
      <w:r w:rsidRPr="00763E26">
        <w:rPr>
          <w:i/>
          <w:iCs/>
          <w:sz w:val="16"/>
          <w:szCs w:val="16"/>
        </w:rPr>
        <w:t xml:space="preserve">  </w:t>
      </w:r>
      <w:hyperlink r:id="rId76" w:history="1">
        <w:r w:rsidRPr="00763E26">
          <w:rPr>
            <w:rStyle w:val="Hyperlink"/>
            <w:rFonts w:ascii="Aptos" w:hAnsi="Aptos"/>
            <w:sz w:val="16"/>
            <w:szCs w:val="16"/>
          </w:rPr>
          <w:t>https://www.asge.org/docs/default-source/default-document-library/quality-indicators-for-gi-endoscopic-procedures.pdf?sfvrsn=e0d2ea51_0</w:t>
        </w:r>
      </w:hyperlink>
      <w:r w:rsidRPr="00763E26">
        <w:rPr>
          <w:rFonts w:ascii="Aptos" w:hAnsi="Aptos"/>
          <w:sz w:val="16"/>
          <w:szCs w:val="16"/>
        </w:rPr>
        <w:t xml:space="preserve"> (last visited </w:t>
      </w:r>
      <w:r w:rsidR="00244A6C" w:rsidRPr="00763E26">
        <w:rPr>
          <w:rFonts w:ascii="Aptos" w:hAnsi="Aptos"/>
          <w:sz w:val="16"/>
          <w:szCs w:val="16"/>
        </w:rPr>
        <w:t>July 11</w:t>
      </w:r>
      <w:r w:rsidRPr="00763E26">
        <w:rPr>
          <w:rFonts w:ascii="Aptos" w:hAnsi="Aptos"/>
          <w:sz w:val="16"/>
          <w:szCs w:val="16"/>
        </w:rPr>
        <w:t>, 2025).</w:t>
      </w:r>
    </w:p>
  </w:footnote>
  <w:footnote w:id="76">
    <w:p w14:paraId="5295C384" w14:textId="30863446" w:rsidR="00190BA6" w:rsidRPr="00763E26" w:rsidRDefault="00190BA6">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w:t>
      </w:r>
      <w:r w:rsidRPr="00763E26">
        <w:rPr>
          <w:rFonts w:ascii="Aptos" w:eastAsia="Arial" w:hAnsi="Aptos" w:cs="Arial"/>
          <w:sz w:val="16"/>
          <w:szCs w:val="16"/>
        </w:rPr>
        <w:t xml:space="preserve">At the time of this Application, the Applicant has not received feedback </w:t>
      </w:r>
      <w:r w:rsidR="00832C91" w:rsidRPr="00763E26">
        <w:rPr>
          <w:rFonts w:ascii="Aptos" w:eastAsia="Arial" w:hAnsi="Aptos" w:cs="Arial"/>
          <w:sz w:val="16"/>
          <w:szCs w:val="16"/>
        </w:rPr>
        <w:t xml:space="preserve">from the community </w:t>
      </w:r>
      <w:r w:rsidRPr="00763E26">
        <w:rPr>
          <w:rFonts w:ascii="Aptos" w:eastAsia="Arial" w:hAnsi="Aptos" w:cs="Arial"/>
          <w:sz w:val="16"/>
          <w:szCs w:val="16"/>
        </w:rPr>
        <w:t>regarding the Proposed Project.</w:t>
      </w:r>
    </w:p>
  </w:footnote>
  <w:footnote w:id="77">
    <w:p w14:paraId="496792D8" w14:textId="35B2BF5D" w:rsidR="00A2471A" w:rsidRPr="00763E26" w:rsidRDefault="00A2471A" w:rsidP="00A2471A">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Please note, the out-of-pocket costs for patients is based on </w:t>
      </w:r>
      <w:hyperlink r:id="rId77" w:history="1">
        <w:r w:rsidRPr="00D74D13">
          <w:rPr>
            <w:rStyle w:val="Hyperlink"/>
            <w:rFonts w:asciiTheme="minorHAnsi" w:hAnsiTheme="minorHAnsi"/>
            <w:color w:val="auto"/>
            <w:sz w:val="16"/>
            <w:szCs w:val="16"/>
            <w:u w:val="none"/>
          </w:rPr>
          <w:t>Medicare’s 2025 payments and copayments rates</w:t>
        </w:r>
      </w:hyperlink>
      <w:r w:rsidRPr="00D74D13">
        <w:rPr>
          <w:rFonts w:asciiTheme="minorHAnsi" w:hAnsiTheme="minorHAnsi"/>
          <w:sz w:val="16"/>
          <w:szCs w:val="16"/>
        </w:rPr>
        <w:t xml:space="preserve">, as reviewed </w:t>
      </w:r>
      <w:r w:rsidRPr="00763E26">
        <w:rPr>
          <w:rFonts w:asciiTheme="minorHAnsi" w:hAnsiTheme="minorHAnsi"/>
          <w:sz w:val="16"/>
          <w:szCs w:val="16"/>
        </w:rPr>
        <w:t>on July 10, 2025</w:t>
      </w:r>
      <w:r w:rsidR="007F1DEF" w:rsidRPr="00763E26">
        <w:rPr>
          <w:rFonts w:asciiTheme="minorHAnsi" w:hAnsiTheme="minorHAnsi"/>
          <w:sz w:val="16"/>
          <w:szCs w:val="16"/>
        </w:rPr>
        <w:t xml:space="preserve"> and are available at </w:t>
      </w:r>
      <w:hyperlink r:id="rId78" w:history="1">
        <w:r w:rsidR="007F1DEF" w:rsidRPr="00763E26">
          <w:rPr>
            <w:rStyle w:val="Hyperlink"/>
            <w:rFonts w:asciiTheme="minorHAnsi" w:hAnsiTheme="minorHAnsi"/>
            <w:sz w:val="16"/>
            <w:szCs w:val="16"/>
          </w:rPr>
          <w:t>https://www.medicare.gov/procedure-price-lookup/</w:t>
        </w:r>
      </w:hyperlink>
      <w:r w:rsidR="007F1DEF" w:rsidRPr="00763E26">
        <w:rPr>
          <w:sz w:val="16"/>
          <w:szCs w:val="16"/>
        </w:rPr>
        <w:t>.</w:t>
      </w:r>
    </w:p>
  </w:footnote>
  <w:footnote w:id="78">
    <w:p w14:paraId="2579556B" w14:textId="09EE9C1B" w:rsidR="00A2471A" w:rsidRPr="00763E26" w:rsidRDefault="00A2471A" w:rsidP="00A2471A">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79" w:anchor=":~:text=Through%20market%20oversight%2C%20data%2Ddriven,affordable%2C%20transparent%2C%20and%20equitable" w:history="1">
        <w:r w:rsidRPr="00295E98">
          <w:rPr>
            <w:rStyle w:val="Hyperlink"/>
            <w:rFonts w:asciiTheme="minorHAnsi" w:hAnsiTheme="minorHAnsi"/>
            <w:i/>
            <w:iCs/>
            <w:color w:val="auto"/>
            <w:sz w:val="16"/>
            <w:szCs w:val="16"/>
            <w:u w:val="none"/>
          </w:rPr>
          <w:t>About the HPC</w:t>
        </w:r>
      </w:hyperlink>
      <w:r w:rsidRPr="00295E98">
        <w:rPr>
          <w:rFonts w:asciiTheme="minorHAnsi" w:hAnsiTheme="minorHAnsi"/>
          <w:sz w:val="16"/>
          <w:szCs w:val="16"/>
        </w:rPr>
        <w:t xml:space="preserve">, </w:t>
      </w:r>
      <w:r w:rsidRPr="00763E26">
        <w:rPr>
          <w:rFonts w:asciiTheme="minorHAnsi" w:hAnsiTheme="minorHAnsi"/>
          <w:sz w:val="16"/>
          <w:szCs w:val="16"/>
        </w:rPr>
        <w:t xml:space="preserve">MASSACHUSETTS HEALTH POLICY COMMISSION, </w:t>
      </w:r>
      <w:hyperlink r:id="rId80" w:anchor=":~:text=Through%20market%20oversight%2C%20data%2Ddriven,affordable%2C%20transparent%2C%20and%20equitable." w:history="1">
        <w:r w:rsidRPr="00763E26">
          <w:rPr>
            <w:rStyle w:val="Hyperlink"/>
            <w:rFonts w:asciiTheme="minorHAnsi" w:hAnsiTheme="minorHAnsi"/>
            <w:sz w:val="16"/>
            <w:szCs w:val="16"/>
          </w:rPr>
          <w:t>https://masshpc.gov/about#:~:text=Through%20market%20oversight%2C%20data%2Ddriven,affordable%2C%20transparent%2C%20and%20equitable.</w:t>
        </w:r>
      </w:hyperlink>
      <w:r w:rsidRPr="00763E26">
        <w:rPr>
          <w:rFonts w:asciiTheme="minorHAnsi" w:hAnsiTheme="minorHAnsi"/>
          <w:sz w:val="16"/>
          <w:szCs w:val="16"/>
        </w:rPr>
        <w:t xml:space="preserve"> (last visited June 18, 2025).</w:t>
      </w:r>
    </w:p>
  </w:footnote>
  <w:footnote w:id="79">
    <w:p w14:paraId="3ACEA165" w14:textId="2A8A6120" w:rsidR="00A2471A" w:rsidRPr="00763E26" w:rsidRDefault="00A2471A" w:rsidP="00A2471A">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7F1DEF" w:rsidRPr="00763E26">
        <w:rPr>
          <w:rFonts w:ascii="Aptos" w:hAnsi="Aptos"/>
          <w:i/>
          <w:iCs/>
          <w:sz w:val="16"/>
          <w:szCs w:val="16"/>
        </w:rPr>
        <w:t xml:space="preserve">HPC </w:t>
      </w:r>
      <w:proofErr w:type="spellStart"/>
      <w:r w:rsidR="007F1DEF" w:rsidRPr="00763E26">
        <w:rPr>
          <w:rFonts w:ascii="Aptos" w:hAnsi="Aptos"/>
          <w:i/>
          <w:iCs/>
          <w:sz w:val="16"/>
          <w:szCs w:val="16"/>
        </w:rPr>
        <w:t>DataPoints</w:t>
      </w:r>
      <w:proofErr w:type="spellEnd"/>
      <w:r w:rsidR="007F1DEF" w:rsidRPr="00763E26">
        <w:rPr>
          <w:rFonts w:ascii="Aptos" w:hAnsi="Aptos"/>
          <w:i/>
          <w:iCs/>
          <w:sz w:val="16"/>
          <w:szCs w:val="16"/>
        </w:rPr>
        <w:t xml:space="preserve">, Issue 26, </w:t>
      </w:r>
      <w:r w:rsidR="00A855B0" w:rsidRPr="00763E26">
        <w:rPr>
          <w:rFonts w:ascii="Aptos" w:hAnsi="Aptos"/>
          <w:i/>
          <w:iCs/>
          <w:sz w:val="16"/>
          <w:szCs w:val="16"/>
        </w:rPr>
        <w:t>supra</w:t>
      </w:r>
      <w:r w:rsidR="00A855B0" w:rsidRPr="00763E26">
        <w:rPr>
          <w:rFonts w:ascii="Aptos" w:hAnsi="Aptos"/>
          <w:sz w:val="16"/>
          <w:szCs w:val="16"/>
        </w:rPr>
        <w:t xml:space="preserve"> note </w:t>
      </w:r>
      <w:r w:rsidR="00A855B0" w:rsidRPr="00763E26">
        <w:rPr>
          <w:rFonts w:ascii="Aptos" w:hAnsi="Aptos"/>
          <w:sz w:val="16"/>
          <w:szCs w:val="16"/>
        </w:rPr>
        <w:fldChar w:fldCharType="begin"/>
      </w:r>
      <w:r w:rsidR="00A855B0"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A855B0" w:rsidRPr="00763E26">
        <w:rPr>
          <w:rFonts w:ascii="Aptos" w:hAnsi="Aptos"/>
          <w:sz w:val="16"/>
          <w:szCs w:val="16"/>
        </w:rPr>
      </w:r>
      <w:r w:rsidR="00A855B0" w:rsidRPr="00763E26">
        <w:rPr>
          <w:rFonts w:ascii="Aptos" w:hAnsi="Aptos"/>
          <w:sz w:val="16"/>
          <w:szCs w:val="16"/>
        </w:rPr>
        <w:fldChar w:fldCharType="separate"/>
      </w:r>
      <w:r w:rsidR="00233739">
        <w:rPr>
          <w:rFonts w:ascii="Aptos" w:hAnsi="Aptos"/>
          <w:sz w:val="16"/>
          <w:szCs w:val="16"/>
        </w:rPr>
        <w:t>6</w:t>
      </w:r>
      <w:r w:rsidR="00A855B0" w:rsidRPr="00763E26">
        <w:rPr>
          <w:rFonts w:ascii="Aptos" w:hAnsi="Aptos"/>
          <w:sz w:val="16"/>
          <w:szCs w:val="16"/>
        </w:rPr>
        <w:fldChar w:fldCharType="end"/>
      </w:r>
      <w:r w:rsidR="00A855B0" w:rsidRPr="00763E26">
        <w:rPr>
          <w:rFonts w:ascii="Aptos" w:hAnsi="Aptos"/>
          <w:sz w:val="16"/>
          <w:szCs w:val="16"/>
        </w:rPr>
        <w:t>.</w:t>
      </w:r>
    </w:p>
  </w:footnote>
  <w:footnote w:id="80">
    <w:p w14:paraId="24126A06" w14:textId="7BBC3E42" w:rsidR="00A2471A" w:rsidRPr="00763E26" w:rsidRDefault="00A2471A" w:rsidP="00A2471A">
      <w:pPr>
        <w:pStyle w:val="FootnoteText"/>
        <w:rPr>
          <w:sz w:val="16"/>
          <w:szCs w:val="16"/>
        </w:rPr>
      </w:pPr>
      <w:r w:rsidRPr="00763E26">
        <w:rPr>
          <w:rStyle w:val="FootnoteReference"/>
          <w:rFonts w:asciiTheme="minorHAnsi" w:hAnsiTheme="minorHAnsi"/>
          <w:sz w:val="16"/>
          <w:szCs w:val="16"/>
        </w:rPr>
        <w:footnoteRef/>
      </w:r>
      <w:r w:rsidRPr="00763E26">
        <w:rPr>
          <w:sz w:val="16"/>
          <w:szCs w:val="16"/>
        </w:rPr>
        <w:t xml:space="preserve"> </w:t>
      </w:r>
      <w:r w:rsidR="007F1DEF" w:rsidRPr="00763E26">
        <w:rPr>
          <w:rFonts w:ascii="Aptos" w:hAnsi="Aptos"/>
          <w:i/>
          <w:iCs/>
          <w:sz w:val="16"/>
          <w:szCs w:val="16"/>
        </w:rPr>
        <w:t xml:space="preserve">HPC </w:t>
      </w:r>
      <w:proofErr w:type="spellStart"/>
      <w:r w:rsidR="007F1DEF" w:rsidRPr="00763E26">
        <w:rPr>
          <w:rFonts w:ascii="Aptos" w:hAnsi="Aptos"/>
          <w:i/>
          <w:iCs/>
          <w:sz w:val="16"/>
          <w:szCs w:val="16"/>
        </w:rPr>
        <w:t>DataPoints</w:t>
      </w:r>
      <w:proofErr w:type="spellEnd"/>
      <w:r w:rsidR="007F1DEF" w:rsidRPr="00763E26">
        <w:rPr>
          <w:rFonts w:ascii="Aptos" w:hAnsi="Aptos"/>
          <w:i/>
          <w:iCs/>
          <w:sz w:val="16"/>
          <w:szCs w:val="16"/>
        </w:rPr>
        <w:t xml:space="preserve">, Issue 26, </w:t>
      </w:r>
      <w:r w:rsidR="00A855B0" w:rsidRPr="00763E26">
        <w:rPr>
          <w:rFonts w:ascii="Aptos" w:hAnsi="Aptos"/>
          <w:i/>
          <w:iCs/>
          <w:sz w:val="16"/>
          <w:szCs w:val="16"/>
        </w:rPr>
        <w:t>supra</w:t>
      </w:r>
      <w:r w:rsidR="00A855B0" w:rsidRPr="00763E26">
        <w:rPr>
          <w:rFonts w:ascii="Aptos" w:hAnsi="Aptos"/>
          <w:sz w:val="16"/>
          <w:szCs w:val="16"/>
        </w:rPr>
        <w:t xml:space="preserve"> note </w:t>
      </w:r>
      <w:r w:rsidR="00A855B0" w:rsidRPr="00763E26">
        <w:rPr>
          <w:rFonts w:ascii="Aptos" w:hAnsi="Aptos"/>
          <w:sz w:val="16"/>
          <w:szCs w:val="16"/>
        </w:rPr>
        <w:fldChar w:fldCharType="begin"/>
      </w:r>
      <w:r w:rsidR="00A855B0"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A855B0" w:rsidRPr="00763E26">
        <w:rPr>
          <w:rFonts w:ascii="Aptos" w:hAnsi="Aptos"/>
          <w:sz w:val="16"/>
          <w:szCs w:val="16"/>
        </w:rPr>
      </w:r>
      <w:r w:rsidR="00A855B0" w:rsidRPr="00763E26">
        <w:rPr>
          <w:rFonts w:ascii="Aptos" w:hAnsi="Aptos"/>
          <w:sz w:val="16"/>
          <w:szCs w:val="16"/>
        </w:rPr>
        <w:fldChar w:fldCharType="separate"/>
      </w:r>
      <w:r w:rsidR="00233739">
        <w:rPr>
          <w:rFonts w:ascii="Aptos" w:hAnsi="Aptos"/>
          <w:sz w:val="16"/>
          <w:szCs w:val="16"/>
        </w:rPr>
        <w:t>6</w:t>
      </w:r>
      <w:r w:rsidR="00A855B0" w:rsidRPr="00763E26">
        <w:rPr>
          <w:rFonts w:ascii="Aptos" w:hAnsi="Aptos"/>
          <w:sz w:val="16"/>
          <w:szCs w:val="16"/>
        </w:rPr>
        <w:fldChar w:fldCharType="end"/>
      </w:r>
      <w:r w:rsidR="007F1DEF" w:rsidRPr="00763E26">
        <w:rPr>
          <w:rFonts w:ascii="Aptos" w:hAnsi="Aptos"/>
          <w:sz w:val="16"/>
          <w:szCs w:val="16"/>
        </w:rPr>
        <w:t>.</w:t>
      </w:r>
    </w:p>
  </w:footnote>
  <w:footnote w:id="81">
    <w:p w14:paraId="717A22D9" w14:textId="3734820C" w:rsidR="00A2471A" w:rsidRPr="00763E26" w:rsidRDefault="00A2471A" w:rsidP="00A2471A">
      <w:pPr>
        <w:pStyle w:val="FootnoteText"/>
        <w:rPr>
          <w:rFonts w:ascii="Aptos" w:hAnsi="Aptos"/>
          <w:sz w:val="16"/>
          <w:szCs w:val="16"/>
        </w:rPr>
      </w:pPr>
      <w:r w:rsidRPr="00763E26">
        <w:rPr>
          <w:rStyle w:val="FootnoteReference"/>
          <w:rFonts w:asciiTheme="minorHAnsi" w:hAnsiTheme="minorHAnsi"/>
          <w:sz w:val="16"/>
          <w:szCs w:val="16"/>
        </w:rPr>
        <w:footnoteRef/>
      </w:r>
      <w:r w:rsidRPr="00763E26">
        <w:rPr>
          <w:sz w:val="16"/>
          <w:szCs w:val="16"/>
        </w:rPr>
        <w:t xml:space="preserve"> </w:t>
      </w:r>
      <w:r w:rsidR="007F1DEF" w:rsidRPr="00763E26">
        <w:rPr>
          <w:rFonts w:ascii="Aptos" w:hAnsi="Aptos"/>
          <w:i/>
          <w:iCs/>
          <w:sz w:val="16"/>
          <w:szCs w:val="16"/>
        </w:rPr>
        <w:t xml:space="preserve">HPC </w:t>
      </w:r>
      <w:proofErr w:type="spellStart"/>
      <w:r w:rsidR="007F1DEF" w:rsidRPr="00763E26">
        <w:rPr>
          <w:rFonts w:ascii="Aptos" w:hAnsi="Aptos"/>
          <w:i/>
          <w:iCs/>
          <w:sz w:val="16"/>
          <w:szCs w:val="16"/>
        </w:rPr>
        <w:t>DataPoints</w:t>
      </w:r>
      <w:proofErr w:type="spellEnd"/>
      <w:r w:rsidR="007F1DEF" w:rsidRPr="00763E26">
        <w:rPr>
          <w:rFonts w:ascii="Aptos" w:hAnsi="Aptos"/>
          <w:i/>
          <w:iCs/>
          <w:sz w:val="16"/>
          <w:szCs w:val="16"/>
        </w:rPr>
        <w:t xml:space="preserve">, Issue 26, </w:t>
      </w:r>
      <w:r w:rsidR="00A855B0" w:rsidRPr="00763E26">
        <w:rPr>
          <w:rFonts w:ascii="Aptos" w:hAnsi="Aptos"/>
          <w:i/>
          <w:iCs/>
          <w:sz w:val="16"/>
          <w:szCs w:val="16"/>
        </w:rPr>
        <w:t>supra</w:t>
      </w:r>
      <w:r w:rsidR="00A855B0" w:rsidRPr="00763E26">
        <w:rPr>
          <w:rFonts w:ascii="Aptos" w:hAnsi="Aptos"/>
          <w:sz w:val="16"/>
          <w:szCs w:val="16"/>
        </w:rPr>
        <w:t xml:space="preserve"> note </w:t>
      </w:r>
      <w:r w:rsidR="00A855B0" w:rsidRPr="00763E26">
        <w:rPr>
          <w:rFonts w:ascii="Aptos" w:hAnsi="Aptos"/>
          <w:sz w:val="16"/>
          <w:szCs w:val="16"/>
        </w:rPr>
        <w:fldChar w:fldCharType="begin"/>
      </w:r>
      <w:r w:rsidR="00A855B0"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A855B0" w:rsidRPr="00763E26">
        <w:rPr>
          <w:rFonts w:ascii="Aptos" w:hAnsi="Aptos"/>
          <w:sz w:val="16"/>
          <w:szCs w:val="16"/>
        </w:rPr>
      </w:r>
      <w:r w:rsidR="00A855B0" w:rsidRPr="00763E26">
        <w:rPr>
          <w:rFonts w:ascii="Aptos" w:hAnsi="Aptos"/>
          <w:sz w:val="16"/>
          <w:szCs w:val="16"/>
        </w:rPr>
        <w:fldChar w:fldCharType="separate"/>
      </w:r>
      <w:r w:rsidR="00233739">
        <w:rPr>
          <w:rFonts w:ascii="Aptos" w:hAnsi="Aptos"/>
          <w:sz w:val="16"/>
          <w:szCs w:val="16"/>
        </w:rPr>
        <w:t>6</w:t>
      </w:r>
      <w:r w:rsidR="00A855B0" w:rsidRPr="00763E26">
        <w:rPr>
          <w:rFonts w:ascii="Aptos" w:hAnsi="Aptos"/>
          <w:sz w:val="16"/>
          <w:szCs w:val="16"/>
        </w:rPr>
        <w:fldChar w:fldCharType="end"/>
      </w:r>
      <w:r w:rsidR="007F1DEF" w:rsidRPr="00763E26">
        <w:rPr>
          <w:rFonts w:ascii="Aptos" w:hAnsi="Aptos"/>
          <w:sz w:val="16"/>
          <w:szCs w:val="16"/>
        </w:rPr>
        <w:t>.</w:t>
      </w:r>
    </w:p>
  </w:footnote>
  <w:footnote w:id="82">
    <w:p w14:paraId="7597C149" w14:textId="354D6110" w:rsidR="00A2471A" w:rsidRPr="00763E26" w:rsidRDefault="00A2471A" w:rsidP="00A2471A">
      <w:pPr>
        <w:pStyle w:val="FootnoteText"/>
        <w:rPr>
          <w:sz w:val="16"/>
          <w:szCs w:val="16"/>
        </w:rPr>
      </w:pPr>
      <w:r w:rsidRPr="00763E26">
        <w:rPr>
          <w:rStyle w:val="FootnoteReference"/>
          <w:rFonts w:asciiTheme="minorHAnsi" w:hAnsiTheme="minorHAnsi"/>
          <w:sz w:val="16"/>
          <w:szCs w:val="16"/>
        </w:rPr>
        <w:footnoteRef/>
      </w:r>
      <w:r w:rsidR="007F1DEF" w:rsidRPr="00763E26">
        <w:rPr>
          <w:rFonts w:asciiTheme="minorHAnsi" w:hAnsiTheme="minorHAnsi"/>
          <w:sz w:val="16"/>
          <w:szCs w:val="16"/>
        </w:rPr>
        <w:t xml:space="preserve"> </w:t>
      </w:r>
      <w:r w:rsidR="007F1DEF" w:rsidRPr="00763E26">
        <w:rPr>
          <w:rFonts w:ascii="Aptos" w:hAnsi="Aptos"/>
          <w:i/>
          <w:iCs/>
          <w:sz w:val="16"/>
          <w:szCs w:val="16"/>
        </w:rPr>
        <w:t xml:space="preserve">HPC </w:t>
      </w:r>
      <w:proofErr w:type="spellStart"/>
      <w:r w:rsidR="007F1DEF" w:rsidRPr="00763E26">
        <w:rPr>
          <w:rFonts w:ascii="Aptos" w:hAnsi="Aptos"/>
          <w:i/>
          <w:iCs/>
          <w:sz w:val="16"/>
          <w:szCs w:val="16"/>
        </w:rPr>
        <w:t>DataPoints</w:t>
      </w:r>
      <w:proofErr w:type="spellEnd"/>
      <w:r w:rsidR="007F1DEF" w:rsidRPr="00763E26">
        <w:rPr>
          <w:rFonts w:ascii="Aptos" w:hAnsi="Aptos"/>
          <w:i/>
          <w:iCs/>
          <w:sz w:val="16"/>
          <w:szCs w:val="16"/>
        </w:rPr>
        <w:t xml:space="preserve">, Issue 26, </w:t>
      </w:r>
      <w:r w:rsidR="00A855B0" w:rsidRPr="00763E26">
        <w:rPr>
          <w:rFonts w:ascii="Aptos" w:hAnsi="Aptos"/>
          <w:i/>
          <w:iCs/>
          <w:sz w:val="16"/>
          <w:szCs w:val="16"/>
        </w:rPr>
        <w:t>supra</w:t>
      </w:r>
      <w:r w:rsidR="00A855B0" w:rsidRPr="00763E26">
        <w:rPr>
          <w:rFonts w:ascii="Aptos" w:hAnsi="Aptos"/>
          <w:sz w:val="16"/>
          <w:szCs w:val="16"/>
        </w:rPr>
        <w:t xml:space="preserve"> note </w:t>
      </w:r>
      <w:r w:rsidR="00A855B0" w:rsidRPr="00763E26">
        <w:rPr>
          <w:rFonts w:ascii="Aptos" w:hAnsi="Aptos"/>
          <w:sz w:val="16"/>
          <w:szCs w:val="16"/>
        </w:rPr>
        <w:fldChar w:fldCharType="begin"/>
      </w:r>
      <w:r w:rsidR="00A855B0" w:rsidRPr="00763E26">
        <w:rPr>
          <w:rFonts w:ascii="Aptos" w:hAnsi="Aptos"/>
          <w:sz w:val="16"/>
          <w:szCs w:val="16"/>
        </w:rPr>
        <w:instrText xml:space="preserve"> NOTEREF _Ref207177121 \h </w:instrText>
      </w:r>
      <w:r w:rsidR="00763E26">
        <w:rPr>
          <w:rFonts w:ascii="Aptos" w:hAnsi="Aptos"/>
          <w:sz w:val="16"/>
          <w:szCs w:val="16"/>
        </w:rPr>
        <w:instrText xml:space="preserve"> \* MERGEFORMAT </w:instrText>
      </w:r>
      <w:r w:rsidR="00A855B0" w:rsidRPr="00763E26">
        <w:rPr>
          <w:rFonts w:ascii="Aptos" w:hAnsi="Aptos"/>
          <w:sz w:val="16"/>
          <w:szCs w:val="16"/>
        </w:rPr>
      </w:r>
      <w:r w:rsidR="00A855B0" w:rsidRPr="00763E26">
        <w:rPr>
          <w:rFonts w:ascii="Aptos" w:hAnsi="Aptos"/>
          <w:sz w:val="16"/>
          <w:szCs w:val="16"/>
        </w:rPr>
        <w:fldChar w:fldCharType="separate"/>
      </w:r>
      <w:r w:rsidR="00233739">
        <w:rPr>
          <w:rFonts w:ascii="Aptos" w:hAnsi="Aptos"/>
          <w:sz w:val="16"/>
          <w:szCs w:val="16"/>
        </w:rPr>
        <w:t>6</w:t>
      </w:r>
      <w:r w:rsidR="00A855B0" w:rsidRPr="00763E26">
        <w:rPr>
          <w:rFonts w:ascii="Aptos" w:hAnsi="Aptos"/>
          <w:sz w:val="16"/>
          <w:szCs w:val="16"/>
        </w:rPr>
        <w:fldChar w:fldCharType="end"/>
      </w:r>
      <w:r w:rsidR="007F1DEF" w:rsidRPr="00763E26">
        <w:rPr>
          <w:rFonts w:ascii="Aptos" w:hAnsi="Aptos"/>
          <w:sz w:val="16"/>
          <w:szCs w:val="16"/>
        </w:rPr>
        <w:t>.</w:t>
      </w:r>
    </w:p>
  </w:footnote>
  <w:footnote w:id="83">
    <w:p w14:paraId="59DF016F" w14:textId="3944A6AF" w:rsidR="00A2471A" w:rsidRPr="00763E26" w:rsidRDefault="00A2471A" w:rsidP="00A2471A">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While the recent approval of</w:t>
      </w:r>
      <w:r w:rsidR="00D42347">
        <w:rPr>
          <w:rFonts w:asciiTheme="minorHAnsi" w:hAnsiTheme="minorHAnsi"/>
          <w:sz w:val="16"/>
          <w:szCs w:val="16"/>
        </w:rPr>
        <w:t xml:space="preserve"> two</w:t>
      </w:r>
      <w:r w:rsidRPr="00763E26">
        <w:rPr>
          <w:rFonts w:asciiTheme="minorHAnsi" w:hAnsiTheme="minorHAnsi"/>
          <w:sz w:val="16"/>
          <w:szCs w:val="16"/>
        </w:rPr>
        <w:t xml:space="preserve"> endoscopy </w:t>
      </w:r>
      <w:proofErr w:type="spellStart"/>
      <w:r w:rsidRPr="00763E26">
        <w:rPr>
          <w:rFonts w:asciiTheme="minorHAnsi" w:hAnsiTheme="minorHAnsi"/>
          <w:sz w:val="16"/>
          <w:szCs w:val="16"/>
        </w:rPr>
        <w:t>DoN</w:t>
      </w:r>
      <w:proofErr w:type="spellEnd"/>
      <w:r w:rsidRPr="00763E26">
        <w:rPr>
          <w:rFonts w:asciiTheme="minorHAnsi" w:hAnsiTheme="minorHAnsi"/>
          <w:sz w:val="16"/>
          <w:szCs w:val="16"/>
        </w:rPr>
        <w:t xml:space="preserve"> applications has slightly increased the availability of ASC procedure rooms per one million residents in the Commonwealth, the addition of </w:t>
      </w:r>
      <w:r w:rsidR="00D42347">
        <w:rPr>
          <w:rFonts w:asciiTheme="minorHAnsi" w:hAnsiTheme="minorHAnsi"/>
          <w:sz w:val="16"/>
          <w:szCs w:val="16"/>
        </w:rPr>
        <w:t>five</w:t>
      </w:r>
      <w:r w:rsidRPr="00763E26">
        <w:rPr>
          <w:rFonts w:asciiTheme="minorHAnsi" w:hAnsiTheme="minorHAnsi"/>
          <w:sz w:val="16"/>
          <w:szCs w:val="16"/>
        </w:rPr>
        <w:t xml:space="preserve"> procedure rooms is insufficient to meet the national average of operating rooms per one million residents. As a result, the information from the February 2024 </w:t>
      </w:r>
      <w:r w:rsidRPr="00763E26">
        <w:rPr>
          <w:rFonts w:asciiTheme="minorHAnsi" w:hAnsiTheme="minorHAnsi"/>
          <w:i/>
          <w:iCs/>
          <w:sz w:val="16"/>
          <w:szCs w:val="16"/>
        </w:rPr>
        <w:t>HPC Datapoints</w:t>
      </w:r>
      <w:r w:rsidRPr="00763E26">
        <w:rPr>
          <w:rFonts w:asciiTheme="minorHAnsi" w:hAnsiTheme="minorHAnsi"/>
          <w:sz w:val="16"/>
          <w:szCs w:val="16"/>
        </w:rPr>
        <w:t xml:space="preserve"> remains relevant in contextualizing the importance of increasing ASC capacity in Massachusetts and the need for approval of this Application. </w:t>
      </w:r>
    </w:p>
  </w:footnote>
  <w:footnote w:id="84">
    <w:p w14:paraId="595DD0E1" w14:textId="1ED31C84" w:rsidR="00046FC3" w:rsidRPr="00763E26" w:rsidRDefault="00046FC3">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hyperlink r:id="rId81" w:history="1">
        <w:r w:rsidR="00BE270D" w:rsidRPr="00295E98">
          <w:rPr>
            <w:rStyle w:val="Hyperlink"/>
            <w:rFonts w:asciiTheme="minorHAnsi" w:hAnsiTheme="minorHAnsi"/>
            <w:i/>
            <w:iCs/>
            <w:color w:val="auto"/>
            <w:sz w:val="16"/>
            <w:szCs w:val="16"/>
            <w:u w:val="none"/>
          </w:rPr>
          <w:t>Health and Economic Benefits of Colorectal Cancer Interventions,</w:t>
        </w:r>
      </w:hyperlink>
      <w:r w:rsidR="00BE270D" w:rsidRPr="00295E98">
        <w:rPr>
          <w:rFonts w:asciiTheme="minorHAnsi" w:hAnsiTheme="minorHAnsi"/>
          <w:i/>
          <w:iCs/>
          <w:sz w:val="16"/>
          <w:szCs w:val="16"/>
        </w:rPr>
        <w:t xml:space="preserve"> </w:t>
      </w:r>
      <w:r w:rsidR="00BE270D" w:rsidRPr="00295E98">
        <w:rPr>
          <w:rFonts w:asciiTheme="minorHAnsi" w:hAnsiTheme="minorHAnsi"/>
          <w:smallCaps/>
          <w:sz w:val="16"/>
          <w:szCs w:val="16"/>
        </w:rPr>
        <w:t xml:space="preserve">Centers </w:t>
      </w:r>
      <w:r w:rsidR="00BE270D" w:rsidRPr="00763E26">
        <w:rPr>
          <w:rFonts w:asciiTheme="minorHAnsi" w:hAnsiTheme="minorHAnsi"/>
          <w:smallCaps/>
          <w:sz w:val="16"/>
          <w:szCs w:val="16"/>
        </w:rPr>
        <w:t>for Disease Control &amp; Prevention</w:t>
      </w:r>
      <w:r w:rsidR="00BE270D" w:rsidRPr="00763E26">
        <w:rPr>
          <w:rFonts w:asciiTheme="minorHAnsi" w:hAnsiTheme="minorHAnsi"/>
          <w:sz w:val="16"/>
          <w:szCs w:val="16"/>
        </w:rPr>
        <w:t xml:space="preserve"> (Oct. 16, 2024), </w:t>
      </w:r>
      <w:hyperlink r:id="rId82" w:history="1">
        <w:r w:rsidR="00BE270D" w:rsidRPr="00763E26">
          <w:rPr>
            <w:rStyle w:val="Hyperlink"/>
            <w:rFonts w:asciiTheme="minorHAnsi" w:hAnsiTheme="minorHAnsi"/>
            <w:sz w:val="16"/>
            <w:szCs w:val="16"/>
          </w:rPr>
          <w:t>https://www.cdc.gov/nccdphp/priorities/colorectal-cancer.html</w:t>
        </w:r>
      </w:hyperlink>
      <w:r w:rsidR="00BE270D" w:rsidRPr="00763E26">
        <w:rPr>
          <w:rFonts w:asciiTheme="minorHAnsi" w:hAnsiTheme="minorHAnsi"/>
          <w:sz w:val="16"/>
          <w:szCs w:val="16"/>
        </w:rPr>
        <w:t>.</w:t>
      </w:r>
      <w:r w:rsidRPr="00763E26">
        <w:rPr>
          <w:rFonts w:asciiTheme="minorHAnsi" w:hAnsiTheme="minorHAnsi"/>
          <w:sz w:val="16"/>
          <w:szCs w:val="16"/>
        </w:rPr>
        <w:t xml:space="preserve"> </w:t>
      </w:r>
    </w:p>
  </w:footnote>
  <w:footnote w:id="85">
    <w:p w14:paraId="2642895A" w14:textId="1A8E326B" w:rsidR="00046FC3" w:rsidRPr="00763E26" w:rsidRDefault="00046FC3">
      <w:pPr>
        <w:pStyle w:val="FootnoteText"/>
        <w:rPr>
          <w:rFonts w:asciiTheme="minorHAnsi" w:hAnsiTheme="minorHAnsi"/>
          <w:i/>
          <w:iCs/>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 xml:space="preserve">Id. </w:t>
      </w:r>
    </w:p>
  </w:footnote>
  <w:footnote w:id="86">
    <w:p w14:paraId="41B3EF48" w14:textId="0C7EE34F" w:rsidR="00046FC3" w:rsidRPr="00763E26" w:rsidRDefault="00046FC3">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DA30C5" w:rsidRPr="00763E26">
        <w:rPr>
          <w:rFonts w:asciiTheme="minorHAnsi" w:hAnsiTheme="minorHAnsi"/>
          <w:sz w:val="16"/>
          <w:szCs w:val="16"/>
          <w:lang w:val="de-DE"/>
        </w:rPr>
        <w:t xml:space="preserve">Goede </w:t>
      </w:r>
      <w:r w:rsidR="00DA30C5">
        <w:rPr>
          <w:rFonts w:asciiTheme="minorHAnsi" w:hAnsiTheme="minorHAnsi"/>
          <w:sz w:val="16"/>
          <w:szCs w:val="16"/>
          <w:lang w:val="de-DE"/>
        </w:rPr>
        <w:t xml:space="preserve">et al, </w:t>
      </w:r>
      <w:r w:rsidR="00DA30C5">
        <w:rPr>
          <w:rFonts w:asciiTheme="minorHAnsi" w:hAnsiTheme="minorHAnsi"/>
          <w:i/>
          <w:iCs/>
          <w:sz w:val="16"/>
          <w:szCs w:val="16"/>
          <w:lang w:val="de-DE"/>
        </w:rPr>
        <w:t>supra</w:t>
      </w:r>
      <w:r w:rsidR="00DA30C5">
        <w:rPr>
          <w:rFonts w:asciiTheme="minorHAnsi" w:hAnsiTheme="minorHAnsi"/>
          <w:sz w:val="16"/>
          <w:szCs w:val="16"/>
          <w:lang w:val="de-DE"/>
        </w:rPr>
        <w:t xml:space="preserve"> note </w:t>
      </w:r>
      <w:r w:rsidR="00DA30C5">
        <w:rPr>
          <w:rFonts w:asciiTheme="minorHAnsi" w:hAnsiTheme="minorHAnsi"/>
          <w:sz w:val="16"/>
          <w:szCs w:val="16"/>
          <w:lang w:val="de-DE"/>
        </w:rPr>
        <w:fldChar w:fldCharType="begin"/>
      </w:r>
      <w:r w:rsidR="00DA30C5">
        <w:rPr>
          <w:rFonts w:asciiTheme="minorHAnsi" w:hAnsiTheme="minorHAnsi"/>
          <w:sz w:val="16"/>
          <w:szCs w:val="16"/>
          <w:lang w:val="de-DE"/>
        </w:rPr>
        <w:instrText xml:space="preserve"> NOTEREF _Ref207179433 \h </w:instrText>
      </w:r>
      <w:r w:rsidR="00DA30C5">
        <w:rPr>
          <w:rFonts w:asciiTheme="minorHAnsi" w:hAnsiTheme="minorHAnsi"/>
          <w:sz w:val="16"/>
          <w:szCs w:val="16"/>
          <w:lang w:val="de-DE"/>
        </w:rPr>
      </w:r>
      <w:r w:rsidR="00DA30C5">
        <w:rPr>
          <w:rFonts w:asciiTheme="minorHAnsi" w:hAnsiTheme="minorHAnsi"/>
          <w:sz w:val="16"/>
          <w:szCs w:val="16"/>
          <w:lang w:val="de-DE"/>
        </w:rPr>
        <w:fldChar w:fldCharType="separate"/>
      </w:r>
      <w:r w:rsidR="00233739">
        <w:rPr>
          <w:rFonts w:asciiTheme="minorHAnsi" w:hAnsiTheme="minorHAnsi"/>
          <w:sz w:val="16"/>
          <w:szCs w:val="16"/>
          <w:lang w:val="de-DE"/>
        </w:rPr>
        <w:t>27</w:t>
      </w:r>
      <w:r w:rsidR="00DA30C5">
        <w:rPr>
          <w:rFonts w:asciiTheme="minorHAnsi" w:hAnsiTheme="minorHAnsi"/>
          <w:sz w:val="16"/>
          <w:szCs w:val="16"/>
          <w:lang w:val="de-DE"/>
        </w:rPr>
        <w:fldChar w:fldCharType="end"/>
      </w:r>
      <w:r w:rsidR="00DA30C5">
        <w:rPr>
          <w:rFonts w:asciiTheme="minorHAnsi" w:hAnsiTheme="minorHAnsi"/>
          <w:sz w:val="16"/>
          <w:szCs w:val="16"/>
          <w:lang w:val="de-DE"/>
        </w:rPr>
        <w:t>.</w:t>
      </w:r>
    </w:p>
  </w:footnote>
  <w:footnote w:id="87">
    <w:p w14:paraId="1369702D" w14:textId="27585215" w:rsidR="00711C7F" w:rsidRPr="00763E26" w:rsidRDefault="00711C7F" w:rsidP="00711C7F">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BE270D" w:rsidRPr="00763E26">
        <w:rPr>
          <w:rFonts w:asciiTheme="minorHAnsi" w:hAnsiTheme="minorHAnsi"/>
          <w:sz w:val="16"/>
          <w:szCs w:val="16"/>
        </w:rPr>
        <w:t xml:space="preserve">Jessica Star, MA, MPH, et al., </w:t>
      </w:r>
      <w:hyperlink r:id="rId83" w:history="1">
        <w:r w:rsidR="00BE270D" w:rsidRPr="00295E98">
          <w:rPr>
            <w:rStyle w:val="Hyperlink"/>
            <w:rFonts w:asciiTheme="minorHAnsi" w:hAnsiTheme="minorHAnsi"/>
            <w:i/>
            <w:iCs/>
            <w:color w:val="auto"/>
            <w:sz w:val="16"/>
            <w:szCs w:val="16"/>
            <w:u w:val="none"/>
          </w:rPr>
          <w:t>Trends in Colorectal Cancer Screening in US Adults Aged 45 to 49  Years</w:t>
        </w:r>
      </w:hyperlink>
      <w:r w:rsidR="00BE270D" w:rsidRPr="00295E98">
        <w:rPr>
          <w:rFonts w:asciiTheme="minorHAnsi" w:hAnsiTheme="minorHAnsi"/>
          <w:i/>
          <w:iCs/>
          <w:sz w:val="16"/>
          <w:szCs w:val="16"/>
        </w:rPr>
        <w:t xml:space="preserve">, </w:t>
      </w:r>
      <w:r w:rsidR="00BE270D" w:rsidRPr="00295E98">
        <w:rPr>
          <w:rFonts w:asciiTheme="minorHAnsi" w:hAnsiTheme="minorHAnsi"/>
          <w:sz w:val="16"/>
          <w:szCs w:val="16"/>
        </w:rPr>
        <w:t xml:space="preserve">JAMA </w:t>
      </w:r>
      <w:r w:rsidR="00BE270D" w:rsidRPr="00763E26">
        <w:rPr>
          <w:rFonts w:asciiTheme="minorHAnsi" w:hAnsiTheme="minorHAnsi"/>
          <w:sz w:val="16"/>
          <w:szCs w:val="16"/>
        </w:rPr>
        <w:t xml:space="preserve">(Aug 4, 2025), </w:t>
      </w:r>
      <w:hyperlink r:id="rId84" w:history="1">
        <w:r w:rsidR="00BE270D" w:rsidRPr="00763E26">
          <w:rPr>
            <w:rStyle w:val="Hyperlink"/>
            <w:rFonts w:asciiTheme="minorHAnsi" w:hAnsiTheme="minorHAnsi"/>
            <w:sz w:val="16"/>
            <w:szCs w:val="16"/>
          </w:rPr>
          <w:t>https://jamanetwork.com/journals/jama/article-abstract/2837231</w:t>
        </w:r>
      </w:hyperlink>
      <w:r w:rsidR="00BE270D" w:rsidRPr="00763E26">
        <w:rPr>
          <w:rFonts w:asciiTheme="minorHAnsi" w:hAnsiTheme="minorHAnsi"/>
          <w:sz w:val="16"/>
          <w:szCs w:val="16"/>
        </w:rPr>
        <w:t xml:space="preserve">. </w:t>
      </w:r>
      <w:r w:rsidRPr="00763E26">
        <w:rPr>
          <w:rFonts w:asciiTheme="minorHAnsi" w:hAnsiTheme="minorHAnsi"/>
          <w:sz w:val="16"/>
          <w:szCs w:val="16"/>
        </w:rPr>
        <w:t xml:space="preserve"> </w:t>
      </w:r>
    </w:p>
  </w:footnote>
  <w:footnote w:id="88">
    <w:p w14:paraId="4F012B90" w14:textId="72746439" w:rsidR="00711C7F" w:rsidRPr="00763E26" w:rsidRDefault="00711C7F" w:rsidP="00711C7F">
      <w:pPr>
        <w:pStyle w:val="FootnoteText"/>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00BE270D" w:rsidRPr="00763E26">
        <w:rPr>
          <w:rFonts w:asciiTheme="minorHAnsi" w:hAnsiTheme="minorHAnsi"/>
          <w:i/>
          <w:iCs/>
          <w:sz w:val="16"/>
          <w:szCs w:val="16"/>
        </w:rPr>
        <w:t>Colorectal</w:t>
      </w:r>
      <w:r w:rsidR="00BE270D" w:rsidRPr="00763E26">
        <w:rPr>
          <w:rFonts w:asciiTheme="minorHAnsi" w:hAnsiTheme="minorHAnsi"/>
          <w:sz w:val="16"/>
          <w:szCs w:val="16"/>
        </w:rPr>
        <w:t xml:space="preserve"> </w:t>
      </w:r>
      <w:r w:rsidR="00BE270D" w:rsidRPr="00763E26">
        <w:rPr>
          <w:rFonts w:asciiTheme="minorHAnsi" w:hAnsiTheme="minorHAnsi"/>
          <w:i/>
          <w:iCs/>
          <w:sz w:val="16"/>
          <w:szCs w:val="16"/>
        </w:rPr>
        <w:t>Cancer Statistics</w:t>
      </w:r>
      <w:r w:rsidR="00BE270D" w:rsidRPr="00763E26">
        <w:rPr>
          <w:rFonts w:asciiTheme="minorHAnsi" w:hAnsiTheme="minorHAnsi"/>
          <w:sz w:val="16"/>
          <w:szCs w:val="16"/>
        </w:rPr>
        <w:t xml:space="preserve">, </w:t>
      </w:r>
      <w:r w:rsidR="00BE270D" w:rsidRPr="00763E26">
        <w:rPr>
          <w:rFonts w:asciiTheme="minorHAnsi" w:hAnsiTheme="minorHAnsi"/>
          <w:i/>
          <w:iCs/>
          <w:sz w:val="16"/>
          <w:szCs w:val="16"/>
        </w:rPr>
        <w:t>supra</w:t>
      </w:r>
      <w:r w:rsidR="00BE270D" w:rsidRPr="00763E26">
        <w:rPr>
          <w:rFonts w:asciiTheme="minorHAnsi" w:hAnsiTheme="minorHAnsi"/>
          <w:sz w:val="16"/>
          <w:szCs w:val="16"/>
        </w:rPr>
        <w:t xml:space="preserve"> note </w:t>
      </w:r>
      <w:r w:rsidR="00BE270D" w:rsidRPr="00763E26">
        <w:rPr>
          <w:rFonts w:asciiTheme="minorHAnsi" w:hAnsiTheme="minorHAnsi"/>
          <w:sz w:val="16"/>
          <w:szCs w:val="16"/>
        </w:rPr>
        <w:fldChar w:fldCharType="begin"/>
      </w:r>
      <w:r w:rsidR="00BE270D" w:rsidRPr="00763E26">
        <w:rPr>
          <w:rFonts w:asciiTheme="minorHAnsi" w:hAnsiTheme="minorHAnsi"/>
          <w:sz w:val="16"/>
          <w:szCs w:val="16"/>
        </w:rPr>
        <w:instrText xml:space="preserve"> NOTEREF _Ref207178452 \h </w:instrText>
      </w:r>
      <w:r w:rsidR="00763E26">
        <w:rPr>
          <w:rFonts w:asciiTheme="minorHAnsi" w:hAnsiTheme="minorHAnsi"/>
          <w:sz w:val="16"/>
          <w:szCs w:val="16"/>
        </w:rPr>
        <w:instrText xml:space="preserve"> \* MERGEFORMAT </w:instrText>
      </w:r>
      <w:r w:rsidR="00BE270D" w:rsidRPr="00763E26">
        <w:rPr>
          <w:rFonts w:asciiTheme="minorHAnsi" w:hAnsiTheme="minorHAnsi"/>
          <w:sz w:val="16"/>
          <w:szCs w:val="16"/>
        </w:rPr>
      </w:r>
      <w:r w:rsidR="00BE270D" w:rsidRPr="00763E26">
        <w:rPr>
          <w:rFonts w:asciiTheme="minorHAnsi" w:hAnsiTheme="minorHAnsi"/>
          <w:sz w:val="16"/>
          <w:szCs w:val="16"/>
        </w:rPr>
        <w:fldChar w:fldCharType="separate"/>
      </w:r>
      <w:r w:rsidR="00233739">
        <w:rPr>
          <w:rFonts w:asciiTheme="minorHAnsi" w:hAnsiTheme="minorHAnsi"/>
          <w:sz w:val="16"/>
          <w:szCs w:val="16"/>
        </w:rPr>
        <w:t>49</w:t>
      </w:r>
      <w:r w:rsidR="00BE270D" w:rsidRPr="00763E26">
        <w:rPr>
          <w:rFonts w:asciiTheme="minorHAnsi" w:hAnsiTheme="minorHAnsi"/>
          <w:sz w:val="16"/>
          <w:szCs w:val="16"/>
        </w:rPr>
        <w:fldChar w:fldCharType="end"/>
      </w:r>
      <w:r w:rsidR="00BE270D" w:rsidRPr="00763E26">
        <w:rPr>
          <w:rFonts w:asciiTheme="minorHAnsi" w:hAnsiTheme="minorHAnsi"/>
          <w:sz w:val="16"/>
          <w:szCs w:val="16"/>
        </w:rPr>
        <w:t>.</w:t>
      </w:r>
    </w:p>
  </w:footnote>
  <w:footnote w:id="89">
    <w:p w14:paraId="55545AA5" w14:textId="24383B71" w:rsidR="00711C7F" w:rsidRPr="00763E26" w:rsidRDefault="00711C7F" w:rsidP="00711C7F">
      <w:pPr>
        <w:rPr>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Aptos" w:hAnsi="Aptos"/>
          <w:sz w:val="16"/>
          <w:szCs w:val="16"/>
        </w:rPr>
        <w:t xml:space="preserve">David W. Bates et al, </w:t>
      </w:r>
      <w:hyperlink r:id="rId85" w:history="1">
        <w:r w:rsidRPr="00295E98">
          <w:rPr>
            <w:rStyle w:val="Hyperlink"/>
            <w:rFonts w:ascii="Aptos" w:hAnsi="Aptos"/>
            <w:i/>
            <w:iCs/>
            <w:color w:val="auto"/>
            <w:sz w:val="16"/>
            <w:szCs w:val="16"/>
            <w:u w:val="none"/>
          </w:rPr>
          <w:t>The Safety of Inpatient Health Care</w:t>
        </w:r>
      </w:hyperlink>
      <w:r w:rsidRPr="00295E98">
        <w:rPr>
          <w:rFonts w:ascii="Aptos" w:hAnsi="Aptos"/>
          <w:sz w:val="16"/>
          <w:szCs w:val="16"/>
        </w:rPr>
        <w:t xml:space="preserve">, NEW ENGLAND JOURNAL OF MEDICINE, available at </w:t>
      </w:r>
      <w:hyperlink r:id="rId86" w:history="1">
        <w:r w:rsidR="00295E98" w:rsidRPr="00295E98">
          <w:rPr>
            <w:rStyle w:val="Hyperlink"/>
            <w:rFonts w:ascii="Aptos" w:hAnsi="Aptos"/>
            <w:color w:val="auto"/>
            <w:sz w:val="16"/>
            <w:szCs w:val="16"/>
            <w:u w:val="none"/>
          </w:rPr>
          <w:t>https://www.nejm.org/doi/full/10.1056/NEJMsa2206117</w:t>
        </w:r>
      </w:hyperlink>
      <w:r w:rsidR="00295E98" w:rsidRPr="00295E98">
        <w:rPr>
          <w:rFonts w:ascii="Aptos" w:hAnsi="Aptos"/>
          <w:sz w:val="16"/>
          <w:szCs w:val="16"/>
        </w:rPr>
        <w:t xml:space="preserve"> </w:t>
      </w:r>
      <w:r w:rsidRPr="00295E98">
        <w:rPr>
          <w:rFonts w:ascii="Aptos" w:hAnsi="Aptos"/>
          <w:sz w:val="16"/>
          <w:szCs w:val="16"/>
        </w:rPr>
        <w:t>.</w:t>
      </w:r>
    </w:p>
  </w:footnote>
  <w:footnote w:id="90">
    <w:p w14:paraId="6DD6496B" w14:textId="09E3C3A1" w:rsidR="00A2471A" w:rsidRPr="00763E26" w:rsidRDefault="00A2471A" w:rsidP="00A2471A">
      <w:pPr>
        <w:pStyle w:val="FootnoteText"/>
        <w:rPr>
          <w:sz w:val="16"/>
          <w:szCs w:val="16"/>
        </w:rPr>
      </w:pPr>
      <w:r w:rsidRPr="00763E26">
        <w:rPr>
          <w:rStyle w:val="FootnoteReference"/>
          <w:rFonts w:asciiTheme="minorHAnsi" w:hAnsiTheme="minorHAnsi"/>
          <w:sz w:val="16"/>
          <w:szCs w:val="16"/>
        </w:rPr>
        <w:footnoteRef/>
      </w:r>
      <w:r w:rsidRPr="00763E26">
        <w:rPr>
          <w:sz w:val="16"/>
          <w:szCs w:val="16"/>
        </w:rPr>
        <w:t xml:space="preserve"> </w:t>
      </w:r>
      <w:r w:rsidRPr="00763E26">
        <w:rPr>
          <w:rFonts w:asciiTheme="minorHAnsi" w:hAnsiTheme="minorHAnsi"/>
          <w:sz w:val="16"/>
          <w:szCs w:val="16"/>
        </w:rPr>
        <w:t xml:space="preserve">Shen Li et al, </w:t>
      </w:r>
      <w:hyperlink r:id="rId87" w:history="1">
        <w:r w:rsidRPr="003D0B20">
          <w:rPr>
            <w:rStyle w:val="Hyperlink"/>
            <w:rFonts w:asciiTheme="minorHAnsi" w:hAnsiTheme="minorHAnsi"/>
            <w:i/>
            <w:iCs/>
            <w:color w:val="auto"/>
            <w:sz w:val="16"/>
            <w:szCs w:val="16"/>
            <w:u w:val="none"/>
          </w:rPr>
          <w:t>An Umbrella Review of Socioeconomic Status and Cancer</w:t>
        </w:r>
      </w:hyperlink>
      <w:r w:rsidRPr="003D0B20">
        <w:rPr>
          <w:rFonts w:asciiTheme="minorHAnsi" w:hAnsiTheme="minorHAnsi"/>
          <w:sz w:val="16"/>
          <w:szCs w:val="16"/>
        </w:rPr>
        <w:t xml:space="preserve">, NATURE </w:t>
      </w:r>
      <w:r w:rsidRPr="00763E26">
        <w:rPr>
          <w:rFonts w:asciiTheme="minorHAnsi" w:hAnsiTheme="minorHAnsi"/>
          <w:sz w:val="16"/>
          <w:szCs w:val="16"/>
        </w:rPr>
        <w:t xml:space="preserve">COMMUNICATIONS (2024), available at </w:t>
      </w:r>
      <w:hyperlink r:id="rId88" w:history="1">
        <w:r w:rsidRPr="00763E26">
          <w:rPr>
            <w:rStyle w:val="Hyperlink"/>
            <w:rFonts w:asciiTheme="minorHAnsi" w:hAnsiTheme="minorHAnsi"/>
            <w:sz w:val="16"/>
            <w:szCs w:val="16"/>
          </w:rPr>
          <w:t>https://www.nature.com/articles/s41467-024-54444-2</w:t>
        </w:r>
      </w:hyperlink>
      <w:r w:rsidRPr="00763E26">
        <w:rPr>
          <w:rFonts w:asciiTheme="minorHAnsi" w:hAnsiTheme="minorHAnsi"/>
          <w:sz w:val="16"/>
          <w:szCs w:val="16"/>
        </w:rPr>
        <w:t>.</w:t>
      </w:r>
    </w:p>
  </w:footnote>
  <w:footnote w:id="91">
    <w:p w14:paraId="50CB7FFC" w14:textId="5F513B7F" w:rsidR="00A2471A" w:rsidRPr="00763E26" w:rsidRDefault="00A2471A" w:rsidP="00A2471A">
      <w:pPr>
        <w:pStyle w:val="FootnoteText"/>
        <w:rPr>
          <w:sz w:val="16"/>
          <w:szCs w:val="16"/>
        </w:rPr>
      </w:pPr>
      <w:r w:rsidRPr="00763E26">
        <w:rPr>
          <w:rStyle w:val="FootnoteReference"/>
          <w:rFonts w:asciiTheme="minorHAnsi" w:hAnsiTheme="minorHAnsi"/>
          <w:sz w:val="16"/>
          <w:szCs w:val="16"/>
        </w:rPr>
        <w:footnoteRef/>
      </w:r>
      <w:r w:rsidRPr="00763E26">
        <w:rPr>
          <w:sz w:val="16"/>
          <w:szCs w:val="16"/>
        </w:rPr>
        <w:t xml:space="preserve"> </w:t>
      </w:r>
      <w:r w:rsidR="00BE270D" w:rsidRPr="00763E26">
        <w:rPr>
          <w:rFonts w:asciiTheme="minorHAnsi" w:hAnsiTheme="minorHAnsi"/>
          <w:i/>
          <w:iCs/>
          <w:sz w:val="16"/>
          <w:szCs w:val="16"/>
        </w:rPr>
        <w:t>Id.</w:t>
      </w:r>
    </w:p>
  </w:footnote>
  <w:footnote w:id="92">
    <w:p w14:paraId="29F9D8F7" w14:textId="7570B9CA" w:rsidR="00A2471A" w:rsidRPr="00763E26" w:rsidRDefault="00A2471A" w:rsidP="00A2471A">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sz w:val="16"/>
          <w:szCs w:val="16"/>
        </w:rPr>
        <w:t xml:space="preserve"> </w:t>
      </w:r>
      <w:r w:rsidRPr="00763E26">
        <w:rPr>
          <w:rFonts w:asciiTheme="minorHAnsi" w:hAnsiTheme="minorHAnsi"/>
          <w:sz w:val="16"/>
          <w:szCs w:val="16"/>
        </w:rPr>
        <w:t xml:space="preserve">Amber Bourgeois et al, </w:t>
      </w:r>
      <w:hyperlink r:id="rId89" w:history="1">
        <w:r w:rsidRPr="00EF4C2C">
          <w:rPr>
            <w:rStyle w:val="Hyperlink"/>
            <w:rFonts w:asciiTheme="minorHAnsi" w:hAnsiTheme="minorHAnsi"/>
            <w:i/>
            <w:iCs/>
            <w:color w:val="auto"/>
            <w:sz w:val="16"/>
            <w:szCs w:val="16"/>
            <w:u w:val="none"/>
          </w:rPr>
          <w:t>Barriers to Cancer Treatment for People Experiencing Socioeconomic Disadvantage in High-Income Countries: A Scoping Review</w:t>
        </w:r>
      </w:hyperlink>
      <w:r w:rsidRPr="00EF4C2C">
        <w:rPr>
          <w:rFonts w:asciiTheme="minorHAnsi" w:hAnsiTheme="minorHAnsi"/>
          <w:sz w:val="16"/>
          <w:szCs w:val="16"/>
        </w:rPr>
        <w:t xml:space="preserve">, BMC </w:t>
      </w:r>
      <w:r w:rsidRPr="00763E26">
        <w:rPr>
          <w:rFonts w:asciiTheme="minorHAnsi" w:hAnsiTheme="minorHAnsi"/>
          <w:sz w:val="16"/>
          <w:szCs w:val="16"/>
        </w:rPr>
        <w:t xml:space="preserve">HEALTH SERV RES, (2024), available at </w:t>
      </w:r>
      <w:hyperlink r:id="rId90" w:history="1">
        <w:r w:rsidRPr="00763E26">
          <w:rPr>
            <w:rStyle w:val="Hyperlink"/>
            <w:rFonts w:asciiTheme="minorHAnsi" w:hAnsiTheme="minorHAnsi"/>
            <w:sz w:val="16"/>
            <w:szCs w:val="16"/>
          </w:rPr>
          <w:t>https://pmc.ncbi.nlm.nih.gov/articles/PMC11134650/</w:t>
        </w:r>
      </w:hyperlink>
      <w:r w:rsidRPr="00763E26">
        <w:rPr>
          <w:rFonts w:asciiTheme="minorHAnsi" w:hAnsi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AC03" w14:textId="77777777" w:rsidR="0005394E" w:rsidRDefault="00053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633E" w14:textId="77777777" w:rsidR="0005394E" w:rsidRDefault="00053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FE44" w14:textId="77777777" w:rsidR="0005394E" w:rsidRDefault="000539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FF67" w14:textId="77777777" w:rsidR="00D56D3B" w:rsidRDefault="00D56D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5483" w14:textId="77777777" w:rsidR="00D56D3B" w:rsidRDefault="00D56D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B394" w14:textId="77777777" w:rsidR="00D56D3B" w:rsidRDefault="00D56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62CCB"/>
    <w:multiLevelType w:val="hybridMultilevel"/>
    <w:tmpl w:val="438E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47B1D"/>
    <w:multiLevelType w:val="hybridMultilevel"/>
    <w:tmpl w:val="C5CC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E6BDE"/>
    <w:multiLevelType w:val="multilevel"/>
    <w:tmpl w:val="022EF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D76A3"/>
    <w:multiLevelType w:val="hybridMultilevel"/>
    <w:tmpl w:val="564E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15:restartNumberingAfterBreak="0">
    <w:nsid w:val="37406018"/>
    <w:multiLevelType w:val="multilevel"/>
    <w:tmpl w:val="6F9AFC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42603198"/>
    <w:multiLevelType w:val="hybridMultilevel"/>
    <w:tmpl w:val="A7CEF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20F89"/>
    <w:multiLevelType w:val="hybridMultilevel"/>
    <w:tmpl w:val="B526F9E0"/>
    <w:lvl w:ilvl="0" w:tplc="A8240130">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96A27"/>
    <w:multiLevelType w:val="hybridMultilevel"/>
    <w:tmpl w:val="7406A7E2"/>
    <w:lvl w:ilvl="0" w:tplc="F964FE1C">
      <w:start w:val="1"/>
      <w:numFmt w:val="upperLetter"/>
      <w:lvlText w:val="%1."/>
      <w:lvlJc w:val="left"/>
      <w:pPr>
        <w:ind w:left="1080" w:hanging="72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27CFB"/>
    <w:multiLevelType w:val="multilevel"/>
    <w:tmpl w:val="E160D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43BF8"/>
    <w:multiLevelType w:val="hybridMultilevel"/>
    <w:tmpl w:val="B91CEAF2"/>
    <w:lvl w:ilvl="0" w:tplc="CE0425E0">
      <w:start w:val="1"/>
      <w:numFmt w:val="upperLetter"/>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tplc="895C0374">
      <w:numFmt w:val="bullet"/>
      <w:lvlText w:val="•"/>
      <w:lvlJc w:val="left"/>
      <w:pPr>
        <w:ind w:left="1392" w:hanging="361"/>
      </w:pPr>
      <w:rPr>
        <w:rFonts w:hint="default"/>
        <w:lang w:val="en-US" w:eastAsia="en-US" w:bidi="ar-SA"/>
      </w:rPr>
    </w:lvl>
    <w:lvl w:ilvl="2" w:tplc="B65A0EFC">
      <w:numFmt w:val="bullet"/>
      <w:lvlText w:val="•"/>
      <w:lvlJc w:val="left"/>
      <w:pPr>
        <w:ind w:left="2304" w:hanging="361"/>
      </w:pPr>
      <w:rPr>
        <w:rFonts w:hint="default"/>
        <w:lang w:val="en-US" w:eastAsia="en-US" w:bidi="ar-SA"/>
      </w:rPr>
    </w:lvl>
    <w:lvl w:ilvl="3" w:tplc="30E086AE">
      <w:numFmt w:val="bullet"/>
      <w:lvlText w:val="•"/>
      <w:lvlJc w:val="left"/>
      <w:pPr>
        <w:ind w:left="3216" w:hanging="361"/>
      </w:pPr>
      <w:rPr>
        <w:rFonts w:hint="default"/>
        <w:lang w:val="en-US" w:eastAsia="en-US" w:bidi="ar-SA"/>
      </w:rPr>
    </w:lvl>
    <w:lvl w:ilvl="4" w:tplc="647A16D2">
      <w:numFmt w:val="bullet"/>
      <w:lvlText w:val="•"/>
      <w:lvlJc w:val="left"/>
      <w:pPr>
        <w:ind w:left="4128" w:hanging="361"/>
      </w:pPr>
      <w:rPr>
        <w:rFonts w:hint="default"/>
        <w:lang w:val="en-US" w:eastAsia="en-US" w:bidi="ar-SA"/>
      </w:rPr>
    </w:lvl>
    <w:lvl w:ilvl="5" w:tplc="E54673EC">
      <w:numFmt w:val="bullet"/>
      <w:lvlText w:val="•"/>
      <w:lvlJc w:val="left"/>
      <w:pPr>
        <w:ind w:left="5040" w:hanging="361"/>
      </w:pPr>
      <w:rPr>
        <w:rFonts w:hint="default"/>
        <w:lang w:val="en-US" w:eastAsia="en-US" w:bidi="ar-SA"/>
      </w:rPr>
    </w:lvl>
    <w:lvl w:ilvl="6" w:tplc="B43A9C66">
      <w:numFmt w:val="bullet"/>
      <w:lvlText w:val="•"/>
      <w:lvlJc w:val="left"/>
      <w:pPr>
        <w:ind w:left="5952" w:hanging="361"/>
      </w:pPr>
      <w:rPr>
        <w:rFonts w:hint="default"/>
        <w:lang w:val="en-US" w:eastAsia="en-US" w:bidi="ar-SA"/>
      </w:rPr>
    </w:lvl>
    <w:lvl w:ilvl="7" w:tplc="9A2C11F4">
      <w:numFmt w:val="bullet"/>
      <w:lvlText w:val="•"/>
      <w:lvlJc w:val="left"/>
      <w:pPr>
        <w:ind w:left="6864" w:hanging="361"/>
      </w:pPr>
      <w:rPr>
        <w:rFonts w:hint="default"/>
        <w:lang w:val="en-US" w:eastAsia="en-US" w:bidi="ar-SA"/>
      </w:rPr>
    </w:lvl>
    <w:lvl w:ilvl="8" w:tplc="23E69A52">
      <w:numFmt w:val="bullet"/>
      <w:lvlText w:val="•"/>
      <w:lvlJc w:val="left"/>
      <w:pPr>
        <w:ind w:left="7776" w:hanging="361"/>
      </w:pPr>
      <w:rPr>
        <w:rFonts w:hint="default"/>
        <w:lang w:val="en-US" w:eastAsia="en-US" w:bidi="ar-SA"/>
      </w:rPr>
    </w:lvl>
  </w:abstractNum>
  <w:abstractNum w:abstractNumId="13" w15:restartNumberingAfterBreak="0">
    <w:nsid w:val="674F1237"/>
    <w:multiLevelType w:val="hybridMultilevel"/>
    <w:tmpl w:val="1CB0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C466C6"/>
    <w:multiLevelType w:val="hybridMultilevel"/>
    <w:tmpl w:val="418CF5AA"/>
    <w:lvl w:ilvl="0" w:tplc="AAA069B2">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F4E41"/>
    <w:multiLevelType w:val="hybridMultilevel"/>
    <w:tmpl w:val="82CC5D4A"/>
    <w:lvl w:ilvl="0" w:tplc="D242B642">
      <w:start w:val="7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B3A0A"/>
    <w:multiLevelType w:val="multilevel"/>
    <w:tmpl w:val="C506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3833E8"/>
    <w:multiLevelType w:val="hybridMultilevel"/>
    <w:tmpl w:val="9F82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680490">
    <w:abstractNumId w:val="2"/>
  </w:num>
  <w:num w:numId="2" w16cid:durableId="208346964">
    <w:abstractNumId w:val="0"/>
  </w:num>
  <w:num w:numId="3" w16cid:durableId="1278679930">
    <w:abstractNumId w:val="17"/>
  </w:num>
  <w:num w:numId="4" w16cid:durableId="2030325560">
    <w:abstractNumId w:val="14"/>
  </w:num>
  <w:num w:numId="5" w16cid:durableId="1992325633">
    <w:abstractNumId w:val="12"/>
  </w:num>
  <w:num w:numId="6" w16cid:durableId="242228292">
    <w:abstractNumId w:val="1"/>
  </w:num>
  <w:num w:numId="7" w16cid:durableId="480197728">
    <w:abstractNumId w:val="10"/>
  </w:num>
  <w:num w:numId="8" w16cid:durableId="1038163556">
    <w:abstractNumId w:val="3"/>
  </w:num>
  <w:num w:numId="9" w16cid:durableId="504515307">
    <w:abstractNumId w:val="9"/>
  </w:num>
  <w:num w:numId="10" w16cid:durableId="1657340088">
    <w:abstractNumId w:val="5"/>
  </w:num>
  <w:num w:numId="11" w16cid:durableId="300620005">
    <w:abstractNumId w:val="6"/>
  </w:num>
  <w:num w:numId="12" w16cid:durableId="2092584795">
    <w:abstractNumId w:val="7"/>
  </w:num>
  <w:num w:numId="13" w16cid:durableId="1880627322">
    <w:abstractNumId w:val="8"/>
  </w:num>
  <w:num w:numId="14" w16cid:durableId="1679504658">
    <w:abstractNumId w:val="13"/>
  </w:num>
  <w:num w:numId="15" w16cid:durableId="30152797">
    <w:abstractNumId w:val="11"/>
  </w:num>
  <w:num w:numId="16" w16cid:durableId="1357080500">
    <w:abstractNumId w:val="16"/>
  </w:num>
  <w:num w:numId="17" w16cid:durableId="880704869">
    <w:abstractNumId w:val="15"/>
  </w:num>
  <w:num w:numId="18" w16cid:durableId="147476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25"/>
    <w:rsid w:val="00004DEA"/>
    <w:rsid w:val="00005050"/>
    <w:rsid w:val="00012D3F"/>
    <w:rsid w:val="00016FBE"/>
    <w:rsid w:val="00030192"/>
    <w:rsid w:val="00045570"/>
    <w:rsid w:val="00046C35"/>
    <w:rsid w:val="00046FC3"/>
    <w:rsid w:val="0005394E"/>
    <w:rsid w:val="00062791"/>
    <w:rsid w:val="00063B44"/>
    <w:rsid w:val="000713B3"/>
    <w:rsid w:val="00087783"/>
    <w:rsid w:val="0008778C"/>
    <w:rsid w:val="00097285"/>
    <w:rsid w:val="000A4CC3"/>
    <w:rsid w:val="000B0A89"/>
    <w:rsid w:val="000C3D2C"/>
    <w:rsid w:val="000C4B18"/>
    <w:rsid w:val="000C5EBD"/>
    <w:rsid w:val="000E039C"/>
    <w:rsid w:val="000E2A3D"/>
    <w:rsid w:val="000F1A99"/>
    <w:rsid w:val="000F2CDD"/>
    <w:rsid w:val="000F4854"/>
    <w:rsid w:val="001018E3"/>
    <w:rsid w:val="00103587"/>
    <w:rsid w:val="00103A3F"/>
    <w:rsid w:val="00104B43"/>
    <w:rsid w:val="00116893"/>
    <w:rsid w:val="00123008"/>
    <w:rsid w:val="00131ED4"/>
    <w:rsid w:val="00133BCB"/>
    <w:rsid w:val="00141D38"/>
    <w:rsid w:val="00162F44"/>
    <w:rsid w:val="0017356C"/>
    <w:rsid w:val="0017719E"/>
    <w:rsid w:val="00190742"/>
    <w:rsid w:val="00190BA6"/>
    <w:rsid w:val="00194899"/>
    <w:rsid w:val="001A3CFE"/>
    <w:rsid w:val="001D1459"/>
    <w:rsid w:val="001D17C6"/>
    <w:rsid w:val="00230665"/>
    <w:rsid w:val="00233739"/>
    <w:rsid w:val="0024442C"/>
    <w:rsid w:val="0024480C"/>
    <w:rsid w:val="00244A6C"/>
    <w:rsid w:val="002715CA"/>
    <w:rsid w:val="00276884"/>
    <w:rsid w:val="002925BB"/>
    <w:rsid w:val="00295E98"/>
    <w:rsid w:val="002973CA"/>
    <w:rsid w:val="002A20C2"/>
    <w:rsid w:val="002A7F2F"/>
    <w:rsid w:val="002B01FB"/>
    <w:rsid w:val="002B7A3E"/>
    <w:rsid w:val="002C2B30"/>
    <w:rsid w:val="002D0FFE"/>
    <w:rsid w:val="002E3FAE"/>
    <w:rsid w:val="002F3FF0"/>
    <w:rsid w:val="002F7F69"/>
    <w:rsid w:val="00317138"/>
    <w:rsid w:val="0031751C"/>
    <w:rsid w:val="003175DF"/>
    <w:rsid w:val="003233A0"/>
    <w:rsid w:val="003238A3"/>
    <w:rsid w:val="003256FA"/>
    <w:rsid w:val="0032751F"/>
    <w:rsid w:val="00333983"/>
    <w:rsid w:val="00335054"/>
    <w:rsid w:val="00335D50"/>
    <w:rsid w:val="00346C61"/>
    <w:rsid w:val="00347ABB"/>
    <w:rsid w:val="00351B62"/>
    <w:rsid w:val="00351E51"/>
    <w:rsid w:val="00353C7E"/>
    <w:rsid w:val="00360D6C"/>
    <w:rsid w:val="00362C79"/>
    <w:rsid w:val="003663CD"/>
    <w:rsid w:val="003774BA"/>
    <w:rsid w:val="0038709A"/>
    <w:rsid w:val="00390197"/>
    <w:rsid w:val="00393918"/>
    <w:rsid w:val="003B0A62"/>
    <w:rsid w:val="003C0B10"/>
    <w:rsid w:val="003D0B20"/>
    <w:rsid w:val="003D147D"/>
    <w:rsid w:val="003D749E"/>
    <w:rsid w:val="003E4F17"/>
    <w:rsid w:val="003F717B"/>
    <w:rsid w:val="00403CCE"/>
    <w:rsid w:val="00420C7E"/>
    <w:rsid w:val="0043294C"/>
    <w:rsid w:val="00437432"/>
    <w:rsid w:val="00441FB7"/>
    <w:rsid w:val="00450E54"/>
    <w:rsid w:val="00451FFC"/>
    <w:rsid w:val="00471576"/>
    <w:rsid w:val="00472E96"/>
    <w:rsid w:val="00495A0A"/>
    <w:rsid w:val="004A5DBE"/>
    <w:rsid w:val="004B0221"/>
    <w:rsid w:val="004B3EBB"/>
    <w:rsid w:val="004B5A75"/>
    <w:rsid w:val="004C1DAB"/>
    <w:rsid w:val="004C1F59"/>
    <w:rsid w:val="004C2BE0"/>
    <w:rsid w:val="004D6A8E"/>
    <w:rsid w:val="004D7D55"/>
    <w:rsid w:val="004E14A0"/>
    <w:rsid w:val="004F6E8B"/>
    <w:rsid w:val="00515F2B"/>
    <w:rsid w:val="005315A6"/>
    <w:rsid w:val="00547590"/>
    <w:rsid w:val="00563D9E"/>
    <w:rsid w:val="00564F5B"/>
    <w:rsid w:val="00580E73"/>
    <w:rsid w:val="00582EAA"/>
    <w:rsid w:val="00590778"/>
    <w:rsid w:val="00592B36"/>
    <w:rsid w:val="00592DEE"/>
    <w:rsid w:val="005B35D2"/>
    <w:rsid w:val="005B5C5D"/>
    <w:rsid w:val="005B6EDA"/>
    <w:rsid w:val="005C05A9"/>
    <w:rsid w:val="005C08E6"/>
    <w:rsid w:val="005D634E"/>
    <w:rsid w:val="005E279D"/>
    <w:rsid w:val="005E4590"/>
    <w:rsid w:val="005F2D8C"/>
    <w:rsid w:val="005F713E"/>
    <w:rsid w:val="006216B9"/>
    <w:rsid w:val="0064225F"/>
    <w:rsid w:val="00652099"/>
    <w:rsid w:val="00660A5E"/>
    <w:rsid w:val="006626FB"/>
    <w:rsid w:val="0066595B"/>
    <w:rsid w:val="00671069"/>
    <w:rsid w:val="00674AB3"/>
    <w:rsid w:val="006826FD"/>
    <w:rsid w:val="00687F67"/>
    <w:rsid w:val="006925D7"/>
    <w:rsid w:val="00693B72"/>
    <w:rsid w:val="006A23ED"/>
    <w:rsid w:val="006B2AF7"/>
    <w:rsid w:val="006C0968"/>
    <w:rsid w:val="006C651E"/>
    <w:rsid w:val="006D0201"/>
    <w:rsid w:val="006E391E"/>
    <w:rsid w:val="006E67AD"/>
    <w:rsid w:val="007040C8"/>
    <w:rsid w:val="007046F0"/>
    <w:rsid w:val="00711C7F"/>
    <w:rsid w:val="007215C8"/>
    <w:rsid w:val="00723F4E"/>
    <w:rsid w:val="00736837"/>
    <w:rsid w:val="00753332"/>
    <w:rsid w:val="00754B06"/>
    <w:rsid w:val="00761B84"/>
    <w:rsid w:val="00763772"/>
    <w:rsid w:val="00763E26"/>
    <w:rsid w:val="00784A09"/>
    <w:rsid w:val="007A1CD9"/>
    <w:rsid w:val="007A2875"/>
    <w:rsid w:val="007A3B14"/>
    <w:rsid w:val="007A4DAC"/>
    <w:rsid w:val="007B2757"/>
    <w:rsid w:val="007B5B3A"/>
    <w:rsid w:val="007B5B9F"/>
    <w:rsid w:val="007C16EC"/>
    <w:rsid w:val="007C659A"/>
    <w:rsid w:val="007C74AC"/>
    <w:rsid w:val="007D4477"/>
    <w:rsid w:val="007D6865"/>
    <w:rsid w:val="007D69B8"/>
    <w:rsid w:val="007D7B8B"/>
    <w:rsid w:val="007F1DEF"/>
    <w:rsid w:val="007F2D65"/>
    <w:rsid w:val="007F4B4E"/>
    <w:rsid w:val="007F73BD"/>
    <w:rsid w:val="00802BFB"/>
    <w:rsid w:val="008160BC"/>
    <w:rsid w:val="00827DF8"/>
    <w:rsid w:val="00831E29"/>
    <w:rsid w:val="00832C91"/>
    <w:rsid w:val="008477FF"/>
    <w:rsid w:val="00854409"/>
    <w:rsid w:val="00885FA7"/>
    <w:rsid w:val="0089183A"/>
    <w:rsid w:val="008B02C1"/>
    <w:rsid w:val="008D41BC"/>
    <w:rsid w:val="008D55C6"/>
    <w:rsid w:val="008D7B02"/>
    <w:rsid w:val="008E5CD1"/>
    <w:rsid w:val="008F12DA"/>
    <w:rsid w:val="00901139"/>
    <w:rsid w:val="009479AB"/>
    <w:rsid w:val="009500B2"/>
    <w:rsid w:val="009555DC"/>
    <w:rsid w:val="00956413"/>
    <w:rsid w:val="009676A0"/>
    <w:rsid w:val="00973856"/>
    <w:rsid w:val="009826F6"/>
    <w:rsid w:val="009A45AF"/>
    <w:rsid w:val="009B0515"/>
    <w:rsid w:val="009B3098"/>
    <w:rsid w:val="009B4CA2"/>
    <w:rsid w:val="009B7DC8"/>
    <w:rsid w:val="009C1CD5"/>
    <w:rsid w:val="009D4425"/>
    <w:rsid w:val="009D6BA8"/>
    <w:rsid w:val="009E7044"/>
    <w:rsid w:val="009E709F"/>
    <w:rsid w:val="009F25CD"/>
    <w:rsid w:val="009F2D4E"/>
    <w:rsid w:val="009F7F41"/>
    <w:rsid w:val="00A01AB5"/>
    <w:rsid w:val="00A06C4E"/>
    <w:rsid w:val="00A22244"/>
    <w:rsid w:val="00A231AA"/>
    <w:rsid w:val="00A2471A"/>
    <w:rsid w:val="00A3559F"/>
    <w:rsid w:val="00A409A5"/>
    <w:rsid w:val="00A4143C"/>
    <w:rsid w:val="00A41F8C"/>
    <w:rsid w:val="00A425BC"/>
    <w:rsid w:val="00A42FD3"/>
    <w:rsid w:val="00A4319B"/>
    <w:rsid w:val="00A43A52"/>
    <w:rsid w:val="00A52C44"/>
    <w:rsid w:val="00A55A9B"/>
    <w:rsid w:val="00A56A35"/>
    <w:rsid w:val="00A70F0A"/>
    <w:rsid w:val="00A73C1A"/>
    <w:rsid w:val="00A76361"/>
    <w:rsid w:val="00A8488D"/>
    <w:rsid w:val="00A855B0"/>
    <w:rsid w:val="00AA4865"/>
    <w:rsid w:val="00AA7738"/>
    <w:rsid w:val="00AB47C8"/>
    <w:rsid w:val="00AB6CC9"/>
    <w:rsid w:val="00AC0F40"/>
    <w:rsid w:val="00AC6E62"/>
    <w:rsid w:val="00AD3192"/>
    <w:rsid w:val="00AD5598"/>
    <w:rsid w:val="00B00841"/>
    <w:rsid w:val="00B13162"/>
    <w:rsid w:val="00B179DF"/>
    <w:rsid w:val="00B242F6"/>
    <w:rsid w:val="00B53C4D"/>
    <w:rsid w:val="00B7313D"/>
    <w:rsid w:val="00B75E25"/>
    <w:rsid w:val="00B77A34"/>
    <w:rsid w:val="00B953E2"/>
    <w:rsid w:val="00BC0F9E"/>
    <w:rsid w:val="00BC7EB8"/>
    <w:rsid w:val="00BD57CF"/>
    <w:rsid w:val="00BE270D"/>
    <w:rsid w:val="00BF3AF6"/>
    <w:rsid w:val="00BF74C8"/>
    <w:rsid w:val="00C10905"/>
    <w:rsid w:val="00C24952"/>
    <w:rsid w:val="00C2765C"/>
    <w:rsid w:val="00C31B08"/>
    <w:rsid w:val="00C56BEF"/>
    <w:rsid w:val="00C626DB"/>
    <w:rsid w:val="00C72F06"/>
    <w:rsid w:val="00C73E4F"/>
    <w:rsid w:val="00C75B80"/>
    <w:rsid w:val="00C95CDD"/>
    <w:rsid w:val="00CB3AE3"/>
    <w:rsid w:val="00CB401D"/>
    <w:rsid w:val="00CB6812"/>
    <w:rsid w:val="00CB6D3B"/>
    <w:rsid w:val="00CD2BB2"/>
    <w:rsid w:val="00CD3D50"/>
    <w:rsid w:val="00CD76A8"/>
    <w:rsid w:val="00CE79BC"/>
    <w:rsid w:val="00CF38AC"/>
    <w:rsid w:val="00CF7A3C"/>
    <w:rsid w:val="00D03A63"/>
    <w:rsid w:val="00D152AA"/>
    <w:rsid w:val="00D15C0C"/>
    <w:rsid w:val="00D16084"/>
    <w:rsid w:val="00D267B2"/>
    <w:rsid w:val="00D305A4"/>
    <w:rsid w:val="00D42347"/>
    <w:rsid w:val="00D56D3B"/>
    <w:rsid w:val="00D70662"/>
    <w:rsid w:val="00D71F42"/>
    <w:rsid w:val="00D7294E"/>
    <w:rsid w:val="00D74561"/>
    <w:rsid w:val="00D74D13"/>
    <w:rsid w:val="00D83419"/>
    <w:rsid w:val="00DA0C90"/>
    <w:rsid w:val="00DA1703"/>
    <w:rsid w:val="00DA2DF9"/>
    <w:rsid w:val="00DA30C5"/>
    <w:rsid w:val="00DD1B32"/>
    <w:rsid w:val="00DD6712"/>
    <w:rsid w:val="00DD7B42"/>
    <w:rsid w:val="00DE3B87"/>
    <w:rsid w:val="00DF653E"/>
    <w:rsid w:val="00DF6840"/>
    <w:rsid w:val="00E100F5"/>
    <w:rsid w:val="00E11FB3"/>
    <w:rsid w:val="00E21FA6"/>
    <w:rsid w:val="00E24E8B"/>
    <w:rsid w:val="00E27321"/>
    <w:rsid w:val="00E428F5"/>
    <w:rsid w:val="00E43ED7"/>
    <w:rsid w:val="00E44B3A"/>
    <w:rsid w:val="00E560D2"/>
    <w:rsid w:val="00E61A76"/>
    <w:rsid w:val="00E62D93"/>
    <w:rsid w:val="00E6793C"/>
    <w:rsid w:val="00E70A3F"/>
    <w:rsid w:val="00E70C9A"/>
    <w:rsid w:val="00E70E4C"/>
    <w:rsid w:val="00E86F41"/>
    <w:rsid w:val="00E913A8"/>
    <w:rsid w:val="00E9228E"/>
    <w:rsid w:val="00EF18D1"/>
    <w:rsid w:val="00EF4C2C"/>
    <w:rsid w:val="00F000AC"/>
    <w:rsid w:val="00F1742E"/>
    <w:rsid w:val="00F22D89"/>
    <w:rsid w:val="00F23D83"/>
    <w:rsid w:val="00F348BF"/>
    <w:rsid w:val="00F50D10"/>
    <w:rsid w:val="00F54BDD"/>
    <w:rsid w:val="00F63527"/>
    <w:rsid w:val="00F713D1"/>
    <w:rsid w:val="00F743E8"/>
    <w:rsid w:val="00F74DA3"/>
    <w:rsid w:val="00F83596"/>
    <w:rsid w:val="00F84BF6"/>
    <w:rsid w:val="00F84C33"/>
    <w:rsid w:val="00F97656"/>
    <w:rsid w:val="00FA3A76"/>
    <w:rsid w:val="00FB1E79"/>
    <w:rsid w:val="00FC20F3"/>
    <w:rsid w:val="00FD031A"/>
    <w:rsid w:val="00FD47B8"/>
    <w:rsid w:val="00FD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CDF1"/>
  <w15:chartTrackingRefBased/>
  <w15:docId w15:val="{5AC31909-B1FF-4507-B219-B1D2DE5A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BF3AF6"/>
    <w:pPr>
      <w:outlineLvl w:val="0"/>
    </w:pPr>
    <w:rPr>
      <w:rFonts w:asciiTheme="minorHAnsi" w:hAnsiTheme="minorHAnsi"/>
      <w:b/>
      <w:bCs/>
      <w:sz w:val="21"/>
      <w:szCs w:val="21"/>
      <w:u w:val="single"/>
    </w:rPr>
  </w:style>
  <w:style w:type="paragraph" w:styleId="Heading2">
    <w:name w:val="heading 2"/>
    <w:basedOn w:val="Normal"/>
    <w:next w:val="Normal"/>
    <w:link w:val="Heading2Char"/>
    <w:uiPriority w:val="1"/>
    <w:qFormat/>
    <w:rsid w:val="00C95CDD"/>
    <w:pPr>
      <w:spacing w:after="120"/>
      <w:ind w:left="720" w:hanging="720"/>
      <w:jc w:val="both"/>
      <w:outlineLvl w:val="1"/>
    </w:pPr>
    <w:rPr>
      <w:rFonts w:ascii="Aptos" w:eastAsia="Calibri" w:hAnsi="Aptos" w:cs="Arial"/>
      <w:bCs/>
      <w:sz w:val="21"/>
      <w:szCs w:val="21"/>
    </w:rPr>
  </w:style>
  <w:style w:type="paragraph" w:styleId="Heading3">
    <w:name w:val="heading 3"/>
    <w:basedOn w:val="ListParagraph"/>
    <w:next w:val="Normal"/>
    <w:link w:val="Heading3Char"/>
    <w:uiPriority w:val="1"/>
    <w:qFormat/>
    <w:rsid w:val="009B3098"/>
    <w:pPr>
      <w:numPr>
        <w:numId w:val="9"/>
      </w:numPr>
      <w:spacing w:after="120"/>
      <w:contextualSpacing w:val="0"/>
      <w:jc w:val="both"/>
      <w:outlineLvl w:val="2"/>
    </w:pPr>
    <w:rPr>
      <w:rFonts w:asciiTheme="minorHAnsi" w:hAnsiTheme="minorHAnsi"/>
      <w:sz w:val="21"/>
      <w:szCs w:val="21"/>
      <w:u w:val="single"/>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BF3AF6"/>
    <w:rPr>
      <w:rFonts w:cs="Times New Roman"/>
      <w:b/>
      <w:bCs/>
      <w:sz w:val="21"/>
      <w:szCs w:val="21"/>
      <w:u w:val="single"/>
    </w:rPr>
  </w:style>
  <w:style w:type="character" w:customStyle="1" w:styleId="Heading2Char">
    <w:name w:val="Heading 2 Char"/>
    <w:link w:val="Heading2"/>
    <w:uiPriority w:val="1"/>
    <w:rsid w:val="00C95CDD"/>
    <w:rPr>
      <w:rFonts w:ascii="Aptos" w:eastAsia="Calibri" w:hAnsi="Aptos" w:cs="Arial"/>
      <w:bCs/>
      <w:sz w:val="21"/>
      <w:szCs w:val="21"/>
    </w:rPr>
  </w:style>
  <w:style w:type="character" w:customStyle="1" w:styleId="Heading3Char">
    <w:name w:val="Heading 3 Char"/>
    <w:link w:val="Heading3"/>
    <w:uiPriority w:val="1"/>
    <w:rsid w:val="009B3098"/>
    <w:rPr>
      <w:rFonts w:cs="Times New Roman"/>
      <w:sz w:val="21"/>
      <w:szCs w:val="21"/>
      <w:u w:val="single"/>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B75E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E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E25"/>
    <w:rPr>
      <w:rFonts w:ascii="Times New Roman" w:hAnsi="Times New Roman" w:cs="Times New Roman"/>
      <w:i/>
      <w:iCs/>
      <w:color w:val="404040" w:themeColor="text1" w:themeTint="BF"/>
      <w:sz w:val="24"/>
      <w:szCs w:val="24"/>
    </w:rPr>
  </w:style>
  <w:style w:type="paragraph" w:styleId="ListParagraph">
    <w:name w:val="List Paragraph"/>
    <w:basedOn w:val="Normal"/>
    <w:link w:val="ListParagraphChar"/>
    <w:uiPriority w:val="34"/>
    <w:qFormat/>
    <w:rsid w:val="00B75E25"/>
    <w:pPr>
      <w:ind w:left="720"/>
      <w:contextualSpacing/>
    </w:pPr>
  </w:style>
  <w:style w:type="character" w:styleId="IntenseEmphasis">
    <w:name w:val="Intense Emphasis"/>
    <w:basedOn w:val="DefaultParagraphFont"/>
    <w:uiPriority w:val="21"/>
    <w:qFormat/>
    <w:rsid w:val="00B75E25"/>
    <w:rPr>
      <w:i/>
      <w:iCs/>
      <w:color w:val="0F4761" w:themeColor="accent1" w:themeShade="BF"/>
    </w:rPr>
  </w:style>
  <w:style w:type="paragraph" w:styleId="IntenseQuote">
    <w:name w:val="Intense Quote"/>
    <w:basedOn w:val="Normal"/>
    <w:next w:val="Normal"/>
    <w:link w:val="IntenseQuoteChar"/>
    <w:uiPriority w:val="30"/>
    <w:qFormat/>
    <w:rsid w:val="00B75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E25"/>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B75E25"/>
    <w:rPr>
      <w:b/>
      <w:bCs/>
      <w:smallCaps/>
      <w:color w:val="0F4761" w:themeColor="accent1" w:themeShade="BF"/>
      <w:spacing w:val="5"/>
    </w:rPr>
  </w:style>
  <w:style w:type="paragraph" w:styleId="Header">
    <w:name w:val="header"/>
    <w:basedOn w:val="Normal"/>
    <w:link w:val="HeaderChar"/>
    <w:uiPriority w:val="99"/>
    <w:unhideWhenUsed/>
    <w:rsid w:val="00D56D3B"/>
    <w:pPr>
      <w:tabs>
        <w:tab w:val="center" w:pos="4680"/>
        <w:tab w:val="right" w:pos="9360"/>
      </w:tabs>
    </w:pPr>
  </w:style>
  <w:style w:type="character" w:customStyle="1" w:styleId="HeaderChar">
    <w:name w:val="Header Char"/>
    <w:basedOn w:val="DefaultParagraphFont"/>
    <w:link w:val="Header"/>
    <w:uiPriority w:val="99"/>
    <w:rsid w:val="00D56D3B"/>
    <w:rPr>
      <w:rFonts w:ascii="Times New Roman" w:hAnsi="Times New Roman" w:cs="Times New Roman"/>
      <w:sz w:val="24"/>
      <w:szCs w:val="24"/>
    </w:rPr>
  </w:style>
  <w:style w:type="paragraph" w:styleId="Footer">
    <w:name w:val="footer"/>
    <w:basedOn w:val="Normal"/>
    <w:link w:val="FooterChar"/>
    <w:uiPriority w:val="99"/>
    <w:unhideWhenUsed/>
    <w:rsid w:val="00D56D3B"/>
    <w:pPr>
      <w:tabs>
        <w:tab w:val="center" w:pos="4680"/>
        <w:tab w:val="right" w:pos="9360"/>
      </w:tabs>
    </w:pPr>
  </w:style>
  <w:style w:type="character" w:customStyle="1" w:styleId="FooterChar">
    <w:name w:val="Footer Char"/>
    <w:basedOn w:val="DefaultParagraphFont"/>
    <w:link w:val="Footer"/>
    <w:uiPriority w:val="99"/>
    <w:rsid w:val="00D56D3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F653E"/>
    <w:rPr>
      <w:sz w:val="16"/>
      <w:szCs w:val="16"/>
    </w:rPr>
  </w:style>
  <w:style w:type="paragraph" w:styleId="CommentText">
    <w:name w:val="annotation text"/>
    <w:basedOn w:val="Normal"/>
    <w:link w:val="CommentTextChar"/>
    <w:uiPriority w:val="99"/>
    <w:unhideWhenUsed/>
    <w:rsid w:val="00DF653E"/>
    <w:rPr>
      <w:sz w:val="20"/>
      <w:szCs w:val="20"/>
    </w:rPr>
  </w:style>
  <w:style w:type="character" w:customStyle="1" w:styleId="CommentTextChar">
    <w:name w:val="Comment Text Char"/>
    <w:basedOn w:val="DefaultParagraphFont"/>
    <w:link w:val="CommentText"/>
    <w:uiPriority w:val="99"/>
    <w:rsid w:val="00DF653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653E"/>
    <w:rPr>
      <w:b/>
      <w:bCs/>
    </w:rPr>
  </w:style>
  <w:style w:type="character" w:customStyle="1" w:styleId="CommentSubjectChar">
    <w:name w:val="Comment Subject Char"/>
    <w:basedOn w:val="CommentTextChar"/>
    <w:link w:val="CommentSubject"/>
    <w:uiPriority w:val="99"/>
    <w:semiHidden/>
    <w:rsid w:val="00DF653E"/>
    <w:rPr>
      <w:rFonts w:ascii="Times New Roman" w:hAnsi="Times New Roman" w:cs="Times New Roman"/>
      <w:b/>
      <w:bCs/>
      <w:sz w:val="20"/>
      <w:szCs w:val="20"/>
    </w:rPr>
  </w:style>
  <w:style w:type="paragraph" w:customStyle="1" w:styleId="DocID">
    <w:name w:val="DocID"/>
    <w:basedOn w:val="Normal"/>
    <w:qFormat/>
    <w:rsid w:val="00DA0C90"/>
    <w:rPr>
      <w:sz w:val="16"/>
      <w:szCs w:val="16"/>
    </w:rPr>
  </w:style>
  <w:style w:type="paragraph" w:styleId="BodyText">
    <w:name w:val="Body Text"/>
    <w:basedOn w:val="Normal"/>
    <w:link w:val="BodyTextChar"/>
    <w:uiPriority w:val="1"/>
    <w:qFormat/>
    <w:rsid w:val="00A43A52"/>
    <w:pPr>
      <w:widowControl w:val="0"/>
      <w:suppressAutoHyphens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A43A52"/>
    <w:rPr>
      <w:rFonts w:ascii="Arial" w:eastAsia="Arial" w:hAnsi="Arial" w:cs="Arial"/>
    </w:rPr>
  </w:style>
  <w:style w:type="paragraph" w:styleId="FootnoteText">
    <w:name w:val="footnote text"/>
    <w:basedOn w:val="Normal"/>
    <w:link w:val="FootnoteTextChar"/>
    <w:uiPriority w:val="99"/>
    <w:unhideWhenUsed/>
    <w:rsid w:val="00A43A52"/>
    <w:rPr>
      <w:kern w:val="2"/>
      <w:sz w:val="20"/>
      <w:szCs w:val="20"/>
      <w14:ligatures w14:val="standardContextual"/>
    </w:rPr>
  </w:style>
  <w:style w:type="character" w:customStyle="1" w:styleId="FootnoteTextChar">
    <w:name w:val="Footnote Text Char"/>
    <w:basedOn w:val="DefaultParagraphFont"/>
    <w:link w:val="FootnoteText"/>
    <w:uiPriority w:val="99"/>
    <w:rsid w:val="00A43A52"/>
    <w:rPr>
      <w:rFonts w:ascii="Times New Roman" w:hAnsi="Times New Roman" w:cs="Times New Roman"/>
      <w:kern w:val="2"/>
      <w:sz w:val="20"/>
      <w:szCs w:val="20"/>
      <w14:ligatures w14:val="standardContextual"/>
    </w:rPr>
  </w:style>
  <w:style w:type="character" w:styleId="FootnoteReference">
    <w:name w:val="footnote reference"/>
    <w:basedOn w:val="DefaultParagraphFont"/>
    <w:uiPriority w:val="99"/>
    <w:unhideWhenUsed/>
    <w:rsid w:val="00A43A52"/>
    <w:rPr>
      <w:vertAlign w:val="superscript"/>
    </w:rPr>
  </w:style>
  <w:style w:type="character" w:styleId="Hyperlink">
    <w:name w:val="Hyperlink"/>
    <w:basedOn w:val="DefaultParagraphFont"/>
    <w:uiPriority w:val="99"/>
    <w:unhideWhenUsed/>
    <w:rsid w:val="00E27321"/>
    <w:rPr>
      <w:color w:val="467886" w:themeColor="hyperlink"/>
      <w:u w:val="single"/>
    </w:rPr>
  </w:style>
  <w:style w:type="character" w:customStyle="1" w:styleId="ListParagraphChar">
    <w:name w:val="List Paragraph Char"/>
    <w:basedOn w:val="DefaultParagraphFont"/>
    <w:link w:val="ListParagraph"/>
    <w:uiPriority w:val="34"/>
    <w:rsid w:val="00D03A63"/>
    <w:rPr>
      <w:rFonts w:ascii="Times New Roman" w:hAnsi="Times New Roman" w:cs="Times New Roman"/>
      <w:sz w:val="24"/>
      <w:szCs w:val="24"/>
    </w:rPr>
  </w:style>
  <w:style w:type="table" w:styleId="TableGrid">
    <w:name w:val="Table Grid"/>
    <w:basedOn w:val="TableNormal"/>
    <w:uiPriority w:val="39"/>
    <w:rsid w:val="00A2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0C9A"/>
    <w:rPr>
      <w:color w:val="96607D" w:themeColor="followedHyperlink"/>
      <w:u w:val="single"/>
    </w:rPr>
  </w:style>
  <w:style w:type="character" w:styleId="UnresolvedMention">
    <w:name w:val="Unresolved Mention"/>
    <w:basedOn w:val="DefaultParagraphFont"/>
    <w:uiPriority w:val="99"/>
    <w:semiHidden/>
    <w:unhideWhenUsed/>
    <w:rsid w:val="00E70C9A"/>
    <w:rPr>
      <w:color w:val="605E5C"/>
      <w:shd w:val="clear" w:color="auto" w:fill="E1DFDD"/>
    </w:rPr>
  </w:style>
  <w:style w:type="paragraph" w:styleId="NormalWeb">
    <w:name w:val="Normal (Web)"/>
    <w:basedOn w:val="Normal"/>
    <w:uiPriority w:val="99"/>
    <w:semiHidden/>
    <w:unhideWhenUsed/>
    <w:rsid w:val="00046FC3"/>
  </w:style>
  <w:style w:type="paragraph" w:styleId="Revision">
    <w:name w:val="Revision"/>
    <w:hidden/>
    <w:uiPriority w:val="99"/>
    <w:semiHidden/>
    <w:rsid w:val="00F000A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4215">
      <w:bodyDiv w:val="1"/>
      <w:marLeft w:val="0"/>
      <w:marRight w:val="0"/>
      <w:marTop w:val="0"/>
      <w:marBottom w:val="0"/>
      <w:divBdr>
        <w:top w:val="none" w:sz="0" w:space="0" w:color="auto"/>
        <w:left w:val="none" w:sz="0" w:space="0" w:color="auto"/>
        <w:bottom w:val="none" w:sz="0" w:space="0" w:color="auto"/>
        <w:right w:val="none" w:sz="0" w:space="0" w:color="auto"/>
      </w:divBdr>
    </w:div>
    <w:div w:id="946886363">
      <w:bodyDiv w:val="1"/>
      <w:marLeft w:val="0"/>
      <w:marRight w:val="0"/>
      <w:marTop w:val="0"/>
      <w:marBottom w:val="0"/>
      <w:divBdr>
        <w:top w:val="none" w:sz="0" w:space="0" w:color="auto"/>
        <w:left w:val="none" w:sz="0" w:space="0" w:color="auto"/>
        <w:bottom w:val="none" w:sz="0" w:space="0" w:color="auto"/>
        <w:right w:val="none" w:sz="0" w:space="0" w:color="auto"/>
      </w:divBdr>
    </w:div>
    <w:div w:id="1165634771">
      <w:bodyDiv w:val="1"/>
      <w:marLeft w:val="0"/>
      <w:marRight w:val="0"/>
      <w:marTop w:val="0"/>
      <w:marBottom w:val="0"/>
      <w:divBdr>
        <w:top w:val="none" w:sz="0" w:space="0" w:color="auto"/>
        <w:left w:val="none" w:sz="0" w:space="0" w:color="auto"/>
        <w:bottom w:val="none" w:sz="0" w:space="0" w:color="auto"/>
        <w:right w:val="none" w:sz="0" w:space="0" w:color="auto"/>
      </w:divBdr>
    </w:div>
    <w:div w:id="1265501757">
      <w:bodyDiv w:val="1"/>
      <w:marLeft w:val="0"/>
      <w:marRight w:val="0"/>
      <w:marTop w:val="0"/>
      <w:marBottom w:val="0"/>
      <w:divBdr>
        <w:top w:val="none" w:sz="0" w:space="0" w:color="auto"/>
        <w:left w:val="none" w:sz="0" w:space="0" w:color="auto"/>
        <w:bottom w:val="none" w:sz="0" w:space="0" w:color="auto"/>
        <w:right w:val="none" w:sz="0" w:space="0" w:color="auto"/>
      </w:divBdr>
    </w:div>
    <w:div w:id="1349791450">
      <w:bodyDiv w:val="1"/>
      <w:marLeft w:val="0"/>
      <w:marRight w:val="0"/>
      <w:marTop w:val="0"/>
      <w:marBottom w:val="0"/>
      <w:divBdr>
        <w:top w:val="none" w:sz="0" w:space="0" w:color="auto"/>
        <w:left w:val="none" w:sz="0" w:space="0" w:color="auto"/>
        <w:bottom w:val="none" w:sz="0" w:space="0" w:color="auto"/>
        <w:right w:val="none" w:sz="0" w:space="0" w:color="auto"/>
      </w:divBdr>
    </w:div>
    <w:div w:id="1371297100">
      <w:bodyDiv w:val="1"/>
      <w:marLeft w:val="0"/>
      <w:marRight w:val="0"/>
      <w:marTop w:val="0"/>
      <w:marBottom w:val="0"/>
      <w:divBdr>
        <w:top w:val="none" w:sz="0" w:space="0" w:color="auto"/>
        <w:left w:val="none" w:sz="0" w:space="0" w:color="auto"/>
        <w:bottom w:val="none" w:sz="0" w:space="0" w:color="auto"/>
        <w:right w:val="none" w:sz="0" w:space="0" w:color="auto"/>
      </w:divBdr>
    </w:div>
    <w:div w:id="1437871523">
      <w:bodyDiv w:val="1"/>
      <w:marLeft w:val="0"/>
      <w:marRight w:val="0"/>
      <w:marTop w:val="0"/>
      <w:marBottom w:val="0"/>
      <w:divBdr>
        <w:top w:val="none" w:sz="0" w:space="0" w:color="auto"/>
        <w:left w:val="none" w:sz="0" w:space="0" w:color="auto"/>
        <w:bottom w:val="none" w:sz="0" w:space="0" w:color="auto"/>
        <w:right w:val="none" w:sz="0" w:space="0" w:color="auto"/>
      </w:divBdr>
    </w:div>
    <w:div w:id="1478108239">
      <w:bodyDiv w:val="1"/>
      <w:marLeft w:val="0"/>
      <w:marRight w:val="0"/>
      <w:marTop w:val="0"/>
      <w:marBottom w:val="0"/>
      <w:divBdr>
        <w:top w:val="none" w:sz="0" w:space="0" w:color="auto"/>
        <w:left w:val="none" w:sz="0" w:space="0" w:color="auto"/>
        <w:bottom w:val="none" w:sz="0" w:space="0" w:color="auto"/>
        <w:right w:val="none" w:sz="0" w:space="0" w:color="auto"/>
      </w:divBdr>
    </w:div>
    <w:div w:id="1642156907">
      <w:bodyDiv w:val="1"/>
      <w:marLeft w:val="0"/>
      <w:marRight w:val="0"/>
      <w:marTop w:val="0"/>
      <w:marBottom w:val="0"/>
      <w:divBdr>
        <w:top w:val="none" w:sz="0" w:space="0" w:color="auto"/>
        <w:left w:val="none" w:sz="0" w:space="0" w:color="auto"/>
        <w:bottom w:val="none" w:sz="0" w:space="0" w:color="auto"/>
        <w:right w:val="none" w:sz="0" w:space="0" w:color="auto"/>
      </w:divBdr>
    </w:div>
    <w:div w:id="1747800746">
      <w:bodyDiv w:val="1"/>
      <w:marLeft w:val="0"/>
      <w:marRight w:val="0"/>
      <w:marTop w:val="0"/>
      <w:marBottom w:val="0"/>
      <w:divBdr>
        <w:top w:val="none" w:sz="0" w:space="0" w:color="auto"/>
        <w:left w:val="none" w:sz="0" w:space="0" w:color="auto"/>
        <w:bottom w:val="none" w:sz="0" w:space="0" w:color="auto"/>
        <w:right w:val="none" w:sz="0" w:space="0" w:color="auto"/>
      </w:divBdr>
    </w:div>
    <w:div w:id="1897013020">
      <w:bodyDiv w:val="1"/>
      <w:marLeft w:val="0"/>
      <w:marRight w:val="0"/>
      <w:marTop w:val="0"/>
      <w:marBottom w:val="0"/>
      <w:divBdr>
        <w:top w:val="none" w:sz="0" w:space="0" w:color="auto"/>
        <w:left w:val="none" w:sz="0" w:space="0" w:color="auto"/>
        <w:bottom w:val="none" w:sz="0" w:space="0" w:color="auto"/>
        <w:right w:val="none" w:sz="0" w:space="0" w:color="auto"/>
      </w:divBdr>
    </w:div>
    <w:div w:id="1937711077">
      <w:bodyDiv w:val="1"/>
      <w:marLeft w:val="0"/>
      <w:marRight w:val="0"/>
      <w:marTop w:val="0"/>
      <w:marBottom w:val="0"/>
      <w:divBdr>
        <w:top w:val="none" w:sz="0" w:space="0" w:color="auto"/>
        <w:left w:val="none" w:sz="0" w:space="0" w:color="auto"/>
        <w:bottom w:val="none" w:sz="0" w:space="0" w:color="auto"/>
        <w:right w:val="none" w:sz="0" w:space="0" w:color="auto"/>
      </w:divBdr>
    </w:div>
    <w:div w:id="1938441762">
      <w:bodyDiv w:val="1"/>
      <w:marLeft w:val="0"/>
      <w:marRight w:val="0"/>
      <w:marTop w:val="0"/>
      <w:marBottom w:val="0"/>
      <w:divBdr>
        <w:top w:val="none" w:sz="0" w:space="0" w:color="auto"/>
        <w:left w:val="none" w:sz="0" w:space="0" w:color="auto"/>
        <w:bottom w:val="none" w:sz="0" w:space="0" w:color="auto"/>
        <w:right w:val="none" w:sz="0" w:space="0" w:color="auto"/>
      </w:divBdr>
    </w:div>
    <w:div w:id="20475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6" Type="http://schemas.openxmlformats.org/officeDocument/2006/relationships/hyperlink" Target="https://www.npr.org/sections/shots-health-news/2024/11/19/nx-s1-5193027/nationwide-iv-fluid-shortage-intravenous-drugs-hospitals-patient-hydration-helene-hurricane-baxter" TargetMode="External"/><Relationship Id="rId21" Type="http://schemas.openxmlformats.org/officeDocument/2006/relationships/hyperlink" Target="https://www.mass.gov/info-details/archive-of-covid-19-public-health-guidance-and-directives" TargetMode="External"/><Relationship Id="rId42" Type="http://schemas.openxmlformats.org/officeDocument/2006/relationships/hyperlink" Target="https://www.ascassociation.org/asca/about-ascs/savings/medicare-cost-savings/medicare-cost-savings-tied-to-ascs" TargetMode="External"/><Relationship Id="rId47" Type="http://schemas.openxmlformats.org/officeDocument/2006/relationships/hyperlink" Target="https://www.medicare.gov/procedure-price-lookup/" TargetMode="External"/><Relationship Id="rId63" Type="http://schemas.openxmlformats.org/officeDocument/2006/relationships/hyperlink" Target="https://www.cancer.org/cancer/types/cancer-in-young-adults/prevention.html" TargetMode="External"/><Relationship Id="rId68" Type="http://schemas.openxmlformats.org/officeDocument/2006/relationships/hyperlink" Target="https://nccrt.org/our-impact/data-and-progress/" TargetMode="External"/><Relationship Id="rId84" Type="http://schemas.openxmlformats.org/officeDocument/2006/relationships/hyperlink" Target="https://jamanetwork.com/journals/jama/article-abstract/2837231" TargetMode="External"/><Relationship Id="rId89" Type="http://schemas.openxmlformats.org/officeDocument/2006/relationships/hyperlink" Target="https://pmc.ncbi.nlm.nih.gov/articles/PMC11134650/" TargetMode="External"/><Relationship Id="rId16" Type="http://schemas.openxmlformats.org/officeDocument/2006/relationships/hyperlink" Target="https://seer.cancer.gov/statfacts/html/colorect.html" TargetMode="External"/><Relationship Id="rId11" Type="http://schemas.openxmlformats.org/officeDocument/2006/relationships/hyperlink" Target="https://www.mass.gov/doc/datapoints-issue-26-printable-version/download" TargetMode="External"/><Relationship Id="rId32" Type="http://schemas.openxmlformats.org/officeDocument/2006/relationships/hyperlink" Target="https://www.nejm.org/doi/full/10.1056/NEJMsa2206117" TargetMode="External"/><Relationship Id="rId37" Type="http://schemas.openxmlformats.org/officeDocument/2006/relationships/hyperlink" Target="https://www.medicare.gov/procedure-price-lookup/" TargetMode="External"/><Relationship Id="rId53" Type="http://schemas.openxmlformats.org/officeDocument/2006/relationships/hyperlink" Target="https://pmc.ncbi.nlm.nih.gov/articles/PMC9322671/" TargetMode="External"/><Relationship Id="rId58" Type="http://schemas.openxmlformats.org/officeDocument/2006/relationships/hyperlink" Target="https://my.clevelandclinic.org/health/procedures/22549-egd-procedure-upper-endoscopy" TargetMode="External"/><Relationship Id="rId74" Type="http://schemas.openxmlformats.org/officeDocument/2006/relationships/hyperlink" Target="https://www.ajmc.com/view/prices-and-complications-in-hospital-based-and-freestanding-surgery-centers" TargetMode="External"/><Relationship Id="rId79" Type="http://schemas.openxmlformats.org/officeDocument/2006/relationships/hyperlink" Target="https://masshpc.gov/about" TargetMode="External"/><Relationship Id="rId5" Type="http://schemas.openxmlformats.org/officeDocument/2006/relationships/hyperlink" Target="https://acsjournals.onlinelibrary.wiley.com/doi/10.3322/caac.21772" TargetMode="External"/><Relationship Id="rId90" Type="http://schemas.openxmlformats.org/officeDocument/2006/relationships/hyperlink" Target="https://pmc.ncbi.nlm.nih.gov/articles/PMC11134650/" TargetMode="External"/><Relationship Id="rId14" Type="http://schemas.openxmlformats.org/officeDocument/2006/relationships/hyperlink" Target="https://www.mass.gov/info-details/west-bridgewater-ma-endoscopy-asc-ambulatory-surgery" TargetMode="External"/><Relationship Id="rId22" Type="http://schemas.openxmlformats.org/officeDocument/2006/relationships/hyperlink" Target="https://www.mass.gov/info-details/archive-of-covid-19-public-health-guidance-and-directives" TargetMode="External"/><Relationship Id="rId27" Type="http://schemas.openxmlformats.org/officeDocument/2006/relationships/hyperlink" Target="https://www.cancer.org/cancer/types/colon-rectal-cancer/detection-diagnosis-staging/acs-recommendations.html" TargetMode="External"/><Relationship Id="rId30" Type="http://schemas.openxmlformats.org/officeDocument/2006/relationships/hyperlink" Target="https://www.cancerresearch.org/blog/colorectal-cancer-awareness-month" TargetMode="External"/><Relationship Id="rId35" Type="http://schemas.openxmlformats.org/officeDocument/2006/relationships/hyperlink" Target="https://www.americanjournalofsurgery.com/article/S0002-9610(18)31528-9/abstract" TargetMode="External"/><Relationship Id="rId43" Type="http://schemas.openxmlformats.org/officeDocument/2006/relationships/hyperlink" Target="https://www.ascassociation.org/asca/about-ascs/savings/overview" TargetMode="External"/><Relationship Id="rId48" Type="http://schemas.openxmlformats.org/officeDocument/2006/relationships/hyperlink" Target="https://www.medicare.gov/procedure-price-lookup/" TargetMode="External"/><Relationship Id="rId56" Type="http://schemas.openxmlformats.org/officeDocument/2006/relationships/hyperlink" Target="https://www.cancer.org/cancer/diagnosis-staging/tests/endoscopy/upper-endoscopy.html" TargetMode="External"/><Relationship Id="rId64" Type="http://schemas.openxmlformats.org/officeDocument/2006/relationships/hyperlink" Target="https://www.cancer.org/cancer/types/cancer-in-young-adults/prevention.html%20" TargetMode="External"/><Relationship Id="rId69" Type="http://schemas.openxmlformats.org/officeDocument/2006/relationships/hyperlink" Target="https://www.cancer.org/cancer/types/colon-rectal-cancer/about/key-statistics.html" TargetMode="External"/><Relationship Id="rId77" Type="http://schemas.openxmlformats.org/officeDocument/2006/relationships/hyperlink" Target="https://www.medicare.gov/procedure-price-lookup/" TargetMode="External"/><Relationship Id="rId8" Type="http://schemas.openxmlformats.org/officeDocument/2006/relationships/hyperlink" Target="https://www.cdc.gov/nccdphp/priorities/colorectal-cancer.html" TargetMode="External"/><Relationship Id="rId51" Type="http://schemas.openxmlformats.org/officeDocument/2006/relationships/hyperlink" Target="https://www.mayoclinic.org/tests-procedures/endoscopy/about/pac-20395197" TargetMode="External"/><Relationship Id="rId72" Type="http://schemas.openxmlformats.org/officeDocument/2006/relationships/hyperlink" Target="https://www.aaos.org/aaosnow/2019/sep/managing/managing02/" TargetMode="External"/><Relationship Id="rId80" Type="http://schemas.openxmlformats.org/officeDocument/2006/relationships/hyperlink" Target="https://masshpc.gov/about" TargetMode="External"/><Relationship Id="rId85" Type="http://schemas.openxmlformats.org/officeDocument/2006/relationships/hyperlink" Target="https://www.nejm.org/doi/full/10.1056/NEJMsa2206117" TargetMode="External"/><Relationship Id="rId3" Type="http://schemas.openxmlformats.org/officeDocument/2006/relationships/hyperlink" Target="https://www.cdc.gov/colorectal-cancer/screening/index.html" TargetMode="External"/><Relationship Id="rId12" Type="http://schemas.openxmlformats.org/officeDocument/2006/relationships/hyperlink" Target="https://www.mass.gov/doc/datapoints-issue-26-printable-version/download" TargetMode="External"/><Relationship Id="rId17" Type="http://schemas.openxmlformats.org/officeDocument/2006/relationships/hyperlink" Target="https://www.health.harvard.edu/blog/how-well-do-colonoscopies-prevent-colorectal-cancer-what-you-need-to-know-202210182834" TargetMode="External"/><Relationship Id="rId25" Type="http://schemas.openxmlformats.org/officeDocument/2006/relationships/hyperlink" Target="https://www.npr.org/sections/shots-health-news/2024/11/19/nx-s1-5193027/nationwide-iv-fluid-shortage-intravenous-drugs-hospitals-patient-hydration-helene-hurricane-baxter" TargetMode="External"/><Relationship Id="rId33" Type="http://schemas.openxmlformats.org/officeDocument/2006/relationships/hyperlink" Target="https://donahue.umass.edu/documents/UMDI_V2024_Long-Term_Population_Projections_MCD%2C_County%2C_RPA%2C_State_Age_Sex_detail_2010-2050.xlsx" TargetMode="External"/><Relationship Id="rId38" Type="http://schemas.openxmlformats.org/officeDocument/2006/relationships/hyperlink" Target="https://www.medicare.gov/procedure-price-lookup/" TargetMode="External"/><Relationship Id="rId46" Type="http://schemas.openxmlformats.org/officeDocument/2006/relationships/hyperlink" Target="https://www.ascassociation.org/asca/about-ascs/savings/medicare-cost-savings/reducing-medicare-costs" TargetMode="External"/><Relationship Id="rId59" Type="http://schemas.openxmlformats.org/officeDocument/2006/relationships/hyperlink" Target="https://www.cancer.org/cancer/diagnosis-staging/tests/endoscopy/colonoscopy.html" TargetMode="External"/><Relationship Id="rId67" Type="http://schemas.openxmlformats.org/officeDocument/2006/relationships/hyperlink" Target="https://nccrt.org/our-impact/data-and-progress/" TargetMode="External"/><Relationship Id="rId20" Type="http://schemas.openxmlformats.org/officeDocument/2006/relationships/hyperlink" Target="https://pmc.ncbi.nlm.nih.gov/articles/PMC10788250/" TargetMode="External"/><Relationship Id="rId41" Type="http://schemas.openxmlformats.org/officeDocument/2006/relationships/hyperlink" Target="https://www.ascassociation.org/asca/about-ascs/savings/medicare-cost-savings/medicare-cost-savings-tied-to-ascs" TargetMode="External"/><Relationship Id="rId54" Type="http://schemas.openxmlformats.org/officeDocument/2006/relationships/hyperlink" Target="https://pmc.ncbi.nlm.nih.gov/articles/PMC9322671/" TargetMode="External"/><Relationship Id="rId62" Type="http://schemas.openxmlformats.org/officeDocument/2006/relationships/hyperlink" Target="https://www.cancer.org/cancer/types/cancer-in-young-adults/key-statistics.html" TargetMode="External"/><Relationship Id="rId70" Type="http://schemas.openxmlformats.org/officeDocument/2006/relationships/hyperlink" Target="https://www.cancer.org/cancer/types/colon-rectal-cancer/about/key-statistics.html" TargetMode="External"/><Relationship Id="rId75" Type="http://schemas.openxmlformats.org/officeDocument/2006/relationships/hyperlink" Target="https://www.asge.org/docs/default-source/default-document-library/quality-indicators-for-gi-endoscopic-procedures.pdf?sfvrsn=e0d2ea51_0" TargetMode="External"/><Relationship Id="rId83" Type="http://schemas.openxmlformats.org/officeDocument/2006/relationships/hyperlink" Target="https://jamanetwork.com/journals/jama/article-abstract/2837231" TargetMode="External"/><Relationship Id="rId88" Type="http://schemas.openxmlformats.org/officeDocument/2006/relationships/hyperlink" Target="https://www.nature.com/articles/s41467-024-54444-2" TargetMode="External"/><Relationship Id="rId1" Type="http://schemas.openxmlformats.org/officeDocument/2006/relationships/hyperlink" Target="https://www.cancer.org/cancer/types/colon-rectal-cancer/about/key-statistics.html" TargetMode="External"/><Relationship Id="rId6" Type="http://schemas.openxmlformats.org/officeDocument/2006/relationships/hyperlink" Target="https://acsjournals.onlinelibrary.wiley.com/doi/10.3322/caac.21772" TargetMode="External"/><Relationship Id="rId15" Type="http://schemas.openxmlformats.org/officeDocument/2006/relationships/hyperlink" Target="https://seer.cancer.gov/statfacts/html/colorect.html" TargetMode="External"/><Relationship Id="rId23" Type="http://schemas.openxmlformats.org/officeDocument/2006/relationships/hyperlink" Target="https://www.fiercehealthcare.com/hospitals/mass-calls-hospitals-to-reduce-elective-procedures-amid-staffing-shortages" TargetMode="External"/><Relationship Id="rId28" Type="http://schemas.openxmlformats.org/officeDocument/2006/relationships/hyperlink" Target="https://www.cancer.org/cancer/types/colon-rectal-cancer/detection-diagnosis-staging/acs-recommendations.html" TargetMode="External"/><Relationship Id="rId36" Type="http://schemas.openxmlformats.org/officeDocument/2006/relationships/hyperlink" Target="https://www.americanjournalofsurgery.com/article/S0002-9610(18)31528-9/abstract" TargetMode="External"/><Relationship Id="rId49" Type="http://schemas.openxmlformats.org/officeDocument/2006/relationships/hyperlink" Target="https://my.clevelandclinic.org/health/diagnostics/25126-endoscopy" TargetMode="External"/><Relationship Id="rId57" Type="http://schemas.openxmlformats.org/officeDocument/2006/relationships/hyperlink" Target="https://my.clevelandclinic.org/health/procedures/22549-egd-procedure-upper-endoscopy" TargetMode="External"/><Relationship Id="rId10" Type="http://schemas.openxmlformats.org/officeDocument/2006/relationships/hyperlink" Target="https://www.beckersasc.com/asc-news/ascs-per-capita-in-all-50-states-2023/" TargetMode="External"/><Relationship Id="rId31" Type="http://schemas.openxmlformats.org/officeDocument/2006/relationships/hyperlink" Target="https://www.nejm.org/doi/full/10.1056/NEJMsa2206117" TargetMode="External"/><Relationship Id="rId44" Type="http://schemas.openxmlformats.org/officeDocument/2006/relationships/hyperlink" Target="https://www.ascassociation.org/asca/about-ascs/savings/overview" TargetMode="External"/><Relationship Id="rId52" Type="http://schemas.openxmlformats.org/officeDocument/2006/relationships/hyperlink" Target="https://www.mayoclinic.org/tests-procedures/endoscopy/about/pac-20395197" TargetMode="External"/><Relationship Id="rId60" Type="http://schemas.openxmlformats.org/officeDocument/2006/relationships/hyperlink" Target="https://www.cancer.org/cancer/diagnosis-staging/tests/endoscopy/colonoscopy.html" TargetMode="External"/><Relationship Id="rId65" Type="http://schemas.openxmlformats.org/officeDocument/2006/relationships/hyperlink" Target="https://www.nejm.org/doi/full/10.1056/NEJMoa2208375" TargetMode="External"/><Relationship Id="rId73" Type="http://schemas.openxmlformats.org/officeDocument/2006/relationships/hyperlink" Target="https://www.ajmc.com/view/prices-and-complications-in-hospital-based-and-freestanding-surgery-centers" TargetMode="External"/><Relationship Id="rId78" Type="http://schemas.openxmlformats.org/officeDocument/2006/relationships/hyperlink" Target="https://www.medicare.gov/procedure-price-lookup/" TargetMode="External"/><Relationship Id="rId81" Type="http://schemas.openxmlformats.org/officeDocument/2006/relationships/hyperlink" Target="https://www.cdc.gov/nccdphp/priorities/colorectal-cancer.html" TargetMode="External"/><Relationship Id="rId86" Type="http://schemas.openxmlformats.org/officeDocument/2006/relationships/hyperlink" Target="https://www.nejm.org/doi/full/10.1056/NEJMsa2206117" TargetMode="External"/><Relationship Id="rId4" Type="http://schemas.openxmlformats.org/officeDocument/2006/relationships/hyperlink" Target="https://www.cdc.gov/colorectal-cancer/screening/index.html" TargetMode="External"/><Relationship Id="rId9" Type="http://schemas.openxmlformats.org/officeDocument/2006/relationships/hyperlink" Target="https://www.beckersasc.com/asc-news/ascs-per-capita-in-all-50-states-2023/" TargetMode="External"/><Relationship Id="rId13" Type="http://schemas.openxmlformats.org/officeDocument/2006/relationships/hyperlink" Target="https://www.mass.gov/info-details/weymouth-endoscopy-llc-ambulatory-surgery" TargetMode="External"/><Relationship Id="rId18" Type="http://schemas.openxmlformats.org/officeDocument/2006/relationships/hyperlink" Target="https://www.health.harvard.edu/blog/how-well-do-colonoscopies-prevent-colorectal-cancer-what-you-need-to-know-202210182834" TargetMode="External"/><Relationship Id="rId39" Type="http://schemas.openxmlformats.org/officeDocument/2006/relationships/hyperlink" Target="https://acsjournals.onlinelibrary.wiley.com/doi/10.1002/cncr.32990" TargetMode="External"/><Relationship Id="rId34" Type="http://schemas.openxmlformats.org/officeDocument/2006/relationships/hyperlink" Target="https://donahue.umass.edu/documents/UMDI_V2024_Long-Term_Population_Projections_MCD%2C_County%2C_RPA%2C_State_Age_Sex_detail_2010-2050.xlsx" TargetMode="External"/><Relationship Id="rId50" Type="http://schemas.openxmlformats.org/officeDocument/2006/relationships/hyperlink" Target="https://my.clevelandclinic.org/health/diagnostics/25126-endoscopy" TargetMode="External"/><Relationship Id="rId55" Type="http://schemas.openxmlformats.org/officeDocument/2006/relationships/hyperlink" Target="https://www.cancer.org/cancer/diagnosis-staging/tests/endoscopy/upper-endoscopy.html" TargetMode="External"/><Relationship Id="rId76" Type="http://schemas.openxmlformats.org/officeDocument/2006/relationships/hyperlink" Target="https://www.asge.org/docs/default-source/default-document-library/quality-indicators-for-gi-endoscopic-procedures.pdf?sfvrsn=e0d2ea51_0" TargetMode="External"/><Relationship Id="rId7" Type="http://schemas.openxmlformats.org/officeDocument/2006/relationships/hyperlink" Target="https://www.cdc.gov/nccdphp/priorities/colorectal-cancer.html" TargetMode="External"/><Relationship Id="rId71" Type="http://schemas.openxmlformats.org/officeDocument/2006/relationships/hyperlink" Target="https://www.aaos.org/aaosnow/2019/sep/managing/managing02/" TargetMode="External"/><Relationship Id="rId2" Type="http://schemas.openxmlformats.org/officeDocument/2006/relationships/hyperlink" Target="https://www.cancer.org/cancer/types/colon-rectal-cancer/about/key-statistics.html" TargetMode="External"/><Relationship Id="rId29" Type="http://schemas.openxmlformats.org/officeDocument/2006/relationships/hyperlink" Target="https://www.cancerresearch.org/blog/colorectal-cancer-awareness-month" TargetMode="External"/><Relationship Id="rId24" Type="http://schemas.openxmlformats.org/officeDocument/2006/relationships/hyperlink" Target="https://www.fiercehealthcare.com/hospitals/mass-calls-hospitals-to-reduce-elective-procedures-amid-staffing-shortages" TargetMode="External"/><Relationship Id="rId40" Type="http://schemas.openxmlformats.org/officeDocument/2006/relationships/hyperlink" Target="https://acsjournals.onlinelibrary.wiley.com/doi/10.1002/cncr.32990" TargetMode="External"/><Relationship Id="rId45" Type="http://schemas.openxmlformats.org/officeDocument/2006/relationships/hyperlink" Target="https://www.ascassociation.org/asca/about-ascs/savings/medicare-cost-savings/reducing-medicare-costs" TargetMode="External"/><Relationship Id="rId66" Type="http://schemas.openxmlformats.org/officeDocument/2006/relationships/hyperlink" Target="https://www.nejm.org/doi/full/10.1056/NEJMoa2208375." TargetMode="External"/><Relationship Id="rId87" Type="http://schemas.openxmlformats.org/officeDocument/2006/relationships/hyperlink" Target="https://www.nature.com/articles/s41467-024-54444-2" TargetMode="External"/><Relationship Id="rId61" Type="http://schemas.openxmlformats.org/officeDocument/2006/relationships/hyperlink" Target="https://www.cancer.org/cancer/types/cancer-in-young-adults/key-statistics.html" TargetMode="External"/><Relationship Id="rId82" Type="http://schemas.openxmlformats.org/officeDocument/2006/relationships/hyperlink" Target="https://www.cdc.gov/nccdphp/priorities/colorectal-cancer.html" TargetMode="External"/><Relationship Id="rId19" Type="http://schemas.openxmlformats.org/officeDocument/2006/relationships/hyperlink" Target="https://pmc.ncbi.nlm.nih.gov/articles/PMC1078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BB3E-ABD8-4258-AA8B-5BA7ECB8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9562</Words>
  <Characters>55463</Characters>
  <Application>Microsoft Office Word</Application>
  <DocSecurity>0</DocSecurity>
  <Lines>1180</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Fahmy, Susan</dc:creator>
  <cp:lastModifiedBy>Marks, Brett (DPH)</cp:lastModifiedBy>
  <cp:revision>37</cp:revision>
  <cp:lastPrinted>2025-09-02T14:32:00Z</cp:lastPrinted>
  <dcterms:created xsi:type="dcterms:W3CDTF">2025-09-11T21:09:00Z</dcterms:created>
  <dcterms:modified xsi:type="dcterms:W3CDTF">2025-09-19T13:47:00Z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4920-8603-4272.6</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ndDocumentId">
    <vt:lpwstr>4920-8603-4272</vt:lpwstr>
  </property>
</Properties>
</file>