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FB8A" w14:textId="73D7471D" w:rsidR="0019203D" w:rsidRPr="004F5CC4" w:rsidRDefault="0019203D" w:rsidP="0019203D">
      <w:pPr>
        <w:rPr>
          <w:b/>
          <w:bCs/>
        </w:rPr>
      </w:pPr>
      <w:r w:rsidRPr="004F5CC4">
        <w:rPr>
          <w:b/>
          <w:bCs/>
        </w:rPr>
        <w:t>2. Project Descriptio</w:t>
      </w:r>
      <w:r w:rsidR="00545BE2">
        <w:rPr>
          <w:b/>
          <w:bCs/>
        </w:rPr>
        <w:t>n</w:t>
      </w:r>
    </w:p>
    <w:p w14:paraId="09C99A85" w14:textId="23FA331B" w:rsidR="0019203D" w:rsidRPr="001A681F" w:rsidRDefault="003A1753" w:rsidP="000339BB">
      <w:pPr>
        <w:autoSpaceDE w:val="0"/>
        <w:autoSpaceDN w:val="0"/>
        <w:adjustRightInd w:val="0"/>
        <w:spacing w:after="0" w:line="240" w:lineRule="auto"/>
        <w:jc w:val="both"/>
        <w:rPr>
          <w:rFonts w:ascii="Calibri" w:hAnsi="Calibri" w:cs="Calibri"/>
          <w:kern w:val="0"/>
          <w:highlight w:val="yellow"/>
          <w14:ligatures w14:val="none"/>
        </w:rPr>
      </w:pPr>
      <w:r w:rsidRPr="003A1753">
        <w:rPr>
          <w:rFonts w:ascii="Calibri" w:hAnsi="Calibri" w:cs="Calibri"/>
          <w:kern w:val="0"/>
          <w14:ligatures w14:val="none"/>
        </w:rPr>
        <w:t>The Applicant</w:t>
      </w:r>
      <w:r w:rsidR="006D5960">
        <w:rPr>
          <w:rFonts w:ascii="Calibri" w:hAnsi="Calibri" w:cs="Calibri"/>
          <w:kern w:val="0"/>
          <w14:ligatures w14:val="none"/>
        </w:rPr>
        <w:t>, “Shields and Atrius Health PET</w:t>
      </w:r>
      <w:r w:rsidR="00CA789A">
        <w:rPr>
          <w:rFonts w:ascii="Calibri" w:hAnsi="Calibri" w:cs="Calibri"/>
          <w:kern w:val="0"/>
          <w14:ligatures w14:val="none"/>
        </w:rPr>
        <w:t>/</w:t>
      </w:r>
      <w:r w:rsidR="006D5960">
        <w:rPr>
          <w:rFonts w:ascii="Calibri" w:hAnsi="Calibri" w:cs="Calibri"/>
          <w:kern w:val="0"/>
          <w14:ligatures w14:val="none"/>
        </w:rPr>
        <w:t>CT at Dedham, LLC”</w:t>
      </w:r>
      <w:r w:rsidR="0047339B">
        <w:rPr>
          <w:rFonts w:ascii="Calibri" w:hAnsi="Calibri" w:cs="Calibri"/>
          <w:kern w:val="0"/>
          <w14:ligatures w14:val="none"/>
        </w:rPr>
        <w:t>,</w:t>
      </w:r>
      <w:r w:rsidR="00CA789A">
        <w:rPr>
          <w:rFonts w:ascii="Calibri" w:hAnsi="Calibri" w:cs="Calibri"/>
          <w:kern w:val="0"/>
          <w14:ligatures w14:val="none"/>
        </w:rPr>
        <w:t xml:space="preserve"> </w:t>
      </w:r>
      <w:r w:rsidRPr="003A1753">
        <w:rPr>
          <w:rFonts w:ascii="Calibri" w:hAnsi="Calibri" w:cs="Calibri"/>
          <w:kern w:val="0"/>
          <w14:ligatures w14:val="none"/>
        </w:rPr>
        <w:t>is a joint venture between Atrius MSO</w:t>
      </w:r>
      <w:r w:rsidR="002762D7">
        <w:rPr>
          <w:rFonts w:ascii="Calibri" w:hAnsi="Calibri" w:cs="Calibri"/>
          <w:kern w:val="0"/>
          <w14:ligatures w14:val="none"/>
        </w:rPr>
        <w:t>, LLC</w:t>
      </w:r>
      <w:r w:rsidRPr="003A1753">
        <w:rPr>
          <w:rFonts w:ascii="Calibri" w:hAnsi="Calibri" w:cs="Calibri"/>
          <w:kern w:val="0"/>
          <w14:ligatures w14:val="none"/>
        </w:rPr>
        <w:t xml:space="preserve"> </w:t>
      </w:r>
      <w:r w:rsidR="00E63523">
        <w:rPr>
          <w:rFonts w:ascii="Calibri" w:hAnsi="Calibri" w:cs="Calibri"/>
          <w:kern w:val="0"/>
          <w14:ligatures w14:val="none"/>
        </w:rPr>
        <w:t>(“Atrius</w:t>
      </w:r>
      <w:r w:rsidR="00963C3C">
        <w:rPr>
          <w:rFonts w:ascii="Calibri" w:hAnsi="Calibri" w:cs="Calibri"/>
          <w:kern w:val="0"/>
          <w14:ligatures w14:val="none"/>
        </w:rPr>
        <w:t xml:space="preserve"> MSO</w:t>
      </w:r>
      <w:r w:rsidR="00E63523">
        <w:rPr>
          <w:rFonts w:ascii="Calibri" w:hAnsi="Calibri" w:cs="Calibri"/>
          <w:kern w:val="0"/>
          <w14:ligatures w14:val="none"/>
        </w:rPr>
        <w:t>”)</w:t>
      </w:r>
      <w:r w:rsidR="004F36C8">
        <w:rPr>
          <w:rFonts w:ascii="Calibri" w:hAnsi="Calibri" w:cs="Calibri"/>
          <w:kern w:val="0"/>
          <w14:ligatures w14:val="none"/>
        </w:rPr>
        <w:t xml:space="preserve"> </w:t>
      </w:r>
      <w:r w:rsidRPr="003A1753">
        <w:rPr>
          <w:rFonts w:ascii="Calibri" w:hAnsi="Calibri" w:cs="Calibri"/>
          <w:kern w:val="0"/>
          <w14:ligatures w14:val="none"/>
        </w:rPr>
        <w:t>and Shields Imaging Services, LLC ("Shields")</w:t>
      </w:r>
      <w:r w:rsidR="009E1420">
        <w:rPr>
          <w:rFonts w:ascii="Calibri" w:hAnsi="Calibri" w:cs="Calibri"/>
          <w:kern w:val="0"/>
          <w14:ligatures w14:val="none"/>
        </w:rPr>
        <w:t xml:space="preserve"> </w:t>
      </w:r>
      <w:r w:rsidR="009E1420">
        <w:t>located at 700 Congress Street, Suite 204, Quincy, Massachusetts 02169. The</w:t>
      </w:r>
      <w:r w:rsidR="0019203D" w:rsidRPr="00976414">
        <w:rPr>
          <w:rFonts w:ascii="Calibri" w:hAnsi="Calibri" w:cs="Calibri"/>
          <w:kern w:val="0"/>
          <w14:ligatures w14:val="none"/>
        </w:rPr>
        <w:t xml:space="preserve"> Applicant is filing a Determination of Need Application (“Application”) with the Massachusetts Department of Public Health (“DPH”) for the establishment of a part-time mobile positron emission tomography (“PET”) – computed tomography (“CT”) (together “PET/CT”) diagnostic imaging service. Specifically, the mobile PET/CT unit will be located </w:t>
      </w:r>
      <w:r w:rsidR="007F585D">
        <w:rPr>
          <w:rFonts w:ascii="Calibri" w:hAnsi="Calibri" w:cs="Calibri"/>
          <w:kern w:val="0"/>
          <w14:ligatures w14:val="none"/>
        </w:rPr>
        <w:t>at an existing Shields facility</w:t>
      </w:r>
      <w:r w:rsidR="0019203D" w:rsidRPr="00976414">
        <w:rPr>
          <w:rFonts w:ascii="Calibri" w:hAnsi="Calibri" w:cs="Calibri"/>
          <w:kern w:val="0"/>
          <w14:ligatures w14:val="none"/>
        </w:rPr>
        <w:t xml:space="preserve"> at 40 Allied Drive, Suite 112, Dedham, MA 02026</w:t>
      </w:r>
      <w:r w:rsidR="008D7392" w:rsidRPr="00976414">
        <w:rPr>
          <w:rFonts w:ascii="Calibri" w:hAnsi="Calibri" w:cs="Calibri"/>
          <w:kern w:val="0"/>
          <w14:ligatures w14:val="none"/>
        </w:rPr>
        <w:t>,</w:t>
      </w:r>
      <w:r w:rsidR="0073252E">
        <w:rPr>
          <w:rStyle w:val="FootnoteReference"/>
          <w:rFonts w:ascii="Calibri" w:hAnsi="Calibri" w:cs="Calibri"/>
          <w:kern w:val="0"/>
          <w14:ligatures w14:val="none"/>
        </w:rPr>
        <w:footnoteReference w:id="1"/>
      </w:r>
      <w:r w:rsidR="0019203D" w:rsidRPr="00976414">
        <w:rPr>
          <w:rFonts w:ascii="Calibri" w:hAnsi="Calibri" w:cs="Calibri"/>
          <w:kern w:val="0"/>
          <w14:ligatures w14:val="none"/>
        </w:rPr>
        <w:t xml:space="preserve"> and will operate one day per week (“Proposed Project”).  </w:t>
      </w:r>
    </w:p>
    <w:p w14:paraId="16399CF0" w14:textId="77777777" w:rsidR="0019203D" w:rsidRPr="004F5CC4" w:rsidRDefault="0019203D" w:rsidP="000339BB">
      <w:pPr>
        <w:autoSpaceDE w:val="0"/>
        <w:autoSpaceDN w:val="0"/>
        <w:adjustRightInd w:val="0"/>
        <w:spacing w:after="0" w:line="240" w:lineRule="auto"/>
        <w:jc w:val="both"/>
        <w:rPr>
          <w:rFonts w:ascii="Calibri" w:hAnsi="Calibri" w:cs="Calibri"/>
          <w:kern w:val="0"/>
          <w14:ligatures w14:val="none"/>
        </w:rPr>
      </w:pPr>
    </w:p>
    <w:p w14:paraId="3B4654A4" w14:textId="74259DC3" w:rsidR="0019203D" w:rsidRPr="004F5CC4" w:rsidRDefault="00DB39D9" w:rsidP="000339BB">
      <w:pPr>
        <w:autoSpaceDE w:val="0"/>
        <w:autoSpaceDN w:val="0"/>
        <w:adjustRightInd w:val="0"/>
        <w:spacing w:after="0" w:line="240" w:lineRule="auto"/>
        <w:jc w:val="both"/>
        <w:rPr>
          <w:rFonts w:ascii="Calibri" w:hAnsi="Calibri" w:cs="Calibri"/>
          <w:kern w:val="0"/>
          <w14:ligatures w14:val="none"/>
        </w:rPr>
      </w:pPr>
      <w:r w:rsidRPr="00DB39D9">
        <w:rPr>
          <w:rFonts w:ascii="Calibri" w:hAnsi="Calibri" w:cs="Calibri"/>
          <w:kern w:val="0"/>
          <w14:ligatures w14:val="none"/>
        </w:rPr>
        <w:t>The Proposed Project</w:t>
      </w:r>
      <w:r w:rsidR="009E1420">
        <w:t xml:space="preserve"> is a new installation but will utilize an existing and serviceable mobile pad </w:t>
      </w:r>
      <w:r w:rsidRPr="00DB39D9">
        <w:rPr>
          <w:rFonts w:ascii="Calibri" w:hAnsi="Calibri" w:cs="Calibri"/>
          <w:kern w:val="0"/>
          <w14:ligatures w14:val="none"/>
        </w:rPr>
        <w:t xml:space="preserve">aligned with the existing building. </w:t>
      </w:r>
      <w:r w:rsidR="0019203D" w:rsidRPr="004F5CC4">
        <w:rPr>
          <w:rFonts w:ascii="Calibri" w:hAnsi="Calibri" w:cs="Calibri"/>
          <w:kern w:val="0"/>
          <w14:ligatures w14:val="none"/>
        </w:rPr>
        <w:t xml:space="preserve">The Applicant seeks to address the absence of </w:t>
      </w:r>
      <w:r w:rsidR="004E0B4C">
        <w:rPr>
          <w:rFonts w:ascii="Calibri" w:hAnsi="Calibri" w:cs="Calibri"/>
          <w:kern w:val="0"/>
          <w14:ligatures w14:val="none"/>
        </w:rPr>
        <w:t>standard-of-care</w:t>
      </w:r>
      <w:r w:rsidR="0019203D" w:rsidRPr="004F5CC4">
        <w:rPr>
          <w:rFonts w:ascii="Calibri" w:hAnsi="Calibri" w:cs="Calibri"/>
          <w:kern w:val="0"/>
          <w14:ligatures w14:val="none"/>
        </w:rPr>
        <w:t xml:space="preserve"> diagnostic PET/CT imaging</w:t>
      </w:r>
      <w:r w:rsidR="003F43A6" w:rsidRPr="003F43A6">
        <w:rPr>
          <w:rFonts w:ascii="Calibri" w:hAnsi="Calibri" w:cs="Calibri"/>
          <w:kern w:val="0"/>
          <w14:ligatures w14:val="none"/>
        </w:rPr>
        <w:t>.</w:t>
      </w:r>
      <w:r w:rsidR="002D3D73">
        <w:rPr>
          <w:rFonts w:ascii="Calibri" w:hAnsi="Calibri" w:cs="Calibri"/>
          <w:kern w:val="0"/>
          <w14:ligatures w14:val="none"/>
        </w:rPr>
        <w:t xml:space="preserve">  The Applicant also seeks </w:t>
      </w:r>
      <w:r w:rsidR="0019203D" w:rsidRPr="004F5CC4">
        <w:rPr>
          <w:rFonts w:ascii="Calibri" w:hAnsi="Calibri" w:cs="Calibri"/>
          <w:kern w:val="0"/>
          <w14:ligatures w14:val="none"/>
        </w:rPr>
        <w:t>to support clinical trial</w:t>
      </w:r>
      <w:r w:rsidR="004E0B4C">
        <w:rPr>
          <w:rFonts w:ascii="Calibri" w:hAnsi="Calibri" w:cs="Calibri"/>
          <w:kern w:val="0"/>
          <w14:ligatures w14:val="none"/>
        </w:rPr>
        <w:t xml:space="preserve"> research</w:t>
      </w:r>
      <w:r w:rsidR="0019203D" w:rsidRPr="004F5CC4">
        <w:rPr>
          <w:rFonts w:ascii="Calibri" w:hAnsi="Calibri" w:cs="Calibri"/>
          <w:kern w:val="0"/>
          <w14:ligatures w14:val="none"/>
        </w:rPr>
        <w:t xml:space="preserve"> by adding </w:t>
      </w:r>
      <w:r w:rsidR="002D3D73">
        <w:rPr>
          <w:rFonts w:ascii="Calibri" w:hAnsi="Calibri" w:cs="Calibri"/>
          <w:kern w:val="0"/>
          <w14:ligatures w14:val="none"/>
        </w:rPr>
        <w:t>this</w:t>
      </w:r>
      <w:r w:rsidR="0019203D" w:rsidRPr="004F5CC4">
        <w:rPr>
          <w:rFonts w:ascii="Calibri" w:hAnsi="Calibri" w:cs="Calibri"/>
          <w:kern w:val="0"/>
          <w14:ligatures w14:val="none"/>
        </w:rPr>
        <w:t xml:space="preserve"> part-time mobile </w:t>
      </w:r>
      <w:r w:rsidR="002D3D73">
        <w:rPr>
          <w:rFonts w:ascii="Calibri" w:hAnsi="Calibri" w:cs="Calibri"/>
          <w:kern w:val="0"/>
          <w14:ligatures w14:val="none"/>
        </w:rPr>
        <w:t>PET/CT</w:t>
      </w:r>
      <w:r w:rsidR="0019203D" w:rsidRPr="004F5CC4">
        <w:rPr>
          <w:rFonts w:ascii="Calibri" w:hAnsi="Calibri" w:cs="Calibri"/>
          <w:kern w:val="0"/>
          <w14:ligatures w14:val="none"/>
        </w:rPr>
        <w:t xml:space="preserve"> </w:t>
      </w:r>
      <w:r w:rsidR="00E561D0">
        <w:rPr>
          <w:rFonts w:ascii="Calibri" w:hAnsi="Calibri" w:cs="Calibri"/>
          <w:kern w:val="0"/>
          <w14:ligatures w14:val="none"/>
        </w:rPr>
        <w:t xml:space="preserve">imaging </w:t>
      </w:r>
      <w:r w:rsidR="003F43A6">
        <w:rPr>
          <w:rFonts w:ascii="Calibri" w:hAnsi="Calibri" w:cs="Calibri"/>
          <w:kern w:val="0"/>
          <w14:ligatures w14:val="none"/>
        </w:rPr>
        <w:t xml:space="preserve">tool. </w:t>
      </w:r>
      <w:r w:rsidR="00D6519A">
        <w:rPr>
          <w:rFonts w:ascii="Calibri" w:hAnsi="Calibri" w:cs="Calibri"/>
          <w:kern w:val="0"/>
          <w14:ligatures w14:val="none"/>
        </w:rPr>
        <w:t xml:space="preserve">As a </w:t>
      </w:r>
      <w:r w:rsidR="0019203D" w:rsidRPr="004F5CC4">
        <w:t>clinic, t</w:t>
      </w:r>
      <w:r w:rsidR="0019203D" w:rsidRPr="004F5CC4">
        <w:rPr>
          <w:rFonts w:ascii="Calibri" w:hAnsi="Calibri" w:cs="Calibri"/>
          <w:kern w:val="0"/>
          <w14:ligatures w14:val="none"/>
        </w:rPr>
        <w:t>he Proposed Project will be reimbursed as an Independent Diagnostic Testing Facility (“IDTF”)</w:t>
      </w:r>
      <w:r w:rsidR="004431F0">
        <w:rPr>
          <w:rFonts w:ascii="Calibri" w:hAnsi="Calibri" w:cs="Calibri"/>
          <w:kern w:val="0"/>
          <w14:ligatures w14:val="none"/>
        </w:rPr>
        <w:t xml:space="preserve"> for all diagnostic </w:t>
      </w:r>
      <w:r w:rsidR="00751998">
        <w:rPr>
          <w:rFonts w:ascii="Calibri" w:hAnsi="Calibri" w:cs="Calibri"/>
          <w:kern w:val="0"/>
          <w14:ligatures w14:val="none"/>
        </w:rPr>
        <w:t xml:space="preserve">imaging </w:t>
      </w:r>
      <w:r w:rsidR="004431F0">
        <w:rPr>
          <w:rFonts w:ascii="Calibri" w:hAnsi="Calibri" w:cs="Calibri"/>
          <w:kern w:val="0"/>
          <w14:ligatures w14:val="none"/>
        </w:rPr>
        <w:t>services</w:t>
      </w:r>
      <w:r w:rsidR="0074495E">
        <w:rPr>
          <w:rFonts w:ascii="Calibri" w:hAnsi="Calibri" w:cs="Calibri"/>
          <w:kern w:val="0"/>
          <w14:ligatures w14:val="none"/>
        </w:rPr>
        <w:t>.</w:t>
      </w:r>
    </w:p>
    <w:p w14:paraId="1429ECED" w14:textId="77777777" w:rsidR="0019203D" w:rsidRPr="004F5CC4" w:rsidRDefault="0019203D" w:rsidP="000339BB">
      <w:pPr>
        <w:autoSpaceDE w:val="0"/>
        <w:autoSpaceDN w:val="0"/>
        <w:adjustRightInd w:val="0"/>
        <w:spacing w:after="0" w:line="240" w:lineRule="auto"/>
        <w:jc w:val="both"/>
        <w:rPr>
          <w:rFonts w:ascii="Calibri" w:hAnsi="Calibri" w:cs="Calibri"/>
          <w:kern w:val="0"/>
          <w14:ligatures w14:val="none"/>
        </w:rPr>
      </w:pPr>
    </w:p>
    <w:p w14:paraId="2772EF4E" w14:textId="4B1DF425" w:rsidR="0019203D" w:rsidRPr="004F5CC4" w:rsidRDefault="0019203D" w:rsidP="000339BB">
      <w:pPr>
        <w:autoSpaceDE w:val="0"/>
        <w:autoSpaceDN w:val="0"/>
        <w:adjustRightInd w:val="0"/>
        <w:spacing w:after="0" w:line="240" w:lineRule="auto"/>
        <w:jc w:val="both"/>
        <w:rPr>
          <w:rFonts w:ascii="Calibri" w:hAnsi="Calibri" w:cs="Calibri"/>
          <w:kern w:val="0"/>
          <w14:ligatures w14:val="none"/>
        </w:rPr>
      </w:pPr>
      <w:r w:rsidRPr="004F5CC4">
        <w:rPr>
          <w:rFonts w:ascii="Calibri" w:hAnsi="Calibri" w:cs="Calibri"/>
          <w:kern w:val="0"/>
          <w14:ligatures w14:val="none"/>
        </w:rPr>
        <w:t xml:space="preserve">The Applicant seeks to ensure that patients within the Primary Service Area (PSA) have access to the highest quality imaging services </w:t>
      </w:r>
      <w:r w:rsidR="00B57BCB">
        <w:rPr>
          <w:rFonts w:ascii="Calibri" w:hAnsi="Calibri" w:cs="Calibri"/>
          <w:kern w:val="0"/>
          <w14:ligatures w14:val="none"/>
        </w:rPr>
        <w:t xml:space="preserve">delivered </w:t>
      </w:r>
      <w:r w:rsidR="0039584B">
        <w:rPr>
          <w:rFonts w:ascii="Calibri" w:hAnsi="Calibri" w:cs="Calibri"/>
          <w:kern w:val="0"/>
          <w14:ligatures w14:val="none"/>
        </w:rPr>
        <w:t>efficiently and cost-effectively</w:t>
      </w:r>
      <w:r w:rsidRPr="004F5CC4">
        <w:rPr>
          <w:rFonts w:ascii="Calibri" w:hAnsi="Calibri" w:cs="Calibri"/>
          <w:kern w:val="0"/>
          <w14:ligatures w14:val="none"/>
        </w:rPr>
        <w:t xml:space="preserve">. Currently, </w:t>
      </w:r>
      <w:r w:rsidR="00720573">
        <w:rPr>
          <w:rFonts w:ascii="Calibri" w:hAnsi="Calibri" w:cs="Calibri"/>
          <w:kern w:val="0"/>
          <w14:ligatures w14:val="none"/>
        </w:rPr>
        <w:t>th</w:t>
      </w:r>
      <w:r w:rsidR="00F652BE">
        <w:rPr>
          <w:rFonts w:ascii="Calibri" w:hAnsi="Calibri" w:cs="Calibri"/>
          <w:kern w:val="0"/>
          <w14:ligatures w14:val="none"/>
        </w:rPr>
        <w:t>o</w:t>
      </w:r>
      <w:r w:rsidR="00720573">
        <w:rPr>
          <w:rFonts w:ascii="Calibri" w:hAnsi="Calibri" w:cs="Calibri"/>
          <w:kern w:val="0"/>
          <w14:ligatures w14:val="none"/>
        </w:rPr>
        <w:t xml:space="preserve">se </w:t>
      </w:r>
      <w:r w:rsidR="00891227">
        <w:rPr>
          <w:rFonts w:ascii="Calibri" w:hAnsi="Calibri" w:cs="Calibri"/>
          <w:kern w:val="0"/>
          <w14:ligatures w14:val="none"/>
        </w:rPr>
        <w:t xml:space="preserve">patients </w:t>
      </w:r>
      <w:r w:rsidRPr="004F5CC4">
        <w:rPr>
          <w:rFonts w:ascii="Calibri" w:hAnsi="Calibri" w:cs="Calibri"/>
          <w:kern w:val="0"/>
          <w14:ligatures w14:val="none"/>
        </w:rPr>
        <w:t xml:space="preserve">seeking diagnostic imaging </w:t>
      </w:r>
      <w:r w:rsidR="00BD0402">
        <w:rPr>
          <w:rFonts w:ascii="Calibri" w:hAnsi="Calibri" w:cs="Calibri"/>
          <w:kern w:val="0"/>
          <w14:ligatures w14:val="none"/>
        </w:rPr>
        <w:t xml:space="preserve">must </w:t>
      </w:r>
      <w:r w:rsidR="00F652BE">
        <w:rPr>
          <w:rFonts w:ascii="Calibri" w:hAnsi="Calibri" w:cs="Calibri"/>
          <w:kern w:val="0"/>
          <w14:ligatures w14:val="none"/>
        </w:rPr>
        <w:t>travel</w:t>
      </w:r>
      <w:r w:rsidR="00BE78CD">
        <w:rPr>
          <w:rFonts w:ascii="Calibri" w:hAnsi="Calibri" w:cs="Calibri"/>
          <w:kern w:val="0"/>
          <w14:ligatures w14:val="none"/>
        </w:rPr>
        <w:t xml:space="preserve"> </w:t>
      </w:r>
      <w:r w:rsidRPr="004F5CC4">
        <w:rPr>
          <w:rFonts w:ascii="Calibri" w:hAnsi="Calibri" w:cs="Calibri"/>
          <w:kern w:val="0"/>
          <w14:ligatures w14:val="none"/>
        </w:rPr>
        <w:t>to</w:t>
      </w:r>
      <w:r w:rsidR="00F81FC1">
        <w:rPr>
          <w:rFonts w:ascii="Calibri" w:hAnsi="Calibri" w:cs="Calibri"/>
          <w:kern w:val="0"/>
          <w14:ligatures w14:val="none"/>
        </w:rPr>
        <w:t xml:space="preserve"> </w:t>
      </w:r>
      <w:r w:rsidR="00337012">
        <w:rPr>
          <w:rFonts w:ascii="Calibri" w:hAnsi="Calibri" w:cs="Calibri"/>
          <w:kern w:val="0"/>
          <w14:ligatures w14:val="none"/>
        </w:rPr>
        <w:t>disparate</w:t>
      </w:r>
      <w:r w:rsidR="001E220E">
        <w:rPr>
          <w:rFonts w:ascii="Calibri" w:hAnsi="Calibri" w:cs="Calibri"/>
          <w:kern w:val="0"/>
          <w14:ligatures w14:val="none"/>
        </w:rPr>
        <w:t xml:space="preserve"> </w:t>
      </w:r>
      <w:r w:rsidR="00B8056D">
        <w:rPr>
          <w:rFonts w:ascii="Calibri" w:hAnsi="Calibri" w:cs="Calibri"/>
          <w:kern w:val="0"/>
          <w14:ligatures w14:val="none"/>
        </w:rPr>
        <w:t>locations</w:t>
      </w:r>
      <w:r w:rsidR="003A3B10">
        <w:rPr>
          <w:rFonts w:ascii="Calibri" w:hAnsi="Calibri" w:cs="Calibri"/>
          <w:kern w:val="0"/>
          <w14:ligatures w14:val="none"/>
        </w:rPr>
        <w:t xml:space="preserve"> across Norfolk, Suffolk, and Middlesex count</w:t>
      </w:r>
      <w:r w:rsidR="001B5AE4">
        <w:rPr>
          <w:rFonts w:ascii="Calibri" w:hAnsi="Calibri" w:cs="Calibri"/>
          <w:kern w:val="0"/>
          <w14:ligatures w14:val="none"/>
        </w:rPr>
        <w:t>ies</w:t>
      </w:r>
      <w:r w:rsidR="00891227">
        <w:rPr>
          <w:rFonts w:ascii="Calibri" w:hAnsi="Calibri" w:cs="Calibri"/>
          <w:kern w:val="0"/>
          <w14:ligatures w14:val="none"/>
        </w:rPr>
        <w:t>.</w:t>
      </w:r>
      <w:r w:rsidRPr="004F5CC4">
        <w:rPr>
          <w:rFonts w:ascii="Calibri" w:hAnsi="Calibri" w:cs="Calibri"/>
          <w:kern w:val="0"/>
          <w14:ligatures w14:val="none"/>
        </w:rPr>
        <w:t xml:space="preserve"> The Proposed Project will enhance patient access and the patient experience by offering PET/CT imaging services </w:t>
      </w:r>
      <w:r w:rsidR="00D75037">
        <w:rPr>
          <w:rFonts w:ascii="Calibri" w:hAnsi="Calibri" w:cs="Calibri"/>
          <w:kern w:val="0"/>
          <w14:ligatures w14:val="none"/>
        </w:rPr>
        <w:t>via</w:t>
      </w:r>
      <w:r w:rsidR="00337012">
        <w:rPr>
          <w:rFonts w:ascii="Calibri" w:hAnsi="Calibri" w:cs="Calibri"/>
          <w:kern w:val="0"/>
          <w14:ligatures w14:val="none"/>
        </w:rPr>
        <w:t xml:space="preserve"> </w:t>
      </w:r>
      <w:r w:rsidR="00CF705F">
        <w:rPr>
          <w:rFonts w:ascii="Calibri" w:hAnsi="Calibri" w:cs="Calibri"/>
          <w:kern w:val="0"/>
          <w14:ligatures w14:val="none"/>
        </w:rPr>
        <w:t>this</w:t>
      </w:r>
      <w:r w:rsidR="002E2CA2">
        <w:rPr>
          <w:rFonts w:ascii="Calibri" w:hAnsi="Calibri" w:cs="Calibri"/>
          <w:kern w:val="0"/>
          <w14:ligatures w14:val="none"/>
        </w:rPr>
        <w:t xml:space="preserve"> </w:t>
      </w:r>
      <w:r w:rsidR="005E4952">
        <w:rPr>
          <w:rFonts w:ascii="Calibri" w:hAnsi="Calibri" w:cs="Calibri"/>
          <w:kern w:val="0"/>
          <w14:ligatures w14:val="none"/>
        </w:rPr>
        <w:t xml:space="preserve">diagnostic imaging joint venture partnership </w:t>
      </w:r>
      <w:r w:rsidR="002E2CA2">
        <w:rPr>
          <w:rFonts w:ascii="Calibri" w:hAnsi="Calibri" w:cs="Calibri"/>
          <w:kern w:val="0"/>
          <w14:ligatures w14:val="none"/>
        </w:rPr>
        <w:t xml:space="preserve">between </w:t>
      </w:r>
      <w:r w:rsidR="005E4952">
        <w:rPr>
          <w:rFonts w:ascii="Calibri" w:hAnsi="Calibri" w:cs="Calibri"/>
          <w:kern w:val="0"/>
          <w14:ligatures w14:val="none"/>
        </w:rPr>
        <w:t>Shields</w:t>
      </w:r>
      <w:r w:rsidR="002E2CA2">
        <w:rPr>
          <w:rFonts w:ascii="Calibri" w:hAnsi="Calibri" w:cs="Calibri"/>
          <w:kern w:val="0"/>
          <w14:ligatures w14:val="none"/>
        </w:rPr>
        <w:t xml:space="preserve"> and Atrius</w:t>
      </w:r>
      <w:r w:rsidR="00D402CF">
        <w:rPr>
          <w:rFonts w:ascii="Calibri" w:hAnsi="Calibri" w:cs="Calibri"/>
          <w:kern w:val="0"/>
          <w14:ligatures w14:val="none"/>
        </w:rPr>
        <w:t xml:space="preserve"> MSO</w:t>
      </w:r>
      <w:r w:rsidR="00227FFD">
        <w:rPr>
          <w:rFonts w:ascii="Calibri" w:hAnsi="Calibri" w:cs="Calibri"/>
          <w:kern w:val="0"/>
          <w14:ligatures w14:val="none"/>
        </w:rPr>
        <w:t>.</w:t>
      </w:r>
    </w:p>
    <w:p w14:paraId="7F534771" w14:textId="0158FE23" w:rsidR="0019203D" w:rsidRPr="004F5CC4" w:rsidRDefault="0019203D" w:rsidP="000339BB">
      <w:pPr>
        <w:autoSpaceDE w:val="0"/>
        <w:autoSpaceDN w:val="0"/>
        <w:adjustRightInd w:val="0"/>
        <w:spacing w:after="0" w:line="240" w:lineRule="auto"/>
        <w:jc w:val="both"/>
        <w:rPr>
          <w:rFonts w:ascii="Calibri" w:hAnsi="Calibri" w:cs="Calibri"/>
          <w:kern w:val="0"/>
          <w14:ligatures w14:val="none"/>
        </w:rPr>
      </w:pPr>
    </w:p>
    <w:p w14:paraId="38E8BE86" w14:textId="5F73BE2F" w:rsidR="0019203D" w:rsidRDefault="0019203D" w:rsidP="000339BB">
      <w:pPr>
        <w:autoSpaceDE w:val="0"/>
        <w:autoSpaceDN w:val="0"/>
        <w:adjustRightInd w:val="0"/>
        <w:spacing w:after="0" w:line="240" w:lineRule="auto"/>
        <w:jc w:val="both"/>
        <w:rPr>
          <w:kern w:val="0"/>
          <w:lang w:bidi="en-US"/>
          <w14:ligatures w14:val="none"/>
        </w:rPr>
      </w:pPr>
      <w:bookmarkStart w:id="0" w:name="_Hlk156817656"/>
      <w:r w:rsidRPr="004F5CC4">
        <w:rPr>
          <w:rFonts w:ascii="Calibri" w:hAnsi="Calibri" w:cs="Calibri"/>
          <w:kern w:val="0"/>
          <w14:ligatures w14:val="none"/>
        </w:rPr>
        <w:t>Through the Proposed Project, the Applicant will satisfy patient panel needs by providing access</w:t>
      </w:r>
      <w:r w:rsidRPr="004F5CC4">
        <w:rPr>
          <w:kern w:val="0"/>
          <w:lang w:bidi="en-US"/>
          <w14:ligatures w14:val="none"/>
        </w:rPr>
        <w:t xml:space="preserve"> to PET/CT imaging services one day per week, onsite at </w:t>
      </w:r>
      <w:r w:rsidR="009F799E">
        <w:rPr>
          <w:kern w:val="0"/>
          <w:lang w:bidi="en-US"/>
          <w14:ligatures w14:val="none"/>
        </w:rPr>
        <w:t xml:space="preserve">the </w:t>
      </w:r>
      <w:r w:rsidR="005E7178">
        <w:rPr>
          <w:kern w:val="0"/>
          <w:lang w:bidi="en-US"/>
          <w14:ligatures w14:val="none"/>
        </w:rPr>
        <w:t>Dedham</w:t>
      </w:r>
      <w:r w:rsidR="009F799E">
        <w:rPr>
          <w:kern w:val="0"/>
          <w:lang w:bidi="en-US"/>
          <w14:ligatures w14:val="none"/>
        </w:rPr>
        <w:t xml:space="preserve"> location</w:t>
      </w:r>
      <w:r w:rsidRPr="004F5CC4">
        <w:rPr>
          <w:kern w:val="0"/>
          <w:lang w:bidi="en-US"/>
          <w14:ligatures w14:val="none"/>
        </w:rPr>
        <w:t xml:space="preserve">.  The existing need for PET/CT imaging services for the </w:t>
      </w:r>
      <w:r w:rsidR="000742F0">
        <w:rPr>
          <w:kern w:val="0"/>
          <w:lang w:bidi="en-US"/>
          <w14:ligatures w14:val="none"/>
        </w:rPr>
        <w:t>Applicant’s</w:t>
      </w:r>
      <w:r w:rsidRPr="004F5CC4">
        <w:rPr>
          <w:kern w:val="0"/>
          <w:lang w:bidi="en-US"/>
          <w14:ligatures w14:val="none"/>
        </w:rPr>
        <w:t xml:space="preserve"> patient panel is demonstrated by volume demand,</w:t>
      </w:r>
      <w:r w:rsidRPr="004F5CC4">
        <w:rPr>
          <w:kern w:val="0"/>
          <w:vertAlign w:val="superscript"/>
          <w:lang w:bidi="en-US"/>
          <w14:ligatures w14:val="none"/>
        </w:rPr>
        <w:footnoteReference w:id="2"/>
      </w:r>
      <w:r w:rsidRPr="004F5CC4">
        <w:rPr>
          <w:kern w:val="0"/>
          <w:lang w:bidi="en-US"/>
          <w14:ligatures w14:val="none"/>
        </w:rPr>
        <w:t xml:space="preserve"> growth in the number of older patients, </w:t>
      </w:r>
      <w:r w:rsidR="00CE401C" w:rsidRPr="00CE401C">
        <w:rPr>
          <w:kern w:val="0"/>
          <w:lang w:bidi="en-US"/>
          <w14:ligatures w14:val="none"/>
        </w:rPr>
        <w:t>disease burden trends</w:t>
      </w:r>
      <w:r w:rsidR="00CE401C">
        <w:rPr>
          <w:kern w:val="0"/>
          <w:lang w:bidi="en-US"/>
          <w14:ligatures w14:val="none"/>
        </w:rPr>
        <w:t>,</w:t>
      </w:r>
      <w:r w:rsidR="00CE401C" w:rsidRPr="00CE401C">
        <w:rPr>
          <w:kern w:val="0"/>
          <w:lang w:bidi="en-US"/>
          <w14:ligatures w14:val="none"/>
        </w:rPr>
        <w:t xml:space="preserve"> </w:t>
      </w:r>
      <w:r w:rsidRPr="004F5CC4">
        <w:rPr>
          <w:kern w:val="0"/>
          <w:lang w:bidi="en-US"/>
          <w14:ligatures w14:val="none"/>
        </w:rPr>
        <w:t xml:space="preserve">and the increasing number of patients with underlying </w:t>
      </w:r>
      <w:bookmarkStart w:id="2" w:name="_Hlk98412046"/>
      <w:r w:rsidRPr="004F5CC4">
        <w:rPr>
          <w:kern w:val="0"/>
          <w:lang w:bidi="en-US"/>
          <w14:ligatures w14:val="none"/>
        </w:rPr>
        <w:t>oncologic</w:t>
      </w:r>
      <w:r w:rsidR="000742F0">
        <w:rPr>
          <w:kern w:val="0"/>
          <w:lang w:bidi="en-US"/>
          <w14:ligatures w14:val="none"/>
        </w:rPr>
        <w:t xml:space="preserve">, </w:t>
      </w:r>
      <w:r w:rsidRPr="004F5CC4">
        <w:rPr>
          <w:kern w:val="0"/>
          <w:lang w:bidi="en-US"/>
          <w14:ligatures w14:val="none"/>
        </w:rPr>
        <w:t>cardiac</w:t>
      </w:r>
      <w:r w:rsidR="000742F0">
        <w:rPr>
          <w:kern w:val="0"/>
          <w:lang w:bidi="en-US"/>
          <w14:ligatures w14:val="none"/>
        </w:rPr>
        <w:t>, and neurologic</w:t>
      </w:r>
      <w:r w:rsidRPr="004F5CC4">
        <w:rPr>
          <w:kern w:val="0"/>
          <w:lang w:bidi="en-US"/>
          <w14:ligatures w14:val="none"/>
        </w:rPr>
        <w:t xml:space="preserve"> conditions</w:t>
      </w:r>
      <w:bookmarkEnd w:id="2"/>
      <w:r w:rsidRPr="004F5CC4">
        <w:rPr>
          <w:kern w:val="0"/>
          <w:lang w:bidi="en-US"/>
          <w14:ligatures w14:val="none"/>
        </w:rPr>
        <w:t xml:space="preserve">. </w:t>
      </w:r>
      <w:bookmarkEnd w:id="0"/>
      <w:r w:rsidRPr="004F5CC4">
        <w:rPr>
          <w:kern w:val="0"/>
          <w:lang w:bidi="en-US"/>
          <w14:ligatures w14:val="none"/>
        </w:rPr>
        <w:t>National statistics indicate the increasing prevalence of cancer and cardiovascular disease.</w:t>
      </w:r>
      <w:r w:rsidRPr="004F5CC4">
        <w:rPr>
          <w:kern w:val="0"/>
          <w:vertAlign w:val="superscript"/>
          <w:lang w:bidi="en-US"/>
          <w14:ligatures w14:val="none"/>
        </w:rPr>
        <w:footnoteReference w:id="3"/>
      </w:r>
      <w:r w:rsidRPr="004F5CC4">
        <w:rPr>
          <w:kern w:val="0"/>
          <w:lang w:bidi="en-US"/>
          <w14:ligatures w14:val="none"/>
        </w:rPr>
        <w:t xml:space="preserve"> Therefore, the need for these services is expected to expand as patients within the 65+ age cohort</w:t>
      </w:r>
      <w:r w:rsidR="003E1597">
        <w:rPr>
          <w:kern w:val="0"/>
          <w:lang w:bidi="en-US"/>
          <w14:ligatures w14:val="none"/>
        </w:rPr>
        <w:t>,</w:t>
      </w:r>
      <w:r w:rsidRPr="004F5CC4">
        <w:rPr>
          <w:kern w:val="0"/>
          <w:lang w:bidi="en-US"/>
          <w14:ligatures w14:val="none"/>
        </w:rPr>
        <w:t xml:space="preserve"> increases.</w:t>
      </w:r>
    </w:p>
    <w:p w14:paraId="2B0E2226" w14:textId="77777777" w:rsidR="006B197E" w:rsidRPr="004F5CC4" w:rsidRDefault="006B197E" w:rsidP="000339BB">
      <w:pPr>
        <w:autoSpaceDE w:val="0"/>
        <w:autoSpaceDN w:val="0"/>
        <w:adjustRightInd w:val="0"/>
        <w:spacing w:after="0" w:line="240" w:lineRule="auto"/>
        <w:jc w:val="both"/>
        <w:rPr>
          <w:kern w:val="0"/>
          <w:lang w:bidi="en-US"/>
          <w14:ligatures w14:val="none"/>
        </w:rPr>
      </w:pPr>
    </w:p>
    <w:p w14:paraId="1F3D5AAE" w14:textId="29DC59A7" w:rsidR="0019203D" w:rsidRDefault="0019203D" w:rsidP="000339BB">
      <w:pPr>
        <w:spacing w:after="0" w:line="240" w:lineRule="auto"/>
        <w:jc w:val="both"/>
        <w:rPr>
          <w:kern w:val="0"/>
          <w:lang w:bidi="en-US"/>
          <w14:ligatures w14:val="none"/>
        </w:rPr>
      </w:pPr>
      <w:r w:rsidRPr="004F5CC4">
        <w:rPr>
          <w:kern w:val="0"/>
          <w:lang w:bidi="en-US"/>
          <w14:ligatures w14:val="none"/>
        </w:rPr>
        <w:t xml:space="preserve">The Applicant proposes to use the mobile PET/CT unit for part-time clinical use as well as </w:t>
      </w:r>
      <w:r w:rsidR="00C53888">
        <w:rPr>
          <w:kern w:val="0"/>
          <w:lang w:bidi="en-US"/>
          <w14:ligatures w14:val="none"/>
        </w:rPr>
        <w:t>part-time</w:t>
      </w:r>
      <w:r w:rsidRPr="004F5CC4">
        <w:rPr>
          <w:kern w:val="0"/>
          <w:lang w:bidi="en-US"/>
          <w14:ligatures w14:val="none"/>
        </w:rPr>
        <w:t xml:space="preserve"> use as the diagnostic imaging unit supporting four (4) Alzheimer’s clinical research trials.</w:t>
      </w:r>
      <w:r w:rsidR="00277ABA">
        <w:rPr>
          <w:rStyle w:val="FootnoteReference"/>
          <w:kern w:val="0"/>
          <w:lang w:bidi="en-US"/>
          <w14:ligatures w14:val="none"/>
        </w:rPr>
        <w:footnoteReference w:id="4"/>
      </w:r>
      <w:r w:rsidRPr="004F5CC4">
        <w:rPr>
          <w:kern w:val="0"/>
          <w:lang w:bidi="en-US"/>
          <w14:ligatures w14:val="none"/>
        </w:rPr>
        <w:t xml:space="preserve">  Use of the PET/CT unit will be restricted to patients who meet either clinical protocols or the Alzheimer’s research inclusion criteria for combined PET/CT. </w:t>
      </w:r>
    </w:p>
    <w:p w14:paraId="7BD36B11" w14:textId="77777777" w:rsidR="00C53888" w:rsidRPr="004F5CC4" w:rsidRDefault="00C53888" w:rsidP="000339BB">
      <w:pPr>
        <w:spacing w:after="0" w:line="240" w:lineRule="auto"/>
        <w:jc w:val="both"/>
        <w:rPr>
          <w:kern w:val="0"/>
          <w:lang w:bidi="en-US"/>
          <w14:ligatures w14:val="none"/>
        </w:rPr>
      </w:pPr>
    </w:p>
    <w:p w14:paraId="2D8B04D9" w14:textId="6665784D" w:rsidR="0019203D" w:rsidRPr="004F5CC4" w:rsidRDefault="0019203D" w:rsidP="000339BB">
      <w:pPr>
        <w:spacing w:after="0" w:line="240" w:lineRule="auto"/>
        <w:jc w:val="both"/>
        <w:rPr>
          <w:kern w:val="0"/>
          <w:lang w:bidi="en-US"/>
          <w14:ligatures w14:val="none"/>
        </w:rPr>
      </w:pPr>
      <w:r w:rsidRPr="004F5CC4">
        <w:rPr>
          <w:kern w:val="0"/>
          <w:lang w:bidi="en-US"/>
          <w14:ligatures w14:val="none"/>
        </w:rPr>
        <w:t>Imaging plays a critical role in establishing the diagnoses for innumerable conditions and it is used routinely in nearly every branch of medicine.</w:t>
      </w:r>
      <w:r w:rsidRPr="004F5CC4">
        <w:rPr>
          <w:kern w:val="0"/>
          <w:vertAlign w:val="superscript"/>
          <w:lang w:bidi="en-US"/>
          <w14:ligatures w14:val="none"/>
        </w:rPr>
        <w:footnoteReference w:id="5"/>
      </w:r>
      <w:r w:rsidRPr="004F5CC4">
        <w:rPr>
          <w:kern w:val="0"/>
          <w:lang w:bidi="en-US"/>
          <w14:ligatures w14:val="none"/>
        </w:rPr>
        <w:t xml:space="preserve"> Among other clinically appropriate applications, the Applicant proposes to utilize the designated PET/CT primarily for oncolog</w:t>
      </w:r>
      <w:r w:rsidR="004E1262">
        <w:rPr>
          <w:kern w:val="0"/>
          <w:lang w:bidi="en-US"/>
          <w14:ligatures w14:val="none"/>
        </w:rPr>
        <w:t>ic</w:t>
      </w:r>
      <w:r w:rsidR="00617203">
        <w:rPr>
          <w:kern w:val="0"/>
          <w:lang w:bidi="en-US"/>
          <w14:ligatures w14:val="none"/>
        </w:rPr>
        <w:t xml:space="preserve">, </w:t>
      </w:r>
      <w:r w:rsidRPr="004F5CC4">
        <w:rPr>
          <w:kern w:val="0"/>
          <w:lang w:bidi="en-US"/>
          <w14:ligatures w14:val="none"/>
        </w:rPr>
        <w:t>cardi</w:t>
      </w:r>
      <w:r w:rsidR="004E1262">
        <w:rPr>
          <w:kern w:val="0"/>
          <w:lang w:bidi="en-US"/>
          <w14:ligatures w14:val="none"/>
        </w:rPr>
        <w:t>ac</w:t>
      </w:r>
      <w:r w:rsidR="00617203">
        <w:rPr>
          <w:kern w:val="0"/>
          <w:lang w:bidi="en-US"/>
          <w14:ligatures w14:val="none"/>
        </w:rPr>
        <w:t>, and neurologic</w:t>
      </w:r>
      <w:r w:rsidR="004E1262">
        <w:rPr>
          <w:kern w:val="0"/>
          <w:lang w:bidi="en-US"/>
          <w14:ligatures w14:val="none"/>
        </w:rPr>
        <w:t xml:space="preserve"> </w:t>
      </w:r>
      <w:r w:rsidRPr="004F5CC4">
        <w:rPr>
          <w:kern w:val="0"/>
          <w:lang w:bidi="en-US"/>
          <w14:ligatures w14:val="none"/>
        </w:rPr>
        <w:lastRenderedPageBreak/>
        <w:t xml:space="preserve">imaging purposes. </w:t>
      </w:r>
      <w:r w:rsidR="003408B3">
        <w:rPr>
          <w:kern w:val="0"/>
          <w:lang w:bidi="en-US"/>
          <w14:ligatures w14:val="none"/>
        </w:rPr>
        <w:t xml:space="preserve"> </w:t>
      </w:r>
      <w:r w:rsidRPr="004F5CC4">
        <w:rPr>
          <w:kern w:val="0"/>
          <w:lang w:bidi="en-US"/>
          <w14:ligatures w14:val="none"/>
        </w:rPr>
        <w:t>The Applicant anticipates that the Proposed Project will provide the patient panel with access to diagnostic imaging services that will directly impact health outcomes and quality of life. Diagnosis has important implications for patient care, research, and policy.</w:t>
      </w:r>
      <w:r w:rsidRPr="004F5CC4">
        <w:rPr>
          <w:kern w:val="0"/>
          <w:vertAlign w:val="superscript"/>
          <w:lang w:bidi="en-US"/>
          <w14:ligatures w14:val="none"/>
        </w:rPr>
        <w:footnoteReference w:id="6"/>
      </w:r>
      <w:r w:rsidRPr="004F5CC4">
        <w:rPr>
          <w:kern w:val="0"/>
          <w:lang w:bidi="en-US"/>
          <w14:ligatures w14:val="none"/>
        </w:rPr>
        <w:t xml:space="preserve"> Diagnostic </w:t>
      </w:r>
      <w:r w:rsidRPr="004F5CC4">
        <w:rPr>
          <w:i/>
          <w:iCs/>
          <w:kern w:val="0"/>
          <w:lang w:bidi="en-US"/>
          <w14:ligatures w14:val="none"/>
        </w:rPr>
        <w:t>technology</w:t>
      </w:r>
      <w:r w:rsidRPr="004F5CC4">
        <w:rPr>
          <w:kern w:val="0"/>
          <w:lang w:bidi="en-US"/>
          <w14:ligatures w14:val="none"/>
        </w:rPr>
        <w:t xml:space="preserve"> is crucial to determine what treatments are most effective with patients’ anatomy. </w:t>
      </w:r>
      <w:bookmarkStart w:id="3" w:name="_Hlk98412190"/>
      <w:r w:rsidR="004E08EC">
        <w:rPr>
          <w:kern w:val="0"/>
          <w:lang w:bidi="en-US"/>
          <w14:ligatures w14:val="none"/>
        </w:rPr>
        <w:t>A</w:t>
      </w:r>
      <w:r w:rsidRPr="004F5CC4">
        <w:rPr>
          <w:kern w:val="0"/>
          <w:lang w:bidi="en-US"/>
          <w14:ligatures w14:val="none"/>
        </w:rPr>
        <w:t xml:space="preserve">ccess to PET/CT services will allow clinicians to determine appropriate treatment options that will </w:t>
      </w:r>
      <w:r w:rsidR="003408B3">
        <w:rPr>
          <w:kern w:val="0"/>
          <w:lang w:bidi="en-US"/>
          <w14:ligatures w14:val="none"/>
        </w:rPr>
        <w:t xml:space="preserve">positively </w:t>
      </w:r>
      <w:r w:rsidRPr="004F5CC4">
        <w:rPr>
          <w:kern w:val="0"/>
          <w:lang w:bidi="en-US"/>
          <w14:ligatures w14:val="none"/>
        </w:rPr>
        <w:t xml:space="preserve">impact overall health outcomes in a </w:t>
      </w:r>
      <w:r w:rsidR="00833C85">
        <w:rPr>
          <w:kern w:val="0"/>
          <w:lang w:bidi="en-US"/>
          <w14:ligatures w14:val="none"/>
        </w:rPr>
        <w:t>time-effective</w:t>
      </w:r>
      <w:r w:rsidRPr="004F5CC4">
        <w:rPr>
          <w:kern w:val="0"/>
          <w:lang w:bidi="en-US"/>
          <w14:ligatures w14:val="none"/>
        </w:rPr>
        <w:t xml:space="preserve"> manner</w:t>
      </w:r>
      <w:r w:rsidR="00DA332B">
        <w:rPr>
          <w:kern w:val="0"/>
          <w:lang w:bidi="en-US"/>
          <w14:ligatures w14:val="none"/>
        </w:rPr>
        <w:t>.</w:t>
      </w:r>
    </w:p>
    <w:p w14:paraId="4945D166" w14:textId="77777777" w:rsidR="0019203D" w:rsidRPr="004F5CC4" w:rsidRDefault="0019203D" w:rsidP="000339BB">
      <w:pPr>
        <w:spacing w:after="0" w:line="240" w:lineRule="auto"/>
        <w:jc w:val="both"/>
        <w:rPr>
          <w:kern w:val="0"/>
          <w:lang w:bidi="en-US"/>
          <w14:ligatures w14:val="none"/>
        </w:rPr>
      </w:pPr>
    </w:p>
    <w:p w14:paraId="167F045C" w14:textId="29609C2C" w:rsidR="0019203D" w:rsidRPr="004F5CC4" w:rsidRDefault="00086CA7" w:rsidP="000339BB">
      <w:pPr>
        <w:spacing w:after="0" w:line="240" w:lineRule="auto"/>
        <w:jc w:val="both"/>
        <w:rPr>
          <w:kern w:val="0"/>
          <w:lang w:bidi="en-US"/>
          <w14:ligatures w14:val="none"/>
        </w:rPr>
      </w:pPr>
      <w:r>
        <w:rPr>
          <w:kern w:val="0"/>
          <w:lang w:bidi="en-US"/>
          <w14:ligatures w14:val="none"/>
        </w:rPr>
        <w:t>The Applicant’s</w:t>
      </w:r>
      <w:r w:rsidR="0019203D" w:rsidRPr="004F5CC4">
        <w:rPr>
          <w:kern w:val="0"/>
          <w:lang w:bidi="en-US"/>
          <w14:ligatures w14:val="none"/>
        </w:rPr>
        <w:t xml:space="preserve"> participation as the diagnostic imaging partner across four Alzheimer’s clinical trials </w:t>
      </w:r>
      <w:r>
        <w:rPr>
          <w:kern w:val="0"/>
          <w:lang w:bidi="en-US"/>
          <w14:ligatures w14:val="none"/>
        </w:rPr>
        <w:t xml:space="preserve">would </w:t>
      </w:r>
      <w:r w:rsidR="0019203D" w:rsidRPr="004F5CC4">
        <w:rPr>
          <w:kern w:val="0"/>
          <w:lang w:bidi="en-US"/>
          <w14:ligatures w14:val="none"/>
        </w:rPr>
        <w:t>allow for critical community research support around Alzheimer’s disease. According to the Association of American Medical Colleges, Alzheimer’s is the seventh leading cause of death in the United States and has long burdened the scientific community.</w:t>
      </w:r>
      <w:r w:rsidR="0019203D" w:rsidRPr="004F5CC4">
        <w:rPr>
          <w:kern w:val="0"/>
          <w:vertAlign w:val="superscript"/>
          <w:lang w:bidi="en-US"/>
          <w14:ligatures w14:val="none"/>
        </w:rPr>
        <w:footnoteReference w:id="7"/>
      </w:r>
      <w:r w:rsidR="0019203D" w:rsidRPr="004F5CC4">
        <w:rPr>
          <w:kern w:val="0"/>
          <w:lang w:bidi="en-US"/>
          <w14:ligatures w14:val="none"/>
        </w:rPr>
        <w:t xml:space="preserve"> Though research over the decades has identified characteristics of the disease — such as the presence of amyloid plaques between neurons and the buildup, known as tangles, of another toxic protein, tau, inside neurons — questions remain about what causes the disease and how best to treat it in a clinically meaningful way.</w:t>
      </w:r>
      <w:r w:rsidR="0019203D" w:rsidRPr="004F5CC4">
        <w:rPr>
          <w:kern w:val="0"/>
          <w:vertAlign w:val="superscript"/>
          <w:lang w:bidi="en-US"/>
          <w14:ligatures w14:val="none"/>
        </w:rPr>
        <w:footnoteReference w:id="8"/>
      </w:r>
      <w:r w:rsidR="0019203D" w:rsidRPr="004F5CC4">
        <w:rPr>
          <w:kern w:val="0"/>
          <w:lang w:bidi="en-US"/>
          <w14:ligatures w14:val="none"/>
        </w:rPr>
        <w:t xml:space="preserve"> Scientists are making great strides in identifying potential new ways to help diagnose, treat, and even prevent Alzheimer’s and related dementias.</w:t>
      </w:r>
      <w:r w:rsidR="0019203D" w:rsidRPr="004F5CC4">
        <w:rPr>
          <w:kern w:val="0"/>
          <w:vertAlign w:val="superscript"/>
          <w:lang w:bidi="en-US"/>
          <w14:ligatures w14:val="none"/>
        </w:rPr>
        <w:footnoteReference w:id="9"/>
      </w:r>
      <w:r w:rsidR="0019203D" w:rsidRPr="004F5CC4">
        <w:rPr>
          <w:kern w:val="0"/>
          <w:lang w:bidi="en-US"/>
          <w14:ligatures w14:val="none"/>
        </w:rPr>
        <w:t xml:space="preserve"> These advances are possible because thousands of people have participated in clinical trials</w:t>
      </w:r>
      <w:r w:rsidR="0019203D" w:rsidRPr="004F5CC4">
        <w:rPr>
          <w:kern w:val="0"/>
          <w:vertAlign w:val="superscript"/>
          <w:lang w:bidi="en-US"/>
          <w14:ligatures w14:val="none"/>
        </w:rPr>
        <w:footnoteReference w:id="10"/>
      </w:r>
      <w:r w:rsidR="0019203D" w:rsidRPr="004F5CC4">
        <w:rPr>
          <w:kern w:val="0"/>
          <w:lang w:bidi="en-US"/>
          <w14:ligatures w14:val="none"/>
        </w:rPr>
        <w:t xml:space="preserve"> and PET/CT is well-established as a valuable tool in the detection of neurodegenerative disorders.</w:t>
      </w:r>
      <w:r w:rsidR="0019203D" w:rsidRPr="004F5CC4">
        <w:rPr>
          <w:kern w:val="0"/>
          <w:vertAlign w:val="superscript"/>
          <w:lang w:bidi="en-US"/>
          <w14:ligatures w14:val="none"/>
        </w:rPr>
        <w:footnoteReference w:id="11"/>
      </w:r>
      <w:r w:rsidR="0019203D" w:rsidRPr="004F5CC4">
        <w:rPr>
          <w:kern w:val="0"/>
          <w:lang w:bidi="en-US"/>
          <w14:ligatures w14:val="none"/>
        </w:rPr>
        <w:t xml:space="preserve"> </w:t>
      </w:r>
    </w:p>
    <w:bookmarkEnd w:id="3"/>
    <w:p w14:paraId="21D6E9C8" w14:textId="77777777" w:rsidR="0019203D" w:rsidRPr="004F5CC4" w:rsidRDefault="0019203D" w:rsidP="000339BB">
      <w:pPr>
        <w:spacing w:after="0" w:line="240" w:lineRule="auto"/>
        <w:jc w:val="both"/>
        <w:rPr>
          <w:kern w:val="0"/>
          <w:lang w:bidi="en-US"/>
          <w14:ligatures w14:val="none"/>
        </w:rPr>
      </w:pPr>
    </w:p>
    <w:p w14:paraId="4CD36583" w14:textId="212E90A1" w:rsidR="0019203D" w:rsidRPr="004F5CC4" w:rsidRDefault="005A1169" w:rsidP="000339BB">
      <w:pPr>
        <w:spacing w:after="0" w:line="240" w:lineRule="auto"/>
        <w:jc w:val="both"/>
        <w:rPr>
          <w:kern w:val="0"/>
          <w:lang w:bidi="en-US"/>
          <w14:ligatures w14:val="none"/>
        </w:rPr>
      </w:pPr>
      <w:r>
        <w:rPr>
          <w:kern w:val="0"/>
          <w:lang w:bidi="en-US"/>
          <w14:ligatures w14:val="none"/>
        </w:rPr>
        <w:t>T</w:t>
      </w:r>
      <w:r w:rsidR="0019203D" w:rsidRPr="004F5CC4">
        <w:rPr>
          <w:kern w:val="0"/>
          <w:lang w:bidi="en-US"/>
          <w14:ligatures w14:val="none"/>
        </w:rPr>
        <w:t xml:space="preserve">he Proposed Project will compete </w:t>
      </w:r>
      <w:proofErr w:type="gramStart"/>
      <w:r w:rsidR="0019203D" w:rsidRPr="004F5CC4">
        <w:rPr>
          <w:kern w:val="0"/>
          <w:lang w:bidi="en-US"/>
          <w14:ligatures w14:val="none"/>
        </w:rPr>
        <w:t>on the basis of</w:t>
      </w:r>
      <w:proofErr w:type="gramEnd"/>
      <w:r w:rsidR="0019203D" w:rsidRPr="004F5CC4">
        <w:rPr>
          <w:kern w:val="0"/>
          <w:lang w:bidi="en-US"/>
          <w14:ligatures w14:val="none"/>
        </w:rPr>
        <w:t xml:space="preserve"> provider price, costs, and total medical expenses (“TME”) for several reasons. First, PET/CT services are not currently available at </w:t>
      </w:r>
      <w:r w:rsidR="009F799E">
        <w:rPr>
          <w:kern w:val="0"/>
          <w:lang w:bidi="en-US"/>
          <w14:ligatures w14:val="none"/>
        </w:rPr>
        <w:t>Atrius</w:t>
      </w:r>
      <w:r w:rsidR="00D402CF">
        <w:rPr>
          <w:kern w:val="0"/>
          <w:lang w:bidi="en-US"/>
          <w14:ligatures w14:val="none"/>
        </w:rPr>
        <w:t xml:space="preserve"> Health</w:t>
      </w:r>
      <w:r w:rsidR="00504C53">
        <w:rPr>
          <w:kern w:val="0"/>
          <w:lang w:bidi="en-US"/>
          <w14:ligatures w14:val="none"/>
        </w:rPr>
        <w:t>.</w:t>
      </w:r>
      <w:r w:rsidR="000066BD">
        <w:rPr>
          <w:rStyle w:val="FootnoteReference"/>
          <w:kern w:val="0"/>
          <w:lang w:bidi="en-US"/>
          <w14:ligatures w14:val="none"/>
        </w:rPr>
        <w:footnoteReference w:id="12"/>
      </w:r>
      <w:r w:rsidR="0019203D" w:rsidRPr="004F5CC4">
        <w:rPr>
          <w:kern w:val="0"/>
          <w:lang w:bidi="en-US"/>
          <w14:ligatures w14:val="none"/>
        </w:rPr>
        <w:t xml:space="preserve"> </w:t>
      </w:r>
      <w:r w:rsidR="00BB1161">
        <w:rPr>
          <w:kern w:val="0"/>
          <w:lang w:bidi="en-US"/>
          <w14:ligatures w14:val="none"/>
        </w:rPr>
        <w:t>T</w:t>
      </w:r>
      <w:r w:rsidR="0019203D" w:rsidRPr="004F5CC4">
        <w:rPr>
          <w:kern w:val="0"/>
          <w:lang w:bidi="en-US"/>
          <w14:ligatures w14:val="none"/>
        </w:rPr>
        <w:t xml:space="preserve">he Proposed Project will </w:t>
      </w:r>
      <w:r w:rsidR="00B85753">
        <w:rPr>
          <w:kern w:val="0"/>
          <w:lang w:bidi="en-US"/>
          <w14:ligatures w14:val="none"/>
        </w:rPr>
        <w:t xml:space="preserve">allow the Applicant’s </w:t>
      </w:r>
      <w:r w:rsidR="00B433AD">
        <w:rPr>
          <w:kern w:val="0"/>
          <w:lang w:bidi="en-US"/>
          <w14:ligatures w14:val="none"/>
        </w:rPr>
        <w:t>patients the opportunity to</w:t>
      </w:r>
      <w:r w:rsidR="006137E9">
        <w:rPr>
          <w:kern w:val="0"/>
          <w:lang w:bidi="en-US"/>
          <w14:ligatures w14:val="none"/>
        </w:rPr>
        <w:t xml:space="preserve"> seek care inside the Atrius </w:t>
      </w:r>
      <w:r w:rsidR="003A2463">
        <w:rPr>
          <w:kern w:val="0"/>
          <w:lang w:bidi="en-US"/>
          <w14:ligatures w14:val="none"/>
        </w:rPr>
        <w:t xml:space="preserve">Health </w:t>
      </w:r>
      <w:r w:rsidR="006137E9">
        <w:rPr>
          <w:kern w:val="0"/>
          <w:lang w:bidi="en-US"/>
          <w14:ligatures w14:val="none"/>
        </w:rPr>
        <w:t xml:space="preserve">system and </w:t>
      </w:r>
      <w:r w:rsidR="0051622A">
        <w:rPr>
          <w:kern w:val="0"/>
          <w:lang w:bidi="en-US"/>
          <w14:ligatures w14:val="none"/>
        </w:rPr>
        <w:t xml:space="preserve">benefit from care coordination </w:t>
      </w:r>
      <w:r w:rsidR="0051622A" w:rsidRPr="005A1169">
        <w:rPr>
          <w:kern w:val="0"/>
          <w:lang w:bidi="en-US"/>
          <w14:ligatures w14:val="none"/>
        </w:rPr>
        <w:t>efforts.</w:t>
      </w:r>
      <w:r w:rsidR="00C304AF" w:rsidRPr="005A1169">
        <w:rPr>
          <w:rStyle w:val="CommentReference"/>
          <w:sz w:val="22"/>
          <w:szCs w:val="22"/>
        </w:rPr>
        <w:t xml:space="preserve"> </w:t>
      </w:r>
      <w:r>
        <w:rPr>
          <w:rStyle w:val="CommentReference"/>
          <w:sz w:val="22"/>
          <w:szCs w:val="22"/>
        </w:rPr>
        <w:t>Se</w:t>
      </w:r>
      <w:r w:rsidR="0019203D" w:rsidRPr="005A1169">
        <w:rPr>
          <w:kern w:val="0"/>
          <w:lang w:bidi="en-US"/>
          <w14:ligatures w14:val="none"/>
        </w:rPr>
        <w:t>rvices</w:t>
      </w:r>
      <w:r w:rsidR="0019203D" w:rsidRPr="004F5CC4">
        <w:rPr>
          <w:kern w:val="0"/>
          <w:lang w:bidi="en-US"/>
          <w14:ligatures w14:val="none"/>
        </w:rPr>
        <w:t xml:space="preserve"> will be reimbursed as an IDTF. </w:t>
      </w:r>
      <w:bookmarkStart w:id="4" w:name="_Hlk98228296"/>
      <w:r w:rsidR="0019203D" w:rsidRPr="004F5CC4">
        <w:rPr>
          <w:kern w:val="0"/>
          <w:lang w:bidi="en-US"/>
          <w14:ligatures w14:val="none"/>
        </w:rPr>
        <w:t xml:space="preserve">IDTF services are reimbursed at lower rates than hospital-based rates – </w:t>
      </w:r>
      <w:r>
        <w:rPr>
          <w:kern w:val="0"/>
          <w:lang w:bidi="en-US"/>
          <w14:ligatures w14:val="none"/>
        </w:rPr>
        <w:t>IDTFs</w:t>
      </w:r>
      <w:r w:rsidR="0019203D" w:rsidRPr="004F5CC4">
        <w:rPr>
          <w:kern w:val="0"/>
          <w:lang w:bidi="en-US"/>
          <w14:ligatures w14:val="none"/>
        </w:rPr>
        <w:t xml:space="preserve"> maintain lower costs by focusing on one service with much less overhead.</w:t>
      </w:r>
      <w:bookmarkEnd w:id="4"/>
      <w:r w:rsidR="0019203D" w:rsidRPr="004F5CC4">
        <w:rPr>
          <w:kern w:val="0"/>
          <w:vertAlign w:val="superscript"/>
          <w:lang w:bidi="en-US"/>
          <w14:ligatures w14:val="none"/>
        </w:rPr>
        <w:footnoteReference w:id="13"/>
      </w:r>
      <w:r w:rsidR="0019203D" w:rsidRPr="004F5CC4">
        <w:rPr>
          <w:kern w:val="0"/>
          <w:lang w:bidi="en-US"/>
          <w14:ligatures w14:val="none"/>
        </w:rPr>
        <w:t xml:space="preserve"> </w:t>
      </w:r>
      <w:bookmarkStart w:id="5" w:name="_Hlk105153628"/>
      <w:r w:rsidR="0019203D" w:rsidRPr="004F5CC4">
        <w:rPr>
          <w:kern w:val="0"/>
          <w:lang w:bidi="en-US"/>
          <w14:ligatures w14:val="none"/>
        </w:rPr>
        <w:t xml:space="preserve">Second, </w:t>
      </w:r>
      <w:bookmarkStart w:id="6" w:name="_Hlk106029790"/>
      <w:r w:rsidR="0019203D" w:rsidRPr="004F5CC4">
        <w:rPr>
          <w:kern w:val="0"/>
          <w:lang w:bidi="en-US"/>
          <w14:ligatures w14:val="none"/>
        </w:rPr>
        <w:t xml:space="preserve">the use of a </w:t>
      </w:r>
      <w:r w:rsidR="00B433AD">
        <w:rPr>
          <w:kern w:val="0"/>
          <w:lang w:bidi="en-US"/>
          <w14:ligatures w14:val="none"/>
        </w:rPr>
        <w:t>part-time</w:t>
      </w:r>
      <w:r w:rsidR="0019203D" w:rsidRPr="004F5CC4">
        <w:rPr>
          <w:kern w:val="0"/>
          <w:lang w:bidi="en-US"/>
          <w14:ligatures w14:val="none"/>
        </w:rPr>
        <w:t xml:space="preserve"> mobile model allows for</w:t>
      </w:r>
      <w:r w:rsidR="00B433AD">
        <w:rPr>
          <w:kern w:val="0"/>
          <w:lang w:bidi="en-US"/>
          <w14:ligatures w14:val="none"/>
        </w:rPr>
        <w:t xml:space="preserve"> enhanced</w:t>
      </w:r>
      <w:r w:rsidR="0019203D" w:rsidRPr="004F5CC4">
        <w:rPr>
          <w:kern w:val="0"/>
          <w:lang w:bidi="en-US"/>
          <w14:ligatures w14:val="none"/>
        </w:rPr>
        <w:t xml:space="preserve"> patient access</w:t>
      </w:r>
      <w:r w:rsidR="008B6A07">
        <w:rPr>
          <w:kern w:val="0"/>
          <w:lang w:bidi="en-US"/>
          <w14:ligatures w14:val="none"/>
        </w:rPr>
        <w:t xml:space="preserve"> and this model </w:t>
      </w:r>
      <w:r w:rsidR="0019203D" w:rsidRPr="004F5CC4">
        <w:rPr>
          <w:kern w:val="0"/>
          <w:lang w:bidi="en-US"/>
          <w14:ligatures w14:val="none"/>
        </w:rPr>
        <w:t>also divides the cost of the fixed asset across regional relationships seeking similar imaging services – said differently, the cost of the equipment is distributed more efficiently</w:t>
      </w:r>
      <w:bookmarkEnd w:id="5"/>
      <w:bookmarkEnd w:id="6"/>
      <w:r w:rsidR="0019203D" w:rsidRPr="004F5CC4">
        <w:rPr>
          <w:kern w:val="0"/>
          <w:lang w:bidi="en-US"/>
          <w14:ligatures w14:val="none"/>
        </w:rPr>
        <w:t>.</w:t>
      </w:r>
      <w:r w:rsidR="0019203D" w:rsidRPr="004F5CC4">
        <w:rPr>
          <w:kern w:val="0"/>
          <w:vertAlign w:val="superscript"/>
          <w:lang w:bidi="en-US"/>
          <w14:ligatures w14:val="none"/>
        </w:rPr>
        <w:footnoteReference w:id="14"/>
      </w:r>
      <w:r w:rsidR="0019203D" w:rsidRPr="004F5CC4">
        <w:rPr>
          <w:kern w:val="0"/>
          <w:lang w:bidi="en-US"/>
          <w14:ligatures w14:val="none"/>
        </w:rPr>
        <w:t xml:space="preserve"> </w:t>
      </w:r>
      <w:r w:rsidR="00CD71EB">
        <w:rPr>
          <w:kern w:val="0"/>
          <w:lang w:bidi="en-US"/>
          <w14:ligatures w14:val="none"/>
        </w:rPr>
        <w:t xml:space="preserve"> </w:t>
      </w:r>
      <w:bookmarkStart w:id="7" w:name="_Hlk156902112"/>
      <w:r w:rsidR="008875D8">
        <w:rPr>
          <w:kern w:val="0"/>
          <w:lang w:bidi="en-US"/>
          <w14:ligatures w14:val="none"/>
        </w:rPr>
        <w:t xml:space="preserve">Third, </w:t>
      </w:r>
      <w:bookmarkStart w:id="8" w:name="_Hlk156906203"/>
      <w:r w:rsidR="008875D8" w:rsidRPr="008875D8">
        <w:rPr>
          <w:kern w:val="0"/>
          <w:lang w:bidi="en-US"/>
          <w14:ligatures w14:val="none"/>
        </w:rPr>
        <w:t>research can help cut the cost of medical care.</w:t>
      </w:r>
      <w:r w:rsidR="00A76ADF">
        <w:rPr>
          <w:rStyle w:val="FootnoteReference"/>
          <w:kern w:val="0"/>
          <w:lang w:bidi="en-US"/>
          <w14:ligatures w14:val="none"/>
        </w:rPr>
        <w:footnoteReference w:id="15"/>
      </w:r>
      <w:r w:rsidR="008875D8">
        <w:rPr>
          <w:kern w:val="0"/>
          <w:lang w:bidi="en-US"/>
          <w14:ligatures w14:val="none"/>
        </w:rPr>
        <w:t xml:space="preserve"> </w:t>
      </w:r>
      <w:r w:rsidR="005B3331" w:rsidRPr="005B3331">
        <w:rPr>
          <w:kern w:val="0"/>
          <w:lang w:bidi="en-US"/>
          <w14:ligatures w14:val="none"/>
        </w:rPr>
        <w:t>PET/CT has shown important promise for reducing the cost of cancer management by improving the accuracy of both diagnosis and staging, thereby helping to avoid expensive, futile treatments</w:t>
      </w:r>
      <w:r w:rsidR="00040365">
        <w:rPr>
          <w:rStyle w:val="FootnoteReference"/>
          <w:kern w:val="0"/>
          <w:lang w:bidi="en-US"/>
          <w14:ligatures w14:val="none"/>
        </w:rPr>
        <w:footnoteReference w:id="16"/>
      </w:r>
      <w:r w:rsidR="005B3331" w:rsidRPr="005B3331">
        <w:rPr>
          <w:kern w:val="0"/>
          <w:lang w:bidi="en-US"/>
          <w14:ligatures w14:val="none"/>
        </w:rPr>
        <w:t xml:space="preserve"> and associated side effects.</w:t>
      </w:r>
      <w:r w:rsidR="009131B7">
        <w:rPr>
          <w:rStyle w:val="FootnoteReference"/>
          <w:kern w:val="0"/>
          <w:lang w:bidi="en-US"/>
          <w14:ligatures w14:val="none"/>
        </w:rPr>
        <w:footnoteReference w:id="17"/>
      </w:r>
      <w:r w:rsidR="005B3331" w:rsidRPr="005B3331">
        <w:rPr>
          <w:kern w:val="0"/>
          <w:lang w:bidi="en-US"/>
          <w14:ligatures w14:val="none"/>
        </w:rPr>
        <w:t xml:space="preserve"> PET/CT </w:t>
      </w:r>
      <w:r w:rsidR="00040365">
        <w:rPr>
          <w:kern w:val="0"/>
          <w:lang w:bidi="en-US"/>
          <w14:ligatures w14:val="none"/>
        </w:rPr>
        <w:t xml:space="preserve">also </w:t>
      </w:r>
      <w:r w:rsidR="006021FA">
        <w:rPr>
          <w:kern w:val="0"/>
          <w:lang w:bidi="en-US"/>
          <w14:ligatures w14:val="none"/>
        </w:rPr>
        <w:t>can potentially</w:t>
      </w:r>
      <w:r w:rsidR="005B3331" w:rsidRPr="005B3331">
        <w:rPr>
          <w:kern w:val="0"/>
          <w:lang w:bidi="en-US"/>
          <w14:ligatures w14:val="none"/>
        </w:rPr>
        <w:t xml:space="preserve"> reduce the cost burden over time to the </w:t>
      </w:r>
      <w:r w:rsidR="00E14E1F">
        <w:rPr>
          <w:kern w:val="0"/>
          <w:lang w:bidi="en-US"/>
          <w14:ligatures w14:val="none"/>
        </w:rPr>
        <w:t>health care</w:t>
      </w:r>
      <w:r w:rsidR="005B3331" w:rsidRPr="005B3331">
        <w:rPr>
          <w:kern w:val="0"/>
          <w:lang w:bidi="en-US"/>
          <w14:ligatures w14:val="none"/>
        </w:rPr>
        <w:t xml:space="preserve"> system by identifying the most appropriate treatment</w:t>
      </w:r>
      <w:r w:rsidR="00333E4D">
        <w:rPr>
          <w:kern w:val="0"/>
          <w:lang w:bidi="en-US"/>
          <w14:ligatures w14:val="none"/>
        </w:rPr>
        <w:t>,</w:t>
      </w:r>
      <w:r w:rsidR="004509DB">
        <w:rPr>
          <w:rStyle w:val="FootnoteReference"/>
          <w:kern w:val="0"/>
          <w:lang w:bidi="en-US"/>
          <w14:ligatures w14:val="none"/>
        </w:rPr>
        <w:footnoteReference w:id="18"/>
      </w:r>
      <w:r w:rsidR="00333E4D">
        <w:rPr>
          <w:kern w:val="0"/>
          <w:lang w:bidi="en-US"/>
          <w14:ligatures w14:val="none"/>
        </w:rPr>
        <w:t xml:space="preserve"> earlier in the disease process.</w:t>
      </w:r>
      <w:r w:rsidR="005B3331" w:rsidRPr="005B3331">
        <w:rPr>
          <w:kern w:val="0"/>
          <w:lang w:bidi="en-US"/>
          <w14:ligatures w14:val="none"/>
        </w:rPr>
        <w:t xml:space="preserve"> </w:t>
      </w:r>
      <w:bookmarkEnd w:id="7"/>
      <w:bookmarkEnd w:id="8"/>
      <w:r w:rsidR="0019203D" w:rsidRPr="004F5CC4">
        <w:rPr>
          <w:kern w:val="0"/>
          <w:lang w:bidi="en-US"/>
          <w14:ligatures w14:val="none"/>
        </w:rPr>
        <w:t>Lastly, th</w:t>
      </w:r>
      <w:r w:rsidR="00333E4D">
        <w:rPr>
          <w:kern w:val="0"/>
          <w:lang w:bidi="en-US"/>
          <w14:ligatures w14:val="none"/>
        </w:rPr>
        <w:t xml:space="preserve">is joint venture partnership </w:t>
      </w:r>
      <w:r w:rsidR="0019203D" w:rsidRPr="004F5CC4">
        <w:rPr>
          <w:kern w:val="0"/>
          <w:lang w:bidi="en-US"/>
          <w14:ligatures w14:val="none"/>
        </w:rPr>
        <w:t xml:space="preserve">will allow Shields to implement both operational optimization initiatives to further drive down cost and allow the team to leverage </w:t>
      </w:r>
      <w:r w:rsidR="00DB1E3F">
        <w:rPr>
          <w:kern w:val="0"/>
          <w:lang w:bidi="en-US"/>
          <w14:ligatures w14:val="none"/>
        </w:rPr>
        <w:t xml:space="preserve">the </w:t>
      </w:r>
      <w:r w:rsidR="0019203D" w:rsidRPr="004F5CC4">
        <w:rPr>
          <w:kern w:val="0"/>
          <w:lang w:bidi="en-US"/>
          <w14:ligatures w14:val="none"/>
        </w:rPr>
        <w:t xml:space="preserve">use of </w:t>
      </w:r>
      <w:r w:rsidR="0019203D" w:rsidRPr="004F5CC4">
        <w:rPr>
          <w:kern w:val="0"/>
          <w:lang w:bidi="en-US"/>
          <w14:ligatures w14:val="none"/>
        </w:rPr>
        <w:lastRenderedPageBreak/>
        <w:t>centralized patient management services across the Shields network of service partnerships. This scalable model keeps infrastructure costs low.</w:t>
      </w:r>
      <w:r w:rsidR="0019203D" w:rsidRPr="004F5CC4">
        <w:rPr>
          <w:kern w:val="0"/>
          <w:vertAlign w:val="superscript"/>
          <w:lang w:bidi="en-US"/>
          <w14:ligatures w14:val="none"/>
        </w:rPr>
        <w:footnoteReference w:id="19"/>
      </w:r>
      <w:r w:rsidR="0019203D" w:rsidRPr="004F5CC4">
        <w:rPr>
          <w:kern w:val="0"/>
          <w:lang w:bidi="en-US"/>
          <w14:ligatures w14:val="none"/>
        </w:rPr>
        <w:t xml:space="preserve"> </w:t>
      </w:r>
    </w:p>
    <w:p w14:paraId="64EA33D8" w14:textId="77777777" w:rsidR="0019203D" w:rsidRPr="004F5CC4" w:rsidRDefault="0019203D" w:rsidP="000339BB">
      <w:pPr>
        <w:spacing w:after="0" w:line="240" w:lineRule="auto"/>
        <w:jc w:val="both"/>
        <w:rPr>
          <w:kern w:val="0"/>
          <w:lang w:bidi="en-US"/>
          <w14:ligatures w14:val="none"/>
        </w:rPr>
      </w:pPr>
    </w:p>
    <w:p w14:paraId="07D3DCD5" w14:textId="77777777" w:rsidR="0019203D" w:rsidRPr="004F5CC4" w:rsidRDefault="0019203D" w:rsidP="000339BB">
      <w:pPr>
        <w:spacing w:after="0" w:line="240" w:lineRule="auto"/>
        <w:jc w:val="both"/>
        <w:rPr>
          <w:kern w:val="0"/>
          <w:lang w:bidi="en-US"/>
          <w14:ligatures w14:val="none"/>
        </w:rPr>
      </w:pPr>
      <w:bookmarkStart w:id="9" w:name="_Hlk157084752"/>
      <w:r w:rsidRPr="004F5CC4">
        <w:rPr>
          <w:kern w:val="0"/>
          <w:lang w:bidi="en-US"/>
          <w14:ligatures w14:val="none"/>
        </w:rPr>
        <w:t xml:space="preserve">Accordingly, the Proposed Project will provide patients with access to high-quality PET/CT services while also meaningfully contributing to Massachusetts’ goals for cost containment. </w:t>
      </w:r>
    </w:p>
    <w:bookmarkEnd w:id="9"/>
    <w:p w14:paraId="65CB986A" w14:textId="77777777" w:rsidR="0019203D" w:rsidRDefault="0019203D" w:rsidP="0019203D"/>
    <w:p w14:paraId="197939F0" w14:textId="77777777" w:rsidR="0019203D" w:rsidRPr="00A60DE5" w:rsidRDefault="0019203D" w:rsidP="0019203D">
      <w:pPr>
        <w:rPr>
          <w:b/>
          <w:color w:val="0070C0"/>
          <w:kern w:val="0"/>
          <w14:ligatures w14:val="none"/>
        </w:rPr>
      </w:pPr>
      <w:r w:rsidRPr="00A60DE5">
        <w:rPr>
          <w:b/>
          <w:color w:val="0070C0"/>
          <w:kern w:val="0"/>
          <w14:ligatures w14:val="none"/>
        </w:rPr>
        <w:t xml:space="preserve">Factor 1: Applicant Patient Panel Need, Public Health Values and Operational Objectives </w:t>
      </w:r>
    </w:p>
    <w:p w14:paraId="5AB05CBD" w14:textId="77777777" w:rsidR="0019203D" w:rsidRPr="00A60DE5" w:rsidRDefault="0019203D" w:rsidP="0019203D">
      <w:pPr>
        <w:rPr>
          <w:b/>
          <w:kern w:val="0"/>
          <w14:ligatures w14:val="none"/>
        </w:rPr>
      </w:pPr>
      <w:r w:rsidRPr="00A60DE5">
        <w:rPr>
          <w:b/>
          <w:kern w:val="0"/>
          <w14:ligatures w14:val="none"/>
        </w:rPr>
        <w:t>F1.</w:t>
      </w:r>
      <w:proofErr w:type="gramStart"/>
      <w:r w:rsidRPr="00A60DE5">
        <w:rPr>
          <w:b/>
          <w:kern w:val="0"/>
          <w14:ligatures w14:val="none"/>
        </w:rPr>
        <w:t>a.i</w:t>
      </w:r>
      <w:proofErr w:type="gramEnd"/>
      <w:r w:rsidRPr="00A60DE5">
        <w:rPr>
          <w:b/>
          <w:kern w:val="0"/>
          <w14:ligatures w14:val="none"/>
        </w:rPr>
        <w:tab/>
      </w:r>
      <w:r w:rsidRPr="00A60DE5">
        <w:rPr>
          <w:b/>
          <w:kern w:val="0"/>
          <w:u w:val="single"/>
          <w14:ligatures w14:val="none"/>
        </w:rPr>
        <w:t>Patient Panel</w:t>
      </w:r>
      <w:r>
        <w:rPr>
          <w:b/>
          <w:kern w:val="0"/>
          <w14:ligatures w14:val="none"/>
        </w:rPr>
        <w:t>:</w:t>
      </w:r>
    </w:p>
    <w:p w14:paraId="3AE2B379" w14:textId="77777777" w:rsidR="0019203D" w:rsidRPr="00A60DE5" w:rsidRDefault="0019203D" w:rsidP="003C1F18">
      <w:pPr>
        <w:jc w:val="both"/>
        <w:rPr>
          <w:b/>
          <w:kern w:val="0"/>
          <w14:ligatures w14:val="none"/>
        </w:rPr>
      </w:pPr>
      <w:r w:rsidRPr="00A60DE5">
        <w:rPr>
          <w:b/>
          <w:kern w:val="0"/>
          <w14:ligatures w14:val="none"/>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14:paraId="260C099E" w14:textId="77777777" w:rsidR="0019203D" w:rsidRPr="00A60DE5" w:rsidRDefault="0019203D" w:rsidP="0019203D">
      <w:pPr>
        <w:numPr>
          <w:ilvl w:val="0"/>
          <w:numId w:val="1"/>
        </w:numPr>
        <w:contextualSpacing/>
        <w:rPr>
          <w:b/>
          <w:kern w:val="0"/>
          <w14:ligatures w14:val="none"/>
        </w:rPr>
      </w:pPr>
      <w:bookmarkStart w:id="10" w:name="_Hlk161655267"/>
      <w:r w:rsidRPr="00A60DE5">
        <w:rPr>
          <w:b/>
          <w:kern w:val="0"/>
          <w14:ligatures w14:val="none"/>
        </w:rPr>
        <w:t>Overview of the Applicant’s Joint Venture Partners</w:t>
      </w:r>
    </w:p>
    <w:bookmarkEnd w:id="10"/>
    <w:p w14:paraId="450CE91F" w14:textId="77777777" w:rsidR="003C1F18" w:rsidRDefault="003C1F18" w:rsidP="000339BB">
      <w:pPr>
        <w:spacing w:after="0" w:line="240" w:lineRule="auto"/>
        <w:ind w:left="360"/>
        <w:jc w:val="both"/>
        <w:rPr>
          <w:kern w:val="0"/>
          <w14:ligatures w14:val="none"/>
        </w:rPr>
      </w:pPr>
    </w:p>
    <w:p w14:paraId="4824814B" w14:textId="248D9009" w:rsidR="000339BB" w:rsidRDefault="00052D01" w:rsidP="00885805">
      <w:pPr>
        <w:ind w:left="360"/>
        <w:jc w:val="both"/>
      </w:pPr>
      <w:bookmarkStart w:id="11" w:name="_Hlk157000307"/>
      <w:r>
        <w:t xml:space="preserve">The Applicant is a joint venture between </w:t>
      </w:r>
      <w:r w:rsidR="00721C6D" w:rsidRPr="00721C6D">
        <w:t>Atrius MSO</w:t>
      </w:r>
      <w:r w:rsidR="002338C6">
        <w:t xml:space="preserve"> </w:t>
      </w:r>
      <w:r w:rsidR="00D36642">
        <w:t>(“Atrius</w:t>
      </w:r>
      <w:r w:rsidR="00963C3C">
        <w:t xml:space="preserve"> MSO</w:t>
      </w:r>
      <w:r w:rsidR="00D36642">
        <w:t xml:space="preserve">”) </w:t>
      </w:r>
      <w:r w:rsidR="00721C6D" w:rsidRPr="00721C6D">
        <w:t xml:space="preserve">and Shields Imaging Services, LLC ("Shields"), an entity affiliated with Shields Health Care Group, Inc.  The purpose of the joint venture is to own and operate a Department of Public Health licensed clinic for the provision of positron emission tomography / computed tomography ("PET/CT") services to patients in </w:t>
      </w:r>
      <w:r w:rsidR="00F2724E">
        <w:t>the service area</w:t>
      </w:r>
      <w:r w:rsidR="00721C6D" w:rsidRPr="00721C6D">
        <w:t xml:space="preserve"> utilizing a mobile PET/CT unit.  In connection with the provision of services at the clinic, the </w:t>
      </w:r>
      <w:r w:rsidR="00AE3B42">
        <w:t>Applicant</w:t>
      </w:r>
      <w:r w:rsidR="00721C6D" w:rsidRPr="00721C6D">
        <w:t xml:space="preserve"> plans to enter into a Management Services/Support Agreement with Shields and a Professional Services Agreement with Atrius Health</w:t>
      </w:r>
      <w:r w:rsidR="00FC3981">
        <w:t xml:space="preserve">, </w:t>
      </w:r>
      <w:r w:rsidR="00B45678">
        <w:t xml:space="preserve">Inc. </w:t>
      </w:r>
      <w:r w:rsidR="00FC3981">
        <w:t xml:space="preserve">a nonprofit multispecialty </w:t>
      </w:r>
      <w:r w:rsidR="00F46618">
        <w:t>Massachusetts-based group practice.</w:t>
      </w:r>
    </w:p>
    <w:p w14:paraId="53282331" w14:textId="562406A8" w:rsidR="00CF45B4" w:rsidRDefault="00CF45B4" w:rsidP="00885805">
      <w:pPr>
        <w:ind w:left="360"/>
        <w:jc w:val="both"/>
      </w:pPr>
      <w:r w:rsidRPr="00CF45B4">
        <w:t xml:space="preserve">Atrius MSO is a Delaware Limited Liability Company registered with the Secretary of the Commonwealth as a foreign limited liability company.  Atrius MSO is owned by Optum Care, a subsidiary of </w:t>
      </w:r>
      <w:proofErr w:type="gramStart"/>
      <w:r w:rsidRPr="00CF45B4">
        <w:t>Optum,</w:t>
      </w:r>
      <w:proofErr w:type="gramEnd"/>
      <w:r w:rsidRPr="00CF45B4">
        <w:t xml:space="preserve"> Inc., which, in turn, is a subsidiary of UnitedHealth Group, Incorporated.  Atrius MSO provides its affiliate, Atrius Health, Inc., a multispecialty group practice organized as a Chapter 180 nonprofit corporation ("Atrius Health"), certain non-clinical assets and administrative and non-clinical support services under an administrative services agreement. Atrius Health operates over 30 locations providing its adult and pediatric patients </w:t>
      </w:r>
      <w:r w:rsidR="000864F9">
        <w:t xml:space="preserve">with </w:t>
      </w:r>
      <w:r w:rsidRPr="00CF45B4">
        <w:t xml:space="preserve">a range of clinical services and an effective system of connected care for its adult and pediatric patients. Atrius Health physicians collaborate closely with hospital partners, other community specialists, and post-acute facilities to provide high-quality, patient-centered, coordinated, </w:t>
      </w:r>
      <w:r w:rsidR="000864F9">
        <w:t xml:space="preserve">and </w:t>
      </w:r>
      <w:r w:rsidRPr="00CF45B4">
        <w:t>cost-effective care to its patient population.</w:t>
      </w:r>
    </w:p>
    <w:p w14:paraId="588EFF18" w14:textId="42274B04" w:rsidR="0019203D" w:rsidRDefault="0019203D" w:rsidP="000339BB">
      <w:pPr>
        <w:spacing w:after="0" w:line="240" w:lineRule="auto"/>
        <w:ind w:left="360"/>
        <w:jc w:val="both"/>
        <w:rPr>
          <w:bCs/>
          <w:kern w:val="0"/>
          <w14:ligatures w14:val="none"/>
        </w:rPr>
      </w:pPr>
      <w:bookmarkStart w:id="12" w:name="_Hlk114134935"/>
      <w:bookmarkEnd w:id="11"/>
      <w:r w:rsidRPr="00A60DE5">
        <w:rPr>
          <w:bCs/>
          <w:kern w:val="0"/>
          <w14:ligatures w14:val="none"/>
        </w:rPr>
        <w:t>Shields established Massachusetts’ first independent regional MRI center in 1986</w:t>
      </w:r>
      <w:r w:rsidR="00E34F87">
        <w:rPr>
          <w:bCs/>
          <w:kern w:val="0"/>
          <w14:ligatures w14:val="none"/>
        </w:rPr>
        <w:t xml:space="preserve"> and has been dedicated to high-quality</w:t>
      </w:r>
      <w:r w:rsidR="00E34F87" w:rsidRPr="00E34F87">
        <w:rPr>
          <w:bCs/>
          <w:kern w:val="0"/>
          <w14:ligatures w14:val="none"/>
        </w:rPr>
        <w:t xml:space="preserve"> and advanced care in a local setting for more than 50 years</w:t>
      </w:r>
      <w:r w:rsidR="00E34F87">
        <w:rPr>
          <w:bCs/>
          <w:kern w:val="0"/>
          <w14:ligatures w14:val="none"/>
        </w:rPr>
        <w:t>.</w:t>
      </w:r>
      <w:r w:rsidRPr="00A60DE5">
        <w:rPr>
          <w:bCs/>
          <w:kern w:val="0"/>
          <w14:ligatures w14:val="none"/>
        </w:rPr>
        <w:t xml:space="preserve">  Today, Shields’ affiliated companies have expanded to operate and </w:t>
      </w:r>
      <w:bookmarkEnd w:id="12"/>
      <w:r w:rsidRPr="00A60DE5">
        <w:rPr>
          <w:bCs/>
          <w:kern w:val="0"/>
          <w14:ligatures w14:val="none"/>
        </w:rPr>
        <w:t xml:space="preserve">manage more than 40 MRI and PET/CT facilities throughout New England, many of which are joint venture partnerships with community hospitals. Most Shields locations operate as licensed clinics and are often located on campus or proximate to the local hospital, thereby enabling coordinated, seamless, and highly accessible care. </w:t>
      </w:r>
    </w:p>
    <w:p w14:paraId="3FEF39D3" w14:textId="77777777" w:rsidR="0019203D" w:rsidRDefault="0019203D" w:rsidP="000339BB">
      <w:pPr>
        <w:spacing w:after="0" w:line="240" w:lineRule="auto"/>
        <w:ind w:left="360"/>
        <w:jc w:val="both"/>
        <w:rPr>
          <w:kern w:val="0"/>
          <w:lang w:bidi="en-US"/>
          <w14:ligatures w14:val="none"/>
        </w:rPr>
      </w:pPr>
    </w:p>
    <w:p w14:paraId="578A245A" w14:textId="77777777" w:rsidR="0019203D" w:rsidRPr="00A60DE5" w:rsidRDefault="0019203D" w:rsidP="000339BB">
      <w:pPr>
        <w:numPr>
          <w:ilvl w:val="0"/>
          <w:numId w:val="1"/>
        </w:numPr>
        <w:spacing w:after="0" w:line="240" w:lineRule="auto"/>
        <w:contextualSpacing/>
        <w:jc w:val="both"/>
        <w:rPr>
          <w:b/>
          <w:kern w:val="0"/>
          <w14:ligatures w14:val="none"/>
        </w:rPr>
      </w:pPr>
      <w:r w:rsidRPr="00A60DE5">
        <w:rPr>
          <w:b/>
          <w:kern w:val="0"/>
          <w14:ligatures w14:val="none"/>
        </w:rPr>
        <w:lastRenderedPageBreak/>
        <w:t>Applicant’s Patient Panel</w:t>
      </w:r>
    </w:p>
    <w:p w14:paraId="2189CF77" w14:textId="77777777" w:rsidR="003C1F18" w:rsidRDefault="003C1F18" w:rsidP="000339BB">
      <w:pPr>
        <w:spacing w:after="0" w:line="240" w:lineRule="auto"/>
        <w:ind w:left="360"/>
        <w:jc w:val="both"/>
        <w:rPr>
          <w:bCs/>
          <w:kern w:val="0"/>
          <w14:ligatures w14:val="none"/>
        </w:rPr>
      </w:pPr>
    </w:p>
    <w:p w14:paraId="69A167AF" w14:textId="7179500C" w:rsidR="0019203D" w:rsidRDefault="0019203D" w:rsidP="000339BB">
      <w:pPr>
        <w:spacing w:after="0" w:line="240" w:lineRule="auto"/>
        <w:ind w:left="360"/>
        <w:jc w:val="both"/>
        <w:rPr>
          <w:bCs/>
          <w:kern w:val="0"/>
          <w14:ligatures w14:val="none"/>
        </w:rPr>
      </w:pPr>
      <w:r w:rsidRPr="00A60DE5">
        <w:rPr>
          <w:bCs/>
          <w:kern w:val="0"/>
          <w14:ligatures w14:val="none"/>
        </w:rPr>
        <w:t xml:space="preserve">The Applicant was established to offer the </w:t>
      </w:r>
      <w:r w:rsidR="00C16BCA">
        <w:rPr>
          <w:bCs/>
          <w:kern w:val="0"/>
          <w14:ligatures w14:val="none"/>
        </w:rPr>
        <w:t>patient panel</w:t>
      </w:r>
      <w:r w:rsidRPr="00A60DE5">
        <w:rPr>
          <w:bCs/>
          <w:kern w:val="0"/>
          <w14:ligatures w14:val="none"/>
        </w:rPr>
        <w:t xml:space="preserve"> </w:t>
      </w:r>
      <w:r w:rsidR="0072096F">
        <w:rPr>
          <w:bCs/>
          <w:kern w:val="0"/>
          <w14:ligatures w14:val="none"/>
        </w:rPr>
        <w:t>low-cost</w:t>
      </w:r>
      <w:r w:rsidRPr="00A60DE5">
        <w:rPr>
          <w:bCs/>
          <w:kern w:val="0"/>
          <w14:ligatures w14:val="none"/>
        </w:rPr>
        <w:t xml:space="preserve">, </w:t>
      </w:r>
      <w:r w:rsidR="0072096F">
        <w:rPr>
          <w:bCs/>
          <w:kern w:val="0"/>
          <w14:ligatures w14:val="none"/>
        </w:rPr>
        <w:t>high-quality</w:t>
      </w:r>
      <w:r w:rsidRPr="00A60DE5">
        <w:rPr>
          <w:bCs/>
          <w:kern w:val="0"/>
          <w14:ligatures w14:val="none"/>
        </w:rPr>
        <w:t xml:space="preserve"> advanced diagnostic imaging. As a newly formed joint venture, it does not have its own patient panel. Consequently, the Applicant's proposed panel is based on certain patients of </w:t>
      </w:r>
      <w:r w:rsidR="009F799E">
        <w:rPr>
          <w:bCs/>
          <w:kern w:val="0"/>
          <w14:ligatures w14:val="none"/>
        </w:rPr>
        <w:t>Atrius</w:t>
      </w:r>
      <w:r w:rsidR="0036465C">
        <w:rPr>
          <w:bCs/>
          <w:kern w:val="0"/>
          <w14:ligatures w14:val="none"/>
        </w:rPr>
        <w:t xml:space="preserve"> Health</w:t>
      </w:r>
      <w:r w:rsidRPr="00A60DE5">
        <w:rPr>
          <w:bCs/>
          <w:kern w:val="0"/>
          <w14:ligatures w14:val="none"/>
        </w:rPr>
        <w:t xml:space="preserve"> to demonstrate the need for the Proposed Project.</w:t>
      </w:r>
      <w:r w:rsidR="00653265">
        <w:rPr>
          <w:rStyle w:val="FootnoteReference"/>
          <w:bCs/>
          <w:kern w:val="0"/>
          <w14:ligatures w14:val="none"/>
        </w:rPr>
        <w:footnoteReference w:id="20"/>
      </w:r>
      <w:r w:rsidRPr="00A60DE5">
        <w:rPr>
          <w:bCs/>
          <w:kern w:val="0"/>
          <w14:ligatures w14:val="none"/>
        </w:rPr>
        <w:t xml:space="preserve"> In addition to patient panel data from </w:t>
      </w:r>
      <w:r w:rsidR="0036465C">
        <w:rPr>
          <w:bCs/>
          <w:kern w:val="0"/>
          <w14:ligatures w14:val="none"/>
        </w:rPr>
        <w:t>Atrius Health</w:t>
      </w:r>
      <w:r w:rsidRPr="00A60DE5">
        <w:rPr>
          <w:bCs/>
          <w:kern w:val="0"/>
          <w14:ligatures w14:val="none"/>
        </w:rPr>
        <w:t xml:space="preserve">, the Applicant relies upon specific service line historic claims data from the Advisory Board Company ("Advisory Board"), to further demonstrate the need for advanced diagnostic imaging services in the proposed Primary Service Area (“PSA”). </w:t>
      </w:r>
    </w:p>
    <w:p w14:paraId="056C57E5" w14:textId="77777777" w:rsidR="000339BB" w:rsidRPr="00A60DE5" w:rsidRDefault="000339BB" w:rsidP="000339BB">
      <w:pPr>
        <w:spacing w:after="0" w:line="240" w:lineRule="auto"/>
        <w:ind w:left="360"/>
        <w:jc w:val="both"/>
        <w:rPr>
          <w:bCs/>
          <w:kern w:val="0"/>
          <w14:ligatures w14:val="none"/>
        </w:rPr>
      </w:pPr>
    </w:p>
    <w:p w14:paraId="7013A05A" w14:textId="21DF0C43" w:rsidR="0019203D" w:rsidRDefault="0019203D" w:rsidP="000339BB">
      <w:pPr>
        <w:spacing w:after="0" w:line="240" w:lineRule="auto"/>
        <w:ind w:left="360"/>
        <w:jc w:val="both"/>
        <w:rPr>
          <w:bCs/>
          <w:kern w:val="0"/>
          <w14:ligatures w14:val="none"/>
        </w:rPr>
      </w:pPr>
      <w:r w:rsidRPr="00A60DE5">
        <w:rPr>
          <w:bCs/>
          <w:kern w:val="0"/>
          <w14:ligatures w14:val="none"/>
        </w:rPr>
        <w:t xml:space="preserve">The PSA for the Proposed Project is </w:t>
      </w:r>
      <w:bookmarkStart w:id="13" w:name="_Hlk156819711"/>
      <w:r w:rsidRPr="00A60DE5">
        <w:rPr>
          <w:bCs/>
          <w:kern w:val="0"/>
          <w14:ligatures w14:val="none"/>
        </w:rPr>
        <w:t xml:space="preserve">defined by cities and towns representing approximately </w:t>
      </w:r>
      <w:r>
        <w:rPr>
          <w:bCs/>
          <w:kern w:val="0"/>
          <w14:ligatures w14:val="none"/>
        </w:rPr>
        <w:t>a third</w:t>
      </w:r>
      <w:r w:rsidRPr="00A60DE5">
        <w:rPr>
          <w:bCs/>
          <w:kern w:val="0"/>
          <w14:ligatures w14:val="none"/>
        </w:rPr>
        <w:t xml:space="preserve"> of the patients currently served by </w:t>
      </w:r>
      <w:r w:rsidR="009F799E">
        <w:rPr>
          <w:bCs/>
          <w:kern w:val="0"/>
          <w14:ligatures w14:val="none"/>
        </w:rPr>
        <w:t>Atrius</w:t>
      </w:r>
      <w:r w:rsidR="00426AD3">
        <w:rPr>
          <w:bCs/>
          <w:kern w:val="0"/>
          <w14:ligatures w14:val="none"/>
        </w:rPr>
        <w:t xml:space="preserve"> Health</w:t>
      </w:r>
      <w:r w:rsidRPr="00A60DE5">
        <w:rPr>
          <w:bCs/>
          <w:kern w:val="0"/>
          <w14:ligatures w14:val="none"/>
        </w:rPr>
        <w:t xml:space="preserve">.  </w:t>
      </w:r>
      <w:bookmarkEnd w:id="13"/>
      <w:r w:rsidRPr="00A60DE5">
        <w:rPr>
          <w:bCs/>
          <w:kern w:val="0"/>
          <w14:ligatures w14:val="none"/>
        </w:rPr>
        <w:t xml:space="preserve">The top 15 towns from which </w:t>
      </w:r>
      <w:r w:rsidR="009F799E">
        <w:rPr>
          <w:bCs/>
          <w:kern w:val="0"/>
          <w14:ligatures w14:val="none"/>
        </w:rPr>
        <w:t>Atrius</w:t>
      </w:r>
      <w:r w:rsidRPr="00A60DE5">
        <w:rPr>
          <w:bCs/>
          <w:kern w:val="0"/>
          <w14:ligatures w14:val="none"/>
        </w:rPr>
        <w:t xml:space="preserve"> </w:t>
      </w:r>
      <w:r w:rsidR="00426AD3">
        <w:rPr>
          <w:bCs/>
          <w:kern w:val="0"/>
          <w14:ligatures w14:val="none"/>
        </w:rPr>
        <w:t xml:space="preserve">Health </w:t>
      </w:r>
      <w:r w:rsidRPr="00A60DE5">
        <w:rPr>
          <w:bCs/>
          <w:kern w:val="0"/>
          <w14:ligatures w14:val="none"/>
        </w:rPr>
        <w:t xml:space="preserve">has patients are Boston, </w:t>
      </w:r>
      <w:r>
        <w:rPr>
          <w:bCs/>
          <w:kern w:val="0"/>
          <w14:ligatures w14:val="none"/>
        </w:rPr>
        <w:t xml:space="preserve">Quincy, Cambridge, </w:t>
      </w:r>
      <w:r w:rsidRPr="00A60DE5">
        <w:rPr>
          <w:bCs/>
          <w:kern w:val="0"/>
          <w14:ligatures w14:val="none"/>
        </w:rPr>
        <w:t xml:space="preserve">Plymouth, Somerville, Braintree, Medford, Lowell, Dedham, Norwood, </w:t>
      </w:r>
      <w:r>
        <w:rPr>
          <w:bCs/>
          <w:kern w:val="0"/>
          <w14:ligatures w14:val="none"/>
        </w:rPr>
        <w:t xml:space="preserve">Peabody, Dorchester, </w:t>
      </w:r>
      <w:r w:rsidR="00E27279">
        <w:rPr>
          <w:bCs/>
          <w:kern w:val="0"/>
          <w14:ligatures w14:val="none"/>
        </w:rPr>
        <w:t xml:space="preserve">Arlington, </w:t>
      </w:r>
      <w:r w:rsidR="004C559E">
        <w:rPr>
          <w:bCs/>
          <w:kern w:val="0"/>
          <w14:ligatures w14:val="none"/>
        </w:rPr>
        <w:t xml:space="preserve">Watertown, </w:t>
      </w:r>
      <w:r w:rsidR="009B6552">
        <w:rPr>
          <w:bCs/>
          <w:kern w:val="0"/>
          <w14:ligatures w14:val="none"/>
        </w:rPr>
        <w:t xml:space="preserve">and Brockton </w:t>
      </w:r>
      <w:r w:rsidR="004C559E">
        <w:rPr>
          <w:bCs/>
          <w:kern w:val="0"/>
          <w14:ligatures w14:val="none"/>
        </w:rPr>
        <w:t>as</w:t>
      </w:r>
      <w:r>
        <w:rPr>
          <w:bCs/>
          <w:kern w:val="0"/>
          <w14:ligatures w14:val="none"/>
        </w:rPr>
        <w:t xml:space="preserve"> demonstrated in Table 1, below. </w:t>
      </w:r>
    </w:p>
    <w:p w14:paraId="5DE17F52" w14:textId="77777777" w:rsidR="00643B3A" w:rsidRPr="00A60DE5" w:rsidRDefault="00643B3A" w:rsidP="000339BB">
      <w:pPr>
        <w:spacing w:after="0" w:line="240" w:lineRule="auto"/>
        <w:ind w:left="360"/>
        <w:jc w:val="both"/>
        <w:rPr>
          <w:bCs/>
          <w:kern w:val="0"/>
          <w14:ligatures w14:val="none"/>
        </w:rPr>
      </w:pPr>
    </w:p>
    <w:p w14:paraId="2D2C47EE" w14:textId="423A64F5" w:rsidR="0019203D" w:rsidRDefault="0019203D" w:rsidP="0019203D">
      <w:pPr>
        <w:ind w:left="360"/>
        <w:jc w:val="both"/>
        <w:rPr>
          <w:bCs/>
          <w:kern w:val="0"/>
          <w14:ligatures w14:val="none"/>
        </w:rPr>
      </w:pPr>
      <w:r w:rsidRPr="00A60DE5">
        <w:rPr>
          <w:b/>
          <w:kern w:val="0"/>
          <w:u w:val="single"/>
          <w14:ligatures w14:val="none"/>
        </w:rPr>
        <w:t>Table 1: Top 15 Cities and Towns</w:t>
      </w:r>
      <w:r w:rsidRPr="00A60DE5">
        <w:rPr>
          <w:bCs/>
          <w:kern w:val="0"/>
          <w:vertAlign w:val="superscript"/>
          <w14:ligatures w14:val="none"/>
        </w:rPr>
        <w:footnoteReference w:id="21"/>
      </w:r>
      <w:r w:rsidRPr="00A60DE5">
        <w:rPr>
          <w:bCs/>
          <w:kern w:val="0"/>
          <w14:ligatures w14:val="none"/>
        </w:rPr>
        <w:t xml:space="preserve"> </w:t>
      </w:r>
    </w:p>
    <w:tbl>
      <w:tblPr>
        <w:tblStyle w:val="TableGrid"/>
        <w:tblW w:w="8995" w:type="dxa"/>
        <w:tblInd w:w="360" w:type="dxa"/>
        <w:tblLook w:val="04A0" w:firstRow="1" w:lastRow="0" w:firstColumn="1" w:lastColumn="0" w:noHBand="0" w:noVBand="1"/>
      </w:tblPr>
      <w:tblGrid>
        <w:gridCol w:w="1885"/>
        <w:gridCol w:w="888"/>
        <w:gridCol w:w="889"/>
        <w:gridCol w:w="889"/>
        <w:gridCol w:w="889"/>
        <w:gridCol w:w="888"/>
        <w:gridCol w:w="889"/>
        <w:gridCol w:w="889"/>
        <w:gridCol w:w="889"/>
      </w:tblGrid>
      <w:tr w:rsidR="00A93BB6" w14:paraId="35C0CC6A" w14:textId="77777777" w:rsidTr="00A93BB6">
        <w:trPr>
          <w:cantSplit/>
          <w:tblHeader/>
        </w:trPr>
        <w:tc>
          <w:tcPr>
            <w:tcW w:w="1885" w:type="dxa"/>
            <w:shd w:val="clear" w:color="auto" w:fill="002060"/>
          </w:tcPr>
          <w:p w14:paraId="0E90C786" w14:textId="77777777" w:rsidR="00A93BB6" w:rsidRDefault="00A93BB6" w:rsidP="00E91FF6">
            <w:pPr>
              <w:jc w:val="center"/>
              <w:rPr>
                <w:bCs/>
              </w:rPr>
            </w:pPr>
          </w:p>
        </w:tc>
        <w:tc>
          <w:tcPr>
            <w:tcW w:w="888" w:type="dxa"/>
            <w:shd w:val="clear" w:color="auto" w:fill="002060"/>
          </w:tcPr>
          <w:p w14:paraId="6E9D9F6E" w14:textId="77777777" w:rsidR="00A93BB6" w:rsidRPr="00401B40" w:rsidRDefault="00A93BB6" w:rsidP="00E91FF6">
            <w:pPr>
              <w:jc w:val="center"/>
              <w:rPr>
                <w:b/>
              </w:rPr>
            </w:pPr>
            <w:r w:rsidRPr="00401B40">
              <w:rPr>
                <w:b/>
              </w:rPr>
              <w:t>2020</w:t>
            </w:r>
          </w:p>
        </w:tc>
        <w:tc>
          <w:tcPr>
            <w:tcW w:w="889" w:type="dxa"/>
            <w:shd w:val="clear" w:color="auto" w:fill="002060"/>
          </w:tcPr>
          <w:p w14:paraId="2098C7D1" w14:textId="13D42DBE" w:rsidR="00A93BB6" w:rsidRPr="00401B40" w:rsidRDefault="00A93BB6" w:rsidP="00E91FF6">
            <w:pPr>
              <w:jc w:val="center"/>
              <w:rPr>
                <w:b/>
              </w:rPr>
            </w:pPr>
            <w:r w:rsidRPr="00401B40">
              <w:rPr>
                <w:b/>
              </w:rPr>
              <w:t>2020</w:t>
            </w:r>
          </w:p>
        </w:tc>
        <w:tc>
          <w:tcPr>
            <w:tcW w:w="889" w:type="dxa"/>
            <w:shd w:val="clear" w:color="auto" w:fill="002060"/>
          </w:tcPr>
          <w:p w14:paraId="5B449C85" w14:textId="77777777" w:rsidR="00A93BB6" w:rsidRPr="00401B40" w:rsidRDefault="00A93BB6" w:rsidP="00E91FF6">
            <w:pPr>
              <w:jc w:val="center"/>
              <w:rPr>
                <w:b/>
              </w:rPr>
            </w:pPr>
            <w:r w:rsidRPr="00401B40">
              <w:rPr>
                <w:b/>
              </w:rPr>
              <w:t>2021</w:t>
            </w:r>
          </w:p>
        </w:tc>
        <w:tc>
          <w:tcPr>
            <w:tcW w:w="889" w:type="dxa"/>
            <w:shd w:val="clear" w:color="auto" w:fill="002060"/>
          </w:tcPr>
          <w:p w14:paraId="5FE52382" w14:textId="1189747C" w:rsidR="00A93BB6" w:rsidRPr="00401B40" w:rsidRDefault="00A93BB6" w:rsidP="00E91FF6">
            <w:pPr>
              <w:jc w:val="center"/>
              <w:rPr>
                <w:b/>
              </w:rPr>
            </w:pPr>
            <w:r w:rsidRPr="00401B40">
              <w:rPr>
                <w:b/>
              </w:rPr>
              <w:t>2021</w:t>
            </w:r>
          </w:p>
        </w:tc>
        <w:tc>
          <w:tcPr>
            <w:tcW w:w="888" w:type="dxa"/>
            <w:shd w:val="clear" w:color="auto" w:fill="002060"/>
          </w:tcPr>
          <w:p w14:paraId="065EFCCD" w14:textId="77777777" w:rsidR="00A93BB6" w:rsidRPr="00401B40" w:rsidRDefault="00A93BB6" w:rsidP="00E91FF6">
            <w:pPr>
              <w:jc w:val="center"/>
              <w:rPr>
                <w:b/>
              </w:rPr>
            </w:pPr>
            <w:r w:rsidRPr="00401B40">
              <w:rPr>
                <w:b/>
              </w:rPr>
              <w:t>2022</w:t>
            </w:r>
          </w:p>
        </w:tc>
        <w:tc>
          <w:tcPr>
            <w:tcW w:w="889" w:type="dxa"/>
            <w:shd w:val="clear" w:color="auto" w:fill="002060"/>
          </w:tcPr>
          <w:p w14:paraId="593F2AE7" w14:textId="6B0A4999" w:rsidR="00A93BB6" w:rsidRPr="00401B40" w:rsidRDefault="00A93BB6" w:rsidP="00E91FF6">
            <w:pPr>
              <w:jc w:val="center"/>
              <w:rPr>
                <w:b/>
              </w:rPr>
            </w:pPr>
            <w:r w:rsidRPr="00401B40">
              <w:rPr>
                <w:b/>
              </w:rPr>
              <w:t>2022</w:t>
            </w:r>
          </w:p>
        </w:tc>
        <w:tc>
          <w:tcPr>
            <w:tcW w:w="889" w:type="dxa"/>
            <w:shd w:val="clear" w:color="auto" w:fill="002060"/>
          </w:tcPr>
          <w:p w14:paraId="4BAFF730" w14:textId="77777777" w:rsidR="00A93BB6" w:rsidRPr="00401B40" w:rsidRDefault="00A93BB6" w:rsidP="00E91FF6">
            <w:pPr>
              <w:jc w:val="center"/>
              <w:rPr>
                <w:b/>
              </w:rPr>
            </w:pPr>
            <w:r w:rsidRPr="00401B40">
              <w:rPr>
                <w:b/>
              </w:rPr>
              <w:t>2023</w:t>
            </w:r>
          </w:p>
        </w:tc>
        <w:tc>
          <w:tcPr>
            <w:tcW w:w="889" w:type="dxa"/>
            <w:shd w:val="clear" w:color="auto" w:fill="002060"/>
          </w:tcPr>
          <w:p w14:paraId="11A65969" w14:textId="78F0D420" w:rsidR="00A93BB6" w:rsidRPr="00401B40" w:rsidRDefault="00A93BB6" w:rsidP="00E91FF6">
            <w:pPr>
              <w:jc w:val="center"/>
              <w:rPr>
                <w:b/>
              </w:rPr>
            </w:pPr>
            <w:r w:rsidRPr="00401B40">
              <w:rPr>
                <w:b/>
              </w:rPr>
              <w:t>2023</w:t>
            </w:r>
          </w:p>
        </w:tc>
      </w:tr>
      <w:tr w:rsidR="00B13CC0" w14:paraId="379B05B1" w14:textId="77777777" w:rsidTr="00A93BB6">
        <w:trPr>
          <w:cantSplit/>
          <w:tblHeader/>
        </w:trPr>
        <w:tc>
          <w:tcPr>
            <w:tcW w:w="1885" w:type="dxa"/>
            <w:tcBorders>
              <w:bottom w:val="single" w:sz="4" w:space="0" w:color="auto"/>
            </w:tcBorders>
            <w:shd w:val="clear" w:color="auto" w:fill="E7E6E6" w:themeFill="background2"/>
          </w:tcPr>
          <w:p w14:paraId="406ECBFC" w14:textId="77777777" w:rsidR="009A0B3F" w:rsidRDefault="009A0B3F" w:rsidP="00E91FF6">
            <w:pPr>
              <w:jc w:val="center"/>
              <w:rPr>
                <w:bCs/>
              </w:rPr>
            </w:pPr>
          </w:p>
        </w:tc>
        <w:tc>
          <w:tcPr>
            <w:tcW w:w="888" w:type="dxa"/>
            <w:tcBorders>
              <w:bottom w:val="single" w:sz="4" w:space="0" w:color="auto"/>
            </w:tcBorders>
            <w:shd w:val="clear" w:color="auto" w:fill="E7E6E6" w:themeFill="background2"/>
          </w:tcPr>
          <w:p w14:paraId="75945557" w14:textId="3FDDC2AC" w:rsidR="009A0B3F" w:rsidRDefault="009A0B3F" w:rsidP="00E91FF6">
            <w:pPr>
              <w:jc w:val="center"/>
              <w:rPr>
                <w:bCs/>
              </w:rPr>
            </w:pPr>
            <w:r>
              <w:rPr>
                <w:bCs/>
              </w:rPr>
              <w:t>Count</w:t>
            </w:r>
          </w:p>
        </w:tc>
        <w:tc>
          <w:tcPr>
            <w:tcW w:w="889" w:type="dxa"/>
            <w:tcBorders>
              <w:bottom w:val="single" w:sz="4" w:space="0" w:color="auto"/>
            </w:tcBorders>
            <w:shd w:val="clear" w:color="auto" w:fill="E7E6E6" w:themeFill="background2"/>
          </w:tcPr>
          <w:p w14:paraId="569ADFCB" w14:textId="398224D0" w:rsidR="009A0B3F" w:rsidRDefault="009A0B3F" w:rsidP="00E91FF6">
            <w:pPr>
              <w:jc w:val="center"/>
              <w:rPr>
                <w:bCs/>
              </w:rPr>
            </w:pPr>
            <w:r>
              <w:rPr>
                <w:bCs/>
              </w:rPr>
              <w:t>%</w:t>
            </w:r>
          </w:p>
        </w:tc>
        <w:tc>
          <w:tcPr>
            <w:tcW w:w="889" w:type="dxa"/>
            <w:tcBorders>
              <w:bottom w:val="single" w:sz="4" w:space="0" w:color="auto"/>
            </w:tcBorders>
            <w:shd w:val="clear" w:color="auto" w:fill="E7E6E6" w:themeFill="background2"/>
          </w:tcPr>
          <w:p w14:paraId="0E884BE3" w14:textId="3579DED2" w:rsidR="009A0B3F" w:rsidRDefault="009A0B3F" w:rsidP="00E91FF6">
            <w:pPr>
              <w:jc w:val="center"/>
              <w:rPr>
                <w:bCs/>
              </w:rPr>
            </w:pPr>
            <w:r>
              <w:rPr>
                <w:bCs/>
              </w:rPr>
              <w:t>Count</w:t>
            </w:r>
          </w:p>
        </w:tc>
        <w:tc>
          <w:tcPr>
            <w:tcW w:w="889" w:type="dxa"/>
            <w:tcBorders>
              <w:bottom w:val="single" w:sz="4" w:space="0" w:color="auto"/>
            </w:tcBorders>
            <w:shd w:val="clear" w:color="auto" w:fill="E7E6E6" w:themeFill="background2"/>
          </w:tcPr>
          <w:p w14:paraId="1DD3EE7A" w14:textId="1F65FFD9" w:rsidR="009A0B3F" w:rsidRDefault="009A0B3F" w:rsidP="00E91FF6">
            <w:pPr>
              <w:jc w:val="center"/>
              <w:rPr>
                <w:bCs/>
              </w:rPr>
            </w:pPr>
            <w:r>
              <w:rPr>
                <w:bCs/>
              </w:rPr>
              <w:t>%</w:t>
            </w:r>
          </w:p>
        </w:tc>
        <w:tc>
          <w:tcPr>
            <w:tcW w:w="888" w:type="dxa"/>
            <w:tcBorders>
              <w:bottom w:val="single" w:sz="4" w:space="0" w:color="auto"/>
            </w:tcBorders>
            <w:shd w:val="clear" w:color="auto" w:fill="E7E6E6" w:themeFill="background2"/>
          </w:tcPr>
          <w:p w14:paraId="66707BD6" w14:textId="798DD311" w:rsidR="009A0B3F" w:rsidRDefault="009A0B3F" w:rsidP="00E91FF6">
            <w:pPr>
              <w:jc w:val="center"/>
              <w:rPr>
                <w:bCs/>
              </w:rPr>
            </w:pPr>
            <w:r>
              <w:rPr>
                <w:bCs/>
              </w:rPr>
              <w:t>Count</w:t>
            </w:r>
          </w:p>
        </w:tc>
        <w:tc>
          <w:tcPr>
            <w:tcW w:w="889" w:type="dxa"/>
            <w:tcBorders>
              <w:bottom w:val="single" w:sz="4" w:space="0" w:color="auto"/>
            </w:tcBorders>
            <w:shd w:val="clear" w:color="auto" w:fill="E7E6E6" w:themeFill="background2"/>
          </w:tcPr>
          <w:p w14:paraId="044B9F75" w14:textId="50E7231E" w:rsidR="009A0B3F" w:rsidRDefault="009A0B3F" w:rsidP="00E91FF6">
            <w:pPr>
              <w:jc w:val="center"/>
              <w:rPr>
                <w:bCs/>
              </w:rPr>
            </w:pPr>
            <w:r>
              <w:rPr>
                <w:bCs/>
              </w:rPr>
              <w:t>%</w:t>
            </w:r>
          </w:p>
        </w:tc>
        <w:tc>
          <w:tcPr>
            <w:tcW w:w="889" w:type="dxa"/>
            <w:tcBorders>
              <w:bottom w:val="single" w:sz="4" w:space="0" w:color="auto"/>
            </w:tcBorders>
            <w:shd w:val="clear" w:color="auto" w:fill="E7E6E6" w:themeFill="background2"/>
          </w:tcPr>
          <w:p w14:paraId="6430EF65" w14:textId="66DA0B92" w:rsidR="009A0B3F" w:rsidRDefault="009A0B3F" w:rsidP="00E91FF6">
            <w:pPr>
              <w:jc w:val="center"/>
              <w:rPr>
                <w:bCs/>
              </w:rPr>
            </w:pPr>
            <w:r>
              <w:rPr>
                <w:bCs/>
              </w:rPr>
              <w:t>Count</w:t>
            </w:r>
          </w:p>
        </w:tc>
        <w:tc>
          <w:tcPr>
            <w:tcW w:w="889" w:type="dxa"/>
            <w:shd w:val="clear" w:color="auto" w:fill="E7E6E6" w:themeFill="background2"/>
          </w:tcPr>
          <w:p w14:paraId="445CCFC1" w14:textId="55FAC56B" w:rsidR="009A0B3F" w:rsidRDefault="009A0B3F" w:rsidP="00E91FF6">
            <w:pPr>
              <w:jc w:val="center"/>
              <w:rPr>
                <w:bCs/>
              </w:rPr>
            </w:pPr>
            <w:r>
              <w:rPr>
                <w:bCs/>
              </w:rPr>
              <w:t>%</w:t>
            </w:r>
          </w:p>
        </w:tc>
      </w:tr>
      <w:tr w:rsidR="00ED65D0" w14:paraId="0A7C1DF6" w14:textId="77777777" w:rsidTr="00A93BB6">
        <w:trPr>
          <w:cantSplit/>
          <w:tblHeader/>
        </w:trPr>
        <w:tc>
          <w:tcPr>
            <w:tcW w:w="1885" w:type="dxa"/>
            <w:tcBorders>
              <w:right w:val="nil"/>
            </w:tcBorders>
          </w:tcPr>
          <w:p w14:paraId="032B90AD" w14:textId="77777777" w:rsidR="00A93BB6" w:rsidRDefault="00A93BB6" w:rsidP="0019203D">
            <w:pPr>
              <w:jc w:val="both"/>
              <w:rPr>
                <w:bCs/>
              </w:rPr>
            </w:pPr>
            <w:r w:rsidRPr="00A93BB6">
              <w:rPr>
                <w:bCs/>
                <w:sz w:val="18"/>
                <w:szCs w:val="18"/>
              </w:rPr>
              <w:t xml:space="preserve">Patient Origin (Top 15) </w:t>
            </w:r>
          </w:p>
        </w:tc>
        <w:tc>
          <w:tcPr>
            <w:tcW w:w="888" w:type="dxa"/>
            <w:tcBorders>
              <w:left w:val="nil"/>
              <w:right w:val="nil"/>
            </w:tcBorders>
          </w:tcPr>
          <w:p w14:paraId="3959EBC1" w14:textId="77777777" w:rsidR="00A93BB6" w:rsidRDefault="00A93BB6" w:rsidP="0019203D">
            <w:pPr>
              <w:jc w:val="both"/>
              <w:rPr>
                <w:bCs/>
              </w:rPr>
            </w:pPr>
          </w:p>
        </w:tc>
        <w:tc>
          <w:tcPr>
            <w:tcW w:w="889" w:type="dxa"/>
            <w:tcBorders>
              <w:left w:val="nil"/>
              <w:right w:val="nil"/>
            </w:tcBorders>
          </w:tcPr>
          <w:p w14:paraId="49B62536" w14:textId="77777777" w:rsidR="00A93BB6" w:rsidRDefault="00A93BB6" w:rsidP="0019203D">
            <w:pPr>
              <w:jc w:val="both"/>
              <w:rPr>
                <w:bCs/>
              </w:rPr>
            </w:pPr>
          </w:p>
        </w:tc>
        <w:tc>
          <w:tcPr>
            <w:tcW w:w="889" w:type="dxa"/>
            <w:tcBorders>
              <w:left w:val="nil"/>
              <w:right w:val="nil"/>
            </w:tcBorders>
          </w:tcPr>
          <w:p w14:paraId="6BBE6EE4" w14:textId="77777777" w:rsidR="00A93BB6" w:rsidRDefault="00A93BB6" w:rsidP="0019203D">
            <w:pPr>
              <w:jc w:val="both"/>
              <w:rPr>
                <w:bCs/>
              </w:rPr>
            </w:pPr>
          </w:p>
        </w:tc>
        <w:tc>
          <w:tcPr>
            <w:tcW w:w="889" w:type="dxa"/>
            <w:tcBorders>
              <w:left w:val="nil"/>
              <w:right w:val="nil"/>
            </w:tcBorders>
          </w:tcPr>
          <w:p w14:paraId="03B11EB6" w14:textId="77777777" w:rsidR="00A93BB6" w:rsidRDefault="00A93BB6" w:rsidP="0019203D">
            <w:pPr>
              <w:jc w:val="both"/>
              <w:rPr>
                <w:bCs/>
              </w:rPr>
            </w:pPr>
          </w:p>
        </w:tc>
        <w:tc>
          <w:tcPr>
            <w:tcW w:w="888" w:type="dxa"/>
            <w:tcBorders>
              <w:left w:val="nil"/>
              <w:right w:val="nil"/>
            </w:tcBorders>
          </w:tcPr>
          <w:p w14:paraId="3CF3E596" w14:textId="77777777" w:rsidR="00A93BB6" w:rsidRDefault="00A93BB6" w:rsidP="0019203D">
            <w:pPr>
              <w:jc w:val="both"/>
              <w:rPr>
                <w:bCs/>
              </w:rPr>
            </w:pPr>
          </w:p>
        </w:tc>
        <w:tc>
          <w:tcPr>
            <w:tcW w:w="889" w:type="dxa"/>
            <w:tcBorders>
              <w:left w:val="nil"/>
              <w:right w:val="nil"/>
            </w:tcBorders>
          </w:tcPr>
          <w:p w14:paraId="73BB918B" w14:textId="77777777" w:rsidR="00A93BB6" w:rsidRDefault="00A93BB6" w:rsidP="0019203D">
            <w:pPr>
              <w:jc w:val="both"/>
              <w:rPr>
                <w:bCs/>
              </w:rPr>
            </w:pPr>
          </w:p>
        </w:tc>
        <w:tc>
          <w:tcPr>
            <w:tcW w:w="889" w:type="dxa"/>
            <w:tcBorders>
              <w:left w:val="nil"/>
              <w:right w:val="nil"/>
            </w:tcBorders>
          </w:tcPr>
          <w:p w14:paraId="7DCB6A78" w14:textId="77777777" w:rsidR="00A93BB6" w:rsidRDefault="00A93BB6" w:rsidP="0019203D">
            <w:pPr>
              <w:jc w:val="both"/>
              <w:rPr>
                <w:bCs/>
              </w:rPr>
            </w:pPr>
          </w:p>
        </w:tc>
        <w:tc>
          <w:tcPr>
            <w:tcW w:w="889" w:type="dxa"/>
            <w:tcBorders>
              <w:left w:val="nil"/>
            </w:tcBorders>
          </w:tcPr>
          <w:p w14:paraId="660C8CA2" w14:textId="014D07A9" w:rsidR="00A93BB6" w:rsidRDefault="00A93BB6" w:rsidP="0019203D">
            <w:pPr>
              <w:jc w:val="both"/>
              <w:rPr>
                <w:bCs/>
              </w:rPr>
            </w:pPr>
          </w:p>
        </w:tc>
      </w:tr>
      <w:tr w:rsidR="00E91FF6" w14:paraId="67805129" w14:textId="77777777" w:rsidTr="00A93BB6">
        <w:trPr>
          <w:cantSplit/>
        </w:trPr>
        <w:tc>
          <w:tcPr>
            <w:tcW w:w="1885" w:type="dxa"/>
          </w:tcPr>
          <w:p w14:paraId="56962A8D" w14:textId="259513D9" w:rsidR="009A0B3F" w:rsidRDefault="00E91FF6" w:rsidP="0019203D">
            <w:pPr>
              <w:jc w:val="both"/>
              <w:rPr>
                <w:bCs/>
              </w:rPr>
            </w:pPr>
            <w:r>
              <w:rPr>
                <w:bCs/>
              </w:rPr>
              <w:t>Boston</w:t>
            </w:r>
          </w:p>
        </w:tc>
        <w:tc>
          <w:tcPr>
            <w:tcW w:w="888" w:type="dxa"/>
          </w:tcPr>
          <w:p w14:paraId="59EB484D" w14:textId="7F3D2879" w:rsidR="009A0B3F" w:rsidRDefault="00AA7D47" w:rsidP="00E02CAF">
            <w:pPr>
              <w:jc w:val="center"/>
              <w:rPr>
                <w:bCs/>
              </w:rPr>
            </w:pPr>
            <w:r>
              <w:rPr>
                <w:bCs/>
              </w:rPr>
              <w:t>18,162</w:t>
            </w:r>
          </w:p>
        </w:tc>
        <w:tc>
          <w:tcPr>
            <w:tcW w:w="889" w:type="dxa"/>
          </w:tcPr>
          <w:p w14:paraId="32418D16" w14:textId="0C3FAAFE" w:rsidR="009A0B3F" w:rsidRDefault="00AA7D47" w:rsidP="00E02CAF">
            <w:pPr>
              <w:jc w:val="center"/>
              <w:rPr>
                <w:bCs/>
              </w:rPr>
            </w:pPr>
            <w:r>
              <w:rPr>
                <w:bCs/>
              </w:rPr>
              <w:t>4</w:t>
            </w:r>
            <w:r w:rsidR="00E02CAF">
              <w:rPr>
                <w:bCs/>
              </w:rPr>
              <w:t>.3%</w:t>
            </w:r>
          </w:p>
        </w:tc>
        <w:tc>
          <w:tcPr>
            <w:tcW w:w="889" w:type="dxa"/>
          </w:tcPr>
          <w:p w14:paraId="17CE5A0A" w14:textId="7AA65F2B" w:rsidR="009A0B3F" w:rsidRDefault="00E02CAF" w:rsidP="00E02CAF">
            <w:pPr>
              <w:jc w:val="center"/>
              <w:rPr>
                <w:bCs/>
              </w:rPr>
            </w:pPr>
            <w:r>
              <w:rPr>
                <w:bCs/>
              </w:rPr>
              <w:t>15,745</w:t>
            </w:r>
          </w:p>
        </w:tc>
        <w:tc>
          <w:tcPr>
            <w:tcW w:w="889" w:type="dxa"/>
          </w:tcPr>
          <w:p w14:paraId="6260EB53" w14:textId="7FE92E15" w:rsidR="009A0B3F" w:rsidRDefault="00E02CAF" w:rsidP="00E02CAF">
            <w:pPr>
              <w:jc w:val="center"/>
              <w:rPr>
                <w:bCs/>
              </w:rPr>
            </w:pPr>
            <w:r>
              <w:rPr>
                <w:bCs/>
              </w:rPr>
              <w:t>4.1%</w:t>
            </w:r>
          </w:p>
        </w:tc>
        <w:tc>
          <w:tcPr>
            <w:tcW w:w="888" w:type="dxa"/>
          </w:tcPr>
          <w:p w14:paraId="3B30CA1C" w14:textId="5B9DDCD8" w:rsidR="009A0B3F" w:rsidRDefault="00E02CAF" w:rsidP="00E02CAF">
            <w:pPr>
              <w:jc w:val="center"/>
              <w:rPr>
                <w:bCs/>
              </w:rPr>
            </w:pPr>
            <w:r>
              <w:rPr>
                <w:bCs/>
              </w:rPr>
              <w:t>16,098</w:t>
            </w:r>
          </w:p>
        </w:tc>
        <w:tc>
          <w:tcPr>
            <w:tcW w:w="889" w:type="dxa"/>
          </w:tcPr>
          <w:p w14:paraId="59C670C8" w14:textId="2F99C5A7" w:rsidR="009A0B3F" w:rsidRDefault="00E02CAF" w:rsidP="00E02CAF">
            <w:pPr>
              <w:jc w:val="center"/>
              <w:rPr>
                <w:bCs/>
              </w:rPr>
            </w:pPr>
            <w:r>
              <w:rPr>
                <w:bCs/>
              </w:rPr>
              <w:t>4.2%</w:t>
            </w:r>
          </w:p>
        </w:tc>
        <w:tc>
          <w:tcPr>
            <w:tcW w:w="889" w:type="dxa"/>
          </w:tcPr>
          <w:p w14:paraId="2CE195FA" w14:textId="522E3DC8" w:rsidR="009A0B3F" w:rsidRDefault="00E02CAF" w:rsidP="00E02CAF">
            <w:pPr>
              <w:jc w:val="center"/>
              <w:rPr>
                <w:bCs/>
              </w:rPr>
            </w:pPr>
            <w:r>
              <w:rPr>
                <w:bCs/>
              </w:rPr>
              <w:t>18,164</w:t>
            </w:r>
          </w:p>
        </w:tc>
        <w:tc>
          <w:tcPr>
            <w:tcW w:w="889" w:type="dxa"/>
          </w:tcPr>
          <w:p w14:paraId="6543722F" w14:textId="39407268" w:rsidR="009A0B3F" w:rsidRDefault="00E02CAF" w:rsidP="00E02CAF">
            <w:pPr>
              <w:jc w:val="center"/>
              <w:rPr>
                <w:bCs/>
              </w:rPr>
            </w:pPr>
            <w:r>
              <w:rPr>
                <w:bCs/>
              </w:rPr>
              <w:t>4.4%</w:t>
            </w:r>
          </w:p>
        </w:tc>
      </w:tr>
      <w:tr w:rsidR="00E91FF6" w14:paraId="0ACCE1F3" w14:textId="77777777" w:rsidTr="00A93BB6">
        <w:trPr>
          <w:cantSplit/>
        </w:trPr>
        <w:tc>
          <w:tcPr>
            <w:tcW w:w="1885" w:type="dxa"/>
          </w:tcPr>
          <w:p w14:paraId="40B674CD" w14:textId="71F47ED8" w:rsidR="009A0B3F" w:rsidRDefault="00E91FF6" w:rsidP="0019203D">
            <w:pPr>
              <w:jc w:val="both"/>
              <w:rPr>
                <w:bCs/>
              </w:rPr>
            </w:pPr>
            <w:r>
              <w:rPr>
                <w:bCs/>
              </w:rPr>
              <w:t xml:space="preserve">Quincy </w:t>
            </w:r>
          </w:p>
        </w:tc>
        <w:tc>
          <w:tcPr>
            <w:tcW w:w="888" w:type="dxa"/>
          </w:tcPr>
          <w:p w14:paraId="32ABAD52" w14:textId="7C7CAC6C" w:rsidR="009A0B3F" w:rsidRDefault="00D35F36" w:rsidP="00E02CAF">
            <w:pPr>
              <w:jc w:val="center"/>
              <w:rPr>
                <w:bCs/>
              </w:rPr>
            </w:pPr>
            <w:r>
              <w:rPr>
                <w:bCs/>
              </w:rPr>
              <w:t>17,725</w:t>
            </w:r>
          </w:p>
        </w:tc>
        <w:tc>
          <w:tcPr>
            <w:tcW w:w="889" w:type="dxa"/>
          </w:tcPr>
          <w:p w14:paraId="7F24FC40" w14:textId="757EEAC8" w:rsidR="009A0B3F" w:rsidRDefault="00D35F36" w:rsidP="00E02CAF">
            <w:pPr>
              <w:jc w:val="center"/>
              <w:rPr>
                <w:bCs/>
              </w:rPr>
            </w:pPr>
            <w:r>
              <w:rPr>
                <w:bCs/>
              </w:rPr>
              <w:t>4.2</w:t>
            </w:r>
            <w:r w:rsidR="00620C25">
              <w:rPr>
                <w:bCs/>
              </w:rPr>
              <w:t>%</w:t>
            </w:r>
          </w:p>
        </w:tc>
        <w:tc>
          <w:tcPr>
            <w:tcW w:w="889" w:type="dxa"/>
          </w:tcPr>
          <w:p w14:paraId="48EE1ECE" w14:textId="13B5B81F" w:rsidR="009A0B3F" w:rsidRDefault="00D35F36" w:rsidP="00E02CAF">
            <w:pPr>
              <w:jc w:val="center"/>
              <w:rPr>
                <w:bCs/>
              </w:rPr>
            </w:pPr>
            <w:r>
              <w:rPr>
                <w:bCs/>
              </w:rPr>
              <w:t>13,189</w:t>
            </w:r>
          </w:p>
        </w:tc>
        <w:tc>
          <w:tcPr>
            <w:tcW w:w="889" w:type="dxa"/>
          </w:tcPr>
          <w:p w14:paraId="7220B2E7" w14:textId="71C38980" w:rsidR="009A0B3F" w:rsidRDefault="00620C25" w:rsidP="00E02CAF">
            <w:pPr>
              <w:jc w:val="center"/>
              <w:rPr>
                <w:bCs/>
              </w:rPr>
            </w:pPr>
            <w:r>
              <w:rPr>
                <w:bCs/>
              </w:rPr>
              <w:t>3.5%</w:t>
            </w:r>
          </w:p>
        </w:tc>
        <w:tc>
          <w:tcPr>
            <w:tcW w:w="888" w:type="dxa"/>
          </w:tcPr>
          <w:p w14:paraId="6B7C4199" w14:textId="3F70DCE5" w:rsidR="009A0B3F" w:rsidRDefault="00620C25" w:rsidP="00E02CAF">
            <w:pPr>
              <w:jc w:val="center"/>
              <w:rPr>
                <w:bCs/>
              </w:rPr>
            </w:pPr>
            <w:r>
              <w:rPr>
                <w:bCs/>
              </w:rPr>
              <w:t>13,114</w:t>
            </w:r>
          </w:p>
        </w:tc>
        <w:tc>
          <w:tcPr>
            <w:tcW w:w="889" w:type="dxa"/>
          </w:tcPr>
          <w:p w14:paraId="18ED8A30" w14:textId="4233B8B9" w:rsidR="009A0B3F" w:rsidRDefault="00620C25" w:rsidP="00E02CAF">
            <w:pPr>
              <w:jc w:val="center"/>
              <w:rPr>
                <w:bCs/>
              </w:rPr>
            </w:pPr>
            <w:r>
              <w:rPr>
                <w:bCs/>
              </w:rPr>
              <w:t>3.4%</w:t>
            </w:r>
          </w:p>
        </w:tc>
        <w:tc>
          <w:tcPr>
            <w:tcW w:w="889" w:type="dxa"/>
          </w:tcPr>
          <w:p w14:paraId="6BDB13CC" w14:textId="67D71B00" w:rsidR="009A0B3F" w:rsidRDefault="00620C25" w:rsidP="00E02CAF">
            <w:pPr>
              <w:jc w:val="center"/>
              <w:rPr>
                <w:bCs/>
              </w:rPr>
            </w:pPr>
            <w:r>
              <w:rPr>
                <w:bCs/>
              </w:rPr>
              <w:t>14,418</w:t>
            </w:r>
          </w:p>
        </w:tc>
        <w:tc>
          <w:tcPr>
            <w:tcW w:w="889" w:type="dxa"/>
          </w:tcPr>
          <w:p w14:paraId="4E937A6F" w14:textId="5542765C" w:rsidR="009A0B3F" w:rsidRDefault="00620C25" w:rsidP="00E02CAF">
            <w:pPr>
              <w:jc w:val="center"/>
              <w:rPr>
                <w:bCs/>
              </w:rPr>
            </w:pPr>
            <w:r>
              <w:rPr>
                <w:bCs/>
              </w:rPr>
              <w:t>3.5%</w:t>
            </w:r>
          </w:p>
        </w:tc>
      </w:tr>
      <w:tr w:rsidR="00E91FF6" w14:paraId="5FEA05FA" w14:textId="77777777" w:rsidTr="00A93BB6">
        <w:trPr>
          <w:cantSplit/>
        </w:trPr>
        <w:tc>
          <w:tcPr>
            <w:tcW w:w="1885" w:type="dxa"/>
          </w:tcPr>
          <w:p w14:paraId="7104D0C9" w14:textId="60169EEA" w:rsidR="009A0B3F" w:rsidRDefault="007C509E" w:rsidP="0019203D">
            <w:pPr>
              <w:jc w:val="both"/>
              <w:rPr>
                <w:bCs/>
              </w:rPr>
            </w:pPr>
            <w:r>
              <w:rPr>
                <w:bCs/>
              </w:rPr>
              <w:t>Plymouth</w:t>
            </w:r>
          </w:p>
        </w:tc>
        <w:tc>
          <w:tcPr>
            <w:tcW w:w="888" w:type="dxa"/>
          </w:tcPr>
          <w:p w14:paraId="60CAA0FC" w14:textId="6B58EEDA" w:rsidR="009A0B3F" w:rsidRDefault="00CC6D68" w:rsidP="00E02CAF">
            <w:pPr>
              <w:jc w:val="center"/>
              <w:rPr>
                <w:bCs/>
              </w:rPr>
            </w:pPr>
            <w:r>
              <w:rPr>
                <w:bCs/>
              </w:rPr>
              <w:t>1</w:t>
            </w:r>
            <w:r w:rsidR="007C509E">
              <w:rPr>
                <w:bCs/>
              </w:rPr>
              <w:t>3,073</w:t>
            </w:r>
          </w:p>
        </w:tc>
        <w:tc>
          <w:tcPr>
            <w:tcW w:w="889" w:type="dxa"/>
          </w:tcPr>
          <w:p w14:paraId="588EC806" w14:textId="0B15A3F6" w:rsidR="009A0B3F" w:rsidRDefault="001724FF" w:rsidP="00E02CAF">
            <w:pPr>
              <w:jc w:val="center"/>
              <w:rPr>
                <w:bCs/>
              </w:rPr>
            </w:pPr>
            <w:r>
              <w:rPr>
                <w:bCs/>
              </w:rPr>
              <w:t>3.1</w:t>
            </w:r>
            <w:r w:rsidR="007E1B82">
              <w:rPr>
                <w:bCs/>
              </w:rPr>
              <w:t>%</w:t>
            </w:r>
          </w:p>
        </w:tc>
        <w:tc>
          <w:tcPr>
            <w:tcW w:w="889" w:type="dxa"/>
          </w:tcPr>
          <w:p w14:paraId="789C7E45" w14:textId="533F0728" w:rsidR="009A0B3F" w:rsidRDefault="007E1B82" w:rsidP="00E02CAF">
            <w:pPr>
              <w:jc w:val="center"/>
              <w:rPr>
                <w:bCs/>
              </w:rPr>
            </w:pPr>
            <w:r>
              <w:rPr>
                <w:bCs/>
              </w:rPr>
              <w:t>12,610</w:t>
            </w:r>
          </w:p>
        </w:tc>
        <w:tc>
          <w:tcPr>
            <w:tcW w:w="889" w:type="dxa"/>
          </w:tcPr>
          <w:p w14:paraId="26A51315" w14:textId="583FC00D" w:rsidR="009A0B3F" w:rsidRDefault="007E1B82" w:rsidP="00E02CAF">
            <w:pPr>
              <w:jc w:val="center"/>
              <w:rPr>
                <w:bCs/>
              </w:rPr>
            </w:pPr>
            <w:r>
              <w:rPr>
                <w:bCs/>
              </w:rPr>
              <w:t>3.3%</w:t>
            </w:r>
          </w:p>
        </w:tc>
        <w:tc>
          <w:tcPr>
            <w:tcW w:w="888" w:type="dxa"/>
          </w:tcPr>
          <w:p w14:paraId="25D9C367" w14:textId="3402737B" w:rsidR="007E1B82" w:rsidRDefault="007E1B82" w:rsidP="007E1B82">
            <w:pPr>
              <w:jc w:val="center"/>
              <w:rPr>
                <w:bCs/>
              </w:rPr>
            </w:pPr>
            <w:r>
              <w:rPr>
                <w:bCs/>
              </w:rPr>
              <w:t>12,721</w:t>
            </w:r>
          </w:p>
        </w:tc>
        <w:tc>
          <w:tcPr>
            <w:tcW w:w="889" w:type="dxa"/>
          </w:tcPr>
          <w:p w14:paraId="2E2A17CB" w14:textId="20B78898" w:rsidR="009A0B3F" w:rsidRDefault="007E1B82" w:rsidP="00E02CAF">
            <w:pPr>
              <w:jc w:val="center"/>
              <w:rPr>
                <w:bCs/>
              </w:rPr>
            </w:pPr>
            <w:r>
              <w:rPr>
                <w:bCs/>
              </w:rPr>
              <w:t>3.3%</w:t>
            </w:r>
          </w:p>
        </w:tc>
        <w:tc>
          <w:tcPr>
            <w:tcW w:w="889" w:type="dxa"/>
          </w:tcPr>
          <w:p w14:paraId="1FDF8444" w14:textId="5D150961" w:rsidR="009A0B3F" w:rsidRDefault="007E1B82" w:rsidP="00E02CAF">
            <w:pPr>
              <w:jc w:val="center"/>
              <w:rPr>
                <w:bCs/>
              </w:rPr>
            </w:pPr>
            <w:r>
              <w:rPr>
                <w:bCs/>
              </w:rPr>
              <w:t>12,013</w:t>
            </w:r>
          </w:p>
        </w:tc>
        <w:tc>
          <w:tcPr>
            <w:tcW w:w="889" w:type="dxa"/>
          </w:tcPr>
          <w:p w14:paraId="5CE1DD0C" w14:textId="3BFFE8D7" w:rsidR="009A0B3F" w:rsidRDefault="007E1B82" w:rsidP="00E02CAF">
            <w:pPr>
              <w:jc w:val="center"/>
              <w:rPr>
                <w:bCs/>
              </w:rPr>
            </w:pPr>
            <w:r>
              <w:rPr>
                <w:bCs/>
              </w:rPr>
              <w:t>2.9%</w:t>
            </w:r>
          </w:p>
        </w:tc>
      </w:tr>
      <w:tr w:rsidR="00E91FF6" w14:paraId="18E464F0" w14:textId="77777777" w:rsidTr="00A93BB6">
        <w:trPr>
          <w:cantSplit/>
        </w:trPr>
        <w:tc>
          <w:tcPr>
            <w:tcW w:w="1885" w:type="dxa"/>
          </w:tcPr>
          <w:p w14:paraId="2FF421E3" w14:textId="2F8A6532" w:rsidR="009A0B3F" w:rsidRDefault="007C509E" w:rsidP="0019203D">
            <w:pPr>
              <w:jc w:val="both"/>
              <w:rPr>
                <w:bCs/>
              </w:rPr>
            </w:pPr>
            <w:r>
              <w:rPr>
                <w:bCs/>
              </w:rPr>
              <w:t>Cambridge</w:t>
            </w:r>
          </w:p>
        </w:tc>
        <w:tc>
          <w:tcPr>
            <w:tcW w:w="888" w:type="dxa"/>
          </w:tcPr>
          <w:p w14:paraId="43C4C1AE" w14:textId="4DD0212C" w:rsidR="009A0B3F" w:rsidRDefault="00CC6D68" w:rsidP="00E02CAF">
            <w:pPr>
              <w:jc w:val="center"/>
              <w:rPr>
                <w:bCs/>
              </w:rPr>
            </w:pPr>
            <w:r>
              <w:rPr>
                <w:bCs/>
              </w:rPr>
              <w:t>1</w:t>
            </w:r>
            <w:r w:rsidR="007C509E">
              <w:rPr>
                <w:bCs/>
              </w:rPr>
              <w:t>2,415</w:t>
            </w:r>
          </w:p>
        </w:tc>
        <w:tc>
          <w:tcPr>
            <w:tcW w:w="889" w:type="dxa"/>
          </w:tcPr>
          <w:p w14:paraId="6E46FD3C" w14:textId="7A45A4C7" w:rsidR="009A0B3F" w:rsidRDefault="00A309B8" w:rsidP="00E02CAF">
            <w:pPr>
              <w:jc w:val="center"/>
              <w:rPr>
                <w:bCs/>
              </w:rPr>
            </w:pPr>
            <w:r>
              <w:rPr>
                <w:bCs/>
              </w:rPr>
              <w:t>3.0</w:t>
            </w:r>
          </w:p>
        </w:tc>
        <w:tc>
          <w:tcPr>
            <w:tcW w:w="889" w:type="dxa"/>
          </w:tcPr>
          <w:p w14:paraId="346DDC83" w14:textId="4569F73C" w:rsidR="009A0B3F" w:rsidRDefault="007807BF" w:rsidP="00E02CAF">
            <w:pPr>
              <w:jc w:val="center"/>
              <w:rPr>
                <w:bCs/>
              </w:rPr>
            </w:pPr>
            <w:r>
              <w:rPr>
                <w:bCs/>
              </w:rPr>
              <w:t>11</w:t>
            </w:r>
            <w:r w:rsidR="00407E31">
              <w:rPr>
                <w:bCs/>
              </w:rPr>
              <w:t>,</w:t>
            </w:r>
            <w:r>
              <w:rPr>
                <w:bCs/>
              </w:rPr>
              <w:t>047</w:t>
            </w:r>
          </w:p>
        </w:tc>
        <w:tc>
          <w:tcPr>
            <w:tcW w:w="889" w:type="dxa"/>
          </w:tcPr>
          <w:p w14:paraId="75B14ED9" w14:textId="4F5D3292" w:rsidR="009A0B3F" w:rsidRDefault="007807BF" w:rsidP="00E02CAF">
            <w:pPr>
              <w:jc w:val="center"/>
              <w:rPr>
                <w:bCs/>
              </w:rPr>
            </w:pPr>
            <w:r>
              <w:rPr>
                <w:bCs/>
              </w:rPr>
              <w:t>2.9</w:t>
            </w:r>
            <w:r w:rsidR="00407E31">
              <w:rPr>
                <w:bCs/>
              </w:rPr>
              <w:t>%</w:t>
            </w:r>
          </w:p>
        </w:tc>
        <w:tc>
          <w:tcPr>
            <w:tcW w:w="888" w:type="dxa"/>
          </w:tcPr>
          <w:p w14:paraId="2E2AE30E" w14:textId="2AD8846E" w:rsidR="009A0B3F" w:rsidRDefault="007807BF" w:rsidP="00E02CAF">
            <w:pPr>
              <w:jc w:val="center"/>
              <w:rPr>
                <w:bCs/>
              </w:rPr>
            </w:pPr>
            <w:r>
              <w:rPr>
                <w:bCs/>
              </w:rPr>
              <w:t>11</w:t>
            </w:r>
            <w:r w:rsidR="00407E31">
              <w:rPr>
                <w:bCs/>
              </w:rPr>
              <w:t>,</w:t>
            </w:r>
            <w:r>
              <w:rPr>
                <w:bCs/>
              </w:rPr>
              <w:t>055</w:t>
            </w:r>
          </w:p>
        </w:tc>
        <w:tc>
          <w:tcPr>
            <w:tcW w:w="889" w:type="dxa"/>
          </w:tcPr>
          <w:p w14:paraId="3E554C41" w14:textId="37F771E1" w:rsidR="009A0B3F" w:rsidRDefault="007807BF" w:rsidP="00E02CAF">
            <w:pPr>
              <w:jc w:val="center"/>
              <w:rPr>
                <w:bCs/>
              </w:rPr>
            </w:pPr>
            <w:r>
              <w:rPr>
                <w:bCs/>
              </w:rPr>
              <w:t>2.9</w:t>
            </w:r>
            <w:r w:rsidR="00407E31">
              <w:rPr>
                <w:bCs/>
              </w:rPr>
              <w:t>%</w:t>
            </w:r>
          </w:p>
        </w:tc>
        <w:tc>
          <w:tcPr>
            <w:tcW w:w="889" w:type="dxa"/>
          </w:tcPr>
          <w:p w14:paraId="695B2DFB" w14:textId="193C4388" w:rsidR="009A0B3F" w:rsidRDefault="007807BF" w:rsidP="00E02CAF">
            <w:pPr>
              <w:jc w:val="center"/>
              <w:rPr>
                <w:bCs/>
              </w:rPr>
            </w:pPr>
            <w:r>
              <w:rPr>
                <w:bCs/>
              </w:rPr>
              <w:t>12</w:t>
            </w:r>
            <w:r w:rsidR="00407E31">
              <w:rPr>
                <w:bCs/>
              </w:rPr>
              <w:t>,</w:t>
            </w:r>
            <w:r>
              <w:rPr>
                <w:bCs/>
              </w:rPr>
              <w:t>256</w:t>
            </w:r>
          </w:p>
        </w:tc>
        <w:tc>
          <w:tcPr>
            <w:tcW w:w="889" w:type="dxa"/>
          </w:tcPr>
          <w:p w14:paraId="69FFE440" w14:textId="781A04EF" w:rsidR="009A0B3F" w:rsidRDefault="007807BF" w:rsidP="00E02CAF">
            <w:pPr>
              <w:jc w:val="center"/>
              <w:rPr>
                <w:bCs/>
              </w:rPr>
            </w:pPr>
            <w:r>
              <w:rPr>
                <w:bCs/>
              </w:rPr>
              <w:t>3.0</w:t>
            </w:r>
            <w:r w:rsidR="00407E31">
              <w:rPr>
                <w:bCs/>
              </w:rPr>
              <w:t>%</w:t>
            </w:r>
          </w:p>
        </w:tc>
      </w:tr>
      <w:tr w:rsidR="00E91FF6" w14:paraId="45D3FA09" w14:textId="77777777" w:rsidTr="00A93BB6">
        <w:trPr>
          <w:cantSplit/>
        </w:trPr>
        <w:tc>
          <w:tcPr>
            <w:tcW w:w="1885" w:type="dxa"/>
          </w:tcPr>
          <w:p w14:paraId="0D00FE11" w14:textId="1B3A4E21" w:rsidR="009A0B3F" w:rsidRDefault="00E91FF6" w:rsidP="0019203D">
            <w:pPr>
              <w:jc w:val="both"/>
              <w:rPr>
                <w:bCs/>
              </w:rPr>
            </w:pPr>
            <w:r>
              <w:rPr>
                <w:bCs/>
              </w:rPr>
              <w:t>Somerville</w:t>
            </w:r>
          </w:p>
        </w:tc>
        <w:tc>
          <w:tcPr>
            <w:tcW w:w="888" w:type="dxa"/>
          </w:tcPr>
          <w:p w14:paraId="7A1F9276" w14:textId="71F35DE8" w:rsidR="009A0B3F" w:rsidRDefault="008A1D79" w:rsidP="00E02CAF">
            <w:pPr>
              <w:jc w:val="center"/>
              <w:rPr>
                <w:bCs/>
              </w:rPr>
            </w:pPr>
            <w:r>
              <w:rPr>
                <w:bCs/>
              </w:rPr>
              <w:t>11</w:t>
            </w:r>
            <w:r w:rsidR="00926611">
              <w:rPr>
                <w:bCs/>
              </w:rPr>
              <w:t>,</w:t>
            </w:r>
            <w:r>
              <w:rPr>
                <w:bCs/>
              </w:rPr>
              <w:t>205</w:t>
            </w:r>
          </w:p>
        </w:tc>
        <w:tc>
          <w:tcPr>
            <w:tcW w:w="889" w:type="dxa"/>
          </w:tcPr>
          <w:p w14:paraId="2842B33A" w14:textId="34553EDA" w:rsidR="009A0B3F" w:rsidRDefault="00A36568" w:rsidP="00E02CAF">
            <w:pPr>
              <w:jc w:val="center"/>
              <w:rPr>
                <w:bCs/>
              </w:rPr>
            </w:pPr>
            <w:r>
              <w:rPr>
                <w:bCs/>
              </w:rPr>
              <w:t>2.7%</w:t>
            </w:r>
          </w:p>
        </w:tc>
        <w:tc>
          <w:tcPr>
            <w:tcW w:w="889" w:type="dxa"/>
          </w:tcPr>
          <w:p w14:paraId="21E28360" w14:textId="2083A1B8" w:rsidR="009A0B3F" w:rsidRDefault="00A36568" w:rsidP="00E02CAF">
            <w:pPr>
              <w:jc w:val="center"/>
              <w:rPr>
                <w:bCs/>
              </w:rPr>
            </w:pPr>
            <w:r>
              <w:rPr>
                <w:bCs/>
              </w:rPr>
              <w:t>10</w:t>
            </w:r>
            <w:r w:rsidR="00D10F70">
              <w:rPr>
                <w:bCs/>
              </w:rPr>
              <w:t>,</w:t>
            </w:r>
            <w:r>
              <w:rPr>
                <w:bCs/>
              </w:rPr>
              <w:t>127</w:t>
            </w:r>
          </w:p>
        </w:tc>
        <w:tc>
          <w:tcPr>
            <w:tcW w:w="889" w:type="dxa"/>
          </w:tcPr>
          <w:p w14:paraId="09D6C269" w14:textId="435B4C1C" w:rsidR="009A0B3F" w:rsidRDefault="00EC1AA5" w:rsidP="00E02CAF">
            <w:pPr>
              <w:jc w:val="center"/>
              <w:rPr>
                <w:bCs/>
              </w:rPr>
            </w:pPr>
            <w:r>
              <w:rPr>
                <w:bCs/>
              </w:rPr>
              <w:t>2.7</w:t>
            </w:r>
            <w:r w:rsidR="00D10F70">
              <w:rPr>
                <w:bCs/>
              </w:rPr>
              <w:t>%</w:t>
            </w:r>
          </w:p>
        </w:tc>
        <w:tc>
          <w:tcPr>
            <w:tcW w:w="888" w:type="dxa"/>
          </w:tcPr>
          <w:p w14:paraId="0EECE308" w14:textId="08767460" w:rsidR="009A0B3F" w:rsidRDefault="00D10F70" w:rsidP="00E02CAF">
            <w:pPr>
              <w:jc w:val="center"/>
              <w:rPr>
                <w:bCs/>
              </w:rPr>
            </w:pPr>
            <w:r>
              <w:rPr>
                <w:bCs/>
              </w:rPr>
              <w:t>9,912</w:t>
            </w:r>
          </w:p>
        </w:tc>
        <w:tc>
          <w:tcPr>
            <w:tcW w:w="889" w:type="dxa"/>
          </w:tcPr>
          <w:p w14:paraId="30CE55D1" w14:textId="50AFEF26" w:rsidR="009A0B3F" w:rsidRDefault="00D10F70" w:rsidP="00E02CAF">
            <w:pPr>
              <w:jc w:val="center"/>
              <w:rPr>
                <w:bCs/>
              </w:rPr>
            </w:pPr>
            <w:r>
              <w:rPr>
                <w:bCs/>
              </w:rPr>
              <w:t>2.6%</w:t>
            </w:r>
          </w:p>
        </w:tc>
        <w:tc>
          <w:tcPr>
            <w:tcW w:w="889" w:type="dxa"/>
          </w:tcPr>
          <w:p w14:paraId="76BEF755" w14:textId="44461C13" w:rsidR="009A0B3F" w:rsidRDefault="00D10F70" w:rsidP="00E02CAF">
            <w:pPr>
              <w:jc w:val="center"/>
              <w:rPr>
                <w:bCs/>
              </w:rPr>
            </w:pPr>
            <w:r>
              <w:rPr>
                <w:bCs/>
              </w:rPr>
              <w:t>11,138</w:t>
            </w:r>
          </w:p>
        </w:tc>
        <w:tc>
          <w:tcPr>
            <w:tcW w:w="889" w:type="dxa"/>
          </w:tcPr>
          <w:p w14:paraId="172371DD" w14:textId="1A72E19E" w:rsidR="009A0B3F" w:rsidRDefault="00D10F70" w:rsidP="00E02CAF">
            <w:pPr>
              <w:jc w:val="center"/>
              <w:rPr>
                <w:bCs/>
              </w:rPr>
            </w:pPr>
            <w:r>
              <w:rPr>
                <w:bCs/>
              </w:rPr>
              <w:t>2.7%</w:t>
            </w:r>
          </w:p>
        </w:tc>
      </w:tr>
      <w:tr w:rsidR="00E91FF6" w14:paraId="4DD6FCFA" w14:textId="77777777" w:rsidTr="00A93BB6">
        <w:trPr>
          <w:cantSplit/>
        </w:trPr>
        <w:tc>
          <w:tcPr>
            <w:tcW w:w="1885" w:type="dxa"/>
          </w:tcPr>
          <w:p w14:paraId="702C016F" w14:textId="7D81F895" w:rsidR="009A0B3F" w:rsidRDefault="00E91FF6" w:rsidP="0019203D">
            <w:pPr>
              <w:jc w:val="both"/>
              <w:rPr>
                <w:bCs/>
              </w:rPr>
            </w:pPr>
            <w:r>
              <w:rPr>
                <w:bCs/>
              </w:rPr>
              <w:t>Braintree</w:t>
            </w:r>
          </w:p>
        </w:tc>
        <w:tc>
          <w:tcPr>
            <w:tcW w:w="888" w:type="dxa"/>
          </w:tcPr>
          <w:p w14:paraId="633FFB2E" w14:textId="206681F2" w:rsidR="009A0B3F" w:rsidRDefault="008A1D79" w:rsidP="00E02CAF">
            <w:pPr>
              <w:jc w:val="center"/>
              <w:rPr>
                <w:bCs/>
              </w:rPr>
            </w:pPr>
            <w:r>
              <w:rPr>
                <w:bCs/>
              </w:rPr>
              <w:t>9</w:t>
            </w:r>
            <w:r w:rsidR="00926611">
              <w:rPr>
                <w:bCs/>
              </w:rPr>
              <w:t>,</w:t>
            </w:r>
            <w:r>
              <w:rPr>
                <w:bCs/>
              </w:rPr>
              <w:t>766</w:t>
            </w:r>
          </w:p>
        </w:tc>
        <w:tc>
          <w:tcPr>
            <w:tcW w:w="889" w:type="dxa"/>
          </w:tcPr>
          <w:p w14:paraId="2893F74B" w14:textId="0FEED2FA" w:rsidR="009A0B3F" w:rsidRDefault="00AF225D" w:rsidP="00E02CAF">
            <w:pPr>
              <w:jc w:val="center"/>
              <w:rPr>
                <w:bCs/>
              </w:rPr>
            </w:pPr>
            <w:r>
              <w:rPr>
                <w:bCs/>
              </w:rPr>
              <w:t>2.3</w:t>
            </w:r>
            <w:r w:rsidR="00CD2A3A">
              <w:rPr>
                <w:bCs/>
              </w:rPr>
              <w:t>%</w:t>
            </w:r>
          </w:p>
        </w:tc>
        <w:tc>
          <w:tcPr>
            <w:tcW w:w="889" w:type="dxa"/>
          </w:tcPr>
          <w:p w14:paraId="4F82BB15" w14:textId="18C9C748" w:rsidR="009A0B3F" w:rsidRDefault="00AF225D" w:rsidP="00E02CAF">
            <w:pPr>
              <w:jc w:val="center"/>
              <w:rPr>
                <w:bCs/>
              </w:rPr>
            </w:pPr>
            <w:r>
              <w:rPr>
                <w:bCs/>
              </w:rPr>
              <w:t>7</w:t>
            </w:r>
            <w:r w:rsidR="00CD2A3A">
              <w:rPr>
                <w:bCs/>
              </w:rPr>
              <w:t>,</w:t>
            </w:r>
            <w:r>
              <w:rPr>
                <w:bCs/>
              </w:rPr>
              <w:t>938</w:t>
            </w:r>
          </w:p>
        </w:tc>
        <w:tc>
          <w:tcPr>
            <w:tcW w:w="889" w:type="dxa"/>
          </w:tcPr>
          <w:p w14:paraId="654FEF5D" w14:textId="5BB062C3" w:rsidR="009A0B3F" w:rsidRDefault="00AF225D" w:rsidP="00E02CAF">
            <w:pPr>
              <w:jc w:val="center"/>
              <w:rPr>
                <w:bCs/>
              </w:rPr>
            </w:pPr>
            <w:r>
              <w:rPr>
                <w:bCs/>
              </w:rPr>
              <w:t>2.1</w:t>
            </w:r>
            <w:r w:rsidR="00CD2A3A">
              <w:rPr>
                <w:bCs/>
              </w:rPr>
              <w:t>%</w:t>
            </w:r>
          </w:p>
        </w:tc>
        <w:tc>
          <w:tcPr>
            <w:tcW w:w="888" w:type="dxa"/>
          </w:tcPr>
          <w:p w14:paraId="469EC1B7" w14:textId="21267703" w:rsidR="009A0B3F" w:rsidRDefault="00AF225D" w:rsidP="00E02CAF">
            <w:pPr>
              <w:jc w:val="center"/>
              <w:rPr>
                <w:bCs/>
              </w:rPr>
            </w:pPr>
            <w:r>
              <w:rPr>
                <w:bCs/>
              </w:rPr>
              <w:t>7</w:t>
            </w:r>
            <w:r w:rsidR="00CD2A3A">
              <w:rPr>
                <w:bCs/>
              </w:rPr>
              <w:t>,</w:t>
            </w:r>
            <w:r>
              <w:rPr>
                <w:bCs/>
              </w:rPr>
              <w:t>878</w:t>
            </w:r>
          </w:p>
        </w:tc>
        <w:tc>
          <w:tcPr>
            <w:tcW w:w="889" w:type="dxa"/>
          </w:tcPr>
          <w:p w14:paraId="537A57C8" w14:textId="32772DD8" w:rsidR="009A0B3F" w:rsidRDefault="00AF225D" w:rsidP="00E02CAF">
            <w:pPr>
              <w:jc w:val="center"/>
              <w:rPr>
                <w:bCs/>
              </w:rPr>
            </w:pPr>
            <w:r>
              <w:rPr>
                <w:bCs/>
              </w:rPr>
              <w:t>2.1</w:t>
            </w:r>
            <w:r w:rsidR="00CD2A3A">
              <w:rPr>
                <w:bCs/>
              </w:rPr>
              <w:t>%</w:t>
            </w:r>
          </w:p>
        </w:tc>
        <w:tc>
          <w:tcPr>
            <w:tcW w:w="889" w:type="dxa"/>
          </w:tcPr>
          <w:p w14:paraId="17866661" w14:textId="1D82800D" w:rsidR="009A0B3F" w:rsidRDefault="00AF225D" w:rsidP="00E02CAF">
            <w:pPr>
              <w:jc w:val="center"/>
              <w:rPr>
                <w:bCs/>
              </w:rPr>
            </w:pPr>
            <w:r>
              <w:rPr>
                <w:bCs/>
              </w:rPr>
              <w:t>8</w:t>
            </w:r>
            <w:r w:rsidR="00CD2A3A">
              <w:rPr>
                <w:bCs/>
              </w:rPr>
              <w:t>,</w:t>
            </w:r>
            <w:r>
              <w:rPr>
                <w:bCs/>
              </w:rPr>
              <w:t>580</w:t>
            </w:r>
          </w:p>
        </w:tc>
        <w:tc>
          <w:tcPr>
            <w:tcW w:w="889" w:type="dxa"/>
          </w:tcPr>
          <w:p w14:paraId="1A125F19" w14:textId="7433854A" w:rsidR="009A0B3F" w:rsidRDefault="00AF225D" w:rsidP="00E02CAF">
            <w:pPr>
              <w:jc w:val="center"/>
              <w:rPr>
                <w:bCs/>
              </w:rPr>
            </w:pPr>
            <w:r>
              <w:rPr>
                <w:bCs/>
              </w:rPr>
              <w:t>2.1%</w:t>
            </w:r>
          </w:p>
        </w:tc>
      </w:tr>
      <w:tr w:rsidR="00E91FF6" w14:paraId="03A82B1A" w14:textId="77777777" w:rsidTr="00A93BB6">
        <w:trPr>
          <w:cantSplit/>
        </w:trPr>
        <w:tc>
          <w:tcPr>
            <w:tcW w:w="1885" w:type="dxa"/>
          </w:tcPr>
          <w:p w14:paraId="4BB3D3D1" w14:textId="13629B14" w:rsidR="009A0B3F" w:rsidRDefault="00E91FF6" w:rsidP="0019203D">
            <w:pPr>
              <w:jc w:val="both"/>
              <w:rPr>
                <w:bCs/>
              </w:rPr>
            </w:pPr>
            <w:r>
              <w:rPr>
                <w:bCs/>
              </w:rPr>
              <w:t xml:space="preserve">Medford </w:t>
            </w:r>
          </w:p>
        </w:tc>
        <w:tc>
          <w:tcPr>
            <w:tcW w:w="888" w:type="dxa"/>
          </w:tcPr>
          <w:p w14:paraId="4CD1E054" w14:textId="1793F3B6" w:rsidR="009A0B3F" w:rsidRDefault="008A1D79" w:rsidP="00E02CAF">
            <w:pPr>
              <w:jc w:val="center"/>
              <w:rPr>
                <w:bCs/>
              </w:rPr>
            </w:pPr>
            <w:r>
              <w:rPr>
                <w:bCs/>
              </w:rPr>
              <w:t>8</w:t>
            </w:r>
            <w:r w:rsidR="00926611">
              <w:rPr>
                <w:bCs/>
              </w:rPr>
              <w:t>,</w:t>
            </w:r>
            <w:r>
              <w:rPr>
                <w:bCs/>
              </w:rPr>
              <w:t>038</w:t>
            </w:r>
          </w:p>
        </w:tc>
        <w:tc>
          <w:tcPr>
            <w:tcW w:w="889" w:type="dxa"/>
          </w:tcPr>
          <w:p w14:paraId="2A97C378" w14:textId="004A0013" w:rsidR="009A0B3F" w:rsidRDefault="00F42D45" w:rsidP="00E02CAF">
            <w:pPr>
              <w:jc w:val="center"/>
              <w:rPr>
                <w:bCs/>
              </w:rPr>
            </w:pPr>
            <w:r>
              <w:rPr>
                <w:bCs/>
              </w:rPr>
              <w:t>1.9%</w:t>
            </w:r>
          </w:p>
        </w:tc>
        <w:tc>
          <w:tcPr>
            <w:tcW w:w="889" w:type="dxa"/>
          </w:tcPr>
          <w:p w14:paraId="1B329AFA" w14:textId="1565DFDE" w:rsidR="009A0B3F" w:rsidRDefault="00F42D45" w:rsidP="00E02CAF">
            <w:pPr>
              <w:jc w:val="center"/>
              <w:rPr>
                <w:bCs/>
              </w:rPr>
            </w:pPr>
            <w:r>
              <w:rPr>
                <w:bCs/>
              </w:rPr>
              <w:t>7,546</w:t>
            </w:r>
          </w:p>
        </w:tc>
        <w:tc>
          <w:tcPr>
            <w:tcW w:w="889" w:type="dxa"/>
          </w:tcPr>
          <w:p w14:paraId="7F702E20" w14:textId="3857A51B" w:rsidR="009A0B3F" w:rsidRDefault="00F42D45" w:rsidP="00E02CAF">
            <w:pPr>
              <w:jc w:val="center"/>
              <w:rPr>
                <w:bCs/>
              </w:rPr>
            </w:pPr>
            <w:r>
              <w:rPr>
                <w:bCs/>
              </w:rPr>
              <w:t>2.0%</w:t>
            </w:r>
          </w:p>
        </w:tc>
        <w:tc>
          <w:tcPr>
            <w:tcW w:w="888" w:type="dxa"/>
          </w:tcPr>
          <w:p w14:paraId="0DA68281" w14:textId="2AD494A7" w:rsidR="009A0B3F" w:rsidRDefault="00F42D45" w:rsidP="00E02CAF">
            <w:pPr>
              <w:jc w:val="center"/>
              <w:rPr>
                <w:bCs/>
              </w:rPr>
            </w:pPr>
            <w:r>
              <w:rPr>
                <w:bCs/>
              </w:rPr>
              <w:t>7,570</w:t>
            </w:r>
          </w:p>
        </w:tc>
        <w:tc>
          <w:tcPr>
            <w:tcW w:w="889" w:type="dxa"/>
          </w:tcPr>
          <w:p w14:paraId="47E95286" w14:textId="7312946A" w:rsidR="009A0B3F" w:rsidRDefault="00F42D45" w:rsidP="00E02CAF">
            <w:pPr>
              <w:jc w:val="center"/>
              <w:rPr>
                <w:bCs/>
              </w:rPr>
            </w:pPr>
            <w:r>
              <w:rPr>
                <w:bCs/>
              </w:rPr>
              <w:t>2.0%</w:t>
            </w:r>
          </w:p>
        </w:tc>
        <w:tc>
          <w:tcPr>
            <w:tcW w:w="889" w:type="dxa"/>
          </w:tcPr>
          <w:p w14:paraId="5D0FB957" w14:textId="0601186C" w:rsidR="009A0B3F" w:rsidRDefault="00F42D45" w:rsidP="00E02CAF">
            <w:pPr>
              <w:jc w:val="center"/>
              <w:rPr>
                <w:bCs/>
              </w:rPr>
            </w:pPr>
            <w:r>
              <w:rPr>
                <w:bCs/>
              </w:rPr>
              <w:t>8,008</w:t>
            </w:r>
          </w:p>
        </w:tc>
        <w:tc>
          <w:tcPr>
            <w:tcW w:w="889" w:type="dxa"/>
          </w:tcPr>
          <w:p w14:paraId="3F463691" w14:textId="20F22EFB" w:rsidR="009A0B3F" w:rsidRDefault="00F42D45" w:rsidP="00E02CAF">
            <w:pPr>
              <w:jc w:val="center"/>
              <w:rPr>
                <w:bCs/>
              </w:rPr>
            </w:pPr>
            <w:r>
              <w:rPr>
                <w:bCs/>
              </w:rPr>
              <w:t>1.9%</w:t>
            </w:r>
          </w:p>
        </w:tc>
      </w:tr>
      <w:tr w:rsidR="00E91FF6" w14:paraId="7B35E00D" w14:textId="77777777" w:rsidTr="00A93BB6">
        <w:trPr>
          <w:cantSplit/>
        </w:trPr>
        <w:tc>
          <w:tcPr>
            <w:tcW w:w="1885" w:type="dxa"/>
          </w:tcPr>
          <w:p w14:paraId="658A306D" w14:textId="0D0D6ED4" w:rsidR="009A0B3F" w:rsidRDefault="00E91FF6" w:rsidP="0019203D">
            <w:pPr>
              <w:jc w:val="both"/>
              <w:rPr>
                <w:bCs/>
              </w:rPr>
            </w:pPr>
            <w:r>
              <w:rPr>
                <w:bCs/>
              </w:rPr>
              <w:t>Lowell</w:t>
            </w:r>
          </w:p>
        </w:tc>
        <w:tc>
          <w:tcPr>
            <w:tcW w:w="888" w:type="dxa"/>
          </w:tcPr>
          <w:p w14:paraId="0170B758" w14:textId="21F95BF2" w:rsidR="009A0B3F" w:rsidRDefault="008A1D79" w:rsidP="00E02CAF">
            <w:pPr>
              <w:jc w:val="center"/>
              <w:rPr>
                <w:bCs/>
              </w:rPr>
            </w:pPr>
            <w:r>
              <w:rPr>
                <w:bCs/>
              </w:rPr>
              <w:t>7</w:t>
            </w:r>
            <w:r w:rsidR="00926611">
              <w:rPr>
                <w:bCs/>
              </w:rPr>
              <w:t>,</w:t>
            </w:r>
            <w:r>
              <w:rPr>
                <w:bCs/>
              </w:rPr>
              <w:t>151</w:t>
            </w:r>
          </w:p>
        </w:tc>
        <w:tc>
          <w:tcPr>
            <w:tcW w:w="889" w:type="dxa"/>
          </w:tcPr>
          <w:p w14:paraId="5C36541A" w14:textId="4442DC27" w:rsidR="009A0B3F" w:rsidRDefault="009764E5" w:rsidP="00E02CAF">
            <w:pPr>
              <w:jc w:val="center"/>
              <w:rPr>
                <w:bCs/>
              </w:rPr>
            </w:pPr>
            <w:r>
              <w:rPr>
                <w:bCs/>
              </w:rPr>
              <w:t>1.7%</w:t>
            </w:r>
          </w:p>
        </w:tc>
        <w:tc>
          <w:tcPr>
            <w:tcW w:w="889" w:type="dxa"/>
          </w:tcPr>
          <w:p w14:paraId="2B455EF0" w14:textId="35D4EADC" w:rsidR="009A0B3F" w:rsidRDefault="009764E5" w:rsidP="00E02CAF">
            <w:pPr>
              <w:jc w:val="center"/>
              <w:rPr>
                <w:bCs/>
              </w:rPr>
            </w:pPr>
            <w:r>
              <w:rPr>
                <w:bCs/>
              </w:rPr>
              <w:t>6,756</w:t>
            </w:r>
          </w:p>
        </w:tc>
        <w:tc>
          <w:tcPr>
            <w:tcW w:w="889" w:type="dxa"/>
          </w:tcPr>
          <w:p w14:paraId="1F57D4F0" w14:textId="47C39917" w:rsidR="009A0B3F" w:rsidRDefault="009764E5" w:rsidP="00E02CAF">
            <w:pPr>
              <w:jc w:val="center"/>
              <w:rPr>
                <w:bCs/>
              </w:rPr>
            </w:pPr>
            <w:r>
              <w:rPr>
                <w:bCs/>
              </w:rPr>
              <w:t>1.8%</w:t>
            </w:r>
          </w:p>
        </w:tc>
        <w:tc>
          <w:tcPr>
            <w:tcW w:w="888" w:type="dxa"/>
          </w:tcPr>
          <w:p w14:paraId="0790B410" w14:textId="163D466E" w:rsidR="009A0B3F" w:rsidRDefault="009764E5" w:rsidP="00E02CAF">
            <w:pPr>
              <w:jc w:val="center"/>
              <w:rPr>
                <w:bCs/>
              </w:rPr>
            </w:pPr>
            <w:r>
              <w:rPr>
                <w:bCs/>
              </w:rPr>
              <w:t>7,023</w:t>
            </w:r>
          </w:p>
        </w:tc>
        <w:tc>
          <w:tcPr>
            <w:tcW w:w="889" w:type="dxa"/>
          </w:tcPr>
          <w:p w14:paraId="5558781E" w14:textId="4646692A" w:rsidR="009A0B3F" w:rsidRDefault="009764E5" w:rsidP="00E02CAF">
            <w:pPr>
              <w:jc w:val="center"/>
              <w:rPr>
                <w:bCs/>
              </w:rPr>
            </w:pPr>
            <w:r>
              <w:rPr>
                <w:bCs/>
              </w:rPr>
              <w:t>1.8%</w:t>
            </w:r>
          </w:p>
        </w:tc>
        <w:tc>
          <w:tcPr>
            <w:tcW w:w="889" w:type="dxa"/>
          </w:tcPr>
          <w:p w14:paraId="3E04FA7B" w14:textId="3CE7973E" w:rsidR="009A0B3F" w:rsidRDefault="009764E5" w:rsidP="00E02CAF">
            <w:pPr>
              <w:jc w:val="center"/>
              <w:rPr>
                <w:bCs/>
              </w:rPr>
            </w:pPr>
            <w:r>
              <w:rPr>
                <w:bCs/>
              </w:rPr>
              <w:t>7,072</w:t>
            </w:r>
          </w:p>
        </w:tc>
        <w:tc>
          <w:tcPr>
            <w:tcW w:w="889" w:type="dxa"/>
          </w:tcPr>
          <w:p w14:paraId="600A0385" w14:textId="48609958" w:rsidR="009A0B3F" w:rsidRDefault="009764E5" w:rsidP="00E02CAF">
            <w:pPr>
              <w:jc w:val="center"/>
              <w:rPr>
                <w:bCs/>
              </w:rPr>
            </w:pPr>
            <w:r>
              <w:rPr>
                <w:bCs/>
              </w:rPr>
              <w:t>1.7%</w:t>
            </w:r>
          </w:p>
        </w:tc>
      </w:tr>
      <w:tr w:rsidR="00E91FF6" w14:paraId="2770C1EA" w14:textId="77777777" w:rsidTr="00A93BB6">
        <w:trPr>
          <w:cantSplit/>
        </w:trPr>
        <w:tc>
          <w:tcPr>
            <w:tcW w:w="1885" w:type="dxa"/>
          </w:tcPr>
          <w:p w14:paraId="5CE151A6" w14:textId="4DC70DA4" w:rsidR="009A0B3F" w:rsidRDefault="00E91FF6" w:rsidP="0019203D">
            <w:pPr>
              <w:jc w:val="both"/>
              <w:rPr>
                <w:bCs/>
              </w:rPr>
            </w:pPr>
            <w:r>
              <w:rPr>
                <w:bCs/>
              </w:rPr>
              <w:t>Dedham</w:t>
            </w:r>
          </w:p>
        </w:tc>
        <w:tc>
          <w:tcPr>
            <w:tcW w:w="888" w:type="dxa"/>
          </w:tcPr>
          <w:p w14:paraId="4B06421E" w14:textId="764909AF" w:rsidR="009A0B3F" w:rsidRDefault="008A1D79" w:rsidP="00E02CAF">
            <w:pPr>
              <w:jc w:val="center"/>
              <w:rPr>
                <w:bCs/>
              </w:rPr>
            </w:pPr>
            <w:r>
              <w:rPr>
                <w:bCs/>
              </w:rPr>
              <w:t>6</w:t>
            </w:r>
            <w:r w:rsidR="00926611">
              <w:rPr>
                <w:bCs/>
              </w:rPr>
              <w:t>,</w:t>
            </w:r>
            <w:r>
              <w:rPr>
                <w:bCs/>
              </w:rPr>
              <w:t>485</w:t>
            </w:r>
          </w:p>
        </w:tc>
        <w:tc>
          <w:tcPr>
            <w:tcW w:w="889" w:type="dxa"/>
          </w:tcPr>
          <w:p w14:paraId="4A23598E" w14:textId="68A40F99" w:rsidR="009A0B3F" w:rsidRDefault="004407CA" w:rsidP="00E02CAF">
            <w:pPr>
              <w:jc w:val="center"/>
              <w:rPr>
                <w:bCs/>
              </w:rPr>
            </w:pPr>
            <w:r>
              <w:rPr>
                <w:bCs/>
              </w:rPr>
              <w:t>1.6%</w:t>
            </w:r>
          </w:p>
        </w:tc>
        <w:tc>
          <w:tcPr>
            <w:tcW w:w="889" w:type="dxa"/>
          </w:tcPr>
          <w:p w14:paraId="492F8290" w14:textId="02B4AED7" w:rsidR="009A0B3F" w:rsidRDefault="004407CA" w:rsidP="00E02CAF">
            <w:pPr>
              <w:jc w:val="center"/>
              <w:rPr>
                <w:bCs/>
              </w:rPr>
            </w:pPr>
            <w:r>
              <w:rPr>
                <w:bCs/>
              </w:rPr>
              <w:t>6,173</w:t>
            </w:r>
          </w:p>
        </w:tc>
        <w:tc>
          <w:tcPr>
            <w:tcW w:w="889" w:type="dxa"/>
          </w:tcPr>
          <w:p w14:paraId="3EB0B052" w14:textId="7927B0C0" w:rsidR="009A0B3F" w:rsidRDefault="004407CA" w:rsidP="00E02CAF">
            <w:pPr>
              <w:jc w:val="center"/>
              <w:rPr>
                <w:bCs/>
              </w:rPr>
            </w:pPr>
            <w:r>
              <w:rPr>
                <w:bCs/>
              </w:rPr>
              <w:t>1.6%</w:t>
            </w:r>
          </w:p>
        </w:tc>
        <w:tc>
          <w:tcPr>
            <w:tcW w:w="888" w:type="dxa"/>
          </w:tcPr>
          <w:p w14:paraId="1B6903BF" w14:textId="692CDD03" w:rsidR="009A0B3F" w:rsidRDefault="004407CA" w:rsidP="00E02CAF">
            <w:pPr>
              <w:jc w:val="center"/>
              <w:rPr>
                <w:bCs/>
              </w:rPr>
            </w:pPr>
            <w:r>
              <w:rPr>
                <w:bCs/>
              </w:rPr>
              <w:t>5,842</w:t>
            </w:r>
          </w:p>
        </w:tc>
        <w:tc>
          <w:tcPr>
            <w:tcW w:w="889" w:type="dxa"/>
          </w:tcPr>
          <w:p w14:paraId="26C17494" w14:textId="1A8E8910" w:rsidR="009A0B3F" w:rsidRDefault="004407CA" w:rsidP="00E02CAF">
            <w:pPr>
              <w:jc w:val="center"/>
              <w:rPr>
                <w:bCs/>
              </w:rPr>
            </w:pPr>
            <w:r>
              <w:rPr>
                <w:bCs/>
              </w:rPr>
              <w:t>1.5%</w:t>
            </w:r>
          </w:p>
        </w:tc>
        <w:tc>
          <w:tcPr>
            <w:tcW w:w="889" w:type="dxa"/>
          </w:tcPr>
          <w:p w14:paraId="66A22276" w14:textId="46AA9E7A" w:rsidR="009A0B3F" w:rsidRDefault="004407CA" w:rsidP="00E02CAF">
            <w:pPr>
              <w:jc w:val="center"/>
              <w:rPr>
                <w:bCs/>
              </w:rPr>
            </w:pPr>
            <w:r>
              <w:rPr>
                <w:bCs/>
              </w:rPr>
              <w:t>5,812</w:t>
            </w:r>
          </w:p>
        </w:tc>
        <w:tc>
          <w:tcPr>
            <w:tcW w:w="889" w:type="dxa"/>
          </w:tcPr>
          <w:p w14:paraId="7510FAC1" w14:textId="757FE615" w:rsidR="009A0B3F" w:rsidRDefault="004407CA" w:rsidP="00E02CAF">
            <w:pPr>
              <w:jc w:val="center"/>
              <w:rPr>
                <w:bCs/>
              </w:rPr>
            </w:pPr>
            <w:r>
              <w:rPr>
                <w:bCs/>
              </w:rPr>
              <w:t>1.4%</w:t>
            </w:r>
          </w:p>
        </w:tc>
      </w:tr>
      <w:tr w:rsidR="00E91FF6" w14:paraId="79BD9132" w14:textId="77777777" w:rsidTr="00A93BB6">
        <w:trPr>
          <w:cantSplit/>
        </w:trPr>
        <w:tc>
          <w:tcPr>
            <w:tcW w:w="1885" w:type="dxa"/>
          </w:tcPr>
          <w:p w14:paraId="2BCBF4F7" w14:textId="27439CE1" w:rsidR="009A0B3F" w:rsidRDefault="00E91FF6" w:rsidP="0019203D">
            <w:pPr>
              <w:jc w:val="both"/>
              <w:rPr>
                <w:bCs/>
              </w:rPr>
            </w:pPr>
            <w:r>
              <w:rPr>
                <w:bCs/>
              </w:rPr>
              <w:t xml:space="preserve">Norwood </w:t>
            </w:r>
          </w:p>
        </w:tc>
        <w:tc>
          <w:tcPr>
            <w:tcW w:w="888" w:type="dxa"/>
          </w:tcPr>
          <w:p w14:paraId="4A818218" w14:textId="6B05764F" w:rsidR="009A0B3F" w:rsidRDefault="008A1D79" w:rsidP="00E02CAF">
            <w:pPr>
              <w:jc w:val="center"/>
              <w:rPr>
                <w:bCs/>
              </w:rPr>
            </w:pPr>
            <w:r>
              <w:rPr>
                <w:bCs/>
              </w:rPr>
              <w:t>5</w:t>
            </w:r>
            <w:r w:rsidR="00926611">
              <w:rPr>
                <w:bCs/>
              </w:rPr>
              <w:t>,</w:t>
            </w:r>
            <w:r>
              <w:rPr>
                <w:bCs/>
              </w:rPr>
              <w:t>916</w:t>
            </w:r>
          </w:p>
        </w:tc>
        <w:tc>
          <w:tcPr>
            <w:tcW w:w="889" w:type="dxa"/>
          </w:tcPr>
          <w:p w14:paraId="6568AECE" w14:textId="7F87B028" w:rsidR="009A0B3F" w:rsidRDefault="00043915" w:rsidP="00E02CAF">
            <w:pPr>
              <w:jc w:val="center"/>
              <w:rPr>
                <w:bCs/>
              </w:rPr>
            </w:pPr>
            <w:r>
              <w:rPr>
                <w:bCs/>
              </w:rPr>
              <w:t>1.4</w:t>
            </w:r>
            <w:r w:rsidR="00BA4B27">
              <w:rPr>
                <w:bCs/>
              </w:rPr>
              <w:t>%</w:t>
            </w:r>
          </w:p>
        </w:tc>
        <w:tc>
          <w:tcPr>
            <w:tcW w:w="889" w:type="dxa"/>
          </w:tcPr>
          <w:p w14:paraId="7C06F7BD" w14:textId="6252049C" w:rsidR="009A0B3F" w:rsidRDefault="00043915" w:rsidP="00E02CAF">
            <w:pPr>
              <w:jc w:val="center"/>
              <w:rPr>
                <w:bCs/>
              </w:rPr>
            </w:pPr>
            <w:r>
              <w:rPr>
                <w:bCs/>
              </w:rPr>
              <w:t>5</w:t>
            </w:r>
            <w:r w:rsidR="00BA4B27">
              <w:rPr>
                <w:bCs/>
              </w:rPr>
              <w:t>,</w:t>
            </w:r>
            <w:r>
              <w:rPr>
                <w:bCs/>
              </w:rPr>
              <w:t>515</w:t>
            </w:r>
          </w:p>
        </w:tc>
        <w:tc>
          <w:tcPr>
            <w:tcW w:w="889" w:type="dxa"/>
          </w:tcPr>
          <w:p w14:paraId="325B04DF" w14:textId="5FB949D3" w:rsidR="009A0B3F" w:rsidRDefault="00043915" w:rsidP="00E02CAF">
            <w:pPr>
              <w:jc w:val="center"/>
              <w:rPr>
                <w:bCs/>
              </w:rPr>
            </w:pPr>
            <w:r>
              <w:rPr>
                <w:bCs/>
              </w:rPr>
              <w:t>1.4</w:t>
            </w:r>
            <w:r w:rsidR="00BA4B27">
              <w:rPr>
                <w:bCs/>
              </w:rPr>
              <w:t>%</w:t>
            </w:r>
          </w:p>
        </w:tc>
        <w:tc>
          <w:tcPr>
            <w:tcW w:w="888" w:type="dxa"/>
          </w:tcPr>
          <w:p w14:paraId="68D6B88D" w14:textId="3B9BB69C" w:rsidR="009A0B3F" w:rsidRDefault="00043915" w:rsidP="00E02CAF">
            <w:pPr>
              <w:jc w:val="center"/>
              <w:rPr>
                <w:bCs/>
              </w:rPr>
            </w:pPr>
            <w:r>
              <w:rPr>
                <w:bCs/>
              </w:rPr>
              <w:t>5</w:t>
            </w:r>
            <w:r w:rsidR="00BA4B27">
              <w:rPr>
                <w:bCs/>
              </w:rPr>
              <w:t>,</w:t>
            </w:r>
            <w:r>
              <w:rPr>
                <w:bCs/>
              </w:rPr>
              <w:t>322</w:t>
            </w:r>
          </w:p>
        </w:tc>
        <w:tc>
          <w:tcPr>
            <w:tcW w:w="889" w:type="dxa"/>
          </w:tcPr>
          <w:p w14:paraId="1072D563" w14:textId="72337851" w:rsidR="009A0B3F" w:rsidRDefault="00043915" w:rsidP="00E02CAF">
            <w:pPr>
              <w:jc w:val="center"/>
              <w:rPr>
                <w:bCs/>
              </w:rPr>
            </w:pPr>
            <w:r>
              <w:rPr>
                <w:bCs/>
              </w:rPr>
              <w:t>1.4</w:t>
            </w:r>
            <w:r w:rsidR="00BA4B27">
              <w:rPr>
                <w:bCs/>
              </w:rPr>
              <w:t>%</w:t>
            </w:r>
          </w:p>
        </w:tc>
        <w:tc>
          <w:tcPr>
            <w:tcW w:w="889" w:type="dxa"/>
          </w:tcPr>
          <w:p w14:paraId="2070FA7A" w14:textId="2EC261EC" w:rsidR="009A0B3F" w:rsidRDefault="00BA4B27" w:rsidP="00E02CAF">
            <w:pPr>
              <w:jc w:val="center"/>
              <w:rPr>
                <w:bCs/>
              </w:rPr>
            </w:pPr>
            <w:r>
              <w:rPr>
                <w:bCs/>
              </w:rPr>
              <w:t>5,516</w:t>
            </w:r>
          </w:p>
        </w:tc>
        <w:tc>
          <w:tcPr>
            <w:tcW w:w="889" w:type="dxa"/>
          </w:tcPr>
          <w:p w14:paraId="2945E70C" w14:textId="53B70186" w:rsidR="009A0B3F" w:rsidRDefault="00BA4B27" w:rsidP="00E02CAF">
            <w:pPr>
              <w:jc w:val="center"/>
              <w:rPr>
                <w:bCs/>
              </w:rPr>
            </w:pPr>
            <w:r>
              <w:rPr>
                <w:bCs/>
              </w:rPr>
              <w:t>1.3%</w:t>
            </w:r>
          </w:p>
        </w:tc>
      </w:tr>
      <w:tr w:rsidR="00E91FF6" w14:paraId="6348BA45" w14:textId="77777777" w:rsidTr="00A93BB6">
        <w:trPr>
          <w:cantSplit/>
        </w:trPr>
        <w:tc>
          <w:tcPr>
            <w:tcW w:w="1885" w:type="dxa"/>
          </w:tcPr>
          <w:p w14:paraId="78782332" w14:textId="35A092C4" w:rsidR="009A0B3F" w:rsidRDefault="00E91FF6" w:rsidP="0019203D">
            <w:pPr>
              <w:jc w:val="both"/>
              <w:rPr>
                <w:bCs/>
              </w:rPr>
            </w:pPr>
            <w:r>
              <w:rPr>
                <w:bCs/>
              </w:rPr>
              <w:t>Peabody</w:t>
            </w:r>
          </w:p>
        </w:tc>
        <w:tc>
          <w:tcPr>
            <w:tcW w:w="888" w:type="dxa"/>
          </w:tcPr>
          <w:p w14:paraId="33EB3511" w14:textId="4B9898BA" w:rsidR="009A0B3F" w:rsidRDefault="008A1D79" w:rsidP="00E02CAF">
            <w:pPr>
              <w:jc w:val="center"/>
              <w:rPr>
                <w:bCs/>
              </w:rPr>
            </w:pPr>
            <w:r>
              <w:rPr>
                <w:bCs/>
              </w:rPr>
              <w:t>6</w:t>
            </w:r>
            <w:r w:rsidR="00926611">
              <w:rPr>
                <w:bCs/>
              </w:rPr>
              <w:t>,</w:t>
            </w:r>
            <w:r>
              <w:rPr>
                <w:bCs/>
              </w:rPr>
              <w:t>560</w:t>
            </w:r>
          </w:p>
        </w:tc>
        <w:tc>
          <w:tcPr>
            <w:tcW w:w="889" w:type="dxa"/>
          </w:tcPr>
          <w:p w14:paraId="615FA969" w14:textId="11ADECA2" w:rsidR="009A0B3F" w:rsidRDefault="006F693E" w:rsidP="00E02CAF">
            <w:pPr>
              <w:jc w:val="center"/>
              <w:rPr>
                <w:bCs/>
              </w:rPr>
            </w:pPr>
            <w:r>
              <w:rPr>
                <w:bCs/>
              </w:rPr>
              <w:t>1.6%</w:t>
            </w:r>
          </w:p>
        </w:tc>
        <w:tc>
          <w:tcPr>
            <w:tcW w:w="889" w:type="dxa"/>
          </w:tcPr>
          <w:p w14:paraId="2DF311FD" w14:textId="6C83A716" w:rsidR="009A0B3F" w:rsidRDefault="006F693E" w:rsidP="00E02CAF">
            <w:pPr>
              <w:jc w:val="center"/>
              <w:rPr>
                <w:bCs/>
              </w:rPr>
            </w:pPr>
            <w:r>
              <w:rPr>
                <w:bCs/>
              </w:rPr>
              <w:t>5,645</w:t>
            </w:r>
          </w:p>
        </w:tc>
        <w:tc>
          <w:tcPr>
            <w:tcW w:w="889" w:type="dxa"/>
          </w:tcPr>
          <w:p w14:paraId="6105DF84" w14:textId="45E49061" w:rsidR="009A0B3F" w:rsidRDefault="006F693E" w:rsidP="00E02CAF">
            <w:pPr>
              <w:jc w:val="center"/>
              <w:rPr>
                <w:bCs/>
              </w:rPr>
            </w:pPr>
            <w:r>
              <w:rPr>
                <w:bCs/>
              </w:rPr>
              <w:t>1.5%</w:t>
            </w:r>
          </w:p>
        </w:tc>
        <w:tc>
          <w:tcPr>
            <w:tcW w:w="888" w:type="dxa"/>
          </w:tcPr>
          <w:p w14:paraId="395CA52B" w14:textId="64F5D476" w:rsidR="009A0B3F" w:rsidRDefault="006F693E" w:rsidP="00E02CAF">
            <w:pPr>
              <w:jc w:val="center"/>
              <w:rPr>
                <w:bCs/>
              </w:rPr>
            </w:pPr>
            <w:r>
              <w:rPr>
                <w:bCs/>
              </w:rPr>
              <w:t>5,629</w:t>
            </w:r>
          </w:p>
        </w:tc>
        <w:tc>
          <w:tcPr>
            <w:tcW w:w="889" w:type="dxa"/>
          </w:tcPr>
          <w:p w14:paraId="323930C6" w14:textId="62F4D0A9" w:rsidR="009A0B3F" w:rsidRDefault="006F693E" w:rsidP="00E02CAF">
            <w:pPr>
              <w:jc w:val="center"/>
              <w:rPr>
                <w:bCs/>
              </w:rPr>
            </w:pPr>
            <w:r>
              <w:rPr>
                <w:bCs/>
              </w:rPr>
              <w:t>1.5%</w:t>
            </w:r>
          </w:p>
        </w:tc>
        <w:tc>
          <w:tcPr>
            <w:tcW w:w="889" w:type="dxa"/>
          </w:tcPr>
          <w:p w14:paraId="5710E0B6" w14:textId="2349D81F" w:rsidR="009A0B3F" w:rsidRDefault="006F693E" w:rsidP="00E02CAF">
            <w:pPr>
              <w:jc w:val="center"/>
              <w:rPr>
                <w:bCs/>
              </w:rPr>
            </w:pPr>
            <w:r>
              <w:rPr>
                <w:bCs/>
              </w:rPr>
              <w:t>5,505</w:t>
            </w:r>
          </w:p>
        </w:tc>
        <w:tc>
          <w:tcPr>
            <w:tcW w:w="889" w:type="dxa"/>
          </w:tcPr>
          <w:p w14:paraId="3D899C94" w14:textId="60FB49C4" w:rsidR="009A0B3F" w:rsidRDefault="006F693E" w:rsidP="00E02CAF">
            <w:pPr>
              <w:jc w:val="center"/>
              <w:rPr>
                <w:bCs/>
              </w:rPr>
            </w:pPr>
            <w:r>
              <w:rPr>
                <w:bCs/>
              </w:rPr>
              <w:t>1.3%</w:t>
            </w:r>
          </w:p>
        </w:tc>
      </w:tr>
      <w:tr w:rsidR="00431B95" w14:paraId="3FF261E1" w14:textId="77777777" w:rsidTr="00A93BB6">
        <w:trPr>
          <w:cantSplit/>
        </w:trPr>
        <w:tc>
          <w:tcPr>
            <w:tcW w:w="1885" w:type="dxa"/>
          </w:tcPr>
          <w:p w14:paraId="781EE778" w14:textId="02C52836" w:rsidR="00431B95" w:rsidRDefault="00431B95" w:rsidP="00431B95">
            <w:pPr>
              <w:jc w:val="both"/>
              <w:rPr>
                <w:bCs/>
              </w:rPr>
            </w:pPr>
            <w:r>
              <w:rPr>
                <w:bCs/>
              </w:rPr>
              <w:t>Dorchester</w:t>
            </w:r>
          </w:p>
        </w:tc>
        <w:tc>
          <w:tcPr>
            <w:tcW w:w="888" w:type="dxa"/>
          </w:tcPr>
          <w:p w14:paraId="54A2D0D7" w14:textId="3828044B" w:rsidR="00431B95" w:rsidRDefault="00431B95" w:rsidP="00431B95">
            <w:pPr>
              <w:jc w:val="center"/>
              <w:rPr>
                <w:bCs/>
              </w:rPr>
            </w:pPr>
            <w:r>
              <w:rPr>
                <w:bCs/>
              </w:rPr>
              <w:t>5</w:t>
            </w:r>
            <w:r w:rsidR="00926611">
              <w:rPr>
                <w:bCs/>
              </w:rPr>
              <w:t>,</w:t>
            </w:r>
            <w:r>
              <w:rPr>
                <w:bCs/>
              </w:rPr>
              <w:t>407</w:t>
            </w:r>
          </w:p>
        </w:tc>
        <w:tc>
          <w:tcPr>
            <w:tcW w:w="889" w:type="dxa"/>
          </w:tcPr>
          <w:p w14:paraId="0532B7D4" w14:textId="046FB177" w:rsidR="00431B95" w:rsidRDefault="00F84410" w:rsidP="00431B95">
            <w:pPr>
              <w:jc w:val="center"/>
              <w:rPr>
                <w:bCs/>
              </w:rPr>
            </w:pPr>
            <w:r>
              <w:rPr>
                <w:bCs/>
              </w:rPr>
              <w:t>1.3</w:t>
            </w:r>
            <w:r w:rsidR="00A904DC">
              <w:rPr>
                <w:bCs/>
              </w:rPr>
              <w:t>%</w:t>
            </w:r>
          </w:p>
        </w:tc>
        <w:tc>
          <w:tcPr>
            <w:tcW w:w="889" w:type="dxa"/>
          </w:tcPr>
          <w:p w14:paraId="05C2ECD4" w14:textId="7927BC4C" w:rsidR="00431B95" w:rsidRDefault="00F84410" w:rsidP="00431B95">
            <w:pPr>
              <w:jc w:val="center"/>
              <w:rPr>
                <w:bCs/>
              </w:rPr>
            </w:pPr>
            <w:r>
              <w:rPr>
                <w:bCs/>
              </w:rPr>
              <w:t>4</w:t>
            </w:r>
            <w:r w:rsidR="00A904DC">
              <w:rPr>
                <w:bCs/>
              </w:rPr>
              <w:t>,</w:t>
            </w:r>
            <w:r>
              <w:rPr>
                <w:bCs/>
              </w:rPr>
              <w:t>955</w:t>
            </w:r>
          </w:p>
        </w:tc>
        <w:tc>
          <w:tcPr>
            <w:tcW w:w="889" w:type="dxa"/>
          </w:tcPr>
          <w:p w14:paraId="220425F5" w14:textId="0F66E339" w:rsidR="00431B95" w:rsidRDefault="00F84410" w:rsidP="00431B95">
            <w:pPr>
              <w:jc w:val="center"/>
              <w:rPr>
                <w:bCs/>
              </w:rPr>
            </w:pPr>
            <w:r>
              <w:rPr>
                <w:bCs/>
              </w:rPr>
              <w:t>1.3</w:t>
            </w:r>
            <w:r w:rsidR="00A904DC">
              <w:rPr>
                <w:bCs/>
              </w:rPr>
              <w:t>%</w:t>
            </w:r>
          </w:p>
        </w:tc>
        <w:tc>
          <w:tcPr>
            <w:tcW w:w="888" w:type="dxa"/>
          </w:tcPr>
          <w:p w14:paraId="1430F08A" w14:textId="4AF0B545" w:rsidR="00431B95" w:rsidRDefault="00F84410" w:rsidP="00431B95">
            <w:pPr>
              <w:jc w:val="center"/>
              <w:rPr>
                <w:bCs/>
              </w:rPr>
            </w:pPr>
            <w:r>
              <w:rPr>
                <w:bCs/>
              </w:rPr>
              <w:t>4</w:t>
            </w:r>
            <w:r w:rsidR="00A904DC">
              <w:rPr>
                <w:bCs/>
              </w:rPr>
              <w:t>,</w:t>
            </w:r>
            <w:r>
              <w:rPr>
                <w:bCs/>
              </w:rPr>
              <w:t>882</w:t>
            </w:r>
          </w:p>
        </w:tc>
        <w:tc>
          <w:tcPr>
            <w:tcW w:w="889" w:type="dxa"/>
          </w:tcPr>
          <w:p w14:paraId="34888B04" w14:textId="1BEC1510" w:rsidR="00431B95" w:rsidRDefault="00F84410" w:rsidP="00431B95">
            <w:pPr>
              <w:jc w:val="center"/>
              <w:rPr>
                <w:bCs/>
              </w:rPr>
            </w:pPr>
            <w:r>
              <w:rPr>
                <w:bCs/>
              </w:rPr>
              <w:t>1.3</w:t>
            </w:r>
            <w:r w:rsidR="00A904DC">
              <w:rPr>
                <w:bCs/>
              </w:rPr>
              <w:t>%</w:t>
            </w:r>
          </w:p>
        </w:tc>
        <w:tc>
          <w:tcPr>
            <w:tcW w:w="889" w:type="dxa"/>
          </w:tcPr>
          <w:p w14:paraId="7549EAB9" w14:textId="74252B49" w:rsidR="00431B95" w:rsidRDefault="00F84410" w:rsidP="00431B95">
            <w:pPr>
              <w:jc w:val="center"/>
              <w:rPr>
                <w:bCs/>
              </w:rPr>
            </w:pPr>
            <w:r>
              <w:rPr>
                <w:bCs/>
              </w:rPr>
              <w:t>4,973</w:t>
            </w:r>
          </w:p>
        </w:tc>
        <w:tc>
          <w:tcPr>
            <w:tcW w:w="889" w:type="dxa"/>
          </w:tcPr>
          <w:p w14:paraId="2FBEA5FB" w14:textId="516393AD" w:rsidR="00431B95" w:rsidRDefault="00F84410" w:rsidP="00431B95">
            <w:pPr>
              <w:jc w:val="center"/>
              <w:rPr>
                <w:bCs/>
              </w:rPr>
            </w:pPr>
            <w:r>
              <w:rPr>
                <w:bCs/>
              </w:rPr>
              <w:t>1.2%</w:t>
            </w:r>
          </w:p>
        </w:tc>
      </w:tr>
      <w:tr w:rsidR="00431B95" w14:paraId="63D8E42E" w14:textId="77777777" w:rsidTr="00A93BB6">
        <w:trPr>
          <w:cantSplit/>
        </w:trPr>
        <w:tc>
          <w:tcPr>
            <w:tcW w:w="1885" w:type="dxa"/>
          </w:tcPr>
          <w:p w14:paraId="61FFA0BC" w14:textId="6FDB278E" w:rsidR="00431B95" w:rsidRDefault="00431B95" w:rsidP="00431B95">
            <w:pPr>
              <w:jc w:val="both"/>
              <w:rPr>
                <w:bCs/>
              </w:rPr>
            </w:pPr>
            <w:r>
              <w:rPr>
                <w:bCs/>
              </w:rPr>
              <w:t>Arlington</w:t>
            </w:r>
          </w:p>
        </w:tc>
        <w:tc>
          <w:tcPr>
            <w:tcW w:w="888" w:type="dxa"/>
          </w:tcPr>
          <w:p w14:paraId="26C635CC" w14:textId="72397A39" w:rsidR="00431B95" w:rsidRDefault="00431B95" w:rsidP="00431B95">
            <w:pPr>
              <w:jc w:val="center"/>
              <w:rPr>
                <w:bCs/>
              </w:rPr>
            </w:pPr>
            <w:r>
              <w:rPr>
                <w:bCs/>
              </w:rPr>
              <w:t>5</w:t>
            </w:r>
            <w:r w:rsidR="00926611">
              <w:rPr>
                <w:bCs/>
              </w:rPr>
              <w:t>,</w:t>
            </w:r>
            <w:r>
              <w:rPr>
                <w:bCs/>
              </w:rPr>
              <w:t>074</w:t>
            </w:r>
          </w:p>
        </w:tc>
        <w:tc>
          <w:tcPr>
            <w:tcW w:w="889" w:type="dxa"/>
          </w:tcPr>
          <w:p w14:paraId="1D0AA35C" w14:textId="13095E8F" w:rsidR="00431B95" w:rsidRDefault="000429E6" w:rsidP="00431B95">
            <w:pPr>
              <w:jc w:val="center"/>
              <w:rPr>
                <w:bCs/>
              </w:rPr>
            </w:pPr>
            <w:r>
              <w:rPr>
                <w:bCs/>
              </w:rPr>
              <w:t>1.2%</w:t>
            </w:r>
          </w:p>
        </w:tc>
        <w:tc>
          <w:tcPr>
            <w:tcW w:w="889" w:type="dxa"/>
          </w:tcPr>
          <w:p w14:paraId="3C29C881" w14:textId="6AA33A88" w:rsidR="00431B95" w:rsidRDefault="000429E6" w:rsidP="00431B95">
            <w:pPr>
              <w:jc w:val="center"/>
              <w:rPr>
                <w:bCs/>
              </w:rPr>
            </w:pPr>
            <w:r>
              <w:rPr>
                <w:bCs/>
              </w:rPr>
              <w:t>4,868</w:t>
            </w:r>
          </w:p>
        </w:tc>
        <w:tc>
          <w:tcPr>
            <w:tcW w:w="889" w:type="dxa"/>
          </w:tcPr>
          <w:p w14:paraId="29FDCCAA" w14:textId="0EA853CB" w:rsidR="00431B95" w:rsidRDefault="000429E6" w:rsidP="00431B95">
            <w:pPr>
              <w:jc w:val="center"/>
              <w:rPr>
                <w:bCs/>
              </w:rPr>
            </w:pPr>
            <w:r>
              <w:rPr>
                <w:bCs/>
              </w:rPr>
              <w:t>1.3%</w:t>
            </w:r>
          </w:p>
        </w:tc>
        <w:tc>
          <w:tcPr>
            <w:tcW w:w="888" w:type="dxa"/>
          </w:tcPr>
          <w:p w14:paraId="08A15A65" w14:textId="5EF240AF" w:rsidR="00431B95" w:rsidRDefault="000429E6" w:rsidP="00431B95">
            <w:pPr>
              <w:jc w:val="center"/>
              <w:rPr>
                <w:bCs/>
              </w:rPr>
            </w:pPr>
            <w:r>
              <w:rPr>
                <w:bCs/>
              </w:rPr>
              <w:t>4,864</w:t>
            </w:r>
          </w:p>
        </w:tc>
        <w:tc>
          <w:tcPr>
            <w:tcW w:w="889" w:type="dxa"/>
          </w:tcPr>
          <w:p w14:paraId="311596DB" w14:textId="18D92F24" w:rsidR="00431B95" w:rsidRDefault="000429E6" w:rsidP="00431B95">
            <w:pPr>
              <w:jc w:val="center"/>
              <w:rPr>
                <w:bCs/>
              </w:rPr>
            </w:pPr>
            <w:r>
              <w:rPr>
                <w:bCs/>
              </w:rPr>
              <w:t>1.3%</w:t>
            </w:r>
          </w:p>
        </w:tc>
        <w:tc>
          <w:tcPr>
            <w:tcW w:w="889" w:type="dxa"/>
          </w:tcPr>
          <w:p w14:paraId="244911F2" w14:textId="77E149CD" w:rsidR="00431B95" w:rsidRDefault="000429E6" w:rsidP="00431B95">
            <w:pPr>
              <w:jc w:val="center"/>
              <w:rPr>
                <w:bCs/>
              </w:rPr>
            </w:pPr>
            <w:r>
              <w:rPr>
                <w:bCs/>
              </w:rPr>
              <w:t>5,247</w:t>
            </w:r>
          </w:p>
        </w:tc>
        <w:tc>
          <w:tcPr>
            <w:tcW w:w="889" w:type="dxa"/>
          </w:tcPr>
          <w:p w14:paraId="22424835" w14:textId="0C21630B" w:rsidR="00431B95" w:rsidRDefault="000429E6" w:rsidP="00431B95">
            <w:pPr>
              <w:jc w:val="center"/>
              <w:rPr>
                <w:bCs/>
              </w:rPr>
            </w:pPr>
            <w:r>
              <w:rPr>
                <w:bCs/>
              </w:rPr>
              <w:t>1.3%</w:t>
            </w:r>
          </w:p>
        </w:tc>
      </w:tr>
      <w:tr w:rsidR="00E91FF6" w14:paraId="775167B2" w14:textId="77777777" w:rsidTr="00A93BB6">
        <w:trPr>
          <w:cantSplit/>
        </w:trPr>
        <w:tc>
          <w:tcPr>
            <w:tcW w:w="1885" w:type="dxa"/>
          </w:tcPr>
          <w:p w14:paraId="50A1CA75" w14:textId="3D46CD1D" w:rsidR="009A0B3F" w:rsidRDefault="00477D02" w:rsidP="0019203D">
            <w:pPr>
              <w:jc w:val="both"/>
              <w:rPr>
                <w:bCs/>
              </w:rPr>
            </w:pPr>
            <w:r>
              <w:rPr>
                <w:bCs/>
              </w:rPr>
              <w:t>Watertown</w:t>
            </w:r>
          </w:p>
        </w:tc>
        <w:tc>
          <w:tcPr>
            <w:tcW w:w="888" w:type="dxa"/>
          </w:tcPr>
          <w:p w14:paraId="69E0BC8C" w14:textId="2212D9C4" w:rsidR="009A0B3F" w:rsidRDefault="00477D02" w:rsidP="00E02CAF">
            <w:pPr>
              <w:jc w:val="center"/>
              <w:rPr>
                <w:bCs/>
              </w:rPr>
            </w:pPr>
            <w:r>
              <w:rPr>
                <w:bCs/>
              </w:rPr>
              <w:t>4</w:t>
            </w:r>
            <w:r w:rsidR="00926611">
              <w:rPr>
                <w:bCs/>
              </w:rPr>
              <w:t>,</w:t>
            </w:r>
            <w:r>
              <w:rPr>
                <w:bCs/>
              </w:rPr>
              <w:t>605</w:t>
            </w:r>
          </w:p>
        </w:tc>
        <w:tc>
          <w:tcPr>
            <w:tcW w:w="889" w:type="dxa"/>
          </w:tcPr>
          <w:p w14:paraId="6DAE4317" w14:textId="5639F37B" w:rsidR="009A0B3F" w:rsidRDefault="00C86BDE" w:rsidP="00E02CAF">
            <w:pPr>
              <w:jc w:val="center"/>
              <w:rPr>
                <w:bCs/>
              </w:rPr>
            </w:pPr>
            <w:r>
              <w:rPr>
                <w:bCs/>
              </w:rPr>
              <w:t>1.1</w:t>
            </w:r>
            <w:r w:rsidR="006E08CF">
              <w:rPr>
                <w:bCs/>
              </w:rPr>
              <w:t>%</w:t>
            </w:r>
          </w:p>
        </w:tc>
        <w:tc>
          <w:tcPr>
            <w:tcW w:w="889" w:type="dxa"/>
          </w:tcPr>
          <w:p w14:paraId="5150A956" w14:textId="2CF1E063" w:rsidR="009A0B3F" w:rsidRDefault="00C86BDE" w:rsidP="00E02CAF">
            <w:pPr>
              <w:jc w:val="center"/>
              <w:rPr>
                <w:bCs/>
              </w:rPr>
            </w:pPr>
            <w:r>
              <w:rPr>
                <w:bCs/>
              </w:rPr>
              <w:t>4</w:t>
            </w:r>
            <w:r w:rsidR="006E08CF">
              <w:rPr>
                <w:bCs/>
              </w:rPr>
              <w:t>,</w:t>
            </w:r>
            <w:r>
              <w:rPr>
                <w:bCs/>
              </w:rPr>
              <w:t>421</w:t>
            </w:r>
          </w:p>
        </w:tc>
        <w:tc>
          <w:tcPr>
            <w:tcW w:w="889" w:type="dxa"/>
          </w:tcPr>
          <w:p w14:paraId="1E7D3C4F" w14:textId="7B6DE18E" w:rsidR="009A0B3F" w:rsidRDefault="00C86BDE" w:rsidP="00E02CAF">
            <w:pPr>
              <w:jc w:val="center"/>
              <w:rPr>
                <w:bCs/>
              </w:rPr>
            </w:pPr>
            <w:r>
              <w:rPr>
                <w:bCs/>
              </w:rPr>
              <w:t>1.2%</w:t>
            </w:r>
          </w:p>
        </w:tc>
        <w:tc>
          <w:tcPr>
            <w:tcW w:w="888" w:type="dxa"/>
          </w:tcPr>
          <w:p w14:paraId="457F6409" w14:textId="1FB4F028" w:rsidR="009A0B3F" w:rsidRDefault="00C86BDE" w:rsidP="00E02CAF">
            <w:pPr>
              <w:jc w:val="center"/>
              <w:rPr>
                <w:bCs/>
              </w:rPr>
            </w:pPr>
            <w:r>
              <w:rPr>
                <w:bCs/>
              </w:rPr>
              <w:t>4,460</w:t>
            </w:r>
          </w:p>
        </w:tc>
        <w:tc>
          <w:tcPr>
            <w:tcW w:w="889" w:type="dxa"/>
          </w:tcPr>
          <w:p w14:paraId="432D9618" w14:textId="42505AB7" w:rsidR="009A0B3F" w:rsidRDefault="00C86BDE" w:rsidP="00E02CAF">
            <w:pPr>
              <w:jc w:val="center"/>
              <w:rPr>
                <w:bCs/>
              </w:rPr>
            </w:pPr>
            <w:r>
              <w:rPr>
                <w:bCs/>
              </w:rPr>
              <w:t>1.2%</w:t>
            </w:r>
          </w:p>
        </w:tc>
        <w:tc>
          <w:tcPr>
            <w:tcW w:w="889" w:type="dxa"/>
          </w:tcPr>
          <w:p w14:paraId="46E3F4FA" w14:textId="3EBBB660" w:rsidR="009A0B3F" w:rsidRDefault="00C86BDE" w:rsidP="00E02CAF">
            <w:pPr>
              <w:jc w:val="center"/>
              <w:rPr>
                <w:bCs/>
              </w:rPr>
            </w:pPr>
            <w:r>
              <w:rPr>
                <w:bCs/>
              </w:rPr>
              <w:t>4,715</w:t>
            </w:r>
          </w:p>
        </w:tc>
        <w:tc>
          <w:tcPr>
            <w:tcW w:w="889" w:type="dxa"/>
          </w:tcPr>
          <w:p w14:paraId="323A07FE" w14:textId="52FFE9DD" w:rsidR="009A0B3F" w:rsidRDefault="00C86BDE" w:rsidP="00E02CAF">
            <w:pPr>
              <w:jc w:val="center"/>
              <w:rPr>
                <w:bCs/>
              </w:rPr>
            </w:pPr>
            <w:r>
              <w:rPr>
                <w:bCs/>
              </w:rPr>
              <w:t>1.1%</w:t>
            </w:r>
          </w:p>
        </w:tc>
      </w:tr>
      <w:tr w:rsidR="00676CDA" w14:paraId="3DDD6FE5" w14:textId="77777777" w:rsidTr="00A93BB6">
        <w:trPr>
          <w:cantSplit/>
        </w:trPr>
        <w:tc>
          <w:tcPr>
            <w:tcW w:w="1885" w:type="dxa"/>
          </w:tcPr>
          <w:p w14:paraId="0904225C" w14:textId="207EE38D" w:rsidR="00676CDA" w:rsidRDefault="00676CDA" w:rsidP="00676CDA">
            <w:pPr>
              <w:jc w:val="both"/>
              <w:rPr>
                <w:bCs/>
              </w:rPr>
            </w:pPr>
            <w:r>
              <w:rPr>
                <w:bCs/>
              </w:rPr>
              <w:t>Brockton</w:t>
            </w:r>
          </w:p>
        </w:tc>
        <w:tc>
          <w:tcPr>
            <w:tcW w:w="888" w:type="dxa"/>
          </w:tcPr>
          <w:p w14:paraId="7EA6DF49" w14:textId="4838EDD3" w:rsidR="00676CDA" w:rsidRDefault="00676CDA" w:rsidP="00676CDA">
            <w:pPr>
              <w:jc w:val="center"/>
              <w:rPr>
                <w:bCs/>
              </w:rPr>
            </w:pPr>
            <w:r>
              <w:rPr>
                <w:bCs/>
              </w:rPr>
              <w:t>3,542</w:t>
            </w:r>
          </w:p>
        </w:tc>
        <w:tc>
          <w:tcPr>
            <w:tcW w:w="889" w:type="dxa"/>
          </w:tcPr>
          <w:p w14:paraId="62D0F8BE" w14:textId="0C7DBC53" w:rsidR="00676CDA" w:rsidRDefault="00676CDA" w:rsidP="00676CDA">
            <w:pPr>
              <w:jc w:val="center"/>
              <w:rPr>
                <w:bCs/>
              </w:rPr>
            </w:pPr>
            <w:r>
              <w:rPr>
                <w:bCs/>
              </w:rPr>
              <w:t>0.8%</w:t>
            </w:r>
          </w:p>
        </w:tc>
        <w:tc>
          <w:tcPr>
            <w:tcW w:w="889" w:type="dxa"/>
          </w:tcPr>
          <w:p w14:paraId="05E3695E" w14:textId="4EAE60B7" w:rsidR="00676CDA" w:rsidRDefault="00676CDA" w:rsidP="00676CDA">
            <w:pPr>
              <w:jc w:val="center"/>
              <w:rPr>
                <w:bCs/>
              </w:rPr>
            </w:pPr>
            <w:r>
              <w:rPr>
                <w:bCs/>
              </w:rPr>
              <w:t>3,335</w:t>
            </w:r>
          </w:p>
        </w:tc>
        <w:tc>
          <w:tcPr>
            <w:tcW w:w="889" w:type="dxa"/>
          </w:tcPr>
          <w:p w14:paraId="004DF48C" w14:textId="12C13EE6" w:rsidR="00676CDA" w:rsidRDefault="00676CDA" w:rsidP="00676CDA">
            <w:pPr>
              <w:jc w:val="center"/>
              <w:rPr>
                <w:bCs/>
              </w:rPr>
            </w:pPr>
            <w:r>
              <w:rPr>
                <w:bCs/>
              </w:rPr>
              <w:t>0.9%</w:t>
            </w:r>
          </w:p>
        </w:tc>
        <w:tc>
          <w:tcPr>
            <w:tcW w:w="888" w:type="dxa"/>
          </w:tcPr>
          <w:p w14:paraId="49AB5794" w14:textId="1A96BF0B" w:rsidR="00676CDA" w:rsidRDefault="00676CDA" w:rsidP="00676CDA">
            <w:pPr>
              <w:jc w:val="center"/>
              <w:rPr>
                <w:bCs/>
              </w:rPr>
            </w:pPr>
            <w:r>
              <w:rPr>
                <w:bCs/>
              </w:rPr>
              <w:t>3,391</w:t>
            </w:r>
          </w:p>
        </w:tc>
        <w:tc>
          <w:tcPr>
            <w:tcW w:w="889" w:type="dxa"/>
          </w:tcPr>
          <w:p w14:paraId="4D4BB5DD" w14:textId="242BD965" w:rsidR="00676CDA" w:rsidRDefault="00676CDA" w:rsidP="00676CDA">
            <w:pPr>
              <w:jc w:val="center"/>
              <w:rPr>
                <w:bCs/>
              </w:rPr>
            </w:pPr>
            <w:r>
              <w:rPr>
                <w:bCs/>
              </w:rPr>
              <w:t>0.9%</w:t>
            </w:r>
          </w:p>
        </w:tc>
        <w:tc>
          <w:tcPr>
            <w:tcW w:w="889" w:type="dxa"/>
          </w:tcPr>
          <w:p w14:paraId="6C8CB321" w14:textId="413FCDB6" w:rsidR="00676CDA" w:rsidRDefault="00676CDA" w:rsidP="00676CDA">
            <w:pPr>
              <w:jc w:val="center"/>
              <w:rPr>
                <w:bCs/>
              </w:rPr>
            </w:pPr>
            <w:r>
              <w:rPr>
                <w:bCs/>
              </w:rPr>
              <w:t>4,943</w:t>
            </w:r>
          </w:p>
        </w:tc>
        <w:tc>
          <w:tcPr>
            <w:tcW w:w="889" w:type="dxa"/>
          </w:tcPr>
          <w:p w14:paraId="6CC0DCA4" w14:textId="47C386AC" w:rsidR="00676CDA" w:rsidRDefault="00676CDA" w:rsidP="00676CDA">
            <w:pPr>
              <w:jc w:val="center"/>
              <w:rPr>
                <w:bCs/>
              </w:rPr>
            </w:pPr>
            <w:r>
              <w:rPr>
                <w:bCs/>
              </w:rPr>
              <w:t>1.2%</w:t>
            </w:r>
          </w:p>
        </w:tc>
      </w:tr>
    </w:tbl>
    <w:p w14:paraId="4E4A075D" w14:textId="77777777" w:rsidR="009A0B3F" w:rsidRDefault="009A0B3F" w:rsidP="0019203D">
      <w:pPr>
        <w:ind w:left="360"/>
        <w:jc w:val="both"/>
        <w:rPr>
          <w:bCs/>
          <w:kern w:val="0"/>
          <w14:ligatures w14:val="none"/>
        </w:rPr>
      </w:pPr>
    </w:p>
    <w:p w14:paraId="16D033CE" w14:textId="083E9466" w:rsidR="0019203D" w:rsidRPr="00417FBF" w:rsidRDefault="0019203D" w:rsidP="0019203D">
      <w:pPr>
        <w:spacing w:after="0" w:line="240" w:lineRule="auto"/>
        <w:ind w:left="360"/>
        <w:jc w:val="both"/>
        <w:rPr>
          <w:bCs/>
          <w:kern w:val="0"/>
          <w:sz w:val="24"/>
          <w:szCs w:val="24"/>
          <w14:ligatures w14:val="none"/>
        </w:rPr>
      </w:pPr>
    </w:p>
    <w:p w14:paraId="4D58268C" w14:textId="77777777" w:rsidR="00AD0DD5" w:rsidRDefault="00AD0DD5" w:rsidP="001B19E0">
      <w:pPr>
        <w:spacing w:after="0" w:line="240" w:lineRule="auto"/>
        <w:ind w:left="360"/>
        <w:jc w:val="both"/>
        <w:rPr>
          <w:b/>
          <w:kern w:val="0"/>
          <w:u w:val="single"/>
          <w14:ligatures w14:val="none"/>
        </w:rPr>
      </w:pPr>
    </w:p>
    <w:p w14:paraId="002312FC" w14:textId="77777777" w:rsidR="006E08CF" w:rsidRDefault="006E08CF" w:rsidP="001B19E0">
      <w:pPr>
        <w:spacing w:after="0" w:line="240" w:lineRule="auto"/>
        <w:ind w:left="360"/>
        <w:jc w:val="both"/>
        <w:rPr>
          <w:b/>
          <w:kern w:val="0"/>
          <w:u w:val="single"/>
          <w14:ligatures w14:val="none"/>
        </w:rPr>
      </w:pPr>
    </w:p>
    <w:p w14:paraId="662B2882" w14:textId="77777777" w:rsidR="006E08CF" w:rsidRDefault="006E08CF" w:rsidP="001B19E0">
      <w:pPr>
        <w:spacing w:after="0" w:line="240" w:lineRule="auto"/>
        <w:ind w:left="360"/>
        <w:jc w:val="both"/>
        <w:rPr>
          <w:b/>
          <w:kern w:val="0"/>
          <w:u w:val="single"/>
          <w14:ligatures w14:val="none"/>
        </w:rPr>
      </w:pPr>
    </w:p>
    <w:p w14:paraId="4DC439CB" w14:textId="36FE5A58" w:rsidR="0019203D" w:rsidRPr="00A22C7C" w:rsidRDefault="001B19E0" w:rsidP="001B19E0">
      <w:pPr>
        <w:spacing w:after="0" w:line="240" w:lineRule="auto"/>
        <w:ind w:left="360"/>
        <w:jc w:val="both"/>
        <w:rPr>
          <w:b/>
          <w:kern w:val="0"/>
          <w:u w:val="single"/>
          <w14:ligatures w14:val="none"/>
        </w:rPr>
      </w:pPr>
      <w:r>
        <w:rPr>
          <w:b/>
          <w:kern w:val="0"/>
          <w:u w:val="single"/>
          <w14:ligatures w14:val="none"/>
        </w:rPr>
        <w:lastRenderedPageBreak/>
        <w:t>Overall</w:t>
      </w:r>
      <w:r w:rsidR="0019203D" w:rsidRPr="00A22C7C">
        <w:rPr>
          <w:b/>
          <w:kern w:val="0"/>
          <w:u w:val="single"/>
          <w14:ligatures w14:val="none"/>
        </w:rPr>
        <w:t xml:space="preserve"> </w:t>
      </w:r>
      <w:r w:rsidR="00317B28" w:rsidRPr="00A22C7C">
        <w:rPr>
          <w:b/>
          <w:kern w:val="0"/>
          <w:u w:val="single"/>
          <w14:ligatures w14:val="none"/>
        </w:rPr>
        <w:t xml:space="preserve">Unique Patient </w:t>
      </w:r>
      <w:r w:rsidR="0019203D" w:rsidRPr="00A22C7C">
        <w:rPr>
          <w:b/>
          <w:kern w:val="0"/>
          <w:u w:val="single"/>
          <w14:ligatures w14:val="none"/>
        </w:rPr>
        <w:t xml:space="preserve">Demographic Profile of </w:t>
      </w:r>
      <w:r w:rsidR="009F799E">
        <w:rPr>
          <w:b/>
          <w:kern w:val="0"/>
          <w:u w:val="single"/>
          <w14:ligatures w14:val="none"/>
        </w:rPr>
        <w:t>Atrius</w:t>
      </w:r>
      <w:r w:rsidR="00AD0DD5">
        <w:rPr>
          <w:b/>
          <w:kern w:val="0"/>
          <w:u w:val="single"/>
          <w14:ligatures w14:val="none"/>
        </w:rPr>
        <w:t xml:space="preserve"> Health</w:t>
      </w:r>
      <w:r w:rsidR="0019203D" w:rsidRPr="00A22C7C">
        <w:rPr>
          <w:b/>
          <w:kern w:val="0"/>
          <w:u w:val="single"/>
          <w14:ligatures w14:val="none"/>
        </w:rPr>
        <w:t xml:space="preserve"> </w:t>
      </w:r>
    </w:p>
    <w:p w14:paraId="79125162" w14:textId="77777777" w:rsidR="00BD69E0" w:rsidRDefault="00BD69E0" w:rsidP="001B19E0">
      <w:pPr>
        <w:spacing w:after="0" w:line="240" w:lineRule="auto"/>
        <w:ind w:left="360"/>
        <w:jc w:val="both"/>
        <w:rPr>
          <w:kern w:val="0"/>
          <w14:ligatures w14:val="none"/>
        </w:rPr>
      </w:pPr>
    </w:p>
    <w:p w14:paraId="7BEA084B" w14:textId="06F1F5E8" w:rsidR="0019203D" w:rsidRDefault="000B15F9" w:rsidP="001B19E0">
      <w:pPr>
        <w:spacing w:after="0" w:line="240" w:lineRule="auto"/>
        <w:ind w:left="360"/>
        <w:jc w:val="both"/>
        <w:rPr>
          <w:bCs/>
          <w:kern w:val="0"/>
          <w14:ligatures w14:val="none"/>
        </w:rPr>
      </w:pPr>
      <w:r>
        <w:rPr>
          <w:kern w:val="0"/>
          <w14:ligatures w14:val="none"/>
        </w:rPr>
        <w:t xml:space="preserve">The </w:t>
      </w:r>
      <w:r w:rsidR="0019203D" w:rsidRPr="00A60DE5">
        <w:rPr>
          <w:kern w:val="0"/>
          <w14:ligatures w14:val="none"/>
        </w:rPr>
        <w:t xml:space="preserve">patient panel is demonstrated by the demographic data collected for </w:t>
      </w:r>
      <w:r w:rsidR="0019203D">
        <w:rPr>
          <w:kern w:val="0"/>
          <w14:ligatures w14:val="none"/>
        </w:rPr>
        <w:t xml:space="preserve">calendar </w:t>
      </w:r>
      <w:r w:rsidR="0019203D" w:rsidRPr="00A60DE5">
        <w:rPr>
          <w:kern w:val="0"/>
          <w14:ligatures w14:val="none"/>
        </w:rPr>
        <w:t>years (“</w:t>
      </w:r>
      <w:r w:rsidR="0019203D" w:rsidRPr="00115DBE">
        <w:rPr>
          <w:kern w:val="0"/>
          <w14:ligatures w14:val="none"/>
        </w:rPr>
        <w:t>CY”)</w:t>
      </w:r>
      <w:r w:rsidR="0019203D" w:rsidRPr="00115DBE">
        <w:rPr>
          <w:kern w:val="0"/>
          <w:vertAlign w:val="superscript"/>
          <w14:ligatures w14:val="none"/>
        </w:rPr>
        <w:t xml:space="preserve"> </w:t>
      </w:r>
      <w:r w:rsidR="0019203D" w:rsidRPr="00115DBE">
        <w:rPr>
          <w:kern w:val="0"/>
          <w14:ligatures w14:val="none"/>
        </w:rPr>
        <w:t>2020 through Q3 of 2023.</w:t>
      </w:r>
      <w:r w:rsidR="0019203D" w:rsidRPr="00115DBE">
        <w:rPr>
          <w:bCs/>
          <w:kern w:val="0"/>
          <w14:ligatures w14:val="none"/>
        </w:rPr>
        <w:t xml:space="preserve"> </w:t>
      </w:r>
      <w:r w:rsidR="00AD0DD5">
        <w:rPr>
          <w:bCs/>
          <w:kern w:val="0"/>
          <w14:ligatures w14:val="none"/>
        </w:rPr>
        <w:t>The</w:t>
      </w:r>
      <w:r w:rsidR="0019203D" w:rsidRPr="00115DBE">
        <w:rPr>
          <w:bCs/>
          <w:kern w:val="0"/>
          <w14:ligatures w14:val="none"/>
        </w:rPr>
        <w:t xml:space="preserve"> patient panel count for the period </w:t>
      </w:r>
      <w:r w:rsidR="00D66809">
        <w:rPr>
          <w:bCs/>
          <w:kern w:val="0"/>
          <w14:ligatures w14:val="none"/>
        </w:rPr>
        <w:t xml:space="preserve">of </w:t>
      </w:r>
      <w:r w:rsidR="0019203D" w:rsidRPr="00115DBE">
        <w:rPr>
          <w:bCs/>
          <w:kern w:val="0"/>
          <w14:ligatures w14:val="none"/>
        </w:rPr>
        <w:t>January 1, 2020, through Q3 of 2023 was 1,</w:t>
      </w:r>
      <w:r w:rsidR="0019203D">
        <w:rPr>
          <w:bCs/>
          <w:kern w:val="0"/>
          <w14:ligatures w14:val="none"/>
        </w:rPr>
        <w:t xml:space="preserve">597,327 </w:t>
      </w:r>
      <w:r w:rsidR="0019203D" w:rsidRPr="00A60DE5">
        <w:rPr>
          <w:bCs/>
          <w:kern w:val="0"/>
          <w14:ligatures w14:val="none"/>
        </w:rPr>
        <w:t xml:space="preserve">unique patients; Table 2 shows the historic </w:t>
      </w:r>
      <w:r w:rsidR="00716EC7">
        <w:rPr>
          <w:bCs/>
          <w:kern w:val="0"/>
          <w14:ligatures w14:val="none"/>
        </w:rPr>
        <w:t xml:space="preserve">total </w:t>
      </w:r>
      <w:r w:rsidR="0019203D" w:rsidRPr="00A60DE5">
        <w:rPr>
          <w:bCs/>
          <w:kern w:val="0"/>
          <w14:ligatures w14:val="none"/>
        </w:rPr>
        <w:t>patient panel volume</w:t>
      </w:r>
      <w:r w:rsidR="0019203D">
        <w:rPr>
          <w:bCs/>
          <w:kern w:val="0"/>
          <w14:ligatures w14:val="none"/>
        </w:rPr>
        <w:t xml:space="preserve"> per year,</w:t>
      </w:r>
      <w:r w:rsidR="0019203D" w:rsidRPr="00A60DE5">
        <w:rPr>
          <w:bCs/>
          <w:kern w:val="0"/>
          <w14:ligatures w14:val="none"/>
        </w:rPr>
        <w:t xml:space="preserve"> </w:t>
      </w:r>
      <w:r w:rsidR="00693925" w:rsidRPr="00A60DE5">
        <w:rPr>
          <w:bCs/>
          <w:kern w:val="0"/>
          <w14:ligatures w14:val="none"/>
        </w:rPr>
        <w:t>starting from 2020</w:t>
      </w:r>
      <w:r w:rsidR="0019203D" w:rsidRPr="00A60DE5">
        <w:rPr>
          <w:bCs/>
          <w:kern w:val="0"/>
          <w14:ligatures w14:val="none"/>
        </w:rPr>
        <w:t>.</w:t>
      </w:r>
    </w:p>
    <w:p w14:paraId="698F8C31" w14:textId="77777777" w:rsidR="00693925" w:rsidRPr="00A60DE5" w:rsidRDefault="00693925" w:rsidP="001B19E0">
      <w:pPr>
        <w:spacing w:after="0" w:line="240" w:lineRule="auto"/>
        <w:ind w:left="360"/>
        <w:jc w:val="both"/>
        <w:rPr>
          <w:bCs/>
          <w:kern w:val="0"/>
          <w14:ligatures w14:val="none"/>
        </w:rPr>
      </w:pPr>
    </w:p>
    <w:p w14:paraId="5C4D267F" w14:textId="6A971D1C" w:rsidR="0019203D" w:rsidRDefault="0019203D" w:rsidP="00693925">
      <w:pPr>
        <w:spacing w:after="0" w:line="240" w:lineRule="auto"/>
        <w:ind w:left="360"/>
        <w:jc w:val="both"/>
        <w:rPr>
          <w:b/>
          <w:kern w:val="0"/>
          <w14:ligatures w14:val="none"/>
        </w:rPr>
      </w:pPr>
      <w:r w:rsidRPr="00A60DE5">
        <w:rPr>
          <w:b/>
          <w:kern w:val="0"/>
          <w14:ligatures w14:val="none"/>
        </w:rPr>
        <w:t xml:space="preserve">Table 2: Patient Panel </w:t>
      </w:r>
      <w:r>
        <w:rPr>
          <w:b/>
          <w:kern w:val="0"/>
          <w14:ligatures w14:val="none"/>
        </w:rPr>
        <w:t>CY</w:t>
      </w:r>
      <w:r w:rsidRPr="00A60DE5">
        <w:rPr>
          <w:b/>
          <w:kern w:val="0"/>
          <w14:ligatures w14:val="none"/>
        </w:rPr>
        <w:t>2020-</w:t>
      </w:r>
      <w:r>
        <w:rPr>
          <w:b/>
          <w:kern w:val="0"/>
          <w14:ligatures w14:val="none"/>
        </w:rPr>
        <w:t>C</w:t>
      </w:r>
      <w:r w:rsidRPr="00A60DE5">
        <w:rPr>
          <w:b/>
          <w:kern w:val="0"/>
          <w14:ligatures w14:val="none"/>
        </w:rPr>
        <w:t>Y202</w:t>
      </w:r>
      <w:r>
        <w:rPr>
          <w:b/>
          <w:kern w:val="0"/>
          <w14:ligatures w14:val="none"/>
        </w:rPr>
        <w:t>3</w:t>
      </w:r>
      <w:r w:rsidRPr="00A60DE5">
        <w:rPr>
          <w:b/>
          <w:kern w:val="0"/>
          <w14:ligatures w14:val="none"/>
        </w:rPr>
        <w:t xml:space="preserve"> </w:t>
      </w:r>
    </w:p>
    <w:tbl>
      <w:tblPr>
        <w:tblStyle w:val="TableGrid"/>
        <w:tblW w:w="0" w:type="auto"/>
        <w:tblInd w:w="360" w:type="dxa"/>
        <w:tblLook w:val="04A0" w:firstRow="1" w:lastRow="0" w:firstColumn="1" w:lastColumn="0" w:noHBand="0" w:noVBand="1"/>
      </w:tblPr>
      <w:tblGrid>
        <w:gridCol w:w="3685"/>
        <w:gridCol w:w="1326"/>
        <w:gridCol w:w="1326"/>
        <w:gridCol w:w="1326"/>
        <w:gridCol w:w="1327"/>
      </w:tblGrid>
      <w:tr w:rsidR="004B5F6F" w14:paraId="673CCF12" w14:textId="77777777" w:rsidTr="00401B40">
        <w:trPr>
          <w:trHeight w:val="269"/>
        </w:trPr>
        <w:tc>
          <w:tcPr>
            <w:tcW w:w="3685" w:type="dxa"/>
            <w:shd w:val="clear" w:color="auto" w:fill="002060"/>
          </w:tcPr>
          <w:p w14:paraId="53F7AB6D" w14:textId="77777777" w:rsidR="004B5F6F" w:rsidRDefault="004B5F6F" w:rsidP="00693925">
            <w:pPr>
              <w:jc w:val="both"/>
              <w:rPr>
                <w:b/>
              </w:rPr>
            </w:pPr>
          </w:p>
        </w:tc>
        <w:tc>
          <w:tcPr>
            <w:tcW w:w="1326" w:type="dxa"/>
            <w:shd w:val="clear" w:color="auto" w:fill="002060"/>
          </w:tcPr>
          <w:p w14:paraId="5F786836" w14:textId="5CE21829" w:rsidR="004B5F6F" w:rsidRDefault="004B5F6F" w:rsidP="004B5F6F">
            <w:pPr>
              <w:jc w:val="center"/>
              <w:rPr>
                <w:b/>
              </w:rPr>
            </w:pPr>
            <w:r>
              <w:rPr>
                <w:b/>
              </w:rPr>
              <w:t>2020</w:t>
            </w:r>
          </w:p>
        </w:tc>
        <w:tc>
          <w:tcPr>
            <w:tcW w:w="1326" w:type="dxa"/>
            <w:shd w:val="clear" w:color="auto" w:fill="002060"/>
          </w:tcPr>
          <w:p w14:paraId="2942C3DF" w14:textId="1A4062BB" w:rsidR="004B5F6F" w:rsidRDefault="004B5F6F" w:rsidP="004B5F6F">
            <w:pPr>
              <w:jc w:val="center"/>
              <w:rPr>
                <w:b/>
              </w:rPr>
            </w:pPr>
            <w:r>
              <w:rPr>
                <w:b/>
              </w:rPr>
              <w:t>2021</w:t>
            </w:r>
          </w:p>
        </w:tc>
        <w:tc>
          <w:tcPr>
            <w:tcW w:w="1326" w:type="dxa"/>
            <w:shd w:val="clear" w:color="auto" w:fill="002060"/>
          </w:tcPr>
          <w:p w14:paraId="01611D34" w14:textId="305D0ED4" w:rsidR="004B5F6F" w:rsidRDefault="004B5F6F" w:rsidP="004B5F6F">
            <w:pPr>
              <w:jc w:val="center"/>
              <w:rPr>
                <w:b/>
              </w:rPr>
            </w:pPr>
            <w:r>
              <w:rPr>
                <w:b/>
              </w:rPr>
              <w:t>2022</w:t>
            </w:r>
          </w:p>
        </w:tc>
        <w:tc>
          <w:tcPr>
            <w:tcW w:w="1327" w:type="dxa"/>
            <w:shd w:val="clear" w:color="auto" w:fill="002060"/>
          </w:tcPr>
          <w:p w14:paraId="05AA098B" w14:textId="0EEEABC5" w:rsidR="004B5F6F" w:rsidRDefault="004B5F6F" w:rsidP="004B5F6F">
            <w:pPr>
              <w:jc w:val="center"/>
              <w:rPr>
                <w:b/>
              </w:rPr>
            </w:pPr>
            <w:r>
              <w:rPr>
                <w:b/>
              </w:rPr>
              <w:t>2023</w:t>
            </w:r>
          </w:p>
        </w:tc>
      </w:tr>
      <w:tr w:rsidR="004B5F6F" w14:paraId="0DCF3E06" w14:textId="77777777" w:rsidTr="00401B40">
        <w:trPr>
          <w:trHeight w:val="350"/>
        </w:trPr>
        <w:tc>
          <w:tcPr>
            <w:tcW w:w="3685" w:type="dxa"/>
            <w:vAlign w:val="center"/>
          </w:tcPr>
          <w:p w14:paraId="22E0C602" w14:textId="032724FE" w:rsidR="004B5F6F" w:rsidRPr="00401B40" w:rsidRDefault="004B5F6F" w:rsidP="00693925">
            <w:pPr>
              <w:jc w:val="both"/>
              <w:rPr>
                <w:bCs/>
              </w:rPr>
            </w:pPr>
            <w:r w:rsidRPr="00401B40">
              <w:rPr>
                <w:bCs/>
              </w:rPr>
              <w:t>Unique number of patients served</w:t>
            </w:r>
          </w:p>
        </w:tc>
        <w:tc>
          <w:tcPr>
            <w:tcW w:w="1326" w:type="dxa"/>
            <w:vAlign w:val="center"/>
          </w:tcPr>
          <w:p w14:paraId="2418F480" w14:textId="08DC062C" w:rsidR="004B5F6F" w:rsidRPr="00401B40" w:rsidRDefault="00401B40" w:rsidP="004B5F6F">
            <w:pPr>
              <w:jc w:val="center"/>
              <w:rPr>
                <w:bCs/>
              </w:rPr>
            </w:pPr>
            <w:r w:rsidRPr="00401B40">
              <w:rPr>
                <w:bCs/>
              </w:rPr>
              <w:t>417,689</w:t>
            </w:r>
          </w:p>
        </w:tc>
        <w:tc>
          <w:tcPr>
            <w:tcW w:w="1326" w:type="dxa"/>
            <w:vAlign w:val="center"/>
          </w:tcPr>
          <w:p w14:paraId="6C6887B2" w14:textId="51AACC89" w:rsidR="004B5F6F" w:rsidRPr="00401B40" w:rsidRDefault="00401B40" w:rsidP="004B5F6F">
            <w:pPr>
              <w:jc w:val="center"/>
              <w:rPr>
                <w:bCs/>
              </w:rPr>
            </w:pPr>
            <w:r w:rsidRPr="00401B40">
              <w:rPr>
                <w:bCs/>
              </w:rPr>
              <w:t>381,725</w:t>
            </w:r>
          </w:p>
        </w:tc>
        <w:tc>
          <w:tcPr>
            <w:tcW w:w="1326" w:type="dxa"/>
            <w:vAlign w:val="center"/>
          </w:tcPr>
          <w:p w14:paraId="012AB686" w14:textId="2AB10263" w:rsidR="004B5F6F" w:rsidRPr="00401B40" w:rsidRDefault="00401B40" w:rsidP="004B5F6F">
            <w:pPr>
              <w:jc w:val="center"/>
              <w:rPr>
                <w:bCs/>
              </w:rPr>
            </w:pPr>
            <w:r w:rsidRPr="00401B40">
              <w:rPr>
                <w:bCs/>
              </w:rPr>
              <w:t>383,507</w:t>
            </w:r>
          </w:p>
        </w:tc>
        <w:tc>
          <w:tcPr>
            <w:tcW w:w="1327" w:type="dxa"/>
            <w:vAlign w:val="center"/>
          </w:tcPr>
          <w:p w14:paraId="5EA8D3B9" w14:textId="1F1323BA" w:rsidR="004B5F6F" w:rsidRPr="00401B40" w:rsidRDefault="00401B40" w:rsidP="004B5F6F">
            <w:pPr>
              <w:jc w:val="center"/>
              <w:rPr>
                <w:bCs/>
              </w:rPr>
            </w:pPr>
            <w:r w:rsidRPr="00401B40">
              <w:rPr>
                <w:bCs/>
              </w:rPr>
              <w:t>414,406</w:t>
            </w:r>
          </w:p>
        </w:tc>
      </w:tr>
    </w:tbl>
    <w:p w14:paraId="2B8F98DC" w14:textId="6882864C" w:rsidR="004B5F6F" w:rsidRPr="002F66E9" w:rsidRDefault="00D25779" w:rsidP="00693925">
      <w:pPr>
        <w:spacing w:after="0" w:line="240" w:lineRule="auto"/>
        <w:ind w:left="360"/>
        <w:jc w:val="both"/>
        <w:rPr>
          <w:bCs/>
          <w:i/>
          <w:iCs/>
          <w:kern w:val="0"/>
          <w:sz w:val="20"/>
          <w:szCs w:val="20"/>
          <w14:ligatures w14:val="none"/>
        </w:rPr>
      </w:pPr>
      <w:r w:rsidRPr="002F66E9">
        <w:rPr>
          <w:bCs/>
          <w:i/>
          <w:iCs/>
          <w:kern w:val="0"/>
          <w:sz w:val="20"/>
          <w:szCs w:val="20"/>
          <w14:ligatures w14:val="none"/>
        </w:rPr>
        <w:t xml:space="preserve">*2023 data reported through Q3 </w:t>
      </w:r>
    </w:p>
    <w:p w14:paraId="124286A9" w14:textId="7D8A5322" w:rsidR="005B0CFF" w:rsidRDefault="005B0CFF" w:rsidP="00693925">
      <w:pPr>
        <w:spacing w:after="0" w:line="240" w:lineRule="auto"/>
        <w:ind w:left="360"/>
        <w:jc w:val="both"/>
        <w:rPr>
          <w:bCs/>
          <w:kern w:val="0"/>
          <w14:ligatures w14:val="none"/>
        </w:rPr>
      </w:pPr>
    </w:p>
    <w:p w14:paraId="11F9B96A" w14:textId="3FE90CA6" w:rsidR="00693925" w:rsidRPr="00A22C7C" w:rsidRDefault="00A22C7C" w:rsidP="00693925">
      <w:pPr>
        <w:spacing w:after="0" w:line="240" w:lineRule="auto"/>
        <w:ind w:left="360"/>
        <w:jc w:val="both"/>
        <w:rPr>
          <w:b/>
          <w:kern w:val="0"/>
          <w:u w:val="single"/>
          <w14:ligatures w14:val="none"/>
        </w:rPr>
      </w:pPr>
      <w:bookmarkStart w:id="14" w:name="_Hlk156902661"/>
      <w:r>
        <w:rPr>
          <w:b/>
          <w:kern w:val="0"/>
          <w:u w:val="single"/>
          <w14:ligatures w14:val="none"/>
        </w:rPr>
        <w:t>Patient Panel</w:t>
      </w:r>
      <w:r w:rsidR="00693925" w:rsidRPr="00A22C7C">
        <w:rPr>
          <w:b/>
          <w:kern w:val="0"/>
          <w:u w:val="single"/>
          <w14:ligatures w14:val="none"/>
        </w:rPr>
        <w:t xml:space="preserve"> – Age </w:t>
      </w:r>
    </w:p>
    <w:bookmarkEnd w:id="14"/>
    <w:p w14:paraId="12D34E7D" w14:textId="77777777" w:rsidR="00BD69E0" w:rsidRDefault="00BD69E0" w:rsidP="00693925">
      <w:pPr>
        <w:spacing w:after="0" w:line="240" w:lineRule="auto"/>
        <w:ind w:left="360"/>
        <w:jc w:val="both"/>
        <w:rPr>
          <w:bCs/>
          <w:kern w:val="0"/>
          <w14:ligatures w14:val="none"/>
        </w:rPr>
      </w:pPr>
    </w:p>
    <w:p w14:paraId="501BF8FC" w14:textId="2C5EA6B2" w:rsidR="00693925" w:rsidRDefault="003576A0" w:rsidP="00B921C6">
      <w:pPr>
        <w:spacing w:after="0" w:line="240" w:lineRule="auto"/>
        <w:ind w:left="360"/>
        <w:jc w:val="both"/>
        <w:rPr>
          <w:bCs/>
          <w:kern w:val="0"/>
          <w14:ligatures w14:val="none"/>
        </w:rPr>
      </w:pPr>
      <w:r>
        <w:rPr>
          <w:bCs/>
          <w:kern w:val="0"/>
          <w14:ligatures w14:val="none"/>
        </w:rPr>
        <w:t>The a</w:t>
      </w:r>
      <w:r w:rsidR="00B921C6">
        <w:rPr>
          <w:bCs/>
          <w:kern w:val="0"/>
          <w14:ligatures w14:val="none"/>
        </w:rPr>
        <w:t>ge</w:t>
      </w:r>
      <w:r w:rsidR="00117322">
        <w:rPr>
          <w:bCs/>
          <w:kern w:val="0"/>
          <w14:ligatures w14:val="none"/>
        </w:rPr>
        <w:t xml:space="preserve"> demographic</w:t>
      </w:r>
      <w:r w:rsidR="00541CE0">
        <w:rPr>
          <w:bCs/>
          <w:kern w:val="0"/>
          <w14:ligatures w14:val="none"/>
        </w:rPr>
        <w:t>s</w:t>
      </w:r>
      <w:r w:rsidR="00B921C6">
        <w:rPr>
          <w:bCs/>
          <w:kern w:val="0"/>
          <w14:ligatures w14:val="none"/>
        </w:rPr>
        <w:t xml:space="preserve"> for </w:t>
      </w:r>
      <w:r w:rsidR="00117322">
        <w:rPr>
          <w:bCs/>
          <w:kern w:val="0"/>
          <w14:ligatures w14:val="none"/>
        </w:rPr>
        <w:t xml:space="preserve">the Atrius Health </w:t>
      </w:r>
      <w:r w:rsidR="00B921C6">
        <w:rPr>
          <w:bCs/>
          <w:kern w:val="0"/>
          <w14:ligatures w14:val="none"/>
        </w:rPr>
        <w:t>patient panel</w:t>
      </w:r>
      <w:r w:rsidR="00D47F3B" w:rsidRPr="00D47F3B">
        <w:rPr>
          <w:bCs/>
          <w:kern w:val="0"/>
          <w14:ligatures w14:val="none"/>
        </w:rPr>
        <w:t xml:space="preserve"> from CY20 through Q3 of CY23 </w:t>
      </w:r>
      <w:r w:rsidR="00541CE0">
        <w:rPr>
          <w:bCs/>
          <w:kern w:val="0"/>
          <w14:ligatures w14:val="none"/>
        </w:rPr>
        <w:t>are</w:t>
      </w:r>
      <w:r w:rsidR="00D47F3B" w:rsidRPr="00D47F3B">
        <w:rPr>
          <w:bCs/>
          <w:kern w:val="0"/>
          <w14:ligatures w14:val="none"/>
        </w:rPr>
        <w:t xml:space="preserve"> demonstrated in Table </w:t>
      </w:r>
      <w:r w:rsidR="00117322">
        <w:rPr>
          <w:bCs/>
          <w:kern w:val="0"/>
          <w14:ligatures w14:val="none"/>
        </w:rPr>
        <w:t>3</w:t>
      </w:r>
      <w:r w:rsidR="00D47F3B" w:rsidRPr="00D47F3B">
        <w:rPr>
          <w:bCs/>
          <w:kern w:val="0"/>
          <w14:ligatures w14:val="none"/>
        </w:rPr>
        <w:t xml:space="preserve"> be</w:t>
      </w:r>
      <w:r w:rsidR="00D47F3B">
        <w:rPr>
          <w:bCs/>
          <w:kern w:val="0"/>
          <w14:ligatures w14:val="none"/>
        </w:rPr>
        <w:t>low</w:t>
      </w:r>
      <w:r w:rsidR="00B921C6">
        <w:rPr>
          <w:bCs/>
          <w:kern w:val="0"/>
          <w14:ligatures w14:val="none"/>
        </w:rPr>
        <w:t>.</w:t>
      </w:r>
    </w:p>
    <w:p w14:paraId="2FF613AD" w14:textId="77777777" w:rsidR="00B921C6" w:rsidRDefault="00B921C6" w:rsidP="00B921C6">
      <w:pPr>
        <w:spacing w:after="0" w:line="240" w:lineRule="auto"/>
        <w:ind w:firstLine="360"/>
        <w:jc w:val="both"/>
        <w:rPr>
          <w:kern w:val="0"/>
          <w14:ligatures w14:val="none"/>
        </w:rPr>
      </w:pPr>
    </w:p>
    <w:p w14:paraId="4A13B754" w14:textId="77777777" w:rsidR="003345E0" w:rsidRDefault="0019203D" w:rsidP="00693925">
      <w:pPr>
        <w:spacing w:after="0" w:line="240" w:lineRule="auto"/>
        <w:ind w:left="360"/>
        <w:jc w:val="both"/>
        <w:rPr>
          <w:b/>
          <w:bCs/>
          <w:kern w:val="0"/>
          <w14:ligatures w14:val="none"/>
        </w:rPr>
      </w:pPr>
      <w:r w:rsidRPr="00A60DE5">
        <w:rPr>
          <w:b/>
          <w:bCs/>
          <w:kern w:val="0"/>
          <w14:ligatures w14:val="none"/>
        </w:rPr>
        <w:t>Table 3: Patient Panel – Age</w:t>
      </w:r>
    </w:p>
    <w:tbl>
      <w:tblPr>
        <w:tblStyle w:val="TableGrid"/>
        <w:tblW w:w="0" w:type="auto"/>
        <w:tblInd w:w="360" w:type="dxa"/>
        <w:tblLook w:val="04A0" w:firstRow="1" w:lastRow="0" w:firstColumn="1" w:lastColumn="0" w:noHBand="0" w:noVBand="1"/>
      </w:tblPr>
      <w:tblGrid>
        <w:gridCol w:w="1798"/>
        <w:gridCol w:w="1798"/>
        <w:gridCol w:w="1798"/>
        <w:gridCol w:w="1798"/>
        <w:gridCol w:w="1798"/>
      </w:tblGrid>
      <w:tr w:rsidR="006763C4" w14:paraId="2DE6CB04" w14:textId="77777777" w:rsidTr="000B7279">
        <w:trPr>
          <w:cantSplit/>
          <w:tblHeader/>
        </w:trPr>
        <w:tc>
          <w:tcPr>
            <w:tcW w:w="1798" w:type="dxa"/>
            <w:tcBorders>
              <w:bottom w:val="single" w:sz="4" w:space="0" w:color="auto"/>
            </w:tcBorders>
            <w:shd w:val="clear" w:color="auto" w:fill="002060"/>
          </w:tcPr>
          <w:p w14:paraId="6106DB74" w14:textId="409B6908" w:rsidR="006763C4" w:rsidRDefault="006763C4" w:rsidP="00693925">
            <w:pPr>
              <w:jc w:val="both"/>
              <w:rPr>
                <w:b/>
                <w:bCs/>
              </w:rPr>
            </w:pPr>
          </w:p>
        </w:tc>
        <w:tc>
          <w:tcPr>
            <w:tcW w:w="1798" w:type="dxa"/>
            <w:tcBorders>
              <w:bottom w:val="single" w:sz="4" w:space="0" w:color="auto"/>
            </w:tcBorders>
            <w:shd w:val="clear" w:color="auto" w:fill="002060"/>
          </w:tcPr>
          <w:p w14:paraId="5F1DE3A1" w14:textId="3CB9514B" w:rsidR="006763C4" w:rsidRDefault="00AF3C35" w:rsidP="000168E0">
            <w:pPr>
              <w:jc w:val="center"/>
              <w:rPr>
                <w:b/>
                <w:bCs/>
              </w:rPr>
            </w:pPr>
            <w:r>
              <w:rPr>
                <w:b/>
                <w:bCs/>
              </w:rPr>
              <w:t>2020</w:t>
            </w:r>
          </w:p>
        </w:tc>
        <w:tc>
          <w:tcPr>
            <w:tcW w:w="1798" w:type="dxa"/>
            <w:tcBorders>
              <w:bottom w:val="single" w:sz="4" w:space="0" w:color="auto"/>
            </w:tcBorders>
            <w:shd w:val="clear" w:color="auto" w:fill="002060"/>
          </w:tcPr>
          <w:p w14:paraId="18B2864F" w14:textId="4072791C" w:rsidR="006763C4" w:rsidRDefault="008867EB" w:rsidP="000168E0">
            <w:pPr>
              <w:jc w:val="center"/>
              <w:rPr>
                <w:b/>
                <w:bCs/>
              </w:rPr>
            </w:pPr>
            <w:r>
              <w:rPr>
                <w:b/>
                <w:bCs/>
              </w:rPr>
              <w:t>2021</w:t>
            </w:r>
          </w:p>
        </w:tc>
        <w:tc>
          <w:tcPr>
            <w:tcW w:w="1798" w:type="dxa"/>
            <w:tcBorders>
              <w:bottom w:val="single" w:sz="4" w:space="0" w:color="auto"/>
            </w:tcBorders>
            <w:shd w:val="clear" w:color="auto" w:fill="002060"/>
          </w:tcPr>
          <w:p w14:paraId="13D750FB" w14:textId="627AAD3F" w:rsidR="006763C4" w:rsidRDefault="008867EB" w:rsidP="000168E0">
            <w:pPr>
              <w:jc w:val="center"/>
              <w:rPr>
                <w:b/>
                <w:bCs/>
              </w:rPr>
            </w:pPr>
            <w:r>
              <w:rPr>
                <w:b/>
                <w:bCs/>
              </w:rPr>
              <w:t>2022</w:t>
            </w:r>
          </w:p>
        </w:tc>
        <w:tc>
          <w:tcPr>
            <w:tcW w:w="1798" w:type="dxa"/>
            <w:shd w:val="clear" w:color="auto" w:fill="002060"/>
          </w:tcPr>
          <w:p w14:paraId="464A5D36" w14:textId="1F365830" w:rsidR="006763C4" w:rsidRDefault="008867EB" w:rsidP="000168E0">
            <w:pPr>
              <w:jc w:val="center"/>
              <w:rPr>
                <w:b/>
                <w:bCs/>
              </w:rPr>
            </w:pPr>
            <w:r>
              <w:rPr>
                <w:b/>
                <w:bCs/>
              </w:rPr>
              <w:t>2023</w:t>
            </w:r>
          </w:p>
        </w:tc>
      </w:tr>
      <w:tr w:rsidR="000B34D0" w14:paraId="4F59E8E6" w14:textId="77777777" w:rsidTr="000B7279">
        <w:trPr>
          <w:cantSplit/>
          <w:tblHeader/>
        </w:trPr>
        <w:tc>
          <w:tcPr>
            <w:tcW w:w="1798" w:type="dxa"/>
            <w:tcBorders>
              <w:bottom w:val="single" w:sz="4" w:space="0" w:color="auto"/>
              <w:right w:val="nil"/>
            </w:tcBorders>
            <w:shd w:val="clear" w:color="auto" w:fill="F2F2F2" w:themeFill="background1" w:themeFillShade="F2"/>
          </w:tcPr>
          <w:p w14:paraId="0D71008E" w14:textId="77777777" w:rsidR="000B34D0" w:rsidRPr="000864A7" w:rsidRDefault="000B34D0" w:rsidP="00D95E78">
            <w:r>
              <w:rPr>
                <w:b/>
                <w:bCs/>
              </w:rPr>
              <w:t>Age</w:t>
            </w:r>
          </w:p>
        </w:tc>
        <w:tc>
          <w:tcPr>
            <w:tcW w:w="1798" w:type="dxa"/>
            <w:tcBorders>
              <w:left w:val="nil"/>
              <w:bottom w:val="single" w:sz="4" w:space="0" w:color="auto"/>
              <w:right w:val="nil"/>
            </w:tcBorders>
            <w:shd w:val="clear" w:color="auto" w:fill="F2F2F2" w:themeFill="background1" w:themeFillShade="F2"/>
          </w:tcPr>
          <w:p w14:paraId="432EFECF" w14:textId="77777777" w:rsidR="000B34D0" w:rsidRPr="000864A7" w:rsidRDefault="000B34D0" w:rsidP="00D95E78"/>
        </w:tc>
        <w:tc>
          <w:tcPr>
            <w:tcW w:w="1798" w:type="dxa"/>
            <w:tcBorders>
              <w:left w:val="nil"/>
              <w:bottom w:val="single" w:sz="4" w:space="0" w:color="auto"/>
              <w:right w:val="nil"/>
            </w:tcBorders>
            <w:shd w:val="clear" w:color="auto" w:fill="F2F2F2" w:themeFill="background1" w:themeFillShade="F2"/>
          </w:tcPr>
          <w:p w14:paraId="7CF22004" w14:textId="77777777" w:rsidR="000B34D0" w:rsidRPr="000864A7" w:rsidRDefault="000B34D0" w:rsidP="00D95E78"/>
        </w:tc>
        <w:tc>
          <w:tcPr>
            <w:tcW w:w="1798" w:type="dxa"/>
            <w:tcBorders>
              <w:left w:val="nil"/>
              <w:bottom w:val="single" w:sz="4" w:space="0" w:color="auto"/>
              <w:right w:val="nil"/>
            </w:tcBorders>
            <w:shd w:val="clear" w:color="auto" w:fill="F2F2F2" w:themeFill="background1" w:themeFillShade="F2"/>
          </w:tcPr>
          <w:p w14:paraId="6FC32AF8" w14:textId="77777777" w:rsidR="000B34D0" w:rsidRPr="000864A7" w:rsidRDefault="000B34D0" w:rsidP="00D95E78"/>
        </w:tc>
        <w:tc>
          <w:tcPr>
            <w:tcW w:w="1798" w:type="dxa"/>
            <w:tcBorders>
              <w:left w:val="nil"/>
              <w:bottom w:val="single" w:sz="4" w:space="0" w:color="auto"/>
            </w:tcBorders>
            <w:shd w:val="clear" w:color="auto" w:fill="F2F2F2" w:themeFill="background1" w:themeFillShade="F2"/>
          </w:tcPr>
          <w:p w14:paraId="08235AAA" w14:textId="4E46CE9B" w:rsidR="000B34D0" w:rsidRPr="000864A7" w:rsidRDefault="000B34D0" w:rsidP="00D95E78"/>
        </w:tc>
      </w:tr>
      <w:tr w:rsidR="00AF3C35" w14:paraId="7BDA7FE4" w14:textId="77777777" w:rsidTr="000B7279">
        <w:trPr>
          <w:cantSplit/>
        </w:trPr>
        <w:tc>
          <w:tcPr>
            <w:tcW w:w="1798" w:type="dxa"/>
            <w:tcBorders>
              <w:top w:val="single" w:sz="4" w:space="0" w:color="auto"/>
              <w:left w:val="single" w:sz="4" w:space="0" w:color="auto"/>
              <w:bottom w:val="single" w:sz="4" w:space="0" w:color="auto"/>
              <w:right w:val="single" w:sz="4" w:space="0" w:color="auto"/>
            </w:tcBorders>
          </w:tcPr>
          <w:p w14:paraId="17291820" w14:textId="4B483284" w:rsidR="00AF3C35" w:rsidRPr="003F4BAF" w:rsidRDefault="00AF3C35" w:rsidP="00AF3C35">
            <w:pPr>
              <w:jc w:val="both"/>
              <w:rPr>
                <w:b/>
                <w:bCs/>
              </w:rPr>
            </w:pPr>
            <w:r w:rsidRPr="003F4BAF">
              <w:rPr>
                <w:b/>
                <w:bCs/>
              </w:rPr>
              <w:t>0-18</w:t>
            </w:r>
          </w:p>
        </w:tc>
        <w:tc>
          <w:tcPr>
            <w:tcW w:w="1798" w:type="dxa"/>
            <w:tcBorders>
              <w:top w:val="single" w:sz="4" w:space="0" w:color="auto"/>
              <w:left w:val="single" w:sz="4" w:space="0" w:color="auto"/>
              <w:bottom w:val="single" w:sz="4" w:space="0" w:color="auto"/>
              <w:right w:val="single" w:sz="4" w:space="0" w:color="auto"/>
            </w:tcBorders>
          </w:tcPr>
          <w:p w14:paraId="1E8F2F9C" w14:textId="7678355D" w:rsidR="00AF3C35" w:rsidRDefault="00AF3C35" w:rsidP="000168E0">
            <w:pPr>
              <w:jc w:val="center"/>
              <w:rPr>
                <w:b/>
                <w:bCs/>
              </w:rPr>
            </w:pPr>
            <w:r w:rsidRPr="000864A7">
              <w:t>2</w:t>
            </w:r>
            <w:r>
              <w:t>,</w:t>
            </w:r>
            <w:r w:rsidRPr="000864A7">
              <w:t>747</w:t>
            </w:r>
          </w:p>
        </w:tc>
        <w:tc>
          <w:tcPr>
            <w:tcW w:w="1798" w:type="dxa"/>
            <w:tcBorders>
              <w:top w:val="single" w:sz="4" w:space="0" w:color="auto"/>
              <w:left w:val="single" w:sz="4" w:space="0" w:color="auto"/>
              <w:bottom w:val="single" w:sz="4" w:space="0" w:color="auto"/>
              <w:right w:val="single" w:sz="4" w:space="0" w:color="auto"/>
            </w:tcBorders>
          </w:tcPr>
          <w:p w14:paraId="76223F0C" w14:textId="77680663" w:rsidR="00AF3C35" w:rsidRDefault="00AF3C35" w:rsidP="000168E0">
            <w:pPr>
              <w:jc w:val="center"/>
              <w:rPr>
                <w:b/>
                <w:bCs/>
              </w:rPr>
            </w:pPr>
            <w:r w:rsidRPr="000864A7">
              <w:t>2</w:t>
            </w:r>
            <w:r>
              <w:t>,</w:t>
            </w:r>
            <w:r w:rsidRPr="000864A7">
              <w:t>741</w:t>
            </w:r>
          </w:p>
        </w:tc>
        <w:tc>
          <w:tcPr>
            <w:tcW w:w="1798" w:type="dxa"/>
            <w:tcBorders>
              <w:top w:val="single" w:sz="4" w:space="0" w:color="auto"/>
              <w:left w:val="single" w:sz="4" w:space="0" w:color="auto"/>
              <w:bottom w:val="single" w:sz="4" w:space="0" w:color="auto"/>
              <w:right w:val="single" w:sz="4" w:space="0" w:color="auto"/>
            </w:tcBorders>
          </w:tcPr>
          <w:p w14:paraId="1AD9A539" w14:textId="0D030E0A" w:rsidR="00AF3C35" w:rsidRDefault="00AF3C35" w:rsidP="000168E0">
            <w:pPr>
              <w:jc w:val="center"/>
              <w:rPr>
                <w:b/>
                <w:bCs/>
              </w:rPr>
            </w:pPr>
            <w:r w:rsidRPr="000864A7">
              <w:t>2</w:t>
            </w:r>
            <w:r>
              <w:t>,</w:t>
            </w:r>
            <w:r w:rsidRPr="000864A7">
              <w:t>750</w:t>
            </w:r>
          </w:p>
        </w:tc>
        <w:tc>
          <w:tcPr>
            <w:tcW w:w="1798" w:type="dxa"/>
            <w:tcBorders>
              <w:top w:val="single" w:sz="4" w:space="0" w:color="auto"/>
              <w:left w:val="single" w:sz="4" w:space="0" w:color="auto"/>
              <w:bottom w:val="single" w:sz="4" w:space="0" w:color="auto"/>
              <w:right w:val="single" w:sz="4" w:space="0" w:color="auto"/>
            </w:tcBorders>
          </w:tcPr>
          <w:p w14:paraId="2AA44AE8" w14:textId="16F362FE" w:rsidR="00AF3C35" w:rsidRDefault="00AF3C35" w:rsidP="000168E0">
            <w:pPr>
              <w:jc w:val="center"/>
              <w:rPr>
                <w:b/>
                <w:bCs/>
              </w:rPr>
            </w:pPr>
            <w:r w:rsidRPr="000864A7">
              <w:t>3</w:t>
            </w:r>
            <w:r>
              <w:t>,</w:t>
            </w:r>
            <w:r w:rsidRPr="000864A7">
              <w:t>045</w:t>
            </w:r>
          </w:p>
        </w:tc>
      </w:tr>
      <w:tr w:rsidR="00AF3C35" w14:paraId="25C33220" w14:textId="77777777" w:rsidTr="000B7279">
        <w:trPr>
          <w:cantSplit/>
        </w:trPr>
        <w:tc>
          <w:tcPr>
            <w:tcW w:w="1798" w:type="dxa"/>
            <w:tcBorders>
              <w:top w:val="single" w:sz="4" w:space="0" w:color="auto"/>
              <w:left w:val="single" w:sz="4" w:space="0" w:color="auto"/>
              <w:bottom w:val="single" w:sz="4" w:space="0" w:color="auto"/>
              <w:right w:val="single" w:sz="4" w:space="0" w:color="auto"/>
            </w:tcBorders>
          </w:tcPr>
          <w:p w14:paraId="08695753" w14:textId="2BC6C9C5" w:rsidR="00AF3C35" w:rsidRPr="003F4BAF" w:rsidRDefault="00AF3C35" w:rsidP="00AF3C35">
            <w:pPr>
              <w:jc w:val="both"/>
              <w:rPr>
                <w:b/>
                <w:bCs/>
              </w:rPr>
            </w:pPr>
            <w:r w:rsidRPr="003F4BAF">
              <w:rPr>
                <w:b/>
                <w:bCs/>
              </w:rPr>
              <w:t>19-64</w:t>
            </w:r>
          </w:p>
        </w:tc>
        <w:tc>
          <w:tcPr>
            <w:tcW w:w="1798" w:type="dxa"/>
            <w:tcBorders>
              <w:top w:val="single" w:sz="4" w:space="0" w:color="auto"/>
              <w:left w:val="single" w:sz="4" w:space="0" w:color="auto"/>
              <w:bottom w:val="single" w:sz="4" w:space="0" w:color="auto"/>
              <w:right w:val="single" w:sz="4" w:space="0" w:color="auto"/>
            </w:tcBorders>
          </w:tcPr>
          <w:p w14:paraId="4C47CA9E" w14:textId="7CA438A0" w:rsidR="00AF3C35" w:rsidRDefault="00AF3C35" w:rsidP="000168E0">
            <w:pPr>
              <w:jc w:val="center"/>
              <w:rPr>
                <w:b/>
                <w:bCs/>
              </w:rPr>
            </w:pPr>
            <w:r>
              <w:t>317,855</w:t>
            </w:r>
          </w:p>
        </w:tc>
        <w:tc>
          <w:tcPr>
            <w:tcW w:w="1798" w:type="dxa"/>
            <w:tcBorders>
              <w:top w:val="single" w:sz="4" w:space="0" w:color="auto"/>
              <w:left w:val="single" w:sz="4" w:space="0" w:color="auto"/>
              <w:bottom w:val="single" w:sz="4" w:space="0" w:color="auto"/>
              <w:right w:val="single" w:sz="4" w:space="0" w:color="auto"/>
            </w:tcBorders>
          </w:tcPr>
          <w:p w14:paraId="7934E377" w14:textId="6CC9F674" w:rsidR="00AF3C35" w:rsidRDefault="00AF3C35" w:rsidP="000168E0">
            <w:pPr>
              <w:jc w:val="center"/>
              <w:rPr>
                <w:b/>
                <w:bCs/>
              </w:rPr>
            </w:pPr>
            <w:r>
              <w:t>286,754</w:t>
            </w:r>
          </w:p>
        </w:tc>
        <w:tc>
          <w:tcPr>
            <w:tcW w:w="1798" w:type="dxa"/>
            <w:tcBorders>
              <w:top w:val="single" w:sz="4" w:space="0" w:color="auto"/>
              <w:left w:val="single" w:sz="4" w:space="0" w:color="auto"/>
              <w:bottom w:val="single" w:sz="4" w:space="0" w:color="auto"/>
              <w:right w:val="single" w:sz="4" w:space="0" w:color="auto"/>
            </w:tcBorders>
          </w:tcPr>
          <w:p w14:paraId="7D0744C9" w14:textId="493E4AFB" w:rsidR="00AF3C35" w:rsidRDefault="00AF3C35" w:rsidP="000168E0">
            <w:pPr>
              <w:jc w:val="center"/>
              <w:rPr>
                <w:b/>
                <w:bCs/>
              </w:rPr>
            </w:pPr>
            <w:r>
              <w:t>286,848</w:t>
            </w:r>
          </w:p>
        </w:tc>
        <w:tc>
          <w:tcPr>
            <w:tcW w:w="1798" w:type="dxa"/>
            <w:tcBorders>
              <w:top w:val="single" w:sz="4" w:space="0" w:color="auto"/>
              <w:left w:val="single" w:sz="4" w:space="0" w:color="auto"/>
              <w:bottom w:val="single" w:sz="4" w:space="0" w:color="auto"/>
              <w:right w:val="single" w:sz="4" w:space="0" w:color="auto"/>
            </w:tcBorders>
          </w:tcPr>
          <w:p w14:paraId="1AE6DD44" w14:textId="12295955" w:rsidR="00AF3C35" w:rsidRDefault="00AF3C35" w:rsidP="000168E0">
            <w:pPr>
              <w:jc w:val="center"/>
              <w:rPr>
                <w:b/>
                <w:bCs/>
              </w:rPr>
            </w:pPr>
            <w:r>
              <w:t>307,919</w:t>
            </w:r>
          </w:p>
        </w:tc>
      </w:tr>
      <w:tr w:rsidR="00AF3C35" w14:paraId="4CD75BEE" w14:textId="77777777" w:rsidTr="000B7279">
        <w:trPr>
          <w:cantSplit/>
        </w:trPr>
        <w:tc>
          <w:tcPr>
            <w:tcW w:w="1798" w:type="dxa"/>
            <w:tcBorders>
              <w:top w:val="single" w:sz="4" w:space="0" w:color="auto"/>
            </w:tcBorders>
          </w:tcPr>
          <w:p w14:paraId="4C66C6D9" w14:textId="04375FEA" w:rsidR="00AF3C35" w:rsidRPr="003F4BAF" w:rsidRDefault="00AF3C35" w:rsidP="00AF3C35">
            <w:pPr>
              <w:jc w:val="both"/>
              <w:rPr>
                <w:b/>
                <w:bCs/>
              </w:rPr>
            </w:pPr>
            <w:r w:rsidRPr="003F4BAF">
              <w:rPr>
                <w:b/>
                <w:bCs/>
              </w:rPr>
              <w:t>65+</w:t>
            </w:r>
          </w:p>
        </w:tc>
        <w:tc>
          <w:tcPr>
            <w:tcW w:w="1798" w:type="dxa"/>
            <w:tcBorders>
              <w:top w:val="single" w:sz="4" w:space="0" w:color="auto"/>
            </w:tcBorders>
          </w:tcPr>
          <w:p w14:paraId="1DE748C7" w14:textId="431D5E77" w:rsidR="00AF3C35" w:rsidRDefault="00AF3C35" w:rsidP="000168E0">
            <w:pPr>
              <w:jc w:val="center"/>
              <w:rPr>
                <w:b/>
                <w:bCs/>
              </w:rPr>
            </w:pPr>
            <w:r>
              <w:t>97,087</w:t>
            </w:r>
          </w:p>
        </w:tc>
        <w:tc>
          <w:tcPr>
            <w:tcW w:w="1798" w:type="dxa"/>
            <w:tcBorders>
              <w:top w:val="single" w:sz="4" w:space="0" w:color="auto"/>
            </w:tcBorders>
          </w:tcPr>
          <w:p w14:paraId="4CDFBAE1" w14:textId="1B00AEF6" w:rsidR="00AF3C35" w:rsidRDefault="00AF3C35" w:rsidP="000168E0">
            <w:pPr>
              <w:jc w:val="center"/>
              <w:rPr>
                <w:b/>
                <w:bCs/>
              </w:rPr>
            </w:pPr>
            <w:r>
              <w:t>92,230</w:t>
            </w:r>
          </w:p>
        </w:tc>
        <w:tc>
          <w:tcPr>
            <w:tcW w:w="1798" w:type="dxa"/>
            <w:tcBorders>
              <w:top w:val="single" w:sz="4" w:space="0" w:color="auto"/>
            </w:tcBorders>
          </w:tcPr>
          <w:p w14:paraId="3E11399B" w14:textId="75CF659C" w:rsidR="00AF3C35" w:rsidRDefault="00AF3C35" w:rsidP="000168E0">
            <w:pPr>
              <w:jc w:val="center"/>
              <w:rPr>
                <w:b/>
                <w:bCs/>
              </w:rPr>
            </w:pPr>
            <w:r>
              <w:t>93,909</w:t>
            </w:r>
          </w:p>
        </w:tc>
        <w:tc>
          <w:tcPr>
            <w:tcW w:w="1798" w:type="dxa"/>
            <w:tcBorders>
              <w:top w:val="single" w:sz="4" w:space="0" w:color="auto"/>
            </w:tcBorders>
          </w:tcPr>
          <w:p w14:paraId="35DBD06B" w14:textId="5754C80D" w:rsidR="00AF3C35" w:rsidRDefault="00AF3C35" w:rsidP="000168E0">
            <w:pPr>
              <w:jc w:val="center"/>
              <w:rPr>
                <w:b/>
                <w:bCs/>
              </w:rPr>
            </w:pPr>
            <w:r>
              <w:t>103,442</w:t>
            </w:r>
          </w:p>
        </w:tc>
      </w:tr>
      <w:tr w:rsidR="00AF3C35" w14:paraId="238DA729" w14:textId="77777777" w:rsidTr="000B7279">
        <w:trPr>
          <w:cantSplit/>
        </w:trPr>
        <w:tc>
          <w:tcPr>
            <w:tcW w:w="1798" w:type="dxa"/>
            <w:shd w:val="clear" w:color="auto" w:fill="E7E6E6" w:themeFill="background2"/>
          </w:tcPr>
          <w:p w14:paraId="7CEEA91A" w14:textId="5B674336" w:rsidR="00AF3C35" w:rsidRPr="003F4BAF" w:rsidRDefault="00AF3C35" w:rsidP="00AF3C35">
            <w:pPr>
              <w:jc w:val="both"/>
              <w:rPr>
                <w:b/>
                <w:bCs/>
              </w:rPr>
            </w:pPr>
            <w:r w:rsidRPr="003F4BAF">
              <w:rPr>
                <w:b/>
                <w:bCs/>
              </w:rPr>
              <w:t>Total</w:t>
            </w:r>
          </w:p>
        </w:tc>
        <w:tc>
          <w:tcPr>
            <w:tcW w:w="1798" w:type="dxa"/>
            <w:shd w:val="clear" w:color="auto" w:fill="E7E6E6" w:themeFill="background2"/>
          </w:tcPr>
          <w:p w14:paraId="6ADA3D02" w14:textId="58BDDD4F" w:rsidR="00AF3C35" w:rsidRDefault="00AF3C35" w:rsidP="000168E0">
            <w:pPr>
              <w:jc w:val="center"/>
              <w:rPr>
                <w:b/>
                <w:bCs/>
              </w:rPr>
            </w:pPr>
            <w:r>
              <w:t>417,689</w:t>
            </w:r>
          </w:p>
        </w:tc>
        <w:tc>
          <w:tcPr>
            <w:tcW w:w="1798" w:type="dxa"/>
            <w:shd w:val="clear" w:color="auto" w:fill="E7E6E6" w:themeFill="background2"/>
          </w:tcPr>
          <w:p w14:paraId="51636B97" w14:textId="0444DFB9" w:rsidR="00AF3C35" w:rsidRDefault="00AF3C35" w:rsidP="000168E0">
            <w:pPr>
              <w:jc w:val="center"/>
              <w:rPr>
                <w:b/>
                <w:bCs/>
              </w:rPr>
            </w:pPr>
            <w:r>
              <w:t>381,725</w:t>
            </w:r>
          </w:p>
        </w:tc>
        <w:tc>
          <w:tcPr>
            <w:tcW w:w="1798" w:type="dxa"/>
            <w:shd w:val="clear" w:color="auto" w:fill="E7E6E6" w:themeFill="background2"/>
          </w:tcPr>
          <w:p w14:paraId="6E234F0D" w14:textId="3079F720" w:rsidR="00AF3C35" w:rsidRDefault="00AF3C35" w:rsidP="000168E0">
            <w:pPr>
              <w:jc w:val="center"/>
              <w:rPr>
                <w:b/>
                <w:bCs/>
              </w:rPr>
            </w:pPr>
            <w:r>
              <w:t>383,507</w:t>
            </w:r>
          </w:p>
        </w:tc>
        <w:tc>
          <w:tcPr>
            <w:tcW w:w="1798" w:type="dxa"/>
            <w:shd w:val="clear" w:color="auto" w:fill="E7E6E6" w:themeFill="background2"/>
          </w:tcPr>
          <w:p w14:paraId="5B9CA5B3" w14:textId="6A8B8113" w:rsidR="00AF3C35" w:rsidRDefault="00AF3C35" w:rsidP="000168E0">
            <w:pPr>
              <w:jc w:val="center"/>
              <w:rPr>
                <w:b/>
                <w:bCs/>
              </w:rPr>
            </w:pPr>
            <w:r>
              <w:t>414,406</w:t>
            </w:r>
          </w:p>
        </w:tc>
      </w:tr>
    </w:tbl>
    <w:p w14:paraId="4C7078E7" w14:textId="77777777" w:rsidR="006763C4" w:rsidRDefault="006763C4" w:rsidP="00693925">
      <w:pPr>
        <w:spacing w:after="0" w:line="240" w:lineRule="auto"/>
        <w:ind w:left="360"/>
        <w:jc w:val="both"/>
        <w:rPr>
          <w:b/>
          <w:bCs/>
          <w:kern w:val="0"/>
          <w14:ligatures w14:val="none"/>
        </w:rPr>
      </w:pPr>
    </w:p>
    <w:p w14:paraId="3FF81745" w14:textId="2F8D8477" w:rsidR="0019203D" w:rsidRDefault="0019203D" w:rsidP="00693925">
      <w:pPr>
        <w:autoSpaceDE w:val="0"/>
        <w:autoSpaceDN w:val="0"/>
        <w:adjustRightInd w:val="0"/>
        <w:spacing w:after="0" w:line="240" w:lineRule="auto"/>
        <w:ind w:left="360"/>
        <w:jc w:val="both"/>
        <w:rPr>
          <w:rFonts w:ascii="Calibri" w:hAnsi="Calibri" w:cs="Calibri"/>
          <w:kern w:val="0"/>
        </w:rPr>
      </w:pPr>
      <w:proofErr w:type="gramStart"/>
      <w:r w:rsidRPr="00A60DE5">
        <w:rPr>
          <w:rFonts w:ascii="Calibri" w:hAnsi="Calibri" w:cs="Calibri"/>
          <w:kern w:val="0"/>
        </w:rPr>
        <w:t>Similar to</w:t>
      </w:r>
      <w:proofErr w:type="gramEnd"/>
      <w:r w:rsidRPr="00A60DE5">
        <w:rPr>
          <w:rFonts w:ascii="Calibri" w:hAnsi="Calibri" w:cs="Calibri"/>
          <w:kern w:val="0"/>
        </w:rPr>
        <w:t xml:space="preserve"> </w:t>
      </w:r>
      <w:r w:rsidR="00716EC7">
        <w:rPr>
          <w:rFonts w:ascii="Calibri" w:hAnsi="Calibri" w:cs="Calibri"/>
          <w:kern w:val="0"/>
        </w:rPr>
        <w:t xml:space="preserve">the </w:t>
      </w:r>
      <w:r w:rsidR="000168E0">
        <w:rPr>
          <w:rFonts w:ascii="Calibri" w:hAnsi="Calibri" w:cs="Calibri"/>
          <w:kern w:val="0"/>
        </w:rPr>
        <w:t>s</w:t>
      </w:r>
      <w:r w:rsidRPr="00A60DE5">
        <w:rPr>
          <w:rFonts w:ascii="Calibri" w:hAnsi="Calibri" w:cs="Calibri"/>
          <w:kern w:val="0"/>
        </w:rPr>
        <w:t xml:space="preserve">tatewide experience reported by the UMass Donahue Institute, </w:t>
      </w:r>
      <w:r w:rsidR="009F799E">
        <w:rPr>
          <w:rFonts w:ascii="Calibri" w:hAnsi="Calibri" w:cs="Calibri"/>
          <w:kern w:val="0"/>
        </w:rPr>
        <w:t>Atrius</w:t>
      </w:r>
      <w:r w:rsidRPr="00A60DE5">
        <w:rPr>
          <w:rFonts w:ascii="Calibri" w:hAnsi="Calibri" w:cs="Calibri"/>
          <w:kern w:val="0"/>
        </w:rPr>
        <w:t xml:space="preserve"> </w:t>
      </w:r>
      <w:r w:rsidR="00C141D8">
        <w:rPr>
          <w:rFonts w:ascii="Calibri" w:hAnsi="Calibri" w:cs="Calibri"/>
          <w:kern w:val="0"/>
        </w:rPr>
        <w:t xml:space="preserve">Health </w:t>
      </w:r>
      <w:r w:rsidRPr="00A60DE5">
        <w:rPr>
          <w:rFonts w:ascii="Calibri" w:hAnsi="Calibri" w:cs="Calibri"/>
          <w:kern w:val="0"/>
        </w:rPr>
        <w:t xml:space="preserve">has seen increases in the aging population evidenced by the increasing percentage of the patient panel over </w:t>
      </w:r>
      <w:r w:rsidR="00AF6B79">
        <w:rPr>
          <w:rFonts w:ascii="Calibri" w:hAnsi="Calibri" w:cs="Calibri"/>
          <w:kern w:val="0"/>
        </w:rPr>
        <w:t>the age of</w:t>
      </w:r>
      <w:r w:rsidRPr="00A60DE5">
        <w:rPr>
          <w:rFonts w:ascii="Calibri" w:hAnsi="Calibri" w:cs="Calibri"/>
          <w:kern w:val="0"/>
        </w:rPr>
        <w:t xml:space="preserve"> 65.</w:t>
      </w:r>
      <w:r w:rsidRPr="00A60DE5">
        <w:rPr>
          <w:rFonts w:ascii="Calibri" w:hAnsi="Calibri" w:cs="Calibri"/>
          <w:kern w:val="0"/>
          <w:vertAlign w:val="superscript"/>
        </w:rPr>
        <w:footnoteReference w:id="22"/>
      </w:r>
    </w:p>
    <w:p w14:paraId="795AF1CB" w14:textId="77777777" w:rsidR="0019203D" w:rsidRPr="00A60DE5" w:rsidRDefault="0019203D" w:rsidP="00A22C7C">
      <w:pPr>
        <w:autoSpaceDE w:val="0"/>
        <w:autoSpaceDN w:val="0"/>
        <w:adjustRightInd w:val="0"/>
        <w:spacing w:after="0" w:line="240" w:lineRule="auto"/>
        <w:ind w:left="360"/>
        <w:jc w:val="both"/>
        <w:rPr>
          <w:rFonts w:ascii="Calibri" w:hAnsi="Calibri" w:cs="Calibri"/>
          <w:kern w:val="0"/>
        </w:rPr>
      </w:pPr>
    </w:p>
    <w:p w14:paraId="2E97C74C" w14:textId="1D2A7213" w:rsidR="0019203D" w:rsidRDefault="0019203D" w:rsidP="00A22C7C">
      <w:pPr>
        <w:spacing w:after="0" w:line="240" w:lineRule="auto"/>
        <w:ind w:left="360"/>
        <w:jc w:val="both"/>
        <w:rPr>
          <w:bCs/>
          <w:kern w:val="0"/>
          <w14:ligatures w14:val="none"/>
        </w:rPr>
      </w:pPr>
      <w:r w:rsidRPr="00A60DE5">
        <w:rPr>
          <w:bCs/>
          <w:kern w:val="0"/>
          <w14:ligatures w14:val="none"/>
        </w:rPr>
        <w:t xml:space="preserve">According to Census data, made available through the Advisory Board Demographic profiler, within </w:t>
      </w:r>
      <w:r w:rsidR="009F799E">
        <w:rPr>
          <w:bCs/>
          <w:kern w:val="0"/>
          <w14:ligatures w14:val="none"/>
        </w:rPr>
        <w:t>Atrius</w:t>
      </w:r>
      <w:r w:rsidR="000B15F9">
        <w:rPr>
          <w:bCs/>
          <w:kern w:val="0"/>
          <w14:ligatures w14:val="none"/>
        </w:rPr>
        <w:t xml:space="preserve"> Health</w:t>
      </w:r>
      <w:r w:rsidRPr="00A60DE5">
        <w:rPr>
          <w:bCs/>
          <w:kern w:val="0"/>
          <w14:ligatures w14:val="none"/>
        </w:rPr>
        <w:t>’s top fifteen (15) cities and towns, the population aged 65 and over is projected to increase on average by +</w:t>
      </w:r>
      <w:r w:rsidRPr="00B54BD0">
        <w:rPr>
          <w:bCs/>
          <w:kern w:val="0"/>
          <w14:ligatures w14:val="none"/>
        </w:rPr>
        <w:t>23.6% over the next five (5) years (CAGR</w:t>
      </w:r>
      <w:r>
        <w:rPr>
          <w:rStyle w:val="FootnoteReference"/>
          <w:bCs/>
          <w:kern w:val="0"/>
          <w14:ligatures w14:val="none"/>
        </w:rPr>
        <w:footnoteReference w:id="23"/>
      </w:r>
      <w:r w:rsidRPr="00B54BD0">
        <w:rPr>
          <w:bCs/>
          <w:kern w:val="0"/>
          <w14:ligatures w14:val="none"/>
        </w:rPr>
        <w:t xml:space="preserve"> of +4.3%)</w:t>
      </w:r>
      <w:r w:rsidR="00D95E78">
        <w:rPr>
          <w:bCs/>
          <w:kern w:val="0"/>
          <w14:ligatures w14:val="none"/>
        </w:rPr>
        <w:t>.</w:t>
      </w:r>
    </w:p>
    <w:p w14:paraId="50546BA9" w14:textId="77777777" w:rsidR="00693925" w:rsidRDefault="00693925" w:rsidP="00A22C7C">
      <w:pPr>
        <w:spacing w:after="0" w:line="240" w:lineRule="auto"/>
        <w:ind w:left="360"/>
        <w:jc w:val="both"/>
        <w:rPr>
          <w:bCs/>
          <w:kern w:val="0"/>
          <w14:ligatures w14:val="none"/>
        </w:rPr>
      </w:pPr>
    </w:p>
    <w:p w14:paraId="49B006CD" w14:textId="0E07F721" w:rsidR="00A22C7C" w:rsidRDefault="00A22C7C" w:rsidP="00A22C7C">
      <w:pPr>
        <w:spacing w:after="0" w:line="240" w:lineRule="auto"/>
        <w:ind w:left="360"/>
        <w:jc w:val="both"/>
        <w:rPr>
          <w:bCs/>
          <w:kern w:val="0"/>
          <w14:ligatures w14:val="none"/>
        </w:rPr>
      </w:pPr>
      <w:r>
        <w:rPr>
          <w:b/>
          <w:kern w:val="0"/>
          <w:u w:val="single"/>
          <w14:ligatures w14:val="none"/>
        </w:rPr>
        <w:t>Patient Panel</w:t>
      </w:r>
      <w:r w:rsidRPr="00A22C7C">
        <w:rPr>
          <w:b/>
          <w:kern w:val="0"/>
          <w:u w:val="single"/>
          <w14:ligatures w14:val="none"/>
        </w:rPr>
        <w:t xml:space="preserve"> – </w:t>
      </w:r>
      <w:r>
        <w:rPr>
          <w:b/>
          <w:kern w:val="0"/>
          <w:u w:val="single"/>
          <w14:ligatures w14:val="none"/>
        </w:rPr>
        <w:t>Gender</w:t>
      </w:r>
    </w:p>
    <w:p w14:paraId="19F62F71" w14:textId="77777777" w:rsidR="00BD69E0" w:rsidRDefault="00BD69E0" w:rsidP="00A22C7C">
      <w:pPr>
        <w:spacing w:after="0" w:line="240" w:lineRule="auto"/>
        <w:ind w:left="360"/>
        <w:jc w:val="both"/>
        <w:rPr>
          <w:kern w:val="0"/>
          <w14:ligatures w14:val="none"/>
        </w:rPr>
      </w:pPr>
    </w:p>
    <w:p w14:paraId="0FC587B4" w14:textId="5BCC991E" w:rsidR="0019203D" w:rsidRPr="00A60DE5" w:rsidRDefault="00541CE0" w:rsidP="00A22C7C">
      <w:pPr>
        <w:spacing w:after="0" w:line="240" w:lineRule="auto"/>
        <w:ind w:left="360"/>
        <w:jc w:val="both"/>
        <w:rPr>
          <w:kern w:val="0"/>
          <w14:ligatures w14:val="none"/>
        </w:rPr>
      </w:pPr>
      <w:r>
        <w:rPr>
          <w:kern w:val="0"/>
          <w14:ligatures w14:val="none"/>
        </w:rPr>
        <w:t>The gender demographics for the Atrius Health patient panel from CT20 t</w:t>
      </w:r>
      <w:r w:rsidR="009D3BFB">
        <w:rPr>
          <w:kern w:val="0"/>
          <w14:ligatures w14:val="none"/>
        </w:rPr>
        <w:t>hrough</w:t>
      </w:r>
      <w:r w:rsidR="00130352">
        <w:rPr>
          <w:kern w:val="0"/>
          <w14:ligatures w14:val="none"/>
        </w:rPr>
        <w:t xml:space="preserve"> Q3 of C</w:t>
      </w:r>
      <w:r w:rsidR="0019203D" w:rsidRPr="00A60DE5">
        <w:rPr>
          <w:kern w:val="0"/>
          <w14:ligatures w14:val="none"/>
        </w:rPr>
        <w:t>Y2</w:t>
      </w:r>
      <w:r w:rsidR="0019203D">
        <w:rPr>
          <w:kern w:val="0"/>
          <w14:ligatures w14:val="none"/>
        </w:rPr>
        <w:t>3</w:t>
      </w:r>
      <w:r>
        <w:rPr>
          <w:kern w:val="0"/>
          <w14:ligatures w14:val="none"/>
        </w:rPr>
        <w:t xml:space="preserve"> are </w:t>
      </w:r>
      <w:r w:rsidR="0019203D" w:rsidRPr="004D6FEB">
        <w:rPr>
          <w:kern w:val="0"/>
          <w14:ligatures w14:val="none"/>
        </w:rPr>
        <w:t>demonstrated in Table 4 below.</w:t>
      </w:r>
    </w:p>
    <w:p w14:paraId="3C5A6E4C" w14:textId="77777777" w:rsidR="003C1F0A" w:rsidRDefault="003C1F0A" w:rsidP="00A22C7C">
      <w:pPr>
        <w:spacing w:after="0" w:line="240" w:lineRule="auto"/>
        <w:ind w:left="360"/>
        <w:jc w:val="both"/>
        <w:rPr>
          <w:b/>
          <w:bCs/>
          <w:kern w:val="0"/>
          <w14:ligatures w14:val="none"/>
        </w:rPr>
      </w:pPr>
    </w:p>
    <w:p w14:paraId="7ACEE456" w14:textId="77777777" w:rsidR="00781BCA" w:rsidRDefault="00781BCA" w:rsidP="00A22C7C">
      <w:pPr>
        <w:spacing w:after="0" w:line="240" w:lineRule="auto"/>
        <w:ind w:left="360"/>
        <w:jc w:val="both"/>
        <w:rPr>
          <w:b/>
          <w:bCs/>
          <w:kern w:val="0"/>
          <w14:ligatures w14:val="none"/>
        </w:rPr>
      </w:pPr>
    </w:p>
    <w:p w14:paraId="0E44ECE5" w14:textId="77777777" w:rsidR="00781BCA" w:rsidRDefault="00781BCA" w:rsidP="00A22C7C">
      <w:pPr>
        <w:spacing w:after="0" w:line="240" w:lineRule="auto"/>
        <w:ind w:left="360"/>
        <w:jc w:val="both"/>
        <w:rPr>
          <w:b/>
          <w:bCs/>
          <w:kern w:val="0"/>
          <w14:ligatures w14:val="none"/>
        </w:rPr>
      </w:pPr>
    </w:p>
    <w:p w14:paraId="23510D95" w14:textId="77777777" w:rsidR="00781BCA" w:rsidRDefault="00781BCA" w:rsidP="00A22C7C">
      <w:pPr>
        <w:spacing w:after="0" w:line="240" w:lineRule="auto"/>
        <w:ind w:left="360"/>
        <w:jc w:val="both"/>
        <w:rPr>
          <w:b/>
          <w:bCs/>
          <w:kern w:val="0"/>
          <w14:ligatures w14:val="none"/>
        </w:rPr>
      </w:pPr>
    </w:p>
    <w:p w14:paraId="735F4FB6" w14:textId="77777777" w:rsidR="00781BCA" w:rsidRDefault="00781BCA" w:rsidP="00A22C7C">
      <w:pPr>
        <w:spacing w:after="0" w:line="240" w:lineRule="auto"/>
        <w:ind w:left="360"/>
        <w:jc w:val="both"/>
        <w:rPr>
          <w:b/>
          <w:bCs/>
          <w:kern w:val="0"/>
          <w14:ligatures w14:val="none"/>
        </w:rPr>
      </w:pPr>
    </w:p>
    <w:p w14:paraId="56DF1531" w14:textId="77777777" w:rsidR="00781BCA" w:rsidRDefault="00781BCA" w:rsidP="00A22C7C">
      <w:pPr>
        <w:spacing w:after="0" w:line="240" w:lineRule="auto"/>
        <w:ind w:left="360"/>
        <w:jc w:val="both"/>
        <w:rPr>
          <w:b/>
          <w:bCs/>
          <w:kern w:val="0"/>
          <w14:ligatures w14:val="none"/>
        </w:rPr>
      </w:pPr>
    </w:p>
    <w:p w14:paraId="27F3B6BF" w14:textId="0D66AF6E" w:rsidR="0019203D" w:rsidRDefault="0019203D" w:rsidP="00541CE0">
      <w:pPr>
        <w:spacing w:after="0" w:line="240" w:lineRule="auto"/>
        <w:ind w:left="360"/>
        <w:jc w:val="both"/>
        <w:rPr>
          <w:b/>
          <w:bCs/>
          <w:kern w:val="0"/>
          <w14:ligatures w14:val="none"/>
        </w:rPr>
      </w:pPr>
      <w:r w:rsidRPr="00A60DE5">
        <w:rPr>
          <w:b/>
          <w:bCs/>
          <w:kern w:val="0"/>
          <w14:ligatures w14:val="none"/>
        </w:rPr>
        <w:lastRenderedPageBreak/>
        <w:t>Table 4: Patient Panel – Gender</w:t>
      </w:r>
    </w:p>
    <w:tbl>
      <w:tblPr>
        <w:tblStyle w:val="TableGrid"/>
        <w:tblW w:w="0" w:type="auto"/>
        <w:tblInd w:w="360" w:type="dxa"/>
        <w:tblLook w:val="04A0" w:firstRow="1" w:lastRow="0" w:firstColumn="1" w:lastColumn="0" w:noHBand="0" w:noVBand="1"/>
      </w:tblPr>
      <w:tblGrid>
        <w:gridCol w:w="1777"/>
        <w:gridCol w:w="20"/>
        <w:gridCol w:w="1782"/>
        <w:gridCol w:w="15"/>
        <w:gridCol w:w="1787"/>
        <w:gridCol w:w="10"/>
        <w:gridCol w:w="1797"/>
        <w:gridCol w:w="1802"/>
      </w:tblGrid>
      <w:tr w:rsidR="00541CE0" w14:paraId="56268216" w14:textId="77777777" w:rsidTr="00541CE0">
        <w:tc>
          <w:tcPr>
            <w:tcW w:w="1778" w:type="dxa"/>
            <w:shd w:val="clear" w:color="auto" w:fill="002060"/>
          </w:tcPr>
          <w:p w14:paraId="7B8A0824" w14:textId="77777777" w:rsidR="00541CE0" w:rsidRDefault="00541CE0" w:rsidP="00541CE0">
            <w:pPr>
              <w:jc w:val="both"/>
              <w:rPr>
                <w:b/>
                <w:bCs/>
                <w:u w:val="single"/>
              </w:rPr>
            </w:pPr>
          </w:p>
        </w:tc>
        <w:tc>
          <w:tcPr>
            <w:tcW w:w="1803" w:type="dxa"/>
            <w:gridSpan w:val="2"/>
            <w:shd w:val="clear" w:color="auto" w:fill="002060"/>
          </w:tcPr>
          <w:p w14:paraId="79673646" w14:textId="09ADBA3C" w:rsidR="00541CE0" w:rsidRDefault="00541CE0" w:rsidP="00541CE0">
            <w:pPr>
              <w:jc w:val="center"/>
              <w:rPr>
                <w:b/>
                <w:bCs/>
                <w:u w:val="single"/>
              </w:rPr>
            </w:pPr>
            <w:r>
              <w:rPr>
                <w:b/>
                <w:bCs/>
              </w:rPr>
              <w:t>2020</w:t>
            </w:r>
          </w:p>
        </w:tc>
        <w:tc>
          <w:tcPr>
            <w:tcW w:w="1803" w:type="dxa"/>
            <w:gridSpan w:val="2"/>
            <w:shd w:val="clear" w:color="auto" w:fill="002060"/>
          </w:tcPr>
          <w:p w14:paraId="079A1C89" w14:textId="68CE3E1A" w:rsidR="00541CE0" w:rsidRDefault="00541CE0" w:rsidP="00541CE0">
            <w:pPr>
              <w:jc w:val="center"/>
              <w:rPr>
                <w:b/>
                <w:bCs/>
                <w:u w:val="single"/>
              </w:rPr>
            </w:pPr>
            <w:r>
              <w:rPr>
                <w:b/>
                <w:bCs/>
              </w:rPr>
              <w:t>2021</w:t>
            </w:r>
          </w:p>
        </w:tc>
        <w:tc>
          <w:tcPr>
            <w:tcW w:w="1803" w:type="dxa"/>
            <w:gridSpan w:val="2"/>
            <w:shd w:val="clear" w:color="auto" w:fill="002060"/>
          </w:tcPr>
          <w:p w14:paraId="3E45660C" w14:textId="4B314F06" w:rsidR="00541CE0" w:rsidRDefault="00541CE0" w:rsidP="00541CE0">
            <w:pPr>
              <w:jc w:val="center"/>
              <w:rPr>
                <w:b/>
                <w:bCs/>
                <w:u w:val="single"/>
              </w:rPr>
            </w:pPr>
            <w:r>
              <w:rPr>
                <w:b/>
                <w:bCs/>
              </w:rPr>
              <w:t>2022</w:t>
            </w:r>
          </w:p>
        </w:tc>
        <w:tc>
          <w:tcPr>
            <w:tcW w:w="1803" w:type="dxa"/>
            <w:shd w:val="clear" w:color="auto" w:fill="002060"/>
          </w:tcPr>
          <w:p w14:paraId="0768AFA2" w14:textId="3DB18261" w:rsidR="00541CE0" w:rsidRDefault="00541CE0" w:rsidP="00541CE0">
            <w:pPr>
              <w:jc w:val="center"/>
              <w:rPr>
                <w:b/>
                <w:bCs/>
                <w:u w:val="single"/>
              </w:rPr>
            </w:pPr>
            <w:r>
              <w:rPr>
                <w:b/>
                <w:bCs/>
              </w:rPr>
              <w:t>2023</w:t>
            </w:r>
          </w:p>
        </w:tc>
      </w:tr>
      <w:tr w:rsidR="00CD0818" w14:paraId="26E67E48" w14:textId="77777777" w:rsidTr="00CD0818">
        <w:tc>
          <w:tcPr>
            <w:tcW w:w="1798" w:type="dxa"/>
            <w:gridSpan w:val="2"/>
            <w:tcBorders>
              <w:right w:val="nil"/>
            </w:tcBorders>
            <w:shd w:val="clear" w:color="auto" w:fill="F2F2F2" w:themeFill="background1" w:themeFillShade="F2"/>
          </w:tcPr>
          <w:p w14:paraId="20B3D491" w14:textId="77777777" w:rsidR="00CD0818" w:rsidRDefault="00CD0818" w:rsidP="00541CE0">
            <w:pPr>
              <w:rPr>
                <w:b/>
                <w:bCs/>
                <w:u w:val="single"/>
              </w:rPr>
            </w:pPr>
            <w:r>
              <w:rPr>
                <w:b/>
                <w:bCs/>
              </w:rPr>
              <w:t>Gender</w:t>
            </w:r>
          </w:p>
        </w:tc>
        <w:tc>
          <w:tcPr>
            <w:tcW w:w="1798" w:type="dxa"/>
            <w:gridSpan w:val="2"/>
            <w:tcBorders>
              <w:left w:val="nil"/>
              <w:right w:val="nil"/>
            </w:tcBorders>
            <w:shd w:val="clear" w:color="auto" w:fill="F2F2F2" w:themeFill="background1" w:themeFillShade="F2"/>
          </w:tcPr>
          <w:p w14:paraId="2DEE7D9E" w14:textId="77777777" w:rsidR="00CD0818" w:rsidRDefault="00CD0818" w:rsidP="00541CE0">
            <w:pPr>
              <w:rPr>
                <w:b/>
                <w:bCs/>
                <w:u w:val="single"/>
              </w:rPr>
            </w:pPr>
          </w:p>
        </w:tc>
        <w:tc>
          <w:tcPr>
            <w:tcW w:w="1798" w:type="dxa"/>
            <w:gridSpan w:val="2"/>
            <w:tcBorders>
              <w:left w:val="nil"/>
              <w:right w:val="nil"/>
            </w:tcBorders>
            <w:shd w:val="clear" w:color="auto" w:fill="F2F2F2" w:themeFill="background1" w:themeFillShade="F2"/>
          </w:tcPr>
          <w:p w14:paraId="3155E00E" w14:textId="77777777" w:rsidR="00CD0818" w:rsidRDefault="00CD0818" w:rsidP="00541CE0">
            <w:pPr>
              <w:rPr>
                <w:b/>
                <w:bCs/>
                <w:u w:val="single"/>
              </w:rPr>
            </w:pPr>
          </w:p>
        </w:tc>
        <w:tc>
          <w:tcPr>
            <w:tcW w:w="1798" w:type="dxa"/>
            <w:tcBorders>
              <w:left w:val="nil"/>
              <w:right w:val="nil"/>
            </w:tcBorders>
            <w:shd w:val="clear" w:color="auto" w:fill="F2F2F2" w:themeFill="background1" w:themeFillShade="F2"/>
          </w:tcPr>
          <w:p w14:paraId="468141C4" w14:textId="77777777" w:rsidR="00CD0818" w:rsidRDefault="00CD0818" w:rsidP="00541CE0">
            <w:pPr>
              <w:rPr>
                <w:b/>
                <w:bCs/>
                <w:u w:val="single"/>
              </w:rPr>
            </w:pPr>
          </w:p>
        </w:tc>
        <w:tc>
          <w:tcPr>
            <w:tcW w:w="1798" w:type="dxa"/>
            <w:tcBorders>
              <w:left w:val="nil"/>
            </w:tcBorders>
            <w:shd w:val="clear" w:color="auto" w:fill="F2F2F2" w:themeFill="background1" w:themeFillShade="F2"/>
          </w:tcPr>
          <w:p w14:paraId="660347CD" w14:textId="63C53CA1" w:rsidR="00CD0818" w:rsidRDefault="00CD0818" w:rsidP="00541CE0">
            <w:pPr>
              <w:rPr>
                <w:b/>
                <w:bCs/>
                <w:u w:val="single"/>
              </w:rPr>
            </w:pPr>
          </w:p>
        </w:tc>
      </w:tr>
      <w:tr w:rsidR="00541CE0" w14:paraId="6DA9B938" w14:textId="77777777" w:rsidTr="00541CE0">
        <w:tc>
          <w:tcPr>
            <w:tcW w:w="1778" w:type="dxa"/>
          </w:tcPr>
          <w:p w14:paraId="73875ED4" w14:textId="5431F697" w:rsidR="00541CE0" w:rsidRPr="003F4BAF" w:rsidRDefault="00541CE0" w:rsidP="00541CE0">
            <w:pPr>
              <w:jc w:val="both"/>
              <w:rPr>
                <w:b/>
                <w:bCs/>
                <w:u w:val="single"/>
              </w:rPr>
            </w:pPr>
            <w:r w:rsidRPr="003F4BAF">
              <w:rPr>
                <w:b/>
                <w:bCs/>
              </w:rPr>
              <w:t>Female</w:t>
            </w:r>
          </w:p>
        </w:tc>
        <w:tc>
          <w:tcPr>
            <w:tcW w:w="1803" w:type="dxa"/>
            <w:gridSpan w:val="2"/>
          </w:tcPr>
          <w:p w14:paraId="2B4DE094" w14:textId="47E3F8A3" w:rsidR="00541CE0" w:rsidRDefault="00541CE0" w:rsidP="00541CE0">
            <w:pPr>
              <w:jc w:val="center"/>
              <w:rPr>
                <w:b/>
                <w:bCs/>
                <w:u w:val="single"/>
              </w:rPr>
            </w:pPr>
            <w:r w:rsidRPr="009F59E5">
              <w:t>243</w:t>
            </w:r>
            <w:r>
              <w:t>,</w:t>
            </w:r>
            <w:r w:rsidRPr="009F59E5">
              <w:t>513</w:t>
            </w:r>
          </w:p>
        </w:tc>
        <w:tc>
          <w:tcPr>
            <w:tcW w:w="1803" w:type="dxa"/>
            <w:gridSpan w:val="2"/>
          </w:tcPr>
          <w:p w14:paraId="65AD6774" w14:textId="09A04E20" w:rsidR="00541CE0" w:rsidRDefault="00541CE0" w:rsidP="00541CE0">
            <w:pPr>
              <w:jc w:val="center"/>
              <w:rPr>
                <w:b/>
                <w:bCs/>
                <w:u w:val="single"/>
              </w:rPr>
            </w:pPr>
            <w:r>
              <w:t>221,401</w:t>
            </w:r>
          </w:p>
        </w:tc>
        <w:tc>
          <w:tcPr>
            <w:tcW w:w="1803" w:type="dxa"/>
            <w:gridSpan w:val="2"/>
          </w:tcPr>
          <w:p w14:paraId="4866B73D" w14:textId="0F352661" w:rsidR="00541CE0" w:rsidRDefault="00541CE0" w:rsidP="00541CE0">
            <w:pPr>
              <w:jc w:val="center"/>
              <w:rPr>
                <w:b/>
                <w:bCs/>
                <w:u w:val="single"/>
              </w:rPr>
            </w:pPr>
            <w:r>
              <w:t>222,818</w:t>
            </w:r>
          </w:p>
        </w:tc>
        <w:tc>
          <w:tcPr>
            <w:tcW w:w="1803" w:type="dxa"/>
          </w:tcPr>
          <w:p w14:paraId="279080CB" w14:textId="2776C0D5" w:rsidR="00541CE0" w:rsidRDefault="00541CE0" w:rsidP="00541CE0">
            <w:pPr>
              <w:jc w:val="center"/>
              <w:rPr>
                <w:b/>
                <w:bCs/>
                <w:u w:val="single"/>
              </w:rPr>
            </w:pPr>
            <w:r>
              <w:t>239,527</w:t>
            </w:r>
          </w:p>
        </w:tc>
      </w:tr>
      <w:tr w:rsidR="00541CE0" w14:paraId="332031C7" w14:textId="77777777" w:rsidTr="00541CE0">
        <w:tc>
          <w:tcPr>
            <w:tcW w:w="1778" w:type="dxa"/>
          </w:tcPr>
          <w:p w14:paraId="23339281" w14:textId="1BCDD27A" w:rsidR="00541CE0" w:rsidRPr="003F4BAF" w:rsidRDefault="00541CE0" w:rsidP="00541CE0">
            <w:pPr>
              <w:jc w:val="both"/>
              <w:rPr>
                <w:b/>
                <w:bCs/>
                <w:u w:val="single"/>
              </w:rPr>
            </w:pPr>
            <w:r w:rsidRPr="003F4BAF">
              <w:rPr>
                <w:b/>
                <w:bCs/>
              </w:rPr>
              <w:t>Male</w:t>
            </w:r>
          </w:p>
        </w:tc>
        <w:tc>
          <w:tcPr>
            <w:tcW w:w="1803" w:type="dxa"/>
            <w:gridSpan w:val="2"/>
          </w:tcPr>
          <w:p w14:paraId="0C882DC4" w14:textId="0FC664AD" w:rsidR="00541CE0" w:rsidRDefault="00541CE0" w:rsidP="00541CE0">
            <w:pPr>
              <w:jc w:val="center"/>
              <w:rPr>
                <w:b/>
                <w:bCs/>
                <w:u w:val="single"/>
              </w:rPr>
            </w:pPr>
            <w:r>
              <w:t>174,176</w:t>
            </w:r>
          </w:p>
        </w:tc>
        <w:tc>
          <w:tcPr>
            <w:tcW w:w="1803" w:type="dxa"/>
            <w:gridSpan w:val="2"/>
          </w:tcPr>
          <w:p w14:paraId="5F5075F1" w14:textId="65E1C79D" w:rsidR="00541CE0" w:rsidRDefault="00541CE0" w:rsidP="00541CE0">
            <w:pPr>
              <w:jc w:val="center"/>
              <w:rPr>
                <w:b/>
                <w:bCs/>
                <w:u w:val="single"/>
              </w:rPr>
            </w:pPr>
            <w:r>
              <w:t>160,325</w:t>
            </w:r>
          </w:p>
        </w:tc>
        <w:tc>
          <w:tcPr>
            <w:tcW w:w="1803" w:type="dxa"/>
            <w:gridSpan w:val="2"/>
          </w:tcPr>
          <w:p w14:paraId="2CC9922B" w14:textId="050E1D3A" w:rsidR="00541CE0" w:rsidRDefault="00541CE0" w:rsidP="00541CE0">
            <w:pPr>
              <w:jc w:val="center"/>
              <w:rPr>
                <w:b/>
                <w:bCs/>
                <w:u w:val="single"/>
              </w:rPr>
            </w:pPr>
            <w:r>
              <w:t>160,689</w:t>
            </w:r>
          </w:p>
        </w:tc>
        <w:tc>
          <w:tcPr>
            <w:tcW w:w="1803" w:type="dxa"/>
          </w:tcPr>
          <w:p w14:paraId="4BF93983" w14:textId="11D06AB2" w:rsidR="00541CE0" w:rsidRDefault="00541CE0" w:rsidP="00541CE0">
            <w:pPr>
              <w:jc w:val="center"/>
              <w:rPr>
                <w:b/>
                <w:bCs/>
                <w:u w:val="single"/>
              </w:rPr>
            </w:pPr>
            <w:r>
              <w:t>174,879</w:t>
            </w:r>
          </w:p>
        </w:tc>
      </w:tr>
      <w:tr w:rsidR="00541CE0" w14:paraId="4D38F5F8" w14:textId="77777777" w:rsidTr="00C305DD">
        <w:tc>
          <w:tcPr>
            <w:tcW w:w="1778" w:type="dxa"/>
            <w:shd w:val="clear" w:color="auto" w:fill="E7E6E6" w:themeFill="background2"/>
          </w:tcPr>
          <w:p w14:paraId="75227B4D" w14:textId="42106112" w:rsidR="00541CE0" w:rsidRPr="003F4BAF" w:rsidRDefault="00541CE0" w:rsidP="00541CE0">
            <w:pPr>
              <w:jc w:val="both"/>
              <w:rPr>
                <w:b/>
                <w:bCs/>
                <w:u w:val="single"/>
              </w:rPr>
            </w:pPr>
            <w:r w:rsidRPr="003F4BAF">
              <w:rPr>
                <w:b/>
                <w:bCs/>
              </w:rPr>
              <w:t>Total</w:t>
            </w:r>
          </w:p>
        </w:tc>
        <w:tc>
          <w:tcPr>
            <w:tcW w:w="1803" w:type="dxa"/>
            <w:gridSpan w:val="2"/>
            <w:shd w:val="clear" w:color="auto" w:fill="E7E6E6" w:themeFill="background2"/>
          </w:tcPr>
          <w:p w14:paraId="46E13B46" w14:textId="120F7DD8" w:rsidR="00541CE0" w:rsidRDefault="00541CE0" w:rsidP="00541CE0">
            <w:pPr>
              <w:jc w:val="center"/>
              <w:rPr>
                <w:b/>
                <w:bCs/>
                <w:u w:val="single"/>
              </w:rPr>
            </w:pPr>
            <w:r>
              <w:t>417,689</w:t>
            </w:r>
          </w:p>
        </w:tc>
        <w:tc>
          <w:tcPr>
            <w:tcW w:w="1803" w:type="dxa"/>
            <w:gridSpan w:val="2"/>
            <w:shd w:val="clear" w:color="auto" w:fill="E7E6E6" w:themeFill="background2"/>
          </w:tcPr>
          <w:p w14:paraId="49ABC179" w14:textId="3DF8BDE9" w:rsidR="00541CE0" w:rsidRDefault="00541CE0" w:rsidP="00541CE0">
            <w:pPr>
              <w:jc w:val="center"/>
              <w:rPr>
                <w:b/>
                <w:bCs/>
                <w:u w:val="single"/>
              </w:rPr>
            </w:pPr>
            <w:r>
              <w:t>381,725</w:t>
            </w:r>
          </w:p>
        </w:tc>
        <w:tc>
          <w:tcPr>
            <w:tcW w:w="1803" w:type="dxa"/>
            <w:gridSpan w:val="2"/>
            <w:shd w:val="clear" w:color="auto" w:fill="E7E6E6" w:themeFill="background2"/>
          </w:tcPr>
          <w:p w14:paraId="5D2A1F03" w14:textId="0983E036" w:rsidR="00541CE0" w:rsidRDefault="00541CE0" w:rsidP="00541CE0">
            <w:pPr>
              <w:jc w:val="center"/>
              <w:rPr>
                <w:b/>
                <w:bCs/>
                <w:u w:val="single"/>
              </w:rPr>
            </w:pPr>
            <w:r>
              <w:t>383,507</w:t>
            </w:r>
          </w:p>
        </w:tc>
        <w:tc>
          <w:tcPr>
            <w:tcW w:w="1803" w:type="dxa"/>
            <w:shd w:val="clear" w:color="auto" w:fill="E7E6E6" w:themeFill="background2"/>
          </w:tcPr>
          <w:p w14:paraId="33F4B10C" w14:textId="0399F4CD" w:rsidR="00541CE0" w:rsidRDefault="00541CE0" w:rsidP="00541CE0">
            <w:pPr>
              <w:jc w:val="center"/>
              <w:rPr>
                <w:b/>
                <w:bCs/>
                <w:u w:val="single"/>
              </w:rPr>
            </w:pPr>
            <w:r>
              <w:t>414,406</w:t>
            </w:r>
          </w:p>
        </w:tc>
      </w:tr>
    </w:tbl>
    <w:p w14:paraId="62239029" w14:textId="77777777" w:rsidR="00541CE0" w:rsidRDefault="00541CE0" w:rsidP="00A22C7C">
      <w:pPr>
        <w:spacing w:after="0" w:line="240" w:lineRule="auto"/>
        <w:ind w:left="360"/>
        <w:jc w:val="both"/>
        <w:rPr>
          <w:b/>
          <w:bCs/>
          <w:kern w:val="0"/>
          <w:u w:val="single"/>
          <w14:ligatures w14:val="none"/>
        </w:rPr>
      </w:pPr>
    </w:p>
    <w:p w14:paraId="36A6EE65" w14:textId="56C2C958" w:rsidR="00AF6B79" w:rsidRDefault="00AF6B79" w:rsidP="00A22C7C">
      <w:pPr>
        <w:spacing w:after="0" w:line="240" w:lineRule="auto"/>
        <w:ind w:left="360"/>
        <w:jc w:val="both"/>
        <w:rPr>
          <w:b/>
          <w:bCs/>
          <w:kern w:val="0"/>
          <w:u w:val="single"/>
          <w14:ligatures w14:val="none"/>
        </w:rPr>
      </w:pPr>
      <w:r w:rsidRPr="00AF6B79">
        <w:rPr>
          <w:b/>
          <w:bCs/>
          <w:kern w:val="0"/>
          <w:u w:val="single"/>
          <w14:ligatures w14:val="none"/>
        </w:rPr>
        <w:t>Patient Panel – Race/Ethnicity</w:t>
      </w:r>
    </w:p>
    <w:p w14:paraId="530EF2AD" w14:textId="77777777" w:rsidR="00BD69E0" w:rsidRDefault="00BD69E0" w:rsidP="00A22C7C">
      <w:pPr>
        <w:spacing w:after="0" w:line="240" w:lineRule="auto"/>
        <w:ind w:left="360"/>
        <w:jc w:val="both"/>
        <w:rPr>
          <w:kern w:val="0"/>
          <w14:ligatures w14:val="none"/>
        </w:rPr>
      </w:pPr>
    </w:p>
    <w:p w14:paraId="31709BD2" w14:textId="68569324" w:rsidR="0019203D" w:rsidRDefault="00541CE0" w:rsidP="00A22C7C">
      <w:pPr>
        <w:spacing w:after="0" w:line="240" w:lineRule="auto"/>
        <w:ind w:left="360"/>
        <w:jc w:val="both"/>
        <w:rPr>
          <w:bCs/>
          <w:kern w:val="0"/>
          <w14:ligatures w14:val="none"/>
        </w:rPr>
      </w:pPr>
      <w:r w:rsidRPr="00541CE0">
        <w:rPr>
          <w:bCs/>
          <w:kern w:val="0"/>
          <w14:ligatures w14:val="none"/>
        </w:rPr>
        <w:t xml:space="preserve">The </w:t>
      </w:r>
      <w:r>
        <w:rPr>
          <w:bCs/>
          <w:kern w:val="0"/>
          <w14:ligatures w14:val="none"/>
        </w:rPr>
        <w:t>race/ethnicity</w:t>
      </w:r>
      <w:r w:rsidRPr="00541CE0">
        <w:rPr>
          <w:bCs/>
          <w:kern w:val="0"/>
          <w14:ligatures w14:val="none"/>
        </w:rPr>
        <w:t xml:space="preserve"> demographics for the Atrius Health patient panel from CT20 through Q3 of CY23 are </w:t>
      </w:r>
      <w:r w:rsidR="0019203D" w:rsidRPr="00E63A4B">
        <w:rPr>
          <w:bCs/>
          <w:kern w:val="0"/>
          <w14:ligatures w14:val="none"/>
        </w:rPr>
        <w:t>demonstrated in Table 5 below</w:t>
      </w:r>
      <w:r w:rsidR="00F64868">
        <w:rPr>
          <w:bCs/>
          <w:kern w:val="0"/>
          <w14:ligatures w14:val="none"/>
        </w:rPr>
        <w:t>.</w:t>
      </w:r>
    </w:p>
    <w:p w14:paraId="50E63EA1" w14:textId="77777777" w:rsidR="00AF6B79" w:rsidRDefault="00AF6B79" w:rsidP="00A22C7C">
      <w:pPr>
        <w:spacing w:after="0" w:line="240" w:lineRule="auto"/>
        <w:ind w:left="360"/>
        <w:jc w:val="both"/>
        <w:rPr>
          <w:b/>
          <w:kern w:val="0"/>
          <w14:ligatures w14:val="none"/>
        </w:rPr>
      </w:pPr>
    </w:p>
    <w:p w14:paraId="1C92D3DD" w14:textId="2FBA2C98" w:rsidR="0019203D" w:rsidRDefault="0019203D" w:rsidP="003F4BAF">
      <w:pPr>
        <w:spacing w:after="0" w:line="240" w:lineRule="auto"/>
        <w:ind w:left="360"/>
        <w:jc w:val="both"/>
        <w:rPr>
          <w:b/>
          <w:kern w:val="0"/>
          <w14:ligatures w14:val="none"/>
        </w:rPr>
      </w:pPr>
      <w:r>
        <w:rPr>
          <w:b/>
          <w:kern w:val="0"/>
          <w14:ligatures w14:val="none"/>
        </w:rPr>
        <w:t>T</w:t>
      </w:r>
      <w:r w:rsidRPr="00A60DE5">
        <w:rPr>
          <w:b/>
          <w:kern w:val="0"/>
          <w14:ligatures w14:val="none"/>
        </w:rPr>
        <w:t>able 5: Patient Panel – Race</w:t>
      </w:r>
      <w:r>
        <w:rPr>
          <w:b/>
          <w:kern w:val="0"/>
          <w14:ligatures w14:val="none"/>
        </w:rPr>
        <w:t>/Ethnicity</w:t>
      </w:r>
      <w:r w:rsidR="001B1D10">
        <w:rPr>
          <w:rStyle w:val="FootnoteReference"/>
          <w:b/>
          <w:kern w:val="0"/>
          <w14:ligatures w14:val="none"/>
        </w:rPr>
        <w:footnoteReference w:id="24"/>
      </w:r>
      <w:r w:rsidRPr="00A60DE5">
        <w:rPr>
          <w:b/>
          <w:kern w:val="0"/>
          <w14:ligatures w14:val="none"/>
        </w:rPr>
        <w:t xml:space="preserve"> </w:t>
      </w:r>
    </w:p>
    <w:tbl>
      <w:tblPr>
        <w:tblStyle w:val="TableGrid"/>
        <w:tblW w:w="0" w:type="auto"/>
        <w:tblInd w:w="360" w:type="dxa"/>
        <w:tblLook w:val="04A0" w:firstRow="1" w:lastRow="0" w:firstColumn="1" w:lastColumn="0" w:noHBand="0" w:noVBand="1"/>
      </w:tblPr>
      <w:tblGrid>
        <w:gridCol w:w="1777"/>
        <w:gridCol w:w="20"/>
        <w:gridCol w:w="1782"/>
        <w:gridCol w:w="15"/>
        <w:gridCol w:w="1787"/>
        <w:gridCol w:w="10"/>
        <w:gridCol w:w="1797"/>
        <w:gridCol w:w="1802"/>
      </w:tblGrid>
      <w:tr w:rsidR="00541CE0" w14:paraId="37076F7D" w14:textId="77777777" w:rsidTr="006D7D87">
        <w:trPr>
          <w:cantSplit/>
          <w:tblHeader/>
        </w:trPr>
        <w:tc>
          <w:tcPr>
            <w:tcW w:w="1778" w:type="dxa"/>
            <w:shd w:val="clear" w:color="auto" w:fill="002060"/>
          </w:tcPr>
          <w:p w14:paraId="180E115D" w14:textId="77777777" w:rsidR="00541CE0" w:rsidRDefault="00541CE0" w:rsidP="00541CE0">
            <w:pPr>
              <w:jc w:val="both"/>
              <w:rPr>
                <w:b/>
                <w:noProof/>
              </w:rPr>
            </w:pPr>
          </w:p>
        </w:tc>
        <w:tc>
          <w:tcPr>
            <w:tcW w:w="1803" w:type="dxa"/>
            <w:gridSpan w:val="2"/>
            <w:shd w:val="clear" w:color="auto" w:fill="002060"/>
          </w:tcPr>
          <w:p w14:paraId="6EBCD594" w14:textId="709E40D4" w:rsidR="00541CE0" w:rsidRDefault="00541CE0" w:rsidP="00541CE0">
            <w:pPr>
              <w:jc w:val="center"/>
              <w:rPr>
                <w:b/>
                <w:noProof/>
              </w:rPr>
            </w:pPr>
            <w:r>
              <w:rPr>
                <w:b/>
              </w:rPr>
              <w:t>2020</w:t>
            </w:r>
          </w:p>
        </w:tc>
        <w:tc>
          <w:tcPr>
            <w:tcW w:w="1803" w:type="dxa"/>
            <w:gridSpan w:val="2"/>
            <w:shd w:val="clear" w:color="auto" w:fill="002060"/>
          </w:tcPr>
          <w:p w14:paraId="5D5A82D4" w14:textId="1D9BEF2F" w:rsidR="00541CE0" w:rsidRDefault="00541CE0" w:rsidP="00541CE0">
            <w:pPr>
              <w:jc w:val="center"/>
              <w:rPr>
                <w:b/>
                <w:noProof/>
              </w:rPr>
            </w:pPr>
            <w:r>
              <w:rPr>
                <w:b/>
              </w:rPr>
              <w:t>2021</w:t>
            </w:r>
          </w:p>
        </w:tc>
        <w:tc>
          <w:tcPr>
            <w:tcW w:w="1803" w:type="dxa"/>
            <w:gridSpan w:val="2"/>
            <w:shd w:val="clear" w:color="auto" w:fill="002060"/>
          </w:tcPr>
          <w:p w14:paraId="7459E6CA" w14:textId="121877BC" w:rsidR="00541CE0" w:rsidRDefault="00541CE0" w:rsidP="00541CE0">
            <w:pPr>
              <w:jc w:val="center"/>
              <w:rPr>
                <w:b/>
                <w:noProof/>
              </w:rPr>
            </w:pPr>
            <w:r>
              <w:rPr>
                <w:b/>
              </w:rPr>
              <w:t>2022</w:t>
            </w:r>
          </w:p>
        </w:tc>
        <w:tc>
          <w:tcPr>
            <w:tcW w:w="1803" w:type="dxa"/>
            <w:shd w:val="clear" w:color="auto" w:fill="002060"/>
          </w:tcPr>
          <w:p w14:paraId="37F7C32D" w14:textId="1764CFA9" w:rsidR="00541CE0" w:rsidRDefault="00541CE0" w:rsidP="00541CE0">
            <w:pPr>
              <w:jc w:val="center"/>
              <w:rPr>
                <w:b/>
                <w:noProof/>
              </w:rPr>
            </w:pPr>
            <w:r>
              <w:rPr>
                <w:b/>
              </w:rPr>
              <w:t>2023</w:t>
            </w:r>
          </w:p>
        </w:tc>
      </w:tr>
      <w:tr w:rsidR="00796E49" w14:paraId="0626E48E" w14:textId="77777777" w:rsidTr="006D7D87">
        <w:trPr>
          <w:cantSplit/>
          <w:tblHeader/>
        </w:trPr>
        <w:tc>
          <w:tcPr>
            <w:tcW w:w="1798" w:type="dxa"/>
            <w:gridSpan w:val="2"/>
            <w:tcBorders>
              <w:right w:val="nil"/>
            </w:tcBorders>
            <w:shd w:val="clear" w:color="auto" w:fill="F2F2F2" w:themeFill="background1" w:themeFillShade="F2"/>
          </w:tcPr>
          <w:p w14:paraId="15825FD4" w14:textId="77777777" w:rsidR="00796E49" w:rsidRDefault="00796E49" w:rsidP="00541CE0">
            <w:pPr>
              <w:rPr>
                <w:b/>
                <w:noProof/>
              </w:rPr>
            </w:pPr>
            <w:r>
              <w:rPr>
                <w:b/>
                <w:noProof/>
              </w:rPr>
              <w:t>Race/Ethnicity</w:t>
            </w:r>
          </w:p>
        </w:tc>
        <w:tc>
          <w:tcPr>
            <w:tcW w:w="1798" w:type="dxa"/>
            <w:gridSpan w:val="2"/>
            <w:tcBorders>
              <w:left w:val="nil"/>
              <w:right w:val="nil"/>
            </w:tcBorders>
            <w:shd w:val="clear" w:color="auto" w:fill="F2F2F2" w:themeFill="background1" w:themeFillShade="F2"/>
          </w:tcPr>
          <w:p w14:paraId="45A2F559" w14:textId="77777777" w:rsidR="00796E49" w:rsidRDefault="00796E49" w:rsidP="00541CE0">
            <w:pPr>
              <w:rPr>
                <w:b/>
                <w:noProof/>
              </w:rPr>
            </w:pPr>
          </w:p>
        </w:tc>
        <w:tc>
          <w:tcPr>
            <w:tcW w:w="1798" w:type="dxa"/>
            <w:gridSpan w:val="2"/>
            <w:tcBorders>
              <w:left w:val="nil"/>
              <w:right w:val="nil"/>
            </w:tcBorders>
            <w:shd w:val="clear" w:color="auto" w:fill="F2F2F2" w:themeFill="background1" w:themeFillShade="F2"/>
          </w:tcPr>
          <w:p w14:paraId="17AB2D0E" w14:textId="77777777" w:rsidR="00796E49" w:rsidRDefault="00796E49" w:rsidP="00541CE0">
            <w:pPr>
              <w:rPr>
                <w:b/>
                <w:noProof/>
              </w:rPr>
            </w:pPr>
          </w:p>
        </w:tc>
        <w:tc>
          <w:tcPr>
            <w:tcW w:w="1798" w:type="dxa"/>
            <w:tcBorders>
              <w:left w:val="nil"/>
              <w:right w:val="nil"/>
            </w:tcBorders>
            <w:shd w:val="clear" w:color="auto" w:fill="F2F2F2" w:themeFill="background1" w:themeFillShade="F2"/>
          </w:tcPr>
          <w:p w14:paraId="1CEC1DC6" w14:textId="77777777" w:rsidR="00796E49" w:rsidRDefault="00796E49" w:rsidP="00541CE0">
            <w:pPr>
              <w:rPr>
                <w:b/>
                <w:noProof/>
              </w:rPr>
            </w:pPr>
          </w:p>
        </w:tc>
        <w:tc>
          <w:tcPr>
            <w:tcW w:w="1798" w:type="dxa"/>
            <w:tcBorders>
              <w:left w:val="nil"/>
            </w:tcBorders>
            <w:shd w:val="clear" w:color="auto" w:fill="F2F2F2" w:themeFill="background1" w:themeFillShade="F2"/>
          </w:tcPr>
          <w:p w14:paraId="291E3012" w14:textId="530C2F60" w:rsidR="00796E49" w:rsidRDefault="00796E49" w:rsidP="00541CE0">
            <w:pPr>
              <w:rPr>
                <w:b/>
                <w:noProof/>
              </w:rPr>
            </w:pPr>
          </w:p>
        </w:tc>
      </w:tr>
      <w:tr w:rsidR="00541CE0" w14:paraId="794ECC99" w14:textId="77777777" w:rsidTr="006D7D87">
        <w:trPr>
          <w:cantSplit/>
        </w:trPr>
        <w:tc>
          <w:tcPr>
            <w:tcW w:w="1778" w:type="dxa"/>
          </w:tcPr>
          <w:p w14:paraId="1D1AD00A" w14:textId="204D0B2A" w:rsidR="00541CE0" w:rsidRPr="003F4BAF" w:rsidRDefault="00541CE0" w:rsidP="00541CE0">
            <w:pPr>
              <w:jc w:val="both"/>
              <w:rPr>
                <w:b/>
                <w:noProof/>
              </w:rPr>
            </w:pPr>
            <w:r w:rsidRPr="003F4BAF">
              <w:rPr>
                <w:b/>
              </w:rPr>
              <w:t>Caucasian</w:t>
            </w:r>
          </w:p>
        </w:tc>
        <w:tc>
          <w:tcPr>
            <w:tcW w:w="1803" w:type="dxa"/>
            <w:gridSpan w:val="2"/>
          </w:tcPr>
          <w:p w14:paraId="28ABC8CE" w14:textId="46B20394" w:rsidR="00541CE0" w:rsidRDefault="00541CE0" w:rsidP="00541CE0">
            <w:pPr>
              <w:jc w:val="center"/>
              <w:rPr>
                <w:b/>
                <w:noProof/>
              </w:rPr>
            </w:pPr>
            <w:r>
              <w:rPr>
                <w:bCs/>
              </w:rPr>
              <w:t>284,382</w:t>
            </w:r>
          </w:p>
        </w:tc>
        <w:tc>
          <w:tcPr>
            <w:tcW w:w="1803" w:type="dxa"/>
            <w:gridSpan w:val="2"/>
          </w:tcPr>
          <w:p w14:paraId="61435103" w14:textId="31345C55" w:rsidR="00541CE0" w:rsidRDefault="00541CE0" w:rsidP="00541CE0">
            <w:pPr>
              <w:jc w:val="center"/>
              <w:rPr>
                <w:b/>
                <w:noProof/>
              </w:rPr>
            </w:pPr>
            <w:r>
              <w:rPr>
                <w:bCs/>
              </w:rPr>
              <w:t>258,246</w:t>
            </w:r>
          </w:p>
        </w:tc>
        <w:tc>
          <w:tcPr>
            <w:tcW w:w="1803" w:type="dxa"/>
            <w:gridSpan w:val="2"/>
          </w:tcPr>
          <w:p w14:paraId="6E87D98C" w14:textId="566AE10E" w:rsidR="00541CE0" w:rsidRDefault="00541CE0" w:rsidP="00541CE0">
            <w:pPr>
              <w:jc w:val="center"/>
              <w:rPr>
                <w:b/>
                <w:noProof/>
              </w:rPr>
            </w:pPr>
            <w:r>
              <w:rPr>
                <w:bCs/>
              </w:rPr>
              <w:t>258,620</w:t>
            </w:r>
          </w:p>
        </w:tc>
        <w:tc>
          <w:tcPr>
            <w:tcW w:w="1803" w:type="dxa"/>
          </w:tcPr>
          <w:p w14:paraId="6CB1BA8E" w14:textId="76D8BFCD" w:rsidR="00541CE0" w:rsidRDefault="00541CE0" w:rsidP="00541CE0">
            <w:pPr>
              <w:jc w:val="center"/>
              <w:rPr>
                <w:b/>
                <w:noProof/>
              </w:rPr>
            </w:pPr>
            <w:r>
              <w:rPr>
                <w:bCs/>
              </w:rPr>
              <w:t>291,563</w:t>
            </w:r>
          </w:p>
        </w:tc>
      </w:tr>
      <w:tr w:rsidR="00541CE0" w14:paraId="40BF1FB7" w14:textId="77777777" w:rsidTr="006D7D87">
        <w:trPr>
          <w:cantSplit/>
        </w:trPr>
        <w:tc>
          <w:tcPr>
            <w:tcW w:w="1778" w:type="dxa"/>
          </w:tcPr>
          <w:p w14:paraId="5F0C02E4" w14:textId="36401CE2" w:rsidR="00541CE0" w:rsidRPr="003F4BAF" w:rsidRDefault="00541CE0" w:rsidP="00541CE0">
            <w:pPr>
              <w:jc w:val="both"/>
              <w:rPr>
                <w:b/>
                <w:noProof/>
              </w:rPr>
            </w:pPr>
            <w:r w:rsidRPr="003F4BAF">
              <w:rPr>
                <w:b/>
              </w:rPr>
              <w:t>Black</w:t>
            </w:r>
          </w:p>
        </w:tc>
        <w:tc>
          <w:tcPr>
            <w:tcW w:w="1803" w:type="dxa"/>
            <w:gridSpan w:val="2"/>
          </w:tcPr>
          <w:p w14:paraId="6AD7C1A9" w14:textId="54A0D4F4" w:rsidR="00541CE0" w:rsidRDefault="00541CE0" w:rsidP="00541CE0">
            <w:pPr>
              <w:jc w:val="center"/>
              <w:rPr>
                <w:b/>
                <w:noProof/>
              </w:rPr>
            </w:pPr>
            <w:r>
              <w:rPr>
                <w:bCs/>
              </w:rPr>
              <w:t>28,067</w:t>
            </w:r>
          </w:p>
        </w:tc>
        <w:tc>
          <w:tcPr>
            <w:tcW w:w="1803" w:type="dxa"/>
            <w:gridSpan w:val="2"/>
          </w:tcPr>
          <w:p w14:paraId="722D729E" w14:textId="40C6F621" w:rsidR="00541CE0" w:rsidRDefault="00541CE0" w:rsidP="00541CE0">
            <w:pPr>
              <w:jc w:val="center"/>
              <w:rPr>
                <w:b/>
                <w:noProof/>
              </w:rPr>
            </w:pPr>
            <w:r>
              <w:rPr>
                <w:bCs/>
              </w:rPr>
              <w:t>27,231</w:t>
            </w:r>
          </w:p>
        </w:tc>
        <w:tc>
          <w:tcPr>
            <w:tcW w:w="1803" w:type="dxa"/>
            <w:gridSpan w:val="2"/>
          </w:tcPr>
          <w:p w14:paraId="54930BE9" w14:textId="5D48BC23" w:rsidR="00541CE0" w:rsidRDefault="00541CE0" w:rsidP="00541CE0">
            <w:pPr>
              <w:jc w:val="center"/>
              <w:rPr>
                <w:b/>
                <w:noProof/>
              </w:rPr>
            </w:pPr>
            <w:r>
              <w:rPr>
                <w:bCs/>
              </w:rPr>
              <w:t>28,014</w:t>
            </w:r>
          </w:p>
        </w:tc>
        <w:tc>
          <w:tcPr>
            <w:tcW w:w="1803" w:type="dxa"/>
          </w:tcPr>
          <w:p w14:paraId="283CD4DE" w14:textId="7443214B" w:rsidR="00541CE0" w:rsidRDefault="00541CE0" w:rsidP="00541CE0">
            <w:pPr>
              <w:jc w:val="center"/>
              <w:rPr>
                <w:b/>
                <w:noProof/>
              </w:rPr>
            </w:pPr>
            <w:r>
              <w:rPr>
                <w:bCs/>
              </w:rPr>
              <w:t>32,707</w:t>
            </w:r>
          </w:p>
        </w:tc>
      </w:tr>
      <w:tr w:rsidR="00541CE0" w14:paraId="077430BE" w14:textId="77777777" w:rsidTr="006D7D87">
        <w:trPr>
          <w:cantSplit/>
        </w:trPr>
        <w:tc>
          <w:tcPr>
            <w:tcW w:w="1778" w:type="dxa"/>
          </w:tcPr>
          <w:p w14:paraId="7F308BDD" w14:textId="39168017" w:rsidR="00541CE0" w:rsidRPr="003F4BAF" w:rsidRDefault="00541CE0" w:rsidP="00541CE0">
            <w:pPr>
              <w:jc w:val="both"/>
              <w:rPr>
                <w:b/>
                <w:noProof/>
              </w:rPr>
            </w:pPr>
            <w:r w:rsidRPr="003F4BAF">
              <w:rPr>
                <w:b/>
              </w:rPr>
              <w:t>Asian</w:t>
            </w:r>
          </w:p>
        </w:tc>
        <w:tc>
          <w:tcPr>
            <w:tcW w:w="1803" w:type="dxa"/>
            <w:gridSpan w:val="2"/>
          </w:tcPr>
          <w:p w14:paraId="04729C11" w14:textId="2F3CB7F7" w:rsidR="00541CE0" w:rsidRDefault="00541CE0" w:rsidP="00541CE0">
            <w:pPr>
              <w:jc w:val="center"/>
              <w:rPr>
                <w:b/>
                <w:noProof/>
              </w:rPr>
            </w:pPr>
            <w:r>
              <w:rPr>
                <w:bCs/>
              </w:rPr>
              <w:t>27,601</w:t>
            </w:r>
          </w:p>
        </w:tc>
        <w:tc>
          <w:tcPr>
            <w:tcW w:w="1803" w:type="dxa"/>
            <w:gridSpan w:val="2"/>
          </w:tcPr>
          <w:p w14:paraId="3BD9F88A" w14:textId="2BDD343E" w:rsidR="00541CE0" w:rsidRDefault="00541CE0" w:rsidP="00541CE0">
            <w:pPr>
              <w:jc w:val="center"/>
              <w:rPr>
                <w:b/>
                <w:noProof/>
              </w:rPr>
            </w:pPr>
            <w:r>
              <w:rPr>
                <w:bCs/>
              </w:rPr>
              <w:t>25,784</w:t>
            </w:r>
          </w:p>
        </w:tc>
        <w:tc>
          <w:tcPr>
            <w:tcW w:w="1803" w:type="dxa"/>
            <w:gridSpan w:val="2"/>
          </w:tcPr>
          <w:p w14:paraId="3420A119" w14:textId="4A6673B0" w:rsidR="00541CE0" w:rsidRDefault="00541CE0" w:rsidP="00541CE0">
            <w:pPr>
              <w:jc w:val="center"/>
              <w:rPr>
                <w:b/>
                <w:noProof/>
              </w:rPr>
            </w:pPr>
            <w:r>
              <w:rPr>
                <w:bCs/>
              </w:rPr>
              <w:t>28,174</w:t>
            </w:r>
          </w:p>
        </w:tc>
        <w:tc>
          <w:tcPr>
            <w:tcW w:w="1803" w:type="dxa"/>
          </w:tcPr>
          <w:p w14:paraId="62D10330" w14:textId="4E6123F8" w:rsidR="00541CE0" w:rsidRDefault="00541CE0" w:rsidP="00541CE0">
            <w:pPr>
              <w:jc w:val="center"/>
              <w:rPr>
                <w:b/>
                <w:noProof/>
              </w:rPr>
            </w:pPr>
            <w:r>
              <w:rPr>
                <w:bCs/>
              </w:rPr>
              <w:t>38,416</w:t>
            </w:r>
          </w:p>
        </w:tc>
      </w:tr>
      <w:tr w:rsidR="00541CE0" w14:paraId="6F8BEEFD" w14:textId="77777777" w:rsidTr="006D7D87">
        <w:trPr>
          <w:cantSplit/>
        </w:trPr>
        <w:tc>
          <w:tcPr>
            <w:tcW w:w="1778" w:type="dxa"/>
          </w:tcPr>
          <w:p w14:paraId="0F7E9682" w14:textId="476A4EC1" w:rsidR="00541CE0" w:rsidRPr="003F4BAF" w:rsidRDefault="00541CE0" w:rsidP="00541CE0">
            <w:pPr>
              <w:jc w:val="both"/>
              <w:rPr>
                <w:b/>
                <w:noProof/>
              </w:rPr>
            </w:pPr>
            <w:r w:rsidRPr="003F4BAF">
              <w:rPr>
                <w:b/>
              </w:rPr>
              <w:t>Hispanic</w:t>
            </w:r>
          </w:p>
        </w:tc>
        <w:tc>
          <w:tcPr>
            <w:tcW w:w="1803" w:type="dxa"/>
            <w:gridSpan w:val="2"/>
          </w:tcPr>
          <w:p w14:paraId="0660B686" w14:textId="545C1BA7" w:rsidR="00541CE0" w:rsidRDefault="00541CE0" w:rsidP="00541CE0">
            <w:pPr>
              <w:jc w:val="center"/>
              <w:rPr>
                <w:b/>
                <w:noProof/>
              </w:rPr>
            </w:pPr>
            <w:r>
              <w:rPr>
                <w:bCs/>
              </w:rPr>
              <w:t>14,209</w:t>
            </w:r>
          </w:p>
        </w:tc>
        <w:tc>
          <w:tcPr>
            <w:tcW w:w="1803" w:type="dxa"/>
            <w:gridSpan w:val="2"/>
          </w:tcPr>
          <w:p w14:paraId="4746D61F" w14:textId="602A09B6" w:rsidR="00541CE0" w:rsidRDefault="00541CE0" w:rsidP="00541CE0">
            <w:pPr>
              <w:jc w:val="center"/>
              <w:rPr>
                <w:b/>
                <w:noProof/>
              </w:rPr>
            </w:pPr>
            <w:r>
              <w:rPr>
                <w:bCs/>
              </w:rPr>
              <w:t>13,761</w:t>
            </w:r>
          </w:p>
        </w:tc>
        <w:tc>
          <w:tcPr>
            <w:tcW w:w="1803" w:type="dxa"/>
            <w:gridSpan w:val="2"/>
          </w:tcPr>
          <w:p w14:paraId="039139E2" w14:textId="57711322" w:rsidR="00541CE0" w:rsidRDefault="00541CE0" w:rsidP="00541CE0">
            <w:pPr>
              <w:jc w:val="center"/>
              <w:rPr>
                <w:b/>
                <w:noProof/>
              </w:rPr>
            </w:pPr>
            <w:r>
              <w:rPr>
                <w:bCs/>
              </w:rPr>
              <w:t>14,538</w:t>
            </w:r>
          </w:p>
        </w:tc>
        <w:tc>
          <w:tcPr>
            <w:tcW w:w="1803" w:type="dxa"/>
          </w:tcPr>
          <w:p w14:paraId="756645AD" w14:textId="7FADC651" w:rsidR="00541CE0" w:rsidRDefault="00541CE0" w:rsidP="00541CE0">
            <w:pPr>
              <w:jc w:val="center"/>
              <w:rPr>
                <w:b/>
                <w:noProof/>
              </w:rPr>
            </w:pPr>
            <w:r>
              <w:rPr>
                <w:bCs/>
              </w:rPr>
              <w:t>22,752</w:t>
            </w:r>
          </w:p>
        </w:tc>
      </w:tr>
      <w:tr w:rsidR="00541CE0" w14:paraId="7859B96E" w14:textId="77777777" w:rsidTr="006D7D87">
        <w:trPr>
          <w:cantSplit/>
        </w:trPr>
        <w:tc>
          <w:tcPr>
            <w:tcW w:w="1778" w:type="dxa"/>
          </w:tcPr>
          <w:p w14:paraId="665C4489" w14:textId="6C9DB1D4" w:rsidR="00541CE0" w:rsidRPr="003F4BAF" w:rsidRDefault="00541CE0" w:rsidP="00541CE0">
            <w:pPr>
              <w:jc w:val="both"/>
              <w:rPr>
                <w:b/>
                <w:noProof/>
              </w:rPr>
            </w:pPr>
            <w:r w:rsidRPr="003F4BAF">
              <w:rPr>
                <w:b/>
              </w:rPr>
              <w:t>Native American</w:t>
            </w:r>
          </w:p>
        </w:tc>
        <w:tc>
          <w:tcPr>
            <w:tcW w:w="1803" w:type="dxa"/>
            <w:gridSpan w:val="2"/>
          </w:tcPr>
          <w:p w14:paraId="7CBE39DF" w14:textId="78BBFBE3" w:rsidR="00541CE0" w:rsidRDefault="00541CE0" w:rsidP="00541CE0">
            <w:pPr>
              <w:jc w:val="center"/>
              <w:rPr>
                <w:b/>
                <w:noProof/>
              </w:rPr>
            </w:pPr>
            <w:r>
              <w:rPr>
                <w:bCs/>
              </w:rPr>
              <w:t>358</w:t>
            </w:r>
          </w:p>
        </w:tc>
        <w:tc>
          <w:tcPr>
            <w:tcW w:w="1803" w:type="dxa"/>
            <w:gridSpan w:val="2"/>
          </w:tcPr>
          <w:p w14:paraId="28BF14C0" w14:textId="47C36721" w:rsidR="00541CE0" w:rsidRDefault="00541CE0" w:rsidP="00541CE0">
            <w:pPr>
              <w:jc w:val="center"/>
              <w:rPr>
                <w:b/>
                <w:noProof/>
              </w:rPr>
            </w:pPr>
            <w:r>
              <w:rPr>
                <w:bCs/>
              </w:rPr>
              <w:t>331</w:t>
            </w:r>
          </w:p>
        </w:tc>
        <w:tc>
          <w:tcPr>
            <w:tcW w:w="1803" w:type="dxa"/>
            <w:gridSpan w:val="2"/>
          </w:tcPr>
          <w:p w14:paraId="458BE397" w14:textId="27F7E448" w:rsidR="00541CE0" w:rsidRDefault="00541CE0" w:rsidP="00541CE0">
            <w:pPr>
              <w:jc w:val="center"/>
              <w:rPr>
                <w:b/>
                <w:noProof/>
              </w:rPr>
            </w:pPr>
            <w:r>
              <w:rPr>
                <w:bCs/>
              </w:rPr>
              <w:t>317</w:t>
            </w:r>
          </w:p>
        </w:tc>
        <w:tc>
          <w:tcPr>
            <w:tcW w:w="1803" w:type="dxa"/>
          </w:tcPr>
          <w:p w14:paraId="22A6E988" w14:textId="489E20D7" w:rsidR="00541CE0" w:rsidRDefault="00541CE0" w:rsidP="00541CE0">
            <w:pPr>
              <w:jc w:val="center"/>
              <w:rPr>
                <w:b/>
                <w:noProof/>
              </w:rPr>
            </w:pPr>
            <w:r>
              <w:rPr>
                <w:bCs/>
              </w:rPr>
              <w:t>1,006</w:t>
            </w:r>
          </w:p>
        </w:tc>
      </w:tr>
      <w:tr w:rsidR="00541CE0" w14:paraId="1B8B6565" w14:textId="77777777" w:rsidTr="006D7D87">
        <w:trPr>
          <w:cantSplit/>
        </w:trPr>
        <w:tc>
          <w:tcPr>
            <w:tcW w:w="1778" w:type="dxa"/>
          </w:tcPr>
          <w:p w14:paraId="252BA58D" w14:textId="5EBB26A1" w:rsidR="00541CE0" w:rsidRPr="003F4BAF" w:rsidRDefault="00541CE0" w:rsidP="00541CE0">
            <w:pPr>
              <w:jc w:val="both"/>
              <w:rPr>
                <w:b/>
                <w:noProof/>
              </w:rPr>
            </w:pPr>
            <w:r w:rsidRPr="003F4BAF">
              <w:rPr>
                <w:b/>
              </w:rPr>
              <w:t>Native Hawaiian</w:t>
            </w:r>
          </w:p>
        </w:tc>
        <w:tc>
          <w:tcPr>
            <w:tcW w:w="1803" w:type="dxa"/>
            <w:gridSpan w:val="2"/>
          </w:tcPr>
          <w:p w14:paraId="167ADDFA" w14:textId="4CC5CF5F" w:rsidR="00541CE0" w:rsidRDefault="00541CE0" w:rsidP="00541CE0">
            <w:pPr>
              <w:jc w:val="center"/>
              <w:rPr>
                <w:b/>
                <w:noProof/>
              </w:rPr>
            </w:pPr>
            <w:r>
              <w:rPr>
                <w:bCs/>
              </w:rPr>
              <w:t>164</w:t>
            </w:r>
          </w:p>
        </w:tc>
        <w:tc>
          <w:tcPr>
            <w:tcW w:w="1803" w:type="dxa"/>
            <w:gridSpan w:val="2"/>
          </w:tcPr>
          <w:p w14:paraId="02A28BCD" w14:textId="2E5838ED" w:rsidR="00541CE0" w:rsidRDefault="00541CE0" w:rsidP="00541CE0">
            <w:pPr>
              <w:jc w:val="center"/>
              <w:rPr>
                <w:b/>
                <w:noProof/>
              </w:rPr>
            </w:pPr>
            <w:r>
              <w:rPr>
                <w:bCs/>
              </w:rPr>
              <w:t>174</w:t>
            </w:r>
          </w:p>
        </w:tc>
        <w:tc>
          <w:tcPr>
            <w:tcW w:w="1803" w:type="dxa"/>
            <w:gridSpan w:val="2"/>
          </w:tcPr>
          <w:p w14:paraId="30D9F1FE" w14:textId="6BFD6B54" w:rsidR="00541CE0" w:rsidRDefault="00541CE0" w:rsidP="00541CE0">
            <w:pPr>
              <w:jc w:val="center"/>
              <w:rPr>
                <w:b/>
                <w:noProof/>
              </w:rPr>
            </w:pPr>
            <w:r>
              <w:rPr>
                <w:bCs/>
              </w:rPr>
              <w:t>186</w:t>
            </w:r>
          </w:p>
        </w:tc>
        <w:tc>
          <w:tcPr>
            <w:tcW w:w="1803" w:type="dxa"/>
          </w:tcPr>
          <w:p w14:paraId="342571CC" w14:textId="755EA50E" w:rsidR="00541CE0" w:rsidRDefault="00541CE0" w:rsidP="00541CE0">
            <w:pPr>
              <w:jc w:val="center"/>
              <w:rPr>
                <w:b/>
                <w:noProof/>
              </w:rPr>
            </w:pPr>
            <w:r>
              <w:rPr>
                <w:bCs/>
              </w:rPr>
              <w:t>313</w:t>
            </w:r>
          </w:p>
        </w:tc>
      </w:tr>
      <w:tr w:rsidR="00541CE0" w14:paraId="1B14C98E" w14:textId="77777777" w:rsidTr="006D7D87">
        <w:trPr>
          <w:cantSplit/>
        </w:trPr>
        <w:tc>
          <w:tcPr>
            <w:tcW w:w="1778" w:type="dxa"/>
          </w:tcPr>
          <w:p w14:paraId="4DBD95B4" w14:textId="5BB14408" w:rsidR="00541CE0" w:rsidRPr="003F4BAF" w:rsidRDefault="00541CE0" w:rsidP="00541CE0">
            <w:pPr>
              <w:jc w:val="both"/>
              <w:rPr>
                <w:b/>
                <w:noProof/>
              </w:rPr>
            </w:pPr>
            <w:r w:rsidRPr="003F4BAF">
              <w:rPr>
                <w:b/>
              </w:rPr>
              <w:t>Other</w:t>
            </w:r>
          </w:p>
        </w:tc>
        <w:tc>
          <w:tcPr>
            <w:tcW w:w="1803" w:type="dxa"/>
            <w:gridSpan w:val="2"/>
          </w:tcPr>
          <w:p w14:paraId="7D24F533" w14:textId="3A8BBC8D" w:rsidR="00541CE0" w:rsidRDefault="00541CE0" w:rsidP="00541CE0">
            <w:pPr>
              <w:jc w:val="center"/>
              <w:rPr>
                <w:b/>
                <w:noProof/>
              </w:rPr>
            </w:pPr>
            <w:r>
              <w:rPr>
                <w:bCs/>
              </w:rPr>
              <w:t>14,637</w:t>
            </w:r>
          </w:p>
        </w:tc>
        <w:tc>
          <w:tcPr>
            <w:tcW w:w="1803" w:type="dxa"/>
            <w:gridSpan w:val="2"/>
          </w:tcPr>
          <w:p w14:paraId="0DDFAB6D" w14:textId="098CB112" w:rsidR="00541CE0" w:rsidRDefault="00541CE0" w:rsidP="00541CE0">
            <w:pPr>
              <w:jc w:val="center"/>
              <w:rPr>
                <w:b/>
                <w:noProof/>
              </w:rPr>
            </w:pPr>
            <w:r>
              <w:rPr>
                <w:bCs/>
              </w:rPr>
              <w:t>13,512</w:t>
            </w:r>
          </w:p>
        </w:tc>
        <w:tc>
          <w:tcPr>
            <w:tcW w:w="1803" w:type="dxa"/>
            <w:gridSpan w:val="2"/>
          </w:tcPr>
          <w:p w14:paraId="58C03EDA" w14:textId="740B7929" w:rsidR="00541CE0" w:rsidRDefault="00541CE0" w:rsidP="00541CE0">
            <w:pPr>
              <w:jc w:val="center"/>
              <w:rPr>
                <w:b/>
                <w:noProof/>
              </w:rPr>
            </w:pPr>
            <w:r>
              <w:rPr>
                <w:bCs/>
              </w:rPr>
              <w:t>13,829</w:t>
            </w:r>
          </w:p>
        </w:tc>
        <w:tc>
          <w:tcPr>
            <w:tcW w:w="1803" w:type="dxa"/>
          </w:tcPr>
          <w:p w14:paraId="62380B42" w14:textId="4AEEF8D4" w:rsidR="00541CE0" w:rsidRDefault="00541CE0" w:rsidP="00541CE0">
            <w:pPr>
              <w:jc w:val="center"/>
              <w:rPr>
                <w:b/>
                <w:noProof/>
              </w:rPr>
            </w:pPr>
            <w:r>
              <w:rPr>
                <w:bCs/>
              </w:rPr>
              <w:t>1,662</w:t>
            </w:r>
          </w:p>
        </w:tc>
      </w:tr>
      <w:tr w:rsidR="00541CE0" w14:paraId="0A9FE2EB" w14:textId="77777777" w:rsidTr="006D7D87">
        <w:trPr>
          <w:cantSplit/>
        </w:trPr>
        <w:tc>
          <w:tcPr>
            <w:tcW w:w="1778" w:type="dxa"/>
          </w:tcPr>
          <w:p w14:paraId="0785199E" w14:textId="1DCD384E" w:rsidR="00541CE0" w:rsidRPr="003F4BAF" w:rsidRDefault="00541CE0" w:rsidP="00541CE0">
            <w:pPr>
              <w:jc w:val="both"/>
              <w:rPr>
                <w:b/>
                <w:noProof/>
              </w:rPr>
            </w:pPr>
            <w:r w:rsidRPr="003F4BAF">
              <w:rPr>
                <w:b/>
              </w:rPr>
              <w:t>Patient Declined</w:t>
            </w:r>
          </w:p>
        </w:tc>
        <w:tc>
          <w:tcPr>
            <w:tcW w:w="1803" w:type="dxa"/>
            <w:gridSpan w:val="2"/>
          </w:tcPr>
          <w:p w14:paraId="18346B63" w14:textId="64F5BBF6" w:rsidR="00541CE0" w:rsidRDefault="00541CE0" w:rsidP="00541CE0">
            <w:pPr>
              <w:jc w:val="center"/>
              <w:rPr>
                <w:b/>
                <w:noProof/>
              </w:rPr>
            </w:pPr>
            <w:r>
              <w:rPr>
                <w:bCs/>
              </w:rPr>
              <w:t>17,552</w:t>
            </w:r>
          </w:p>
        </w:tc>
        <w:tc>
          <w:tcPr>
            <w:tcW w:w="1803" w:type="dxa"/>
            <w:gridSpan w:val="2"/>
          </w:tcPr>
          <w:p w14:paraId="2E087627" w14:textId="7571B243" w:rsidR="00541CE0" w:rsidRDefault="00541CE0" w:rsidP="00541CE0">
            <w:pPr>
              <w:jc w:val="center"/>
              <w:rPr>
                <w:b/>
                <w:noProof/>
              </w:rPr>
            </w:pPr>
            <w:r>
              <w:rPr>
                <w:bCs/>
              </w:rPr>
              <w:t>15,468</w:t>
            </w:r>
          </w:p>
        </w:tc>
        <w:tc>
          <w:tcPr>
            <w:tcW w:w="1803" w:type="dxa"/>
            <w:gridSpan w:val="2"/>
          </w:tcPr>
          <w:p w14:paraId="15A9910F" w14:textId="77341FA3" w:rsidR="00541CE0" w:rsidRDefault="00541CE0" w:rsidP="00541CE0">
            <w:pPr>
              <w:jc w:val="center"/>
              <w:rPr>
                <w:b/>
                <w:noProof/>
              </w:rPr>
            </w:pPr>
            <w:r>
              <w:rPr>
                <w:bCs/>
              </w:rPr>
              <w:t>15,415</w:t>
            </w:r>
          </w:p>
        </w:tc>
        <w:tc>
          <w:tcPr>
            <w:tcW w:w="1803" w:type="dxa"/>
          </w:tcPr>
          <w:p w14:paraId="252EAC97" w14:textId="4CCCC8D6" w:rsidR="00541CE0" w:rsidRDefault="00541CE0" w:rsidP="00541CE0">
            <w:pPr>
              <w:jc w:val="center"/>
              <w:rPr>
                <w:b/>
                <w:noProof/>
              </w:rPr>
            </w:pPr>
            <w:r>
              <w:rPr>
                <w:bCs/>
              </w:rPr>
              <w:t>10,237</w:t>
            </w:r>
          </w:p>
        </w:tc>
      </w:tr>
      <w:tr w:rsidR="00541CE0" w14:paraId="42F696DA" w14:textId="77777777" w:rsidTr="006D7D87">
        <w:trPr>
          <w:cantSplit/>
        </w:trPr>
        <w:tc>
          <w:tcPr>
            <w:tcW w:w="1778" w:type="dxa"/>
          </w:tcPr>
          <w:p w14:paraId="32D0FE7B" w14:textId="4238ABFA" w:rsidR="00541CE0" w:rsidRPr="003F4BAF" w:rsidRDefault="00541CE0" w:rsidP="00541CE0">
            <w:pPr>
              <w:jc w:val="both"/>
              <w:rPr>
                <w:b/>
                <w:noProof/>
              </w:rPr>
            </w:pPr>
            <w:r w:rsidRPr="003F4BAF">
              <w:rPr>
                <w:b/>
              </w:rPr>
              <w:t>Unavailable</w:t>
            </w:r>
          </w:p>
        </w:tc>
        <w:tc>
          <w:tcPr>
            <w:tcW w:w="1803" w:type="dxa"/>
            <w:gridSpan w:val="2"/>
          </w:tcPr>
          <w:p w14:paraId="16BF7580" w14:textId="132A66F9" w:rsidR="00541CE0" w:rsidRDefault="00541CE0" w:rsidP="00541CE0">
            <w:pPr>
              <w:jc w:val="center"/>
              <w:rPr>
                <w:b/>
                <w:noProof/>
              </w:rPr>
            </w:pPr>
            <w:r>
              <w:rPr>
                <w:bCs/>
              </w:rPr>
              <w:t>30,719</w:t>
            </w:r>
          </w:p>
        </w:tc>
        <w:tc>
          <w:tcPr>
            <w:tcW w:w="1803" w:type="dxa"/>
            <w:gridSpan w:val="2"/>
          </w:tcPr>
          <w:p w14:paraId="4A0B678C" w14:textId="25D0B36C" w:rsidR="00541CE0" w:rsidRDefault="00541CE0" w:rsidP="00541CE0">
            <w:pPr>
              <w:jc w:val="center"/>
              <w:rPr>
                <w:b/>
                <w:noProof/>
              </w:rPr>
            </w:pPr>
            <w:r>
              <w:rPr>
                <w:bCs/>
              </w:rPr>
              <w:t>27,218</w:t>
            </w:r>
          </w:p>
        </w:tc>
        <w:tc>
          <w:tcPr>
            <w:tcW w:w="1803" w:type="dxa"/>
            <w:gridSpan w:val="2"/>
          </w:tcPr>
          <w:p w14:paraId="32903A9B" w14:textId="25AEB943" w:rsidR="00541CE0" w:rsidRDefault="00541CE0" w:rsidP="00541CE0">
            <w:pPr>
              <w:jc w:val="center"/>
              <w:rPr>
                <w:b/>
                <w:noProof/>
              </w:rPr>
            </w:pPr>
            <w:r>
              <w:rPr>
                <w:bCs/>
              </w:rPr>
              <w:t>24,414</w:t>
            </w:r>
          </w:p>
        </w:tc>
        <w:tc>
          <w:tcPr>
            <w:tcW w:w="1803" w:type="dxa"/>
          </w:tcPr>
          <w:p w14:paraId="6225107E" w14:textId="6741A231" w:rsidR="00541CE0" w:rsidRDefault="00541CE0" w:rsidP="00541CE0">
            <w:pPr>
              <w:jc w:val="center"/>
              <w:rPr>
                <w:b/>
                <w:noProof/>
              </w:rPr>
            </w:pPr>
            <w:r>
              <w:rPr>
                <w:bCs/>
              </w:rPr>
              <w:t>15,750</w:t>
            </w:r>
          </w:p>
        </w:tc>
      </w:tr>
      <w:tr w:rsidR="00541CE0" w14:paraId="4A0FD1BF" w14:textId="77777777" w:rsidTr="006D7D87">
        <w:trPr>
          <w:cantSplit/>
        </w:trPr>
        <w:tc>
          <w:tcPr>
            <w:tcW w:w="1778" w:type="dxa"/>
            <w:shd w:val="clear" w:color="auto" w:fill="E7E6E6" w:themeFill="background2"/>
          </w:tcPr>
          <w:p w14:paraId="09060450" w14:textId="5CBD0711" w:rsidR="00541CE0" w:rsidRPr="003F4BAF" w:rsidRDefault="00541CE0" w:rsidP="00541CE0">
            <w:pPr>
              <w:jc w:val="both"/>
              <w:rPr>
                <w:b/>
                <w:noProof/>
              </w:rPr>
            </w:pPr>
            <w:r w:rsidRPr="003F4BAF">
              <w:rPr>
                <w:b/>
              </w:rPr>
              <w:t>Total</w:t>
            </w:r>
          </w:p>
        </w:tc>
        <w:tc>
          <w:tcPr>
            <w:tcW w:w="1803" w:type="dxa"/>
            <w:gridSpan w:val="2"/>
            <w:shd w:val="clear" w:color="auto" w:fill="E7E6E6" w:themeFill="background2"/>
          </w:tcPr>
          <w:p w14:paraId="46E01FBE" w14:textId="5AC5023F" w:rsidR="00541CE0" w:rsidRDefault="00541CE0" w:rsidP="00541CE0">
            <w:pPr>
              <w:jc w:val="center"/>
              <w:rPr>
                <w:b/>
                <w:noProof/>
              </w:rPr>
            </w:pPr>
            <w:r>
              <w:rPr>
                <w:bCs/>
              </w:rPr>
              <w:t>417,689</w:t>
            </w:r>
          </w:p>
        </w:tc>
        <w:tc>
          <w:tcPr>
            <w:tcW w:w="1803" w:type="dxa"/>
            <w:gridSpan w:val="2"/>
            <w:shd w:val="clear" w:color="auto" w:fill="E7E6E6" w:themeFill="background2"/>
          </w:tcPr>
          <w:p w14:paraId="1F2E9C15" w14:textId="527FEC1B" w:rsidR="00541CE0" w:rsidRDefault="00541CE0" w:rsidP="00541CE0">
            <w:pPr>
              <w:jc w:val="center"/>
              <w:rPr>
                <w:b/>
                <w:noProof/>
              </w:rPr>
            </w:pPr>
            <w:r>
              <w:rPr>
                <w:bCs/>
              </w:rPr>
              <w:t>381,725</w:t>
            </w:r>
          </w:p>
        </w:tc>
        <w:tc>
          <w:tcPr>
            <w:tcW w:w="1803" w:type="dxa"/>
            <w:gridSpan w:val="2"/>
            <w:shd w:val="clear" w:color="auto" w:fill="E7E6E6" w:themeFill="background2"/>
          </w:tcPr>
          <w:p w14:paraId="5A26A639" w14:textId="3B05FB5C" w:rsidR="00541CE0" w:rsidRDefault="00541CE0" w:rsidP="00541CE0">
            <w:pPr>
              <w:jc w:val="center"/>
              <w:rPr>
                <w:b/>
                <w:noProof/>
              </w:rPr>
            </w:pPr>
            <w:r>
              <w:rPr>
                <w:bCs/>
              </w:rPr>
              <w:t>383,507</w:t>
            </w:r>
          </w:p>
        </w:tc>
        <w:tc>
          <w:tcPr>
            <w:tcW w:w="1803" w:type="dxa"/>
            <w:shd w:val="clear" w:color="auto" w:fill="E7E6E6" w:themeFill="background2"/>
          </w:tcPr>
          <w:p w14:paraId="17C3B552" w14:textId="5BF81395" w:rsidR="00541CE0" w:rsidRDefault="00541CE0" w:rsidP="00541CE0">
            <w:pPr>
              <w:jc w:val="center"/>
              <w:rPr>
                <w:b/>
                <w:noProof/>
              </w:rPr>
            </w:pPr>
            <w:r>
              <w:rPr>
                <w:bCs/>
              </w:rPr>
              <w:t>414,406</w:t>
            </w:r>
          </w:p>
        </w:tc>
      </w:tr>
    </w:tbl>
    <w:p w14:paraId="5070D555" w14:textId="77777777" w:rsidR="00B07819" w:rsidRDefault="00B07819" w:rsidP="00A22C7C">
      <w:pPr>
        <w:spacing w:after="0" w:line="240" w:lineRule="auto"/>
        <w:ind w:left="360"/>
        <w:jc w:val="both"/>
        <w:rPr>
          <w:b/>
          <w:noProof/>
          <w:kern w:val="0"/>
          <w14:ligatures w14:val="none"/>
        </w:rPr>
      </w:pPr>
    </w:p>
    <w:p w14:paraId="47D67DC8" w14:textId="791B9224" w:rsidR="0019203D" w:rsidRPr="00A60DE5" w:rsidRDefault="00AF6B79" w:rsidP="00A22C7C">
      <w:pPr>
        <w:numPr>
          <w:ilvl w:val="0"/>
          <w:numId w:val="1"/>
        </w:numPr>
        <w:spacing w:after="0" w:line="240" w:lineRule="auto"/>
        <w:contextualSpacing/>
        <w:rPr>
          <w:b/>
          <w:kern w:val="0"/>
          <w14:ligatures w14:val="none"/>
        </w:rPr>
      </w:pPr>
      <w:r>
        <w:rPr>
          <w:b/>
          <w:kern w:val="0"/>
          <w14:ligatures w14:val="none"/>
        </w:rPr>
        <w:t>P</w:t>
      </w:r>
      <w:r w:rsidR="0019203D" w:rsidRPr="00A60DE5">
        <w:rPr>
          <w:b/>
          <w:kern w:val="0"/>
          <w14:ligatures w14:val="none"/>
        </w:rPr>
        <w:t>ayer Mi</w:t>
      </w:r>
      <w:r w:rsidR="004B68A7">
        <w:rPr>
          <w:b/>
          <w:kern w:val="0"/>
          <w14:ligatures w14:val="none"/>
        </w:rPr>
        <w:t>x</w:t>
      </w:r>
      <w:r w:rsidR="0019203D" w:rsidRPr="00A60DE5">
        <w:rPr>
          <w:b/>
          <w:kern w:val="0"/>
          <w14:ligatures w14:val="none"/>
        </w:rPr>
        <w:t xml:space="preserve"> </w:t>
      </w:r>
    </w:p>
    <w:p w14:paraId="3A1729E2" w14:textId="77777777" w:rsidR="00BD69E0" w:rsidRDefault="00BD69E0" w:rsidP="00A22C7C">
      <w:pPr>
        <w:spacing w:after="0" w:line="240" w:lineRule="auto"/>
        <w:ind w:firstLine="360"/>
        <w:rPr>
          <w:bCs/>
          <w:kern w:val="0"/>
          <w14:ligatures w14:val="none"/>
        </w:rPr>
      </w:pPr>
    </w:p>
    <w:p w14:paraId="0AA439DA" w14:textId="4C914CC9" w:rsidR="0019203D" w:rsidRPr="00A60DE5" w:rsidRDefault="0019203D" w:rsidP="00A22C7C">
      <w:pPr>
        <w:spacing w:after="0" w:line="240" w:lineRule="auto"/>
        <w:ind w:firstLine="360"/>
        <w:rPr>
          <w:bCs/>
          <w:kern w:val="0"/>
          <w14:ligatures w14:val="none"/>
        </w:rPr>
      </w:pPr>
      <w:r w:rsidRPr="00A60DE5">
        <w:rPr>
          <w:bCs/>
          <w:kern w:val="0"/>
          <w14:ligatures w14:val="none"/>
        </w:rPr>
        <w:t xml:space="preserve">The payer mix </w:t>
      </w:r>
      <w:bookmarkStart w:id="15" w:name="_Hlk158374611"/>
      <w:r w:rsidRPr="00A60DE5">
        <w:rPr>
          <w:bCs/>
          <w:kern w:val="0"/>
          <w14:ligatures w14:val="none"/>
        </w:rPr>
        <w:t xml:space="preserve">for </w:t>
      </w:r>
      <w:r w:rsidR="009F799E">
        <w:rPr>
          <w:bCs/>
          <w:kern w:val="0"/>
          <w14:ligatures w14:val="none"/>
        </w:rPr>
        <w:t>Atrius</w:t>
      </w:r>
      <w:r w:rsidRPr="00A60DE5">
        <w:rPr>
          <w:bCs/>
          <w:kern w:val="0"/>
          <w14:ligatures w14:val="none"/>
        </w:rPr>
        <w:t xml:space="preserve"> </w:t>
      </w:r>
      <w:r w:rsidR="005A2FBC">
        <w:rPr>
          <w:bCs/>
          <w:kern w:val="0"/>
          <w14:ligatures w14:val="none"/>
        </w:rPr>
        <w:t xml:space="preserve">Health </w:t>
      </w:r>
      <w:r w:rsidRPr="00A60DE5">
        <w:rPr>
          <w:bCs/>
          <w:kern w:val="0"/>
          <w14:ligatures w14:val="none"/>
        </w:rPr>
        <w:t xml:space="preserve">from </w:t>
      </w:r>
      <w:r>
        <w:rPr>
          <w:bCs/>
          <w:kern w:val="0"/>
          <w14:ligatures w14:val="none"/>
        </w:rPr>
        <w:t>C</w:t>
      </w:r>
      <w:r w:rsidRPr="00A60DE5">
        <w:rPr>
          <w:bCs/>
          <w:kern w:val="0"/>
          <w14:ligatures w14:val="none"/>
        </w:rPr>
        <w:t>Y20 t</w:t>
      </w:r>
      <w:r>
        <w:rPr>
          <w:bCs/>
          <w:kern w:val="0"/>
          <w14:ligatures w14:val="none"/>
        </w:rPr>
        <w:t>hrough</w:t>
      </w:r>
      <w:r w:rsidRPr="00A60DE5">
        <w:rPr>
          <w:bCs/>
          <w:kern w:val="0"/>
          <w14:ligatures w14:val="none"/>
        </w:rPr>
        <w:t xml:space="preserve"> </w:t>
      </w:r>
      <w:r>
        <w:rPr>
          <w:bCs/>
          <w:kern w:val="0"/>
          <w14:ligatures w14:val="none"/>
        </w:rPr>
        <w:t xml:space="preserve">Q3 of </w:t>
      </w:r>
      <w:r w:rsidRPr="004C7DBD">
        <w:rPr>
          <w:bCs/>
          <w:kern w:val="0"/>
          <w14:ligatures w14:val="none"/>
        </w:rPr>
        <w:t>CY23</w:t>
      </w:r>
      <w:r>
        <w:rPr>
          <w:bCs/>
          <w:kern w:val="0"/>
          <w14:ligatures w14:val="none"/>
        </w:rPr>
        <w:t xml:space="preserve"> </w:t>
      </w:r>
      <w:r w:rsidRPr="00A60DE5">
        <w:rPr>
          <w:bCs/>
          <w:kern w:val="0"/>
          <w14:ligatures w14:val="none"/>
        </w:rPr>
        <w:t xml:space="preserve">is demonstrated in Table </w:t>
      </w:r>
      <w:r>
        <w:rPr>
          <w:bCs/>
          <w:kern w:val="0"/>
          <w14:ligatures w14:val="none"/>
        </w:rPr>
        <w:t>6</w:t>
      </w:r>
      <w:r w:rsidRPr="00A60DE5">
        <w:rPr>
          <w:bCs/>
          <w:kern w:val="0"/>
          <w14:ligatures w14:val="none"/>
        </w:rPr>
        <w:t xml:space="preserve"> below</w:t>
      </w:r>
      <w:bookmarkEnd w:id="15"/>
      <w:r w:rsidRPr="00A60DE5">
        <w:rPr>
          <w:bCs/>
          <w:kern w:val="0"/>
          <w14:ligatures w14:val="none"/>
        </w:rPr>
        <w:t>:</w:t>
      </w:r>
    </w:p>
    <w:p w14:paraId="5B5E20C9" w14:textId="77777777" w:rsidR="00AF6B79" w:rsidRDefault="00AF6B79" w:rsidP="00A22C7C">
      <w:pPr>
        <w:spacing w:after="0" w:line="240" w:lineRule="auto"/>
        <w:ind w:firstLine="360"/>
        <w:rPr>
          <w:b/>
          <w:kern w:val="0"/>
          <w14:ligatures w14:val="none"/>
        </w:rPr>
      </w:pPr>
    </w:p>
    <w:p w14:paraId="594C0BA7" w14:textId="117C3C48" w:rsidR="0019203D" w:rsidRDefault="0019203D" w:rsidP="00A22C7C">
      <w:pPr>
        <w:spacing w:after="0" w:line="240" w:lineRule="auto"/>
        <w:ind w:firstLine="360"/>
        <w:rPr>
          <w:b/>
          <w:kern w:val="0"/>
          <w14:ligatures w14:val="none"/>
        </w:rPr>
      </w:pPr>
      <w:r w:rsidRPr="00A60DE5">
        <w:rPr>
          <w:b/>
          <w:kern w:val="0"/>
          <w14:ligatures w14:val="none"/>
        </w:rPr>
        <w:t xml:space="preserve">Table </w:t>
      </w:r>
      <w:r>
        <w:rPr>
          <w:b/>
          <w:kern w:val="0"/>
          <w14:ligatures w14:val="none"/>
        </w:rPr>
        <w:t>6</w:t>
      </w:r>
      <w:r w:rsidRPr="00A60DE5">
        <w:rPr>
          <w:b/>
          <w:kern w:val="0"/>
          <w14:ligatures w14:val="none"/>
        </w:rPr>
        <w:t>: Patient Panel – Payor Mi</w:t>
      </w:r>
      <w:r>
        <w:rPr>
          <w:b/>
          <w:kern w:val="0"/>
          <w14:ligatures w14:val="none"/>
        </w:rPr>
        <w:t>x</w:t>
      </w:r>
      <w:r>
        <w:rPr>
          <w:rStyle w:val="FootnoteReference"/>
          <w:b/>
          <w:kern w:val="0"/>
          <w14:ligatures w14:val="none"/>
        </w:rPr>
        <w:footnoteReference w:id="25"/>
      </w:r>
      <w:r w:rsidRPr="00A60DE5">
        <w:rPr>
          <w:b/>
          <w:kern w:val="0"/>
          <w14:ligatures w14:val="none"/>
        </w:rPr>
        <w:t xml:space="preserve"> </w:t>
      </w:r>
    </w:p>
    <w:tbl>
      <w:tblPr>
        <w:tblStyle w:val="TableGrid"/>
        <w:tblW w:w="0" w:type="auto"/>
        <w:tblInd w:w="355" w:type="dxa"/>
        <w:tblLook w:val="04A0" w:firstRow="1" w:lastRow="0" w:firstColumn="1" w:lastColumn="0" w:noHBand="0" w:noVBand="1"/>
      </w:tblPr>
      <w:tblGrid>
        <w:gridCol w:w="2880"/>
        <w:gridCol w:w="1528"/>
        <w:gridCol w:w="1529"/>
        <w:gridCol w:w="1529"/>
        <w:gridCol w:w="1529"/>
      </w:tblGrid>
      <w:tr w:rsidR="003F4BAF" w14:paraId="376C684F" w14:textId="77777777" w:rsidTr="003F64B8">
        <w:trPr>
          <w:cantSplit/>
          <w:tblHeader/>
        </w:trPr>
        <w:tc>
          <w:tcPr>
            <w:tcW w:w="2880" w:type="dxa"/>
            <w:tcBorders>
              <w:bottom w:val="single" w:sz="4" w:space="0" w:color="auto"/>
            </w:tcBorders>
            <w:shd w:val="clear" w:color="auto" w:fill="002060"/>
          </w:tcPr>
          <w:p w14:paraId="55BD7DBC" w14:textId="77777777" w:rsidR="003F4BAF" w:rsidRDefault="003F4BAF" w:rsidP="003F4BAF">
            <w:pPr>
              <w:jc w:val="center"/>
              <w:rPr>
                <w:b/>
              </w:rPr>
            </w:pPr>
          </w:p>
        </w:tc>
        <w:tc>
          <w:tcPr>
            <w:tcW w:w="1528" w:type="dxa"/>
            <w:tcBorders>
              <w:bottom w:val="single" w:sz="4" w:space="0" w:color="auto"/>
            </w:tcBorders>
            <w:shd w:val="clear" w:color="auto" w:fill="002060"/>
          </w:tcPr>
          <w:p w14:paraId="618D6D1C" w14:textId="2C119943" w:rsidR="003F4BAF" w:rsidRDefault="003F4BAF" w:rsidP="003F4BAF">
            <w:pPr>
              <w:jc w:val="center"/>
              <w:rPr>
                <w:b/>
              </w:rPr>
            </w:pPr>
            <w:r>
              <w:rPr>
                <w:b/>
              </w:rPr>
              <w:t>2020</w:t>
            </w:r>
          </w:p>
        </w:tc>
        <w:tc>
          <w:tcPr>
            <w:tcW w:w="1529" w:type="dxa"/>
            <w:tcBorders>
              <w:bottom w:val="single" w:sz="4" w:space="0" w:color="auto"/>
            </w:tcBorders>
            <w:shd w:val="clear" w:color="auto" w:fill="002060"/>
          </w:tcPr>
          <w:p w14:paraId="099FC6E2" w14:textId="3A315E35" w:rsidR="003F4BAF" w:rsidRDefault="003F4BAF" w:rsidP="003F4BAF">
            <w:pPr>
              <w:jc w:val="center"/>
              <w:rPr>
                <w:b/>
              </w:rPr>
            </w:pPr>
            <w:r>
              <w:rPr>
                <w:b/>
              </w:rPr>
              <w:t>2021</w:t>
            </w:r>
          </w:p>
        </w:tc>
        <w:tc>
          <w:tcPr>
            <w:tcW w:w="1529" w:type="dxa"/>
            <w:tcBorders>
              <w:bottom w:val="single" w:sz="4" w:space="0" w:color="auto"/>
            </w:tcBorders>
            <w:shd w:val="clear" w:color="auto" w:fill="002060"/>
          </w:tcPr>
          <w:p w14:paraId="519D7B4E" w14:textId="12F7D9F1" w:rsidR="003F4BAF" w:rsidRDefault="003F4BAF" w:rsidP="003F4BAF">
            <w:pPr>
              <w:jc w:val="center"/>
              <w:rPr>
                <w:b/>
              </w:rPr>
            </w:pPr>
            <w:r>
              <w:rPr>
                <w:b/>
              </w:rPr>
              <w:t>2022</w:t>
            </w:r>
          </w:p>
        </w:tc>
        <w:tc>
          <w:tcPr>
            <w:tcW w:w="1529" w:type="dxa"/>
            <w:shd w:val="clear" w:color="auto" w:fill="002060"/>
          </w:tcPr>
          <w:p w14:paraId="219049D0" w14:textId="4970BF5A" w:rsidR="003F4BAF" w:rsidRDefault="003F4BAF" w:rsidP="003F4BAF">
            <w:pPr>
              <w:jc w:val="center"/>
              <w:rPr>
                <w:b/>
              </w:rPr>
            </w:pPr>
            <w:r>
              <w:rPr>
                <w:b/>
              </w:rPr>
              <w:t>2023</w:t>
            </w:r>
          </w:p>
        </w:tc>
      </w:tr>
      <w:tr w:rsidR="003F64B8" w14:paraId="7F81B619" w14:textId="77777777" w:rsidTr="003F64B8">
        <w:trPr>
          <w:cantSplit/>
          <w:tblHeader/>
        </w:trPr>
        <w:tc>
          <w:tcPr>
            <w:tcW w:w="2880" w:type="dxa"/>
            <w:tcBorders>
              <w:right w:val="nil"/>
            </w:tcBorders>
            <w:shd w:val="clear" w:color="auto" w:fill="F2F2F2" w:themeFill="background1" w:themeFillShade="F2"/>
          </w:tcPr>
          <w:p w14:paraId="3BEBAE36" w14:textId="77777777" w:rsidR="003F64B8" w:rsidRDefault="003F64B8" w:rsidP="00A22C7C">
            <w:pPr>
              <w:rPr>
                <w:b/>
              </w:rPr>
            </w:pPr>
            <w:r>
              <w:rPr>
                <w:b/>
              </w:rPr>
              <w:t>Payor Mix</w:t>
            </w:r>
          </w:p>
        </w:tc>
        <w:tc>
          <w:tcPr>
            <w:tcW w:w="1528" w:type="dxa"/>
            <w:tcBorders>
              <w:left w:val="nil"/>
              <w:right w:val="nil"/>
            </w:tcBorders>
            <w:shd w:val="clear" w:color="auto" w:fill="F2F2F2" w:themeFill="background1" w:themeFillShade="F2"/>
          </w:tcPr>
          <w:p w14:paraId="5B8719D1" w14:textId="77777777" w:rsidR="003F64B8" w:rsidRDefault="003F64B8" w:rsidP="00A22C7C">
            <w:pPr>
              <w:rPr>
                <w:b/>
              </w:rPr>
            </w:pPr>
          </w:p>
        </w:tc>
        <w:tc>
          <w:tcPr>
            <w:tcW w:w="1529" w:type="dxa"/>
            <w:tcBorders>
              <w:left w:val="nil"/>
              <w:right w:val="nil"/>
            </w:tcBorders>
            <w:shd w:val="clear" w:color="auto" w:fill="F2F2F2" w:themeFill="background1" w:themeFillShade="F2"/>
          </w:tcPr>
          <w:p w14:paraId="68F65CB6" w14:textId="77777777" w:rsidR="003F64B8" w:rsidRDefault="003F64B8" w:rsidP="00A22C7C">
            <w:pPr>
              <w:rPr>
                <w:b/>
              </w:rPr>
            </w:pPr>
          </w:p>
        </w:tc>
        <w:tc>
          <w:tcPr>
            <w:tcW w:w="1529" w:type="dxa"/>
            <w:tcBorders>
              <w:left w:val="nil"/>
              <w:right w:val="nil"/>
            </w:tcBorders>
            <w:shd w:val="clear" w:color="auto" w:fill="F2F2F2" w:themeFill="background1" w:themeFillShade="F2"/>
          </w:tcPr>
          <w:p w14:paraId="4E4FA0A3" w14:textId="77777777" w:rsidR="003F64B8" w:rsidRDefault="003F64B8" w:rsidP="00A22C7C">
            <w:pPr>
              <w:rPr>
                <w:b/>
              </w:rPr>
            </w:pPr>
          </w:p>
        </w:tc>
        <w:tc>
          <w:tcPr>
            <w:tcW w:w="1529" w:type="dxa"/>
            <w:tcBorders>
              <w:left w:val="nil"/>
            </w:tcBorders>
            <w:shd w:val="clear" w:color="auto" w:fill="F2F2F2" w:themeFill="background1" w:themeFillShade="F2"/>
          </w:tcPr>
          <w:p w14:paraId="6DBCCFED" w14:textId="40208DC6" w:rsidR="003F64B8" w:rsidRDefault="003F64B8" w:rsidP="00A22C7C">
            <w:pPr>
              <w:rPr>
                <w:b/>
              </w:rPr>
            </w:pPr>
          </w:p>
        </w:tc>
      </w:tr>
      <w:tr w:rsidR="003F4BAF" w14:paraId="39289692" w14:textId="77777777" w:rsidTr="003F64B8">
        <w:trPr>
          <w:cantSplit/>
        </w:trPr>
        <w:tc>
          <w:tcPr>
            <w:tcW w:w="2880" w:type="dxa"/>
          </w:tcPr>
          <w:p w14:paraId="2E33D8CA" w14:textId="242246D5" w:rsidR="003F4BAF" w:rsidRDefault="003F4BAF" w:rsidP="00A22C7C">
            <w:pPr>
              <w:rPr>
                <w:b/>
              </w:rPr>
            </w:pPr>
            <w:r>
              <w:rPr>
                <w:b/>
              </w:rPr>
              <w:t>Commercial HMO</w:t>
            </w:r>
          </w:p>
        </w:tc>
        <w:tc>
          <w:tcPr>
            <w:tcW w:w="1528" w:type="dxa"/>
          </w:tcPr>
          <w:p w14:paraId="16109307" w14:textId="694A7B5E" w:rsidR="003F4BAF" w:rsidRPr="003F4BAF" w:rsidRDefault="003F4BAF" w:rsidP="003F4BAF">
            <w:pPr>
              <w:jc w:val="center"/>
              <w:rPr>
                <w:bCs/>
              </w:rPr>
            </w:pPr>
            <w:r w:rsidRPr="003F4BAF">
              <w:rPr>
                <w:bCs/>
              </w:rPr>
              <w:t>207,330</w:t>
            </w:r>
          </w:p>
        </w:tc>
        <w:tc>
          <w:tcPr>
            <w:tcW w:w="1529" w:type="dxa"/>
          </w:tcPr>
          <w:p w14:paraId="14E53EA0" w14:textId="2D1A9CAA" w:rsidR="003F4BAF" w:rsidRPr="003F4BAF" w:rsidRDefault="003F4BAF" w:rsidP="003F4BAF">
            <w:pPr>
              <w:jc w:val="center"/>
              <w:rPr>
                <w:bCs/>
              </w:rPr>
            </w:pPr>
            <w:r>
              <w:rPr>
                <w:bCs/>
              </w:rPr>
              <w:t>203,436</w:t>
            </w:r>
          </w:p>
        </w:tc>
        <w:tc>
          <w:tcPr>
            <w:tcW w:w="1529" w:type="dxa"/>
          </w:tcPr>
          <w:p w14:paraId="39A033C0" w14:textId="1936DC3C" w:rsidR="003F4BAF" w:rsidRPr="003F4BAF" w:rsidRDefault="003F4BAF" w:rsidP="003F4BAF">
            <w:pPr>
              <w:jc w:val="center"/>
              <w:rPr>
                <w:bCs/>
              </w:rPr>
            </w:pPr>
            <w:r>
              <w:rPr>
                <w:bCs/>
              </w:rPr>
              <w:t>213,962</w:t>
            </w:r>
          </w:p>
        </w:tc>
        <w:tc>
          <w:tcPr>
            <w:tcW w:w="1529" w:type="dxa"/>
          </w:tcPr>
          <w:p w14:paraId="51EE2C5C" w14:textId="6BBA464C" w:rsidR="003F4BAF" w:rsidRPr="003F4BAF" w:rsidRDefault="003F4BAF" w:rsidP="003F4BAF">
            <w:pPr>
              <w:jc w:val="center"/>
              <w:rPr>
                <w:bCs/>
              </w:rPr>
            </w:pPr>
            <w:r>
              <w:rPr>
                <w:bCs/>
              </w:rPr>
              <w:t>213,286</w:t>
            </w:r>
          </w:p>
        </w:tc>
      </w:tr>
      <w:tr w:rsidR="003F4BAF" w14:paraId="1E98F406" w14:textId="77777777" w:rsidTr="003F64B8">
        <w:trPr>
          <w:cantSplit/>
        </w:trPr>
        <w:tc>
          <w:tcPr>
            <w:tcW w:w="2880" w:type="dxa"/>
          </w:tcPr>
          <w:p w14:paraId="65252E03" w14:textId="1135B3F3" w:rsidR="003F4BAF" w:rsidRDefault="003F4BAF" w:rsidP="00A22C7C">
            <w:pPr>
              <w:rPr>
                <w:b/>
              </w:rPr>
            </w:pPr>
            <w:r>
              <w:rPr>
                <w:b/>
              </w:rPr>
              <w:t>Commercial PPO/Indemnity</w:t>
            </w:r>
          </w:p>
        </w:tc>
        <w:tc>
          <w:tcPr>
            <w:tcW w:w="1528" w:type="dxa"/>
          </w:tcPr>
          <w:p w14:paraId="5E631429" w14:textId="5AEA55DC" w:rsidR="003F4BAF" w:rsidRPr="003F4BAF" w:rsidRDefault="003F4BAF" w:rsidP="003F4BAF">
            <w:pPr>
              <w:jc w:val="center"/>
              <w:rPr>
                <w:bCs/>
              </w:rPr>
            </w:pPr>
            <w:r w:rsidRPr="003F4BAF">
              <w:rPr>
                <w:bCs/>
              </w:rPr>
              <w:t>111</w:t>
            </w:r>
            <w:r>
              <w:rPr>
                <w:bCs/>
              </w:rPr>
              <w:t>,</w:t>
            </w:r>
            <w:r w:rsidRPr="003F4BAF">
              <w:rPr>
                <w:bCs/>
              </w:rPr>
              <w:t>681</w:t>
            </w:r>
          </w:p>
        </w:tc>
        <w:tc>
          <w:tcPr>
            <w:tcW w:w="1529" w:type="dxa"/>
          </w:tcPr>
          <w:p w14:paraId="1A095864" w14:textId="03AD5ECD" w:rsidR="003F4BAF" w:rsidRPr="003F4BAF" w:rsidRDefault="003F4BAF" w:rsidP="003F4BAF">
            <w:pPr>
              <w:jc w:val="center"/>
              <w:rPr>
                <w:bCs/>
              </w:rPr>
            </w:pPr>
            <w:r>
              <w:rPr>
                <w:bCs/>
              </w:rPr>
              <w:t>118,967</w:t>
            </w:r>
          </w:p>
        </w:tc>
        <w:tc>
          <w:tcPr>
            <w:tcW w:w="1529" w:type="dxa"/>
          </w:tcPr>
          <w:p w14:paraId="7390B297" w14:textId="7E082315" w:rsidR="003F4BAF" w:rsidRPr="003F4BAF" w:rsidRDefault="003F4BAF" w:rsidP="003F4BAF">
            <w:pPr>
              <w:jc w:val="center"/>
              <w:rPr>
                <w:bCs/>
              </w:rPr>
            </w:pPr>
            <w:r>
              <w:rPr>
                <w:bCs/>
              </w:rPr>
              <w:t>135,439</w:t>
            </w:r>
          </w:p>
        </w:tc>
        <w:tc>
          <w:tcPr>
            <w:tcW w:w="1529" w:type="dxa"/>
          </w:tcPr>
          <w:p w14:paraId="112048E3" w14:textId="3D867EC6" w:rsidR="003F4BAF" w:rsidRPr="003F4BAF" w:rsidRDefault="003F4BAF" w:rsidP="003F4BAF">
            <w:pPr>
              <w:jc w:val="center"/>
              <w:rPr>
                <w:bCs/>
              </w:rPr>
            </w:pPr>
            <w:r>
              <w:rPr>
                <w:bCs/>
              </w:rPr>
              <w:t>128,103</w:t>
            </w:r>
          </w:p>
        </w:tc>
      </w:tr>
      <w:tr w:rsidR="003F4BAF" w14:paraId="0E359A46" w14:textId="77777777" w:rsidTr="003F64B8">
        <w:trPr>
          <w:cantSplit/>
        </w:trPr>
        <w:tc>
          <w:tcPr>
            <w:tcW w:w="2880" w:type="dxa"/>
          </w:tcPr>
          <w:p w14:paraId="6CD64F90" w14:textId="597FB71A" w:rsidR="003F4BAF" w:rsidRDefault="003F4BAF" w:rsidP="00A22C7C">
            <w:pPr>
              <w:rPr>
                <w:b/>
              </w:rPr>
            </w:pPr>
            <w:r>
              <w:rPr>
                <w:b/>
              </w:rPr>
              <w:t>Medicaid HMO</w:t>
            </w:r>
          </w:p>
        </w:tc>
        <w:tc>
          <w:tcPr>
            <w:tcW w:w="1528" w:type="dxa"/>
          </w:tcPr>
          <w:p w14:paraId="74B728CB" w14:textId="030E694D" w:rsidR="003F4BAF" w:rsidRPr="003F4BAF" w:rsidRDefault="003F4BAF" w:rsidP="003F4BAF">
            <w:pPr>
              <w:jc w:val="center"/>
              <w:rPr>
                <w:bCs/>
              </w:rPr>
            </w:pPr>
            <w:r w:rsidRPr="003F4BAF">
              <w:rPr>
                <w:bCs/>
              </w:rPr>
              <w:t>29</w:t>
            </w:r>
            <w:r>
              <w:rPr>
                <w:bCs/>
              </w:rPr>
              <w:t>,</w:t>
            </w:r>
            <w:r w:rsidRPr="003F4BAF">
              <w:rPr>
                <w:bCs/>
              </w:rPr>
              <w:t>213</w:t>
            </w:r>
          </w:p>
        </w:tc>
        <w:tc>
          <w:tcPr>
            <w:tcW w:w="1529" w:type="dxa"/>
          </w:tcPr>
          <w:p w14:paraId="31A4D9BA" w14:textId="1C04EAB8" w:rsidR="003F4BAF" w:rsidRPr="003F4BAF" w:rsidRDefault="003F4BAF" w:rsidP="003F4BAF">
            <w:pPr>
              <w:jc w:val="center"/>
              <w:rPr>
                <w:bCs/>
              </w:rPr>
            </w:pPr>
            <w:r>
              <w:rPr>
                <w:bCs/>
              </w:rPr>
              <w:t>32,308</w:t>
            </w:r>
          </w:p>
        </w:tc>
        <w:tc>
          <w:tcPr>
            <w:tcW w:w="1529" w:type="dxa"/>
          </w:tcPr>
          <w:p w14:paraId="1C41704A" w14:textId="55A38A94" w:rsidR="003F4BAF" w:rsidRPr="003F4BAF" w:rsidRDefault="003F4BAF" w:rsidP="003F4BAF">
            <w:pPr>
              <w:jc w:val="center"/>
              <w:rPr>
                <w:bCs/>
              </w:rPr>
            </w:pPr>
            <w:r>
              <w:rPr>
                <w:bCs/>
              </w:rPr>
              <w:t>32,909</w:t>
            </w:r>
          </w:p>
        </w:tc>
        <w:tc>
          <w:tcPr>
            <w:tcW w:w="1529" w:type="dxa"/>
          </w:tcPr>
          <w:p w14:paraId="157D97CF" w14:textId="66C20D56" w:rsidR="003F4BAF" w:rsidRPr="003F4BAF" w:rsidRDefault="003F4BAF" w:rsidP="003F4BAF">
            <w:pPr>
              <w:jc w:val="center"/>
              <w:rPr>
                <w:bCs/>
              </w:rPr>
            </w:pPr>
            <w:r>
              <w:rPr>
                <w:bCs/>
              </w:rPr>
              <w:t>33,083</w:t>
            </w:r>
          </w:p>
        </w:tc>
      </w:tr>
      <w:tr w:rsidR="003F4BAF" w14:paraId="7E808A07" w14:textId="77777777" w:rsidTr="003F64B8">
        <w:trPr>
          <w:cantSplit/>
        </w:trPr>
        <w:tc>
          <w:tcPr>
            <w:tcW w:w="2880" w:type="dxa"/>
          </w:tcPr>
          <w:p w14:paraId="396C1A24" w14:textId="4D3E68B5" w:rsidR="003F4BAF" w:rsidRDefault="003F4BAF" w:rsidP="00A22C7C">
            <w:pPr>
              <w:rPr>
                <w:b/>
              </w:rPr>
            </w:pPr>
            <w:r>
              <w:rPr>
                <w:b/>
              </w:rPr>
              <w:t>Medicare</w:t>
            </w:r>
          </w:p>
        </w:tc>
        <w:tc>
          <w:tcPr>
            <w:tcW w:w="1528" w:type="dxa"/>
          </w:tcPr>
          <w:p w14:paraId="03339F17" w14:textId="4C80C4E5" w:rsidR="003F4BAF" w:rsidRPr="003F4BAF" w:rsidRDefault="003F4BAF" w:rsidP="003F4BAF">
            <w:pPr>
              <w:jc w:val="center"/>
              <w:rPr>
                <w:bCs/>
              </w:rPr>
            </w:pPr>
            <w:r w:rsidRPr="003F4BAF">
              <w:rPr>
                <w:bCs/>
              </w:rPr>
              <w:t>55</w:t>
            </w:r>
            <w:r>
              <w:rPr>
                <w:bCs/>
              </w:rPr>
              <w:t>,870</w:t>
            </w:r>
          </w:p>
        </w:tc>
        <w:tc>
          <w:tcPr>
            <w:tcW w:w="1529" w:type="dxa"/>
          </w:tcPr>
          <w:p w14:paraId="6E6AD7D2" w14:textId="70879250" w:rsidR="003F4BAF" w:rsidRPr="003F4BAF" w:rsidRDefault="003F4BAF" w:rsidP="003F4BAF">
            <w:pPr>
              <w:jc w:val="center"/>
              <w:rPr>
                <w:bCs/>
              </w:rPr>
            </w:pPr>
            <w:r>
              <w:rPr>
                <w:bCs/>
              </w:rPr>
              <w:t>54,716</w:t>
            </w:r>
          </w:p>
        </w:tc>
        <w:tc>
          <w:tcPr>
            <w:tcW w:w="1529" w:type="dxa"/>
          </w:tcPr>
          <w:p w14:paraId="13E6826A" w14:textId="4B82026A" w:rsidR="003F4BAF" w:rsidRPr="003F4BAF" w:rsidRDefault="003F4BAF" w:rsidP="003F4BAF">
            <w:pPr>
              <w:jc w:val="center"/>
              <w:rPr>
                <w:bCs/>
              </w:rPr>
            </w:pPr>
            <w:r>
              <w:rPr>
                <w:bCs/>
              </w:rPr>
              <w:t>62,849</w:t>
            </w:r>
          </w:p>
        </w:tc>
        <w:tc>
          <w:tcPr>
            <w:tcW w:w="1529" w:type="dxa"/>
          </w:tcPr>
          <w:p w14:paraId="0D25CEF0" w14:textId="395AAD95" w:rsidR="003F4BAF" w:rsidRPr="003F4BAF" w:rsidRDefault="003F4BAF" w:rsidP="003F4BAF">
            <w:pPr>
              <w:jc w:val="center"/>
              <w:rPr>
                <w:bCs/>
              </w:rPr>
            </w:pPr>
            <w:r>
              <w:rPr>
                <w:bCs/>
              </w:rPr>
              <w:t>64,444</w:t>
            </w:r>
          </w:p>
        </w:tc>
      </w:tr>
      <w:tr w:rsidR="003F4BAF" w14:paraId="5EFE6386" w14:textId="77777777" w:rsidTr="003F64B8">
        <w:trPr>
          <w:cantSplit/>
        </w:trPr>
        <w:tc>
          <w:tcPr>
            <w:tcW w:w="2880" w:type="dxa"/>
          </w:tcPr>
          <w:p w14:paraId="243C1B44" w14:textId="57CBE7F0" w:rsidR="003F4BAF" w:rsidRDefault="003F4BAF" w:rsidP="00A22C7C">
            <w:pPr>
              <w:rPr>
                <w:b/>
              </w:rPr>
            </w:pPr>
            <w:r>
              <w:rPr>
                <w:b/>
              </w:rPr>
              <w:t>Medicare MHO</w:t>
            </w:r>
          </w:p>
        </w:tc>
        <w:tc>
          <w:tcPr>
            <w:tcW w:w="1528" w:type="dxa"/>
          </w:tcPr>
          <w:p w14:paraId="30EEC8C2" w14:textId="577688DA" w:rsidR="003F4BAF" w:rsidRPr="003F4BAF" w:rsidRDefault="003F4BAF" w:rsidP="003F4BAF">
            <w:pPr>
              <w:jc w:val="center"/>
              <w:rPr>
                <w:bCs/>
              </w:rPr>
            </w:pPr>
            <w:r w:rsidRPr="003F4BAF">
              <w:rPr>
                <w:bCs/>
              </w:rPr>
              <w:t>19</w:t>
            </w:r>
            <w:r>
              <w:rPr>
                <w:bCs/>
              </w:rPr>
              <w:t>,</w:t>
            </w:r>
            <w:r w:rsidRPr="003F4BAF">
              <w:rPr>
                <w:bCs/>
              </w:rPr>
              <w:t>799</w:t>
            </w:r>
          </w:p>
        </w:tc>
        <w:tc>
          <w:tcPr>
            <w:tcW w:w="1529" w:type="dxa"/>
          </w:tcPr>
          <w:p w14:paraId="53989823" w14:textId="145DE0D9" w:rsidR="003F4BAF" w:rsidRPr="003F4BAF" w:rsidRDefault="003F4BAF" w:rsidP="003F4BAF">
            <w:pPr>
              <w:jc w:val="center"/>
              <w:rPr>
                <w:bCs/>
              </w:rPr>
            </w:pPr>
            <w:r>
              <w:rPr>
                <w:bCs/>
              </w:rPr>
              <w:t>19,112</w:t>
            </w:r>
          </w:p>
        </w:tc>
        <w:tc>
          <w:tcPr>
            <w:tcW w:w="1529" w:type="dxa"/>
          </w:tcPr>
          <w:p w14:paraId="20115281" w14:textId="65716D7B" w:rsidR="003F4BAF" w:rsidRPr="003F4BAF" w:rsidRDefault="003F4BAF" w:rsidP="003F4BAF">
            <w:pPr>
              <w:jc w:val="center"/>
              <w:rPr>
                <w:bCs/>
              </w:rPr>
            </w:pPr>
            <w:r>
              <w:rPr>
                <w:bCs/>
              </w:rPr>
              <w:t>20,157</w:t>
            </w:r>
          </w:p>
        </w:tc>
        <w:tc>
          <w:tcPr>
            <w:tcW w:w="1529" w:type="dxa"/>
          </w:tcPr>
          <w:p w14:paraId="5396E5E5" w14:textId="0A0D3FF1" w:rsidR="003F4BAF" w:rsidRPr="003F4BAF" w:rsidRDefault="003F4BAF" w:rsidP="003F4BAF">
            <w:pPr>
              <w:jc w:val="center"/>
              <w:rPr>
                <w:bCs/>
              </w:rPr>
            </w:pPr>
            <w:r>
              <w:rPr>
                <w:bCs/>
              </w:rPr>
              <w:t>20,619</w:t>
            </w:r>
          </w:p>
        </w:tc>
      </w:tr>
      <w:tr w:rsidR="003F4BAF" w14:paraId="61B67457" w14:textId="77777777" w:rsidTr="003F64B8">
        <w:trPr>
          <w:cantSplit/>
        </w:trPr>
        <w:tc>
          <w:tcPr>
            <w:tcW w:w="2880" w:type="dxa"/>
          </w:tcPr>
          <w:p w14:paraId="603CE3A5" w14:textId="2D69E15F" w:rsidR="003F4BAF" w:rsidRDefault="003F4BAF" w:rsidP="00A22C7C">
            <w:pPr>
              <w:rPr>
                <w:b/>
              </w:rPr>
            </w:pPr>
            <w:r>
              <w:rPr>
                <w:b/>
              </w:rPr>
              <w:t>Other Government</w:t>
            </w:r>
          </w:p>
        </w:tc>
        <w:tc>
          <w:tcPr>
            <w:tcW w:w="1528" w:type="dxa"/>
          </w:tcPr>
          <w:p w14:paraId="1AF61439" w14:textId="00A1BA59" w:rsidR="003F4BAF" w:rsidRPr="003F4BAF" w:rsidRDefault="003F4BAF" w:rsidP="003F4BAF">
            <w:pPr>
              <w:jc w:val="center"/>
              <w:rPr>
                <w:bCs/>
              </w:rPr>
            </w:pPr>
            <w:r w:rsidRPr="003F4BAF">
              <w:rPr>
                <w:bCs/>
              </w:rPr>
              <w:t>3</w:t>
            </w:r>
            <w:r>
              <w:rPr>
                <w:bCs/>
              </w:rPr>
              <w:t>,</w:t>
            </w:r>
            <w:r w:rsidRPr="003F4BAF">
              <w:rPr>
                <w:bCs/>
              </w:rPr>
              <w:t>173</w:t>
            </w:r>
          </w:p>
        </w:tc>
        <w:tc>
          <w:tcPr>
            <w:tcW w:w="1529" w:type="dxa"/>
          </w:tcPr>
          <w:p w14:paraId="6D729C08" w14:textId="0438DC08" w:rsidR="003F4BAF" w:rsidRPr="003F4BAF" w:rsidRDefault="003F4BAF" w:rsidP="003F4BAF">
            <w:pPr>
              <w:jc w:val="center"/>
              <w:rPr>
                <w:bCs/>
              </w:rPr>
            </w:pPr>
            <w:r>
              <w:rPr>
                <w:bCs/>
              </w:rPr>
              <w:t>3,001</w:t>
            </w:r>
          </w:p>
        </w:tc>
        <w:tc>
          <w:tcPr>
            <w:tcW w:w="1529" w:type="dxa"/>
          </w:tcPr>
          <w:p w14:paraId="60D8CA21" w14:textId="3AA19F84" w:rsidR="003F4BAF" w:rsidRPr="003F4BAF" w:rsidRDefault="003F4BAF" w:rsidP="003F4BAF">
            <w:pPr>
              <w:jc w:val="center"/>
              <w:rPr>
                <w:bCs/>
              </w:rPr>
            </w:pPr>
            <w:r>
              <w:rPr>
                <w:bCs/>
              </w:rPr>
              <w:t>5,141</w:t>
            </w:r>
          </w:p>
        </w:tc>
        <w:tc>
          <w:tcPr>
            <w:tcW w:w="1529" w:type="dxa"/>
          </w:tcPr>
          <w:p w14:paraId="77CF2B20" w14:textId="1342F066" w:rsidR="003F4BAF" w:rsidRPr="003F4BAF" w:rsidRDefault="003F4BAF" w:rsidP="003F4BAF">
            <w:pPr>
              <w:jc w:val="center"/>
              <w:rPr>
                <w:bCs/>
              </w:rPr>
            </w:pPr>
            <w:r>
              <w:rPr>
                <w:bCs/>
              </w:rPr>
              <w:t>2,638</w:t>
            </w:r>
          </w:p>
        </w:tc>
      </w:tr>
      <w:tr w:rsidR="003F4BAF" w14:paraId="7DAB9060" w14:textId="77777777" w:rsidTr="003F64B8">
        <w:trPr>
          <w:cantSplit/>
        </w:trPr>
        <w:tc>
          <w:tcPr>
            <w:tcW w:w="2880" w:type="dxa"/>
          </w:tcPr>
          <w:p w14:paraId="2F9A286A" w14:textId="7B4FA76D" w:rsidR="003F4BAF" w:rsidRDefault="003F4BAF" w:rsidP="00A22C7C">
            <w:pPr>
              <w:rPr>
                <w:b/>
              </w:rPr>
            </w:pPr>
            <w:r>
              <w:rPr>
                <w:b/>
              </w:rPr>
              <w:t>Self-Pay</w:t>
            </w:r>
          </w:p>
        </w:tc>
        <w:tc>
          <w:tcPr>
            <w:tcW w:w="1528" w:type="dxa"/>
          </w:tcPr>
          <w:p w14:paraId="480D392F" w14:textId="1A13B209" w:rsidR="003F4BAF" w:rsidRPr="003F4BAF" w:rsidRDefault="003F4BAF" w:rsidP="003F4BAF">
            <w:pPr>
              <w:jc w:val="center"/>
              <w:rPr>
                <w:bCs/>
              </w:rPr>
            </w:pPr>
            <w:r w:rsidRPr="003F4BAF">
              <w:rPr>
                <w:bCs/>
              </w:rPr>
              <w:t>2</w:t>
            </w:r>
            <w:r>
              <w:rPr>
                <w:bCs/>
              </w:rPr>
              <w:t>,</w:t>
            </w:r>
            <w:r w:rsidRPr="003F4BAF">
              <w:rPr>
                <w:bCs/>
              </w:rPr>
              <w:t>758</w:t>
            </w:r>
          </w:p>
        </w:tc>
        <w:tc>
          <w:tcPr>
            <w:tcW w:w="1529" w:type="dxa"/>
          </w:tcPr>
          <w:p w14:paraId="3E578F46" w14:textId="1CABC1DC" w:rsidR="003F4BAF" w:rsidRPr="003F4BAF" w:rsidRDefault="003F4BAF" w:rsidP="003F4BAF">
            <w:pPr>
              <w:jc w:val="center"/>
              <w:rPr>
                <w:bCs/>
              </w:rPr>
            </w:pPr>
            <w:r>
              <w:rPr>
                <w:bCs/>
              </w:rPr>
              <w:t>1,930</w:t>
            </w:r>
          </w:p>
        </w:tc>
        <w:tc>
          <w:tcPr>
            <w:tcW w:w="1529" w:type="dxa"/>
          </w:tcPr>
          <w:p w14:paraId="40204A0B" w14:textId="63F1499B" w:rsidR="003F4BAF" w:rsidRPr="003F4BAF" w:rsidRDefault="003F4BAF" w:rsidP="003F4BAF">
            <w:pPr>
              <w:jc w:val="center"/>
              <w:rPr>
                <w:bCs/>
              </w:rPr>
            </w:pPr>
            <w:r>
              <w:rPr>
                <w:bCs/>
              </w:rPr>
              <w:t>3,860</w:t>
            </w:r>
          </w:p>
        </w:tc>
        <w:tc>
          <w:tcPr>
            <w:tcW w:w="1529" w:type="dxa"/>
          </w:tcPr>
          <w:p w14:paraId="31C56B21" w14:textId="2654836F" w:rsidR="003F4BAF" w:rsidRPr="003F4BAF" w:rsidRDefault="003F4BAF" w:rsidP="003F4BAF">
            <w:pPr>
              <w:jc w:val="center"/>
              <w:rPr>
                <w:bCs/>
              </w:rPr>
            </w:pPr>
            <w:r>
              <w:rPr>
                <w:bCs/>
              </w:rPr>
              <w:t>1,722</w:t>
            </w:r>
          </w:p>
        </w:tc>
      </w:tr>
      <w:tr w:rsidR="003F4BAF" w14:paraId="6B8AD7CB" w14:textId="77777777" w:rsidTr="003F64B8">
        <w:trPr>
          <w:cantSplit/>
        </w:trPr>
        <w:tc>
          <w:tcPr>
            <w:tcW w:w="2880" w:type="dxa"/>
            <w:shd w:val="clear" w:color="auto" w:fill="E7E6E6" w:themeFill="background2"/>
          </w:tcPr>
          <w:p w14:paraId="39CEA657" w14:textId="37C5834C" w:rsidR="003F4BAF" w:rsidRDefault="003F4BAF" w:rsidP="00A22C7C">
            <w:pPr>
              <w:rPr>
                <w:b/>
              </w:rPr>
            </w:pPr>
            <w:r>
              <w:rPr>
                <w:b/>
              </w:rPr>
              <w:t>Total</w:t>
            </w:r>
          </w:p>
        </w:tc>
        <w:tc>
          <w:tcPr>
            <w:tcW w:w="1528" w:type="dxa"/>
            <w:shd w:val="clear" w:color="auto" w:fill="E7E6E6" w:themeFill="background2"/>
          </w:tcPr>
          <w:p w14:paraId="47D02DFF" w14:textId="70F8F674" w:rsidR="003F4BAF" w:rsidRPr="003F4BAF" w:rsidRDefault="003F4BAF" w:rsidP="003F4BAF">
            <w:pPr>
              <w:jc w:val="center"/>
              <w:rPr>
                <w:bCs/>
              </w:rPr>
            </w:pPr>
            <w:r w:rsidRPr="003F4BAF">
              <w:rPr>
                <w:bCs/>
              </w:rPr>
              <w:t>429</w:t>
            </w:r>
            <w:r>
              <w:rPr>
                <w:bCs/>
              </w:rPr>
              <w:t>,</w:t>
            </w:r>
            <w:r w:rsidRPr="003F4BAF">
              <w:rPr>
                <w:bCs/>
              </w:rPr>
              <w:t>824</w:t>
            </w:r>
          </w:p>
        </w:tc>
        <w:tc>
          <w:tcPr>
            <w:tcW w:w="1529" w:type="dxa"/>
            <w:shd w:val="clear" w:color="auto" w:fill="E7E6E6" w:themeFill="background2"/>
          </w:tcPr>
          <w:p w14:paraId="18817A0A" w14:textId="68ABAA28" w:rsidR="003F4BAF" w:rsidRPr="003F4BAF" w:rsidRDefault="003F4BAF" w:rsidP="003F4BAF">
            <w:pPr>
              <w:jc w:val="center"/>
              <w:rPr>
                <w:bCs/>
              </w:rPr>
            </w:pPr>
            <w:r>
              <w:rPr>
                <w:bCs/>
              </w:rPr>
              <w:t>433,470</w:t>
            </w:r>
          </w:p>
        </w:tc>
        <w:tc>
          <w:tcPr>
            <w:tcW w:w="1529" w:type="dxa"/>
            <w:shd w:val="clear" w:color="auto" w:fill="E7E6E6" w:themeFill="background2"/>
          </w:tcPr>
          <w:p w14:paraId="3A338269" w14:textId="6427BFAD" w:rsidR="003F4BAF" w:rsidRPr="003F4BAF" w:rsidRDefault="003F4BAF" w:rsidP="003F4BAF">
            <w:pPr>
              <w:jc w:val="center"/>
              <w:rPr>
                <w:bCs/>
              </w:rPr>
            </w:pPr>
            <w:r>
              <w:rPr>
                <w:bCs/>
              </w:rPr>
              <w:t>474,317</w:t>
            </w:r>
          </w:p>
        </w:tc>
        <w:tc>
          <w:tcPr>
            <w:tcW w:w="1529" w:type="dxa"/>
            <w:shd w:val="clear" w:color="auto" w:fill="E7E6E6" w:themeFill="background2"/>
          </w:tcPr>
          <w:p w14:paraId="651ED97F" w14:textId="0046CB09" w:rsidR="003F4BAF" w:rsidRPr="003F4BAF" w:rsidRDefault="003F4BAF" w:rsidP="003F4BAF">
            <w:pPr>
              <w:jc w:val="center"/>
              <w:rPr>
                <w:bCs/>
              </w:rPr>
            </w:pPr>
            <w:r>
              <w:rPr>
                <w:bCs/>
              </w:rPr>
              <w:t>463,895</w:t>
            </w:r>
          </w:p>
        </w:tc>
      </w:tr>
    </w:tbl>
    <w:p w14:paraId="7E5E9356" w14:textId="77777777" w:rsidR="003F4BAF" w:rsidRDefault="003F4BAF" w:rsidP="00A22C7C">
      <w:pPr>
        <w:spacing w:after="0" w:line="240" w:lineRule="auto"/>
        <w:ind w:firstLine="360"/>
        <w:rPr>
          <w:b/>
          <w:kern w:val="0"/>
          <w14:ligatures w14:val="none"/>
        </w:rPr>
      </w:pPr>
    </w:p>
    <w:p w14:paraId="5567ECFE" w14:textId="6AECBD2D" w:rsidR="0019203D" w:rsidRDefault="0019203D" w:rsidP="00A22C7C">
      <w:pPr>
        <w:spacing w:after="0" w:line="240" w:lineRule="auto"/>
        <w:ind w:firstLine="360"/>
        <w:rPr>
          <w:b/>
          <w:kern w:val="0"/>
          <w14:ligatures w14:val="none"/>
        </w:rPr>
      </w:pPr>
    </w:p>
    <w:p w14:paraId="355804F5" w14:textId="65C3DDAC" w:rsidR="0019203D" w:rsidRPr="00153788" w:rsidRDefault="0019203D" w:rsidP="0019203D">
      <w:pPr>
        <w:rPr>
          <w:b/>
          <w:kern w:val="0"/>
          <w14:ligatures w14:val="none"/>
        </w:rPr>
      </w:pPr>
      <w:r w:rsidRPr="00153788">
        <w:rPr>
          <w:b/>
          <w:kern w:val="0"/>
          <w14:ligatures w14:val="none"/>
        </w:rPr>
        <w:lastRenderedPageBreak/>
        <w:t>F1.</w:t>
      </w:r>
      <w:proofErr w:type="gramStart"/>
      <w:r w:rsidRPr="00153788">
        <w:rPr>
          <w:b/>
          <w:kern w:val="0"/>
          <w14:ligatures w14:val="none"/>
        </w:rPr>
        <w:t>a.ii</w:t>
      </w:r>
      <w:proofErr w:type="gramEnd"/>
      <w:r w:rsidRPr="00153788">
        <w:rPr>
          <w:b/>
          <w:kern w:val="0"/>
          <w14:ligatures w14:val="none"/>
        </w:rPr>
        <w:tab/>
      </w:r>
      <w:r w:rsidRPr="00153788">
        <w:rPr>
          <w:b/>
          <w:kern w:val="0"/>
          <w:u w:val="single"/>
          <w14:ligatures w14:val="none"/>
        </w:rPr>
        <w:t>Need by Patient Panel</w:t>
      </w:r>
      <w:r w:rsidRPr="00153788">
        <w:rPr>
          <w:b/>
          <w:kern w:val="0"/>
          <w14:ligatures w14:val="none"/>
        </w:rPr>
        <w:t>:</w:t>
      </w:r>
    </w:p>
    <w:p w14:paraId="0CC2E9A6" w14:textId="77777777" w:rsidR="0019203D" w:rsidRPr="00153788" w:rsidRDefault="0019203D" w:rsidP="0019203D">
      <w:pPr>
        <w:jc w:val="both"/>
        <w:rPr>
          <w:b/>
          <w:kern w:val="0"/>
          <w14:ligatures w14:val="none"/>
        </w:rPr>
      </w:pPr>
      <w:r w:rsidRPr="00153788">
        <w:rPr>
          <w:b/>
          <w:kern w:val="0"/>
          <w14:ligatures w14:val="none"/>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2C8A3316" w14:textId="77777777" w:rsidR="0019203D" w:rsidRPr="00153788" w:rsidRDefault="0019203D" w:rsidP="00BD69E0">
      <w:pPr>
        <w:numPr>
          <w:ilvl w:val="0"/>
          <w:numId w:val="2"/>
        </w:numPr>
        <w:spacing w:after="0" w:line="240" w:lineRule="auto"/>
        <w:contextualSpacing/>
        <w:rPr>
          <w:b/>
          <w:kern w:val="0"/>
          <w14:ligatures w14:val="none"/>
        </w:rPr>
      </w:pPr>
      <w:r w:rsidRPr="00153788">
        <w:rPr>
          <w:b/>
          <w:kern w:val="0"/>
          <w14:ligatures w14:val="none"/>
        </w:rPr>
        <w:t xml:space="preserve">Overview </w:t>
      </w:r>
    </w:p>
    <w:p w14:paraId="365D4002" w14:textId="77777777" w:rsidR="00BD69E0" w:rsidRDefault="00BD69E0" w:rsidP="00BD69E0">
      <w:pPr>
        <w:spacing w:after="0" w:line="240" w:lineRule="auto"/>
        <w:ind w:left="360"/>
        <w:jc w:val="both"/>
        <w:rPr>
          <w:bCs/>
          <w:kern w:val="0"/>
          <w14:ligatures w14:val="none"/>
        </w:rPr>
      </w:pPr>
    </w:p>
    <w:p w14:paraId="4CD6AC28" w14:textId="44F6498A" w:rsidR="0019203D" w:rsidRDefault="0019203D" w:rsidP="00BD69E0">
      <w:pPr>
        <w:spacing w:after="0" w:line="240" w:lineRule="auto"/>
        <w:ind w:left="360"/>
        <w:jc w:val="both"/>
        <w:rPr>
          <w:bCs/>
          <w:kern w:val="0"/>
          <w14:ligatures w14:val="none"/>
        </w:rPr>
      </w:pPr>
      <w:r w:rsidRPr="00153788">
        <w:rPr>
          <w:bCs/>
          <w:kern w:val="0"/>
          <w14:ligatures w14:val="none"/>
        </w:rPr>
        <w:t xml:space="preserve">Through the Proposed Project, the Applicant will satisfy patient panel needs by providing access to PET/CT imaging services </w:t>
      </w:r>
      <w:r w:rsidRPr="00153788">
        <w:rPr>
          <w:bCs/>
          <w:kern w:val="0"/>
          <w:lang w:bidi="en-US"/>
          <w14:ligatures w14:val="none"/>
        </w:rPr>
        <w:t xml:space="preserve">one day per week, onsite at </w:t>
      </w:r>
      <w:r w:rsidR="00EA62DF">
        <w:rPr>
          <w:bCs/>
          <w:kern w:val="0"/>
          <w:lang w:bidi="en-US"/>
          <w14:ligatures w14:val="none"/>
        </w:rPr>
        <w:t xml:space="preserve">an existing </w:t>
      </w:r>
      <w:r>
        <w:rPr>
          <w:bCs/>
          <w:kern w:val="0"/>
          <w:lang w:bidi="en-US"/>
          <w14:ligatures w14:val="none"/>
        </w:rPr>
        <w:t xml:space="preserve">Shields </w:t>
      </w:r>
      <w:r w:rsidR="00EA62DF">
        <w:rPr>
          <w:bCs/>
          <w:kern w:val="0"/>
          <w:lang w:bidi="en-US"/>
          <w14:ligatures w14:val="none"/>
        </w:rPr>
        <w:t xml:space="preserve">location in Dedham. </w:t>
      </w:r>
      <w:r w:rsidRPr="00153788">
        <w:rPr>
          <w:bCs/>
          <w:kern w:val="0"/>
          <w14:ligatures w14:val="none"/>
        </w:rPr>
        <w:t xml:space="preserve"> To underscore the importance of access, it is noteworthy that barriers, such as challenges related to access to health care often result in unmet health care needs, including a lack of preventive and screening services and treatment of illnesses.</w:t>
      </w:r>
      <w:r w:rsidRPr="00153788">
        <w:rPr>
          <w:bCs/>
          <w:kern w:val="0"/>
          <w:vertAlign w:val="superscript"/>
          <w14:ligatures w14:val="none"/>
        </w:rPr>
        <w:footnoteReference w:id="26"/>
      </w:r>
      <w:r w:rsidRPr="00153788">
        <w:rPr>
          <w:bCs/>
          <w:kern w:val="0"/>
          <w14:ligatures w14:val="none"/>
        </w:rPr>
        <w:t xml:space="preserve"> </w:t>
      </w:r>
    </w:p>
    <w:p w14:paraId="408C5698" w14:textId="77777777" w:rsidR="00BD69E0" w:rsidRPr="00153788" w:rsidRDefault="00BD69E0" w:rsidP="00BD69E0">
      <w:pPr>
        <w:spacing w:after="0" w:line="240" w:lineRule="auto"/>
        <w:ind w:left="360"/>
        <w:jc w:val="both"/>
        <w:rPr>
          <w:bCs/>
          <w:kern w:val="0"/>
          <w14:ligatures w14:val="none"/>
        </w:rPr>
      </w:pPr>
    </w:p>
    <w:p w14:paraId="0A40D34F" w14:textId="226587F8" w:rsidR="00E14E1F" w:rsidRDefault="00E14E1F" w:rsidP="00BD69E0">
      <w:pPr>
        <w:spacing w:after="0" w:line="240" w:lineRule="auto"/>
        <w:ind w:left="360"/>
        <w:jc w:val="both"/>
        <w:rPr>
          <w:bCs/>
          <w:kern w:val="0"/>
          <w:lang w:bidi="en-US"/>
          <w14:ligatures w14:val="none"/>
        </w:rPr>
      </w:pPr>
      <w:r w:rsidRPr="00E14E1F">
        <w:rPr>
          <w:bCs/>
          <w:kern w:val="0"/>
          <w:lang w:bidi="en-US"/>
          <w14:ligatures w14:val="none"/>
        </w:rPr>
        <w:t xml:space="preserve">The existing need for PET/CT imaging services for the Applicant’s patient panel is demonstrated by </w:t>
      </w:r>
      <w:r w:rsidR="009E43B1">
        <w:rPr>
          <w:bCs/>
          <w:kern w:val="0"/>
          <w:lang w:bidi="en-US"/>
          <w14:ligatures w14:val="none"/>
        </w:rPr>
        <w:t xml:space="preserve">projected </w:t>
      </w:r>
      <w:r w:rsidRPr="00E14E1F">
        <w:rPr>
          <w:bCs/>
          <w:kern w:val="0"/>
          <w:lang w:bidi="en-US"/>
          <w14:ligatures w14:val="none"/>
        </w:rPr>
        <w:t>volume demand</w:t>
      </w:r>
      <w:r w:rsidR="008A0B04">
        <w:rPr>
          <w:bCs/>
          <w:kern w:val="0"/>
          <w:lang w:bidi="en-US"/>
          <w14:ligatures w14:val="none"/>
        </w:rPr>
        <w:t>,</w:t>
      </w:r>
      <w:r w:rsidR="008A0B04" w:rsidRPr="00E14E1F">
        <w:rPr>
          <w:bCs/>
          <w:kern w:val="0"/>
          <w:lang w:bidi="en-US"/>
          <w14:ligatures w14:val="none"/>
        </w:rPr>
        <w:t xml:space="preserve"> </w:t>
      </w:r>
      <w:r w:rsidRPr="00E14E1F">
        <w:rPr>
          <w:bCs/>
          <w:kern w:val="0"/>
          <w:lang w:bidi="en-US"/>
          <w14:ligatures w14:val="none"/>
        </w:rPr>
        <w:t xml:space="preserve">growth in the number of older patients, </w:t>
      </w:r>
      <w:r w:rsidR="00AC1EB5" w:rsidRPr="00AC1EB5">
        <w:rPr>
          <w:bCs/>
          <w:kern w:val="0"/>
          <w:lang w:bidi="en-US"/>
          <w14:ligatures w14:val="none"/>
        </w:rPr>
        <w:t xml:space="preserve">disease burden trends, </w:t>
      </w:r>
      <w:r w:rsidRPr="00E14E1F">
        <w:rPr>
          <w:bCs/>
          <w:kern w:val="0"/>
          <w:lang w:bidi="en-US"/>
          <w14:ligatures w14:val="none"/>
        </w:rPr>
        <w:t>and the increasing number of patients with underlying oncologic, cardiac, and neurologic conditions</w:t>
      </w:r>
      <w:r>
        <w:rPr>
          <w:bCs/>
          <w:kern w:val="0"/>
          <w:lang w:bidi="en-US"/>
          <w14:ligatures w14:val="none"/>
        </w:rPr>
        <w:t xml:space="preserve"> </w:t>
      </w:r>
      <w:r w:rsidRPr="00E14E1F">
        <w:rPr>
          <w:bCs/>
          <w:kern w:val="0"/>
          <w:lang w:bidi="en-US"/>
          <w14:ligatures w14:val="none"/>
        </w:rPr>
        <w:t>for which PET/CT has proven clinical applicability.</w:t>
      </w:r>
    </w:p>
    <w:p w14:paraId="4E87E4D8" w14:textId="77777777" w:rsidR="008A0B04" w:rsidRDefault="008A0B04" w:rsidP="00BD69E0">
      <w:pPr>
        <w:spacing w:after="0" w:line="240" w:lineRule="auto"/>
        <w:ind w:left="360"/>
        <w:jc w:val="both"/>
        <w:rPr>
          <w:bCs/>
          <w:kern w:val="0"/>
          <w:lang w:bidi="en-US"/>
          <w14:ligatures w14:val="none"/>
        </w:rPr>
      </w:pPr>
    </w:p>
    <w:p w14:paraId="5ED15ADC" w14:textId="3859C53C" w:rsidR="00A10529" w:rsidRDefault="002B3BDE" w:rsidP="00BD69E0">
      <w:pPr>
        <w:spacing w:after="0" w:line="240" w:lineRule="auto"/>
        <w:ind w:left="360"/>
        <w:jc w:val="both"/>
        <w:rPr>
          <w:bCs/>
          <w:kern w:val="0"/>
          <w:lang w:bidi="en-US"/>
          <w14:ligatures w14:val="none"/>
        </w:rPr>
      </w:pPr>
      <w:r w:rsidRPr="00986C2E">
        <w:rPr>
          <w:bCs/>
          <w:kern w:val="0"/>
          <w:lang w:bidi="en-US"/>
          <w14:ligatures w14:val="none"/>
        </w:rPr>
        <w:t>In addition, the Applicant proposes to use the mobile PET/CT unit for part-time use as the diagnostic imaging unit supporting four (4) Alzheimer’s clinical research trials</w:t>
      </w:r>
      <w:r w:rsidR="004A364D" w:rsidRPr="00986C2E">
        <w:rPr>
          <w:bCs/>
          <w:kern w:val="0"/>
          <w:lang w:bidi="en-US"/>
          <w14:ligatures w14:val="none"/>
        </w:rPr>
        <w:t>.  C</w:t>
      </w:r>
      <w:r w:rsidR="00805CDF" w:rsidRPr="00986C2E">
        <w:rPr>
          <w:bCs/>
          <w:kern w:val="0"/>
          <w:lang w:bidi="en-US"/>
          <w14:ligatures w14:val="none"/>
        </w:rPr>
        <w:t xml:space="preserve">linical research has </w:t>
      </w:r>
      <w:r w:rsidR="0046413E" w:rsidRPr="00986C2E">
        <w:rPr>
          <w:bCs/>
          <w:kern w:val="0"/>
          <w:lang w:bidi="en-US"/>
          <w14:ligatures w14:val="none"/>
        </w:rPr>
        <w:t>been</w:t>
      </w:r>
      <w:r w:rsidR="0046413E">
        <w:rPr>
          <w:bCs/>
          <w:kern w:val="0"/>
          <w:lang w:bidi="en-US"/>
          <w14:ligatures w14:val="none"/>
        </w:rPr>
        <w:t xml:space="preserve"> instrumental in showing</w:t>
      </w:r>
      <w:r w:rsidR="00805CDF" w:rsidRPr="00805CDF">
        <w:rPr>
          <w:bCs/>
          <w:kern w:val="0"/>
          <w:lang w:bidi="en-US"/>
          <w14:ligatures w14:val="none"/>
        </w:rPr>
        <w:t xml:space="preserve"> that in comparison to a PET scan alone, PET/CT technology provides new information that can alter a patient's treatment plan to better target the </w:t>
      </w:r>
      <w:r w:rsidR="006657DF">
        <w:rPr>
          <w:bCs/>
          <w:kern w:val="0"/>
          <w:lang w:bidi="en-US"/>
          <w14:ligatures w14:val="none"/>
        </w:rPr>
        <w:t>disease</w:t>
      </w:r>
      <w:r w:rsidR="00D32CDF">
        <w:rPr>
          <w:bCs/>
          <w:kern w:val="0"/>
          <w:lang w:bidi="en-US"/>
          <w14:ligatures w14:val="none"/>
        </w:rPr>
        <w:t>.</w:t>
      </w:r>
      <w:r w:rsidR="00C9329F">
        <w:rPr>
          <w:rStyle w:val="FootnoteReference"/>
          <w:bCs/>
          <w:kern w:val="0"/>
          <w:lang w:bidi="en-US"/>
          <w14:ligatures w14:val="none"/>
        </w:rPr>
        <w:footnoteReference w:id="27"/>
      </w:r>
      <w:r w:rsidR="00C9329F">
        <w:rPr>
          <w:bCs/>
          <w:kern w:val="0"/>
          <w:lang w:bidi="en-US"/>
          <w14:ligatures w14:val="none"/>
        </w:rPr>
        <w:t xml:space="preserve">  </w:t>
      </w:r>
    </w:p>
    <w:p w14:paraId="033575C2" w14:textId="77777777" w:rsidR="00BD69E0" w:rsidRDefault="00BD69E0" w:rsidP="00BD69E0">
      <w:pPr>
        <w:spacing w:after="0" w:line="240" w:lineRule="auto"/>
        <w:ind w:left="360"/>
        <w:jc w:val="both"/>
        <w:rPr>
          <w:bCs/>
          <w:kern w:val="0"/>
          <w14:ligatures w14:val="none"/>
        </w:rPr>
      </w:pPr>
    </w:p>
    <w:p w14:paraId="636CC818" w14:textId="0A14EBB1" w:rsidR="0019203D" w:rsidRDefault="0019203D" w:rsidP="00BD69E0">
      <w:pPr>
        <w:spacing w:after="0" w:line="240" w:lineRule="auto"/>
        <w:ind w:left="360"/>
        <w:jc w:val="both"/>
        <w:rPr>
          <w:b/>
          <w:kern w:val="0"/>
          <w14:ligatures w14:val="none"/>
        </w:rPr>
      </w:pPr>
      <w:r w:rsidRPr="00153788">
        <w:rPr>
          <w:b/>
          <w:kern w:val="0"/>
          <w14:ligatures w14:val="none"/>
        </w:rPr>
        <w:t xml:space="preserve">Need for Additional Services </w:t>
      </w:r>
    </w:p>
    <w:p w14:paraId="79F0C655" w14:textId="77777777" w:rsidR="008E0859" w:rsidRPr="00153788" w:rsidRDefault="008E0859" w:rsidP="00BD69E0">
      <w:pPr>
        <w:spacing w:after="0" w:line="240" w:lineRule="auto"/>
        <w:ind w:left="360"/>
        <w:jc w:val="both"/>
        <w:rPr>
          <w:b/>
          <w:kern w:val="0"/>
          <w14:ligatures w14:val="none"/>
        </w:rPr>
      </w:pPr>
    </w:p>
    <w:p w14:paraId="4A5148DF" w14:textId="17476122" w:rsidR="00E51660" w:rsidRDefault="0019203D" w:rsidP="00BD69E0">
      <w:pPr>
        <w:numPr>
          <w:ilvl w:val="1"/>
          <w:numId w:val="2"/>
        </w:numPr>
        <w:spacing w:after="0" w:line="240" w:lineRule="auto"/>
        <w:contextualSpacing/>
        <w:rPr>
          <w:bCs/>
          <w:kern w:val="0"/>
          <w14:ligatures w14:val="none"/>
        </w:rPr>
      </w:pPr>
      <w:r w:rsidRPr="00153788">
        <w:rPr>
          <w:bCs/>
          <w:kern w:val="0"/>
          <w14:ligatures w14:val="none"/>
        </w:rPr>
        <w:t xml:space="preserve">The need for local PET/CT imaging services is demonstrated by </w:t>
      </w:r>
      <w:r w:rsidR="00374CC5">
        <w:rPr>
          <w:bCs/>
          <w:kern w:val="0"/>
          <w14:ligatures w14:val="none"/>
        </w:rPr>
        <w:t xml:space="preserve">projected </w:t>
      </w:r>
      <w:r w:rsidRPr="00153788">
        <w:rPr>
          <w:bCs/>
          <w:kern w:val="0"/>
          <w14:ligatures w14:val="none"/>
        </w:rPr>
        <w:t>volume.</w:t>
      </w:r>
    </w:p>
    <w:p w14:paraId="6EBFC556" w14:textId="77777777" w:rsidR="00E51660" w:rsidRDefault="00E51660" w:rsidP="00BD69E0">
      <w:pPr>
        <w:spacing w:after="0" w:line="240" w:lineRule="auto"/>
        <w:ind w:left="1440"/>
        <w:contextualSpacing/>
        <w:rPr>
          <w:bCs/>
          <w:kern w:val="0"/>
          <w14:ligatures w14:val="none"/>
        </w:rPr>
      </w:pPr>
    </w:p>
    <w:p w14:paraId="42EF5663" w14:textId="26E8D903" w:rsidR="00215D95" w:rsidRPr="00E12D60" w:rsidRDefault="00215D95" w:rsidP="00215D95">
      <w:pPr>
        <w:spacing w:after="0" w:line="240" w:lineRule="auto"/>
        <w:ind w:left="1440"/>
        <w:jc w:val="both"/>
        <w:rPr>
          <w:bCs/>
          <w:kern w:val="0"/>
          <w:u w:val="single"/>
          <w14:ligatures w14:val="none"/>
        </w:rPr>
      </w:pPr>
      <w:r w:rsidRPr="00E12D60">
        <w:rPr>
          <w:bCs/>
          <w:kern w:val="0"/>
          <w:u w:val="single"/>
          <w14:ligatures w14:val="none"/>
        </w:rPr>
        <w:t>Projected Volume</w:t>
      </w:r>
    </w:p>
    <w:p w14:paraId="58793F6A" w14:textId="77777777" w:rsidR="00E12D60" w:rsidRPr="008E67FD" w:rsidRDefault="00E12D60" w:rsidP="00215D95">
      <w:pPr>
        <w:spacing w:after="0" w:line="240" w:lineRule="auto"/>
        <w:ind w:left="1440"/>
        <w:jc w:val="both"/>
        <w:rPr>
          <w:b/>
          <w:kern w:val="0"/>
          <w:u w:val="single"/>
          <w14:ligatures w14:val="none"/>
        </w:rPr>
      </w:pPr>
    </w:p>
    <w:p w14:paraId="44F254C6" w14:textId="7B64786E" w:rsidR="0019203D" w:rsidRDefault="0019203D" w:rsidP="00215D95">
      <w:pPr>
        <w:spacing w:after="0" w:line="240" w:lineRule="auto"/>
        <w:ind w:left="1440"/>
        <w:jc w:val="both"/>
        <w:rPr>
          <w:bCs/>
          <w:kern w:val="0"/>
          <w14:ligatures w14:val="none"/>
        </w:rPr>
      </w:pPr>
      <w:r w:rsidRPr="00153788">
        <w:rPr>
          <w:bCs/>
          <w:kern w:val="0"/>
          <w14:ligatures w14:val="none"/>
        </w:rPr>
        <w:t>The Applicant evaluated the growing demand for access to PET/CT services</w:t>
      </w:r>
      <w:r w:rsidR="00460790">
        <w:rPr>
          <w:bCs/>
          <w:kern w:val="0"/>
          <w14:ligatures w14:val="none"/>
        </w:rPr>
        <w:t xml:space="preserve"> within the service area</w:t>
      </w:r>
      <w:r w:rsidR="007C423C">
        <w:rPr>
          <w:bCs/>
          <w:kern w:val="0"/>
          <w14:ligatures w14:val="none"/>
        </w:rPr>
        <w:t xml:space="preserve">. These volume assumptions include both Shields and Atrius </w:t>
      </w:r>
      <w:r w:rsidR="00A4183C">
        <w:rPr>
          <w:bCs/>
          <w:kern w:val="0"/>
          <w14:ligatures w14:val="none"/>
        </w:rPr>
        <w:t xml:space="preserve">Health’s </w:t>
      </w:r>
      <w:r w:rsidR="00C7383A">
        <w:rPr>
          <w:bCs/>
          <w:kern w:val="0"/>
          <w14:ligatures w14:val="none"/>
        </w:rPr>
        <w:t>data</w:t>
      </w:r>
      <w:r w:rsidRPr="00153788">
        <w:rPr>
          <w:bCs/>
          <w:kern w:val="0"/>
          <w14:ligatures w14:val="none"/>
        </w:rPr>
        <w:t xml:space="preserve"> – </w:t>
      </w:r>
      <w:r w:rsidR="004D63CC">
        <w:rPr>
          <w:bCs/>
          <w:kern w:val="0"/>
          <w14:ligatures w14:val="none"/>
        </w:rPr>
        <w:t xml:space="preserve">please see </w:t>
      </w:r>
      <w:r w:rsidR="00E51660">
        <w:rPr>
          <w:bCs/>
          <w:kern w:val="0"/>
          <w14:ligatures w14:val="none"/>
        </w:rPr>
        <w:t>T</w:t>
      </w:r>
      <w:r w:rsidR="004D63CC">
        <w:rPr>
          <w:bCs/>
          <w:kern w:val="0"/>
          <w14:ligatures w14:val="none"/>
        </w:rPr>
        <w:t xml:space="preserve">able 8 for </w:t>
      </w:r>
      <w:r w:rsidR="009C304B">
        <w:rPr>
          <w:bCs/>
          <w:kern w:val="0"/>
          <w14:ligatures w14:val="none"/>
        </w:rPr>
        <w:t>the</w:t>
      </w:r>
      <w:r w:rsidR="0053759E">
        <w:rPr>
          <w:bCs/>
          <w:kern w:val="0"/>
          <w14:ligatures w14:val="none"/>
        </w:rPr>
        <w:t xml:space="preserve"> volume projection data</w:t>
      </w:r>
      <w:r w:rsidRPr="00153788">
        <w:rPr>
          <w:bCs/>
          <w:kern w:val="0"/>
          <w14:ligatures w14:val="none"/>
        </w:rPr>
        <w:t>.</w:t>
      </w:r>
      <w:r w:rsidRPr="00153788">
        <w:rPr>
          <w:bCs/>
          <w:kern w:val="0"/>
          <w:vertAlign w:val="superscript"/>
          <w14:ligatures w14:val="none"/>
        </w:rPr>
        <w:footnoteReference w:id="28"/>
      </w:r>
      <w:r w:rsidRPr="00153788">
        <w:rPr>
          <w:bCs/>
          <w:kern w:val="0"/>
          <w14:ligatures w14:val="none"/>
        </w:rPr>
        <w:t xml:space="preserve"> </w:t>
      </w:r>
    </w:p>
    <w:p w14:paraId="5584EB25" w14:textId="77777777" w:rsidR="004304F0" w:rsidRDefault="004304F0" w:rsidP="001E3818">
      <w:pPr>
        <w:spacing w:after="0" w:line="240" w:lineRule="auto"/>
        <w:jc w:val="both"/>
        <w:rPr>
          <w:bCs/>
          <w:kern w:val="0"/>
          <w14:ligatures w14:val="none"/>
        </w:rPr>
      </w:pPr>
    </w:p>
    <w:p w14:paraId="377C69CC" w14:textId="77777777" w:rsidR="0063226A" w:rsidRDefault="0063226A" w:rsidP="001E3818">
      <w:pPr>
        <w:spacing w:after="0" w:line="240" w:lineRule="auto"/>
        <w:jc w:val="both"/>
        <w:rPr>
          <w:bCs/>
          <w:kern w:val="0"/>
          <w14:ligatures w14:val="none"/>
        </w:rPr>
      </w:pPr>
    </w:p>
    <w:p w14:paraId="2CE16DE4" w14:textId="77777777" w:rsidR="0063226A" w:rsidRDefault="0063226A" w:rsidP="001E3818">
      <w:pPr>
        <w:spacing w:after="0" w:line="240" w:lineRule="auto"/>
        <w:jc w:val="both"/>
        <w:rPr>
          <w:bCs/>
          <w:kern w:val="0"/>
          <w14:ligatures w14:val="none"/>
        </w:rPr>
      </w:pPr>
    </w:p>
    <w:p w14:paraId="70FD354D" w14:textId="77777777" w:rsidR="0063226A" w:rsidRDefault="0063226A" w:rsidP="001E3818">
      <w:pPr>
        <w:spacing w:after="0" w:line="240" w:lineRule="auto"/>
        <w:jc w:val="both"/>
        <w:rPr>
          <w:bCs/>
          <w:kern w:val="0"/>
          <w14:ligatures w14:val="none"/>
        </w:rPr>
      </w:pPr>
    </w:p>
    <w:p w14:paraId="4977AE5F" w14:textId="77777777" w:rsidR="0063226A" w:rsidRDefault="0063226A" w:rsidP="001E3818">
      <w:pPr>
        <w:spacing w:after="0" w:line="240" w:lineRule="auto"/>
        <w:jc w:val="both"/>
        <w:rPr>
          <w:bCs/>
          <w:kern w:val="0"/>
          <w14:ligatures w14:val="none"/>
        </w:rPr>
      </w:pPr>
    </w:p>
    <w:p w14:paraId="1D04DCAD" w14:textId="2DC73A4B" w:rsidR="004D63CC" w:rsidRDefault="004D63CC" w:rsidP="008E0859">
      <w:pPr>
        <w:spacing w:after="0" w:line="240" w:lineRule="auto"/>
        <w:ind w:left="1440"/>
        <w:jc w:val="both"/>
        <w:rPr>
          <w:b/>
          <w:kern w:val="0"/>
          <w14:ligatures w14:val="none"/>
        </w:rPr>
      </w:pPr>
      <w:r w:rsidRPr="004D63CC">
        <w:rPr>
          <w:b/>
          <w:kern w:val="0"/>
          <w14:ligatures w14:val="none"/>
        </w:rPr>
        <w:lastRenderedPageBreak/>
        <w:t xml:space="preserve">Table 8: </w:t>
      </w:r>
      <w:r w:rsidR="001E3818">
        <w:rPr>
          <w:b/>
          <w:kern w:val="0"/>
          <w14:ligatures w14:val="none"/>
        </w:rPr>
        <w:t>Projected Volume Data</w:t>
      </w:r>
    </w:p>
    <w:tbl>
      <w:tblPr>
        <w:tblStyle w:val="TableGrid"/>
        <w:tblW w:w="0" w:type="auto"/>
        <w:tblInd w:w="1440" w:type="dxa"/>
        <w:tblLayout w:type="fixed"/>
        <w:tblLook w:val="04A0" w:firstRow="1" w:lastRow="0" w:firstColumn="1" w:lastColumn="0" w:noHBand="0" w:noVBand="1"/>
      </w:tblPr>
      <w:tblGrid>
        <w:gridCol w:w="2088"/>
        <w:gridCol w:w="970"/>
        <w:gridCol w:w="970"/>
        <w:gridCol w:w="971"/>
        <w:gridCol w:w="970"/>
        <w:gridCol w:w="970"/>
        <w:gridCol w:w="971"/>
      </w:tblGrid>
      <w:tr w:rsidR="00716E4D" w14:paraId="2FED4A57" w14:textId="77777777" w:rsidTr="00E16DDD">
        <w:trPr>
          <w:cantSplit/>
          <w:tblHeader/>
        </w:trPr>
        <w:tc>
          <w:tcPr>
            <w:tcW w:w="2088" w:type="dxa"/>
            <w:shd w:val="clear" w:color="auto" w:fill="002060"/>
          </w:tcPr>
          <w:p w14:paraId="0969629D" w14:textId="77777777" w:rsidR="00716E4D" w:rsidRDefault="00716E4D" w:rsidP="00E33EA5">
            <w:pPr>
              <w:jc w:val="both"/>
              <w:rPr>
                <w:b/>
              </w:rPr>
            </w:pPr>
          </w:p>
        </w:tc>
        <w:tc>
          <w:tcPr>
            <w:tcW w:w="970" w:type="dxa"/>
            <w:shd w:val="clear" w:color="auto" w:fill="002060"/>
          </w:tcPr>
          <w:p w14:paraId="2AF8DCE8" w14:textId="21852F3E" w:rsidR="00716E4D" w:rsidRPr="005634FA" w:rsidRDefault="00716E4D" w:rsidP="0025088B">
            <w:pPr>
              <w:jc w:val="center"/>
              <w:rPr>
                <w:b/>
                <w:sz w:val="21"/>
                <w:szCs w:val="21"/>
              </w:rPr>
            </w:pPr>
            <w:r w:rsidRPr="005634FA">
              <w:rPr>
                <w:b/>
                <w:sz w:val="21"/>
                <w:szCs w:val="21"/>
              </w:rPr>
              <w:t>Baseline</w:t>
            </w:r>
          </w:p>
        </w:tc>
        <w:tc>
          <w:tcPr>
            <w:tcW w:w="970" w:type="dxa"/>
            <w:shd w:val="clear" w:color="auto" w:fill="002060"/>
          </w:tcPr>
          <w:p w14:paraId="283F68C7" w14:textId="4F2EB466" w:rsidR="00716E4D" w:rsidRPr="005634FA" w:rsidRDefault="0025088B" w:rsidP="0025088B">
            <w:pPr>
              <w:jc w:val="center"/>
              <w:rPr>
                <w:b/>
                <w:sz w:val="21"/>
                <w:szCs w:val="21"/>
              </w:rPr>
            </w:pPr>
            <w:r w:rsidRPr="005634FA">
              <w:rPr>
                <w:b/>
                <w:sz w:val="21"/>
                <w:szCs w:val="21"/>
              </w:rPr>
              <w:t>Year 1</w:t>
            </w:r>
          </w:p>
        </w:tc>
        <w:tc>
          <w:tcPr>
            <w:tcW w:w="971" w:type="dxa"/>
            <w:shd w:val="clear" w:color="auto" w:fill="002060"/>
          </w:tcPr>
          <w:p w14:paraId="23A3727C" w14:textId="71416246" w:rsidR="00716E4D" w:rsidRPr="005634FA" w:rsidRDefault="00716E4D" w:rsidP="0025088B">
            <w:pPr>
              <w:jc w:val="center"/>
              <w:rPr>
                <w:b/>
                <w:sz w:val="21"/>
                <w:szCs w:val="21"/>
              </w:rPr>
            </w:pPr>
            <w:r w:rsidRPr="005634FA">
              <w:rPr>
                <w:b/>
                <w:sz w:val="21"/>
                <w:szCs w:val="21"/>
              </w:rPr>
              <w:t>Year 2</w:t>
            </w:r>
          </w:p>
        </w:tc>
        <w:tc>
          <w:tcPr>
            <w:tcW w:w="970" w:type="dxa"/>
            <w:shd w:val="clear" w:color="auto" w:fill="002060"/>
          </w:tcPr>
          <w:p w14:paraId="506BD0DE" w14:textId="746410D0" w:rsidR="00716E4D" w:rsidRPr="005634FA" w:rsidRDefault="00716E4D" w:rsidP="0025088B">
            <w:pPr>
              <w:jc w:val="center"/>
              <w:rPr>
                <w:b/>
                <w:sz w:val="21"/>
                <w:szCs w:val="21"/>
              </w:rPr>
            </w:pPr>
            <w:r w:rsidRPr="005634FA">
              <w:rPr>
                <w:b/>
                <w:sz w:val="21"/>
                <w:szCs w:val="21"/>
              </w:rPr>
              <w:t>Year 3</w:t>
            </w:r>
          </w:p>
        </w:tc>
        <w:tc>
          <w:tcPr>
            <w:tcW w:w="970" w:type="dxa"/>
            <w:shd w:val="clear" w:color="auto" w:fill="002060"/>
          </w:tcPr>
          <w:p w14:paraId="5338BBF9" w14:textId="3DE5DF4B" w:rsidR="00716E4D" w:rsidRPr="005634FA" w:rsidRDefault="00716E4D" w:rsidP="0025088B">
            <w:pPr>
              <w:jc w:val="center"/>
              <w:rPr>
                <w:b/>
                <w:sz w:val="21"/>
                <w:szCs w:val="21"/>
              </w:rPr>
            </w:pPr>
            <w:r w:rsidRPr="005634FA">
              <w:rPr>
                <w:b/>
                <w:sz w:val="21"/>
                <w:szCs w:val="21"/>
              </w:rPr>
              <w:t>Year 4</w:t>
            </w:r>
          </w:p>
        </w:tc>
        <w:tc>
          <w:tcPr>
            <w:tcW w:w="971" w:type="dxa"/>
            <w:shd w:val="clear" w:color="auto" w:fill="002060"/>
          </w:tcPr>
          <w:p w14:paraId="42902BCE" w14:textId="36B41118" w:rsidR="00716E4D" w:rsidRPr="005634FA" w:rsidRDefault="00716E4D" w:rsidP="0025088B">
            <w:pPr>
              <w:jc w:val="center"/>
              <w:rPr>
                <w:b/>
                <w:sz w:val="21"/>
                <w:szCs w:val="21"/>
              </w:rPr>
            </w:pPr>
            <w:r w:rsidRPr="005634FA">
              <w:rPr>
                <w:b/>
                <w:sz w:val="21"/>
                <w:szCs w:val="21"/>
              </w:rPr>
              <w:t>Year 5</w:t>
            </w:r>
          </w:p>
        </w:tc>
      </w:tr>
      <w:tr w:rsidR="00A47876" w14:paraId="1D6BAF87" w14:textId="77777777" w:rsidTr="00E16DDD">
        <w:trPr>
          <w:cantSplit/>
        </w:trPr>
        <w:tc>
          <w:tcPr>
            <w:tcW w:w="2088" w:type="dxa"/>
            <w:shd w:val="clear" w:color="auto" w:fill="E7E6E6" w:themeFill="background2"/>
          </w:tcPr>
          <w:p w14:paraId="4F067C2B" w14:textId="2FBF449A" w:rsidR="00A47876" w:rsidRDefault="00A47876" w:rsidP="00FF1F6A">
            <w:pPr>
              <w:jc w:val="right"/>
              <w:rPr>
                <w:b/>
              </w:rPr>
            </w:pPr>
            <w:r>
              <w:rPr>
                <w:b/>
              </w:rPr>
              <w:t>Total PET/CT Volume</w:t>
            </w:r>
          </w:p>
        </w:tc>
        <w:tc>
          <w:tcPr>
            <w:tcW w:w="970" w:type="dxa"/>
            <w:tcBorders>
              <w:bottom w:val="single" w:sz="4" w:space="0" w:color="auto"/>
            </w:tcBorders>
            <w:shd w:val="clear" w:color="auto" w:fill="E7E6E6" w:themeFill="background2"/>
            <w:vAlign w:val="center"/>
          </w:tcPr>
          <w:p w14:paraId="46D655E3" w14:textId="68F3B46C" w:rsidR="00A47876" w:rsidRDefault="00A47876" w:rsidP="0025088B">
            <w:pPr>
              <w:jc w:val="center"/>
              <w:rPr>
                <w:b/>
              </w:rPr>
            </w:pPr>
            <w:r>
              <w:rPr>
                <w:b/>
              </w:rPr>
              <w:t>664</w:t>
            </w:r>
          </w:p>
        </w:tc>
        <w:tc>
          <w:tcPr>
            <w:tcW w:w="970" w:type="dxa"/>
            <w:tcBorders>
              <w:bottom w:val="single" w:sz="4" w:space="0" w:color="auto"/>
            </w:tcBorders>
            <w:shd w:val="clear" w:color="auto" w:fill="E7E6E6" w:themeFill="background2"/>
            <w:vAlign w:val="center"/>
          </w:tcPr>
          <w:p w14:paraId="27A9BE42" w14:textId="49B0744B" w:rsidR="00A47876" w:rsidRDefault="00A47876" w:rsidP="0025088B">
            <w:pPr>
              <w:jc w:val="center"/>
              <w:rPr>
                <w:b/>
              </w:rPr>
            </w:pPr>
            <w:r>
              <w:rPr>
                <w:b/>
              </w:rPr>
              <w:t>764</w:t>
            </w:r>
          </w:p>
        </w:tc>
        <w:tc>
          <w:tcPr>
            <w:tcW w:w="971" w:type="dxa"/>
            <w:tcBorders>
              <w:bottom w:val="single" w:sz="4" w:space="0" w:color="auto"/>
            </w:tcBorders>
            <w:shd w:val="clear" w:color="auto" w:fill="E7E6E6" w:themeFill="background2"/>
            <w:vAlign w:val="center"/>
          </w:tcPr>
          <w:p w14:paraId="35F4A6D2" w14:textId="722DC457" w:rsidR="00A47876" w:rsidRDefault="00A47876" w:rsidP="0025088B">
            <w:pPr>
              <w:jc w:val="center"/>
              <w:rPr>
                <w:b/>
              </w:rPr>
            </w:pPr>
            <w:r>
              <w:rPr>
                <w:b/>
              </w:rPr>
              <w:t>85</w:t>
            </w:r>
            <w:r w:rsidR="00CA789A">
              <w:rPr>
                <w:b/>
              </w:rPr>
              <w:t>6</w:t>
            </w:r>
          </w:p>
        </w:tc>
        <w:tc>
          <w:tcPr>
            <w:tcW w:w="970" w:type="dxa"/>
            <w:tcBorders>
              <w:bottom w:val="single" w:sz="4" w:space="0" w:color="auto"/>
            </w:tcBorders>
            <w:shd w:val="clear" w:color="auto" w:fill="E7E6E6" w:themeFill="background2"/>
            <w:vAlign w:val="center"/>
          </w:tcPr>
          <w:p w14:paraId="05B08CA7" w14:textId="6076B365" w:rsidR="00A47876" w:rsidRDefault="00A47876" w:rsidP="0025088B">
            <w:pPr>
              <w:jc w:val="center"/>
              <w:rPr>
                <w:b/>
              </w:rPr>
            </w:pPr>
            <w:r>
              <w:rPr>
                <w:b/>
              </w:rPr>
              <w:t>958</w:t>
            </w:r>
          </w:p>
        </w:tc>
        <w:tc>
          <w:tcPr>
            <w:tcW w:w="970" w:type="dxa"/>
            <w:tcBorders>
              <w:bottom w:val="single" w:sz="4" w:space="0" w:color="auto"/>
            </w:tcBorders>
            <w:shd w:val="clear" w:color="auto" w:fill="E7E6E6" w:themeFill="background2"/>
            <w:vAlign w:val="center"/>
          </w:tcPr>
          <w:p w14:paraId="61108548" w14:textId="7D584E80" w:rsidR="00A47876" w:rsidRDefault="00A47876" w:rsidP="0025088B">
            <w:pPr>
              <w:jc w:val="center"/>
              <w:rPr>
                <w:b/>
              </w:rPr>
            </w:pPr>
            <w:r>
              <w:rPr>
                <w:b/>
              </w:rPr>
              <w:t>1,054</w:t>
            </w:r>
          </w:p>
        </w:tc>
        <w:tc>
          <w:tcPr>
            <w:tcW w:w="971" w:type="dxa"/>
            <w:tcBorders>
              <w:bottom w:val="single" w:sz="4" w:space="0" w:color="auto"/>
            </w:tcBorders>
            <w:shd w:val="clear" w:color="auto" w:fill="E7E6E6" w:themeFill="background2"/>
            <w:vAlign w:val="center"/>
          </w:tcPr>
          <w:p w14:paraId="51D61836" w14:textId="78560A7F" w:rsidR="00A47876" w:rsidRDefault="00A47876" w:rsidP="0025088B">
            <w:pPr>
              <w:jc w:val="center"/>
              <w:rPr>
                <w:b/>
              </w:rPr>
            </w:pPr>
            <w:r>
              <w:rPr>
                <w:b/>
              </w:rPr>
              <w:t>1,1</w:t>
            </w:r>
            <w:r w:rsidR="00CA789A">
              <w:rPr>
                <w:b/>
              </w:rPr>
              <w:t>60</w:t>
            </w:r>
          </w:p>
        </w:tc>
      </w:tr>
      <w:tr w:rsidR="00E363DB" w14:paraId="2F32F768" w14:textId="77777777" w:rsidTr="00E16DDD">
        <w:trPr>
          <w:cantSplit/>
        </w:trPr>
        <w:tc>
          <w:tcPr>
            <w:tcW w:w="2088" w:type="dxa"/>
          </w:tcPr>
          <w:p w14:paraId="070A7BE2" w14:textId="75AAA070" w:rsidR="00FF722C" w:rsidRPr="00716E4D" w:rsidRDefault="00FF722C" w:rsidP="00FF722C">
            <w:pPr>
              <w:jc w:val="right"/>
              <w:rPr>
                <w:bCs/>
              </w:rPr>
            </w:pPr>
            <w:r w:rsidRPr="00716E4D">
              <w:rPr>
                <w:bCs/>
              </w:rPr>
              <w:t>Shields</w:t>
            </w:r>
          </w:p>
        </w:tc>
        <w:tc>
          <w:tcPr>
            <w:tcW w:w="970" w:type="dxa"/>
            <w:tcBorders>
              <w:top w:val="single" w:sz="4" w:space="0" w:color="auto"/>
              <w:left w:val="nil"/>
              <w:bottom w:val="single" w:sz="4" w:space="0" w:color="auto"/>
              <w:right w:val="single" w:sz="4" w:space="0" w:color="auto"/>
            </w:tcBorders>
            <w:shd w:val="clear" w:color="auto" w:fill="auto"/>
            <w:vAlign w:val="center"/>
          </w:tcPr>
          <w:p w14:paraId="383F534F" w14:textId="4702A3BA" w:rsidR="00FF722C" w:rsidRPr="001B4BE1" w:rsidRDefault="00FF722C" w:rsidP="00FF722C">
            <w:pPr>
              <w:jc w:val="center"/>
              <w:rPr>
                <w:b/>
              </w:rPr>
            </w:pPr>
            <w:r w:rsidRPr="001B4BE1">
              <w:rPr>
                <w:rFonts w:ascii="Calibri" w:hAnsi="Calibri" w:cs="Calibri"/>
              </w:rPr>
              <w:t xml:space="preserve">364 </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706BDF1A" w14:textId="4B4FF3A2" w:rsidR="00FF722C" w:rsidRPr="001B4BE1" w:rsidRDefault="00FF722C" w:rsidP="00FF722C">
            <w:pPr>
              <w:jc w:val="center"/>
              <w:rPr>
                <w:b/>
              </w:rPr>
            </w:pPr>
            <w:r w:rsidRPr="001B4BE1">
              <w:rPr>
                <w:rFonts w:ascii="Calibri" w:hAnsi="Calibri" w:cs="Calibri"/>
              </w:rPr>
              <w:t xml:space="preserve">419 </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755AEDBD" w14:textId="7C43184F" w:rsidR="00FF722C" w:rsidRPr="001B4BE1" w:rsidRDefault="00FF722C" w:rsidP="00FF722C">
            <w:pPr>
              <w:jc w:val="center"/>
              <w:rPr>
                <w:b/>
              </w:rPr>
            </w:pPr>
            <w:r w:rsidRPr="001B4BE1">
              <w:rPr>
                <w:rFonts w:ascii="Calibri" w:hAnsi="Calibri" w:cs="Calibri"/>
              </w:rPr>
              <w:t>4</w:t>
            </w:r>
            <w:r w:rsidR="00C63419">
              <w:rPr>
                <w:rFonts w:ascii="Calibri" w:hAnsi="Calibri" w:cs="Calibri"/>
              </w:rPr>
              <w:t>70</w:t>
            </w:r>
            <w:r w:rsidRPr="001B4BE1">
              <w:rPr>
                <w:rFonts w:ascii="Calibri" w:hAnsi="Calibri" w:cs="Calibri"/>
              </w:rPr>
              <w:t xml:space="preserve"> </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3C5F7142" w14:textId="6D409D9C" w:rsidR="00FF722C" w:rsidRPr="001B4BE1" w:rsidRDefault="00FF722C" w:rsidP="00FF722C">
            <w:pPr>
              <w:jc w:val="center"/>
              <w:rPr>
                <w:b/>
              </w:rPr>
            </w:pPr>
            <w:r w:rsidRPr="001B4BE1">
              <w:rPr>
                <w:rFonts w:ascii="Calibri" w:hAnsi="Calibri" w:cs="Calibri"/>
              </w:rPr>
              <w:t xml:space="preserve">525 </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3488C5B9" w14:textId="62EB6E5E" w:rsidR="00FF722C" w:rsidRPr="001B4BE1" w:rsidRDefault="00FF722C" w:rsidP="00FF722C">
            <w:pPr>
              <w:jc w:val="center"/>
              <w:rPr>
                <w:b/>
              </w:rPr>
            </w:pPr>
            <w:r w:rsidRPr="001B4BE1">
              <w:rPr>
                <w:rFonts w:ascii="Calibri" w:hAnsi="Calibri" w:cs="Calibri"/>
              </w:rPr>
              <w:t xml:space="preserve">578 </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7E160E63" w14:textId="5E372AD2" w:rsidR="00FF722C" w:rsidRPr="001B4BE1" w:rsidRDefault="00FF722C" w:rsidP="00FF722C">
            <w:pPr>
              <w:jc w:val="center"/>
              <w:rPr>
                <w:b/>
              </w:rPr>
            </w:pPr>
            <w:r w:rsidRPr="001B4BE1">
              <w:rPr>
                <w:rFonts w:ascii="Calibri" w:hAnsi="Calibri" w:cs="Calibri"/>
              </w:rPr>
              <w:t>63</w:t>
            </w:r>
            <w:r w:rsidR="00D458D8">
              <w:rPr>
                <w:rFonts w:ascii="Calibri" w:hAnsi="Calibri" w:cs="Calibri"/>
              </w:rPr>
              <w:t>6</w:t>
            </w:r>
            <w:r w:rsidRPr="001B4BE1">
              <w:rPr>
                <w:rFonts w:ascii="Calibri" w:hAnsi="Calibri" w:cs="Calibri"/>
              </w:rPr>
              <w:t xml:space="preserve"> </w:t>
            </w:r>
          </w:p>
        </w:tc>
      </w:tr>
      <w:tr w:rsidR="00E363DB" w14:paraId="6A74E2C7" w14:textId="77777777" w:rsidTr="00E16DDD">
        <w:trPr>
          <w:cantSplit/>
        </w:trPr>
        <w:tc>
          <w:tcPr>
            <w:tcW w:w="2088" w:type="dxa"/>
          </w:tcPr>
          <w:p w14:paraId="2585A51C" w14:textId="513A4368" w:rsidR="00CA72E0" w:rsidRPr="00716E4D" w:rsidRDefault="00CA72E0" w:rsidP="00CA72E0">
            <w:pPr>
              <w:jc w:val="right"/>
              <w:rPr>
                <w:bCs/>
              </w:rPr>
            </w:pPr>
            <w:r w:rsidRPr="00716E4D">
              <w:rPr>
                <w:bCs/>
              </w:rPr>
              <w:t>Atrius</w:t>
            </w:r>
            <w:r w:rsidR="00A4183C">
              <w:rPr>
                <w:bCs/>
              </w:rPr>
              <w:t xml:space="preserve"> Health</w:t>
            </w:r>
          </w:p>
        </w:tc>
        <w:tc>
          <w:tcPr>
            <w:tcW w:w="970" w:type="dxa"/>
            <w:tcBorders>
              <w:top w:val="single" w:sz="4" w:space="0" w:color="auto"/>
              <w:left w:val="nil"/>
              <w:bottom w:val="single" w:sz="4" w:space="0" w:color="auto"/>
              <w:right w:val="single" w:sz="4" w:space="0" w:color="auto"/>
            </w:tcBorders>
            <w:shd w:val="clear" w:color="auto" w:fill="auto"/>
            <w:vAlign w:val="center"/>
          </w:tcPr>
          <w:p w14:paraId="131BD8C0" w14:textId="42EC179A" w:rsidR="00CA72E0" w:rsidRPr="001B4BE1" w:rsidRDefault="00CA72E0" w:rsidP="00CA72E0">
            <w:pPr>
              <w:jc w:val="center"/>
              <w:rPr>
                <w:b/>
              </w:rPr>
            </w:pPr>
            <w:r w:rsidRPr="001B4BE1">
              <w:rPr>
                <w:rFonts w:ascii="Calibri" w:hAnsi="Calibri" w:cs="Calibri"/>
              </w:rPr>
              <w:t xml:space="preserve">300 </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E56EC5B" w14:textId="765254B2" w:rsidR="00CA72E0" w:rsidRPr="001B4BE1" w:rsidRDefault="00CA72E0" w:rsidP="00CA72E0">
            <w:pPr>
              <w:jc w:val="center"/>
              <w:rPr>
                <w:b/>
              </w:rPr>
            </w:pPr>
            <w:r w:rsidRPr="001B4BE1">
              <w:rPr>
                <w:rFonts w:ascii="Calibri" w:hAnsi="Calibri" w:cs="Calibri"/>
              </w:rPr>
              <w:t xml:space="preserve">345 </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57B63826" w14:textId="4F882421" w:rsidR="00CA72E0" w:rsidRPr="001B4BE1" w:rsidRDefault="00CA72E0" w:rsidP="00CA72E0">
            <w:pPr>
              <w:jc w:val="center"/>
              <w:rPr>
                <w:b/>
              </w:rPr>
            </w:pPr>
            <w:r w:rsidRPr="001B4BE1">
              <w:rPr>
                <w:rFonts w:ascii="Calibri" w:hAnsi="Calibri" w:cs="Calibri"/>
              </w:rPr>
              <w:t xml:space="preserve">386 </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0494E286" w14:textId="34DEDC62" w:rsidR="00CA72E0" w:rsidRPr="001B4BE1" w:rsidRDefault="00CA72E0" w:rsidP="00CA72E0">
            <w:pPr>
              <w:jc w:val="center"/>
              <w:rPr>
                <w:b/>
              </w:rPr>
            </w:pPr>
            <w:r w:rsidRPr="001B4BE1">
              <w:rPr>
                <w:rFonts w:ascii="Calibri" w:hAnsi="Calibri" w:cs="Calibri"/>
              </w:rPr>
              <w:t xml:space="preserve">433 </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5EC2E48D" w14:textId="64B95FA2" w:rsidR="00CA72E0" w:rsidRPr="001B4BE1" w:rsidRDefault="00CA72E0" w:rsidP="00CA72E0">
            <w:pPr>
              <w:jc w:val="center"/>
              <w:rPr>
                <w:b/>
              </w:rPr>
            </w:pPr>
            <w:r w:rsidRPr="001B4BE1">
              <w:rPr>
                <w:rFonts w:ascii="Calibri" w:hAnsi="Calibri" w:cs="Calibri"/>
              </w:rPr>
              <w:t xml:space="preserve">476 </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75C6E610" w14:textId="3696C75B" w:rsidR="00CA72E0" w:rsidRPr="001B4BE1" w:rsidRDefault="00CA72E0" w:rsidP="00CA72E0">
            <w:pPr>
              <w:jc w:val="center"/>
              <w:rPr>
                <w:b/>
              </w:rPr>
            </w:pPr>
            <w:r w:rsidRPr="001B4BE1">
              <w:rPr>
                <w:rFonts w:ascii="Calibri" w:hAnsi="Calibri" w:cs="Calibri"/>
              </w:rPr>
              <w:t xml:space="preserve">524 </w:t>
            </w:r>
          </w:p>
        </w:tc>
      </w:tr>
    </w:tbl>
    <w:p w14:paraId="1A2C9127" w14:textId="77777777" w:rsidR="00D33950" w:rsidRDefault="00D33950" w:rsidP="008E0859">
      <w:pPr>
        <w:spacing w:after="0" w:line="240" w:lineRule="auto"/>
        <w:ind w:left="1440"/>
        <w:jc w:val="both"/>
        <w:rPr>
          <w:b/>
          <w:kern w:val="0"/>
          <w14:ligatures w14:val="none"/>
        </w:rPr>
      </w:pPr>
    </w:p>
    <w:p w14:paraId="2CC8FCAA" w14:textId="7F42096E" w:rsidR="00C412B7" w:rsidRPr="00DB3445" w:rsidRDefault="00C412B7" w:rsidP="008E0859">
      <w:pPr>
        <w:spacing w:after="0" w:line="240" w:lineRule="auto"/>
        <w:ind w:left="1440"/>
        <w:jc w:val="both"/>
        <w:rPr>
          <w:bCs/>
          <w:kern w:val="0"/>
          <w14:ligatures w14:val="none"/>
        </w:rPr>
      </w:pPr>
      <w:r w:rsidRPr="00E1649B">
        <w:rPr>
          <w:bCs/>
          <w:kern w:val="0"/>
          <w14:ligatures w14:val="none"/>
        </w:rPr>
        <w:t>Table 9</w:t>
      </w:r>
      <w:r w:rsidR="00E1649B">
        <w:rPr>
          <w:bCs/>
          <w:kern w:val="0"/>
          <w14:ligatures w14:val="none"/>
        </w:rPr>
        <w:t xml:space="preserve"> </w:t>
      </w:r>
      <w:r w:rsidRPr="00DB3445">
        <w:rPr>
          <w:bCs/>
          <w:kern w:val="0"/>
          <w14:ligatures w14:val="none"/>
        </w:rPr>
        <w:t xml:space="preserve">below </w:t>
      </w:r>
      <w:r w:rsidR="0091644A" w:rsidRPr="00DB3445">
        <w:rPr>
          <w:bCs/>
          <w:kern w:val="0"/>
          <w14:ligatures w14:val="none"/>
        </w:rPr>
        <w:t>displays the Shields</w:t>
      </w:r>
      <w:r w:rsidR="00BC0C76">
        <w:rPr>
          <w:bCs/>
          <w:kern w:val="0"/>
          <w14:ligatures w14:val="none"/>
        </w:rPr>
        <w:t xml:space="preserve"> projected</w:t>
      </w:r>
      <w:r w:rsidR="0091644A" w:rsidRPr="00DB3445">
        <w:rPr>
          <w:bCs/>
          <w:kern w:val="0"/>
          <w14:ligatures w14:val="none"/>
        </w:rPr>
        <w:t xml:space="preserve"> scan</w:t>
      </w:r>
      <w:r w:rsidR="00BC0C76">
        <w:rPr>
          <w:bCs/>
          <w:kern w:val="0"/>
          <w14:ligatures w14:val="none"/>
        </w:rPr>
        <w:t xml:space="preserve"> volume</w:t>
      </w:r>
      <w:r w:rsidR="0091644A" w:rsidRPr="00DB3445">
        <w:rPr>
          <w:bCs/>
          <w:kern w:val="0"/>
          <w14:ligatures w14:val="none"/>
        </w:rPr>
        <w:t xml:space="preserve"> breakdown</w:t>
      </w:r>
      <w:r w:rsidR="006014AA">
        <w:rPr>
          <w:bCs/>
          <w:kern w:val="0"/>
          <w14:ligatures w14:val="none"/>
        </w:rPr>
        <w:t xml:space="preserve"> with respect to the volume data provided above</w:t>
      </w:r>
      <w:r w:rsidR="0091644A" w:rsidRPr="00DB3445">
        <w:rPr>
          <w:bCs/>
          <w:kern w:val="0"/>
          <w14:ligatures w14:val="none"/>
        </w:rPr>
        <w:t xml:space="preserve">. </w:t>
      </w:r>
    </w:p>
    <w:p w14:paraId="1194F0FE" w14:textId="77777777" w:rsidR="0091644A" w:rsidRDefault="0091644A" w:rsidP="008E0859">
      <w:pPr>
        <w:spacing w:after="0" w:line="240" w:lineRule="auto"/>
        <w:ind w:left="1440"/>
        <w:jc w:val="both"/>
        <w:rPr>
          <w:b/>
          <w:kern w:val="0"/>
          <w14:ligatures w14:val="none"/>
        </w:rPr>
      </w:pPr>
    </w:p>
    <w:p w14:paraId="5753EDF1" w14:textId="62A952CF" w:rsidR="0091644A" w:rsidRDefault="0091644A" w:rsidP="008E0859">
      <w:pPr>
        <w:spacing w:after="0" w:line="240" w:lineRule="auto"/>
        <w:ind w:left="1440"/>
        <w:jc w:val="both"/>
        <w:rPr>
          <w:b/>
          <w:kern w:val="0"/>
          <w14:ligatures w14:val="none"/>
        </w:rPr>
      </w:pPr>
      <w:r>
        <w:rPr>
          <w:b/>
          <w:kern w:val="0"/>
          <w14:ligatures w14:val="none"/>
        </w:rPr>
        <w:t xml:space="preserve">Table 9: Shields Breakdown </w:t>
      </w:r>
    </w:p>
    <w:tbl>
      <w:tblPr>
        <w:tblStyle w:val="TableGrid"/>
        <w:tblW w:w="7910" w:type="dxa"/>
        <w:tblInd w:w="1440" w:type="dxa"/>
        <w:tblLayout w:type="fixed"/>
        <w:tblLook w:val="04A0" w:firstRow="1" w:lastRow="0" w:firstColumn="1" w:lastColumn="0" w:noHBand="0" w:noVBand="1"/>
      </w:tblPr>
      <w:tblGrid>
        <w:gridCol w:w="2155"/>
        <w:gridCol w:w="900"/>
        <w:gridCol w:w="990"/>
        <w:gridCol w:w="990"/>
        <w:gridCol w:w="900"/>
        <w:gridCol w:w="990"/>
        <w:gridCol w:w="985"/>
      </w:tblGrid>
      <w:tr w:rsidR="001B4BE1" w14:paraId="4AAFDD9F" w14:textId="77777777" w:rsidTr="00933E1E">
        <w:trPr>
          <w:cantSplit/>
          <w:tblHeader/>
        </w:trPr>
        <w:tc>
          <w:tcPr>
            <w:tcW w:w="2155" w:type="dxa"/>
            <w:shd w:val="clear" w:color="auto" w:fill="002060"/>
          </w:tcPr>
          <w:p w14:paraId="2CABCFD8" w14:textId="31D18561" w:rsidR="006A6035" w:rsidRDefault="006A6035" w:rsidP="006A6035">
            <w:pPr>
              <w:jc w:val="right"/>
              <w:rPr>
                <w:b/>
              </w:rPr>
            </w:pPr>
            <w:r>
              <w:rPr>
                <w:b/>
              </w:rPr>
              <w:t>Total Volume</w:t>
            </w:r>
          </w:p>
        </w:tc>
        <w:tc>
          <w:tcPr>
            <w:tcW w:w="900" w:type="dxa"/>
            <w:tcBorders>
              <w:top w:val="nil"/>
              <w:left w:val="single" w:sz="4" w:space="0" w:color="auto"/>
              <w:bottom w:val="single" w:sz="4" w:space="0" w:color="auto"/>
              <w:right w:val="single" w:sz="4" w:space="0" w:color="auto"/>
            </w:tcBorders>
            <w:shd w:val="clear" w:color="auto" w:fill="002060"/>
            <w:vAlign w:val="bottom"/>
          </w:tcPr>
          <w:p w14:paraId="56516BAE" w14:textId="0E1B4BDA" w:rsidR="006A6035" w:rsidRPr="009F179C" w:rsidRDefault="006A6035" w:rsidP="00BC0C76">
            <w:pPr>
              <w:jc w:val="center"/>
              <w:rPr>
                <w:b/>
                <w:color w:val="FFFFFF" w:themeColor="background1"/>
              </w:rPr>
            </w:pPr>
            <w:r w:rsidRPr="009F179C">
              <w:rPr>
                <w:rFonts w:ascii="Calibri" w:hAnsi="Calibri" w:cs="Calibri"/>
                <w:b/>
                <w:bCs/>
                <w:color w:val="FFFFFF" w:themeColor="background1"/>
              </w:rPr>
              <w:t>364</w:t>
            </w:r>
          </w:p>
        </w:tc>
        <w:tc>
          <w:tcPr>
            <w:tcW w:w="990" w:type="dxa"/>
            <w:tcBorders>
              <w:top w:val="nil"/>
              <w:left w:val="nil"/>
              <w:bottom w:val="single" w:sz="4" w:space="0" w:color="auto"/>
              <w:right w:val="single" w:sz="4" w:space="0" w:color="auto"/>
            </w:tcBorders>
            <w:shd w:val="clear" w:color="auto" w:fill="002060"/>
            <w:vAlign w:val="bottom"/>
          </w:tcPr>
          <w:p w14:paraId="0C9CE6BA" w14:textId="48399FC5" w:rsidR="006A6035" w:rsidRPr="009F179C" w:rsidRDefault="006A6035" w:rsidP="00BC0C76">
            <w:pPr>
              <w:jc w:val="center"/>
              <w:rPr>
                <w:b/>
                <w:color w:val="FFFFFF" w:themeColor="background1"/>
              </w:rPr>
            </w:pPr>
            <w:r w:rsidRPr="009F179C">
              <w:rPr>
                <w:rFonts w:ascii="Calibri" w:hAnsi="Calibri" w:cs="Calibri"/>
                <w:b/>
                <w:bCs/>
                <w:color w:val="FFFFFF" w:themeColor="background1"/>
              </w:rPr>
              <w:t>419</w:t>
            </w:r>
          </w:p>
        </w:tc>
        <w:tc>
          <w:tcPr>
            <w:tcW w:w="990" w:type="dxa"/>
            <w:tcBorders>
              <w:top w:val="nil"/>
              <w:left w:val="nil"/>
              <w:bottom w:val="single" w:sz="4" w:space="0" w:color="auto"/>
              <w:right w:val="single" w:sz="4" w:space="0" w:color="auto"/>
            </w:tcBorders>
            <w:shd w:val="clear" w:color="auto" w:fill="002060"/>
            <w:vAlign w:val="bottom"/>
          </w:tcPr>
          <w:p w14:paraId="7A4C325A" w14:textId="7903AAD4" w:rsidR="006A6035" w:rsidRPr="009F179C" w:rsidRDefault="006A6035" w:rsidP="00BC0C76">
            <w:pPr>
              <w:jc w:val="center"/>
              <w:rPr>
                <w:b/>
                <w:color w:val="FFFFFF" w:themeColor="background1"/>
              </w:rPr>
            </w:pPr>
            <w:r w:rsidRPr="009F179C">
              <w:rPr>
                <w:rFonts w:ascii="Calibri" w:hAnsi="Calibri" w:cs="Calibri"/>
                <w:b/>
                <w:bCs/>
                <w:color w:val="FFFFFF" w:themeColor="background1"/>
              </w:rPr>
              <w:t>4</w:t>
            </w:r>
            <w:r w:rsidR="0043090F">
              <w:rPr>
                <w:rFonts w:ascii="Calibri" w:hAnsi="Calibri" w:cs="Calibri"/>
                <w:b/>
                <w:bCs/>
                <w:color w:val="FFFFFF" w:themeColor="background1"/>
              </w:rPr>
              <w:t>70</w:t>
            </w:r>
          </w:p>
        </w:tc>
        <w:tc>
          <w:tcPr>
            <w:tcW w:w="900" w:type="dxa"/>
            <w:tcBorders>
              <w:top w:val="nil"/>
              <w:left w:val="nil"/>
              <w:bottom w:val="single" w:sz="4" w:space="0" w:color="auto"/>
              <w:right w:val="single" w:sz="4" w:space="0" w:color="auto"/>
            </w:tcBorders>
            <w:shd w:val="clear" w:color="auto" w:fill="002060"/>
            <w:vAlign w:val="bottom"/>
          </w:tcPr>
          <w:p w14:paraId="58349D28" w14:textId="2380E9DD" w:rsidR="006A6035" w:rsidRPr="009F179C" w:rsidRDefault="006A6035" w:rsidP="00BC0C76">
            <w:pPr>
              <w:jc w:val="center"/>
              <w:rPr>
                <w:b/>
                <w:color w:val="FFFFFF" w:themeColor="background1"/>
              </w:rPr>
            </w:pPr>
            <w:r w:rsidRPr="009F179C">
              <w:rPr>
                <w:rFonts w:ascii="Calibri" w:hAnsi="Calibri" w:cs="Calibri"/>
                <w:b/>
                <w:bCs/>
                <w:color w:val="FFFFFF" w:themeColor="background1"/>
              </w:rPr>
              <w:t>525</w:t>
            </w:r>
          </w:p>
        </w:tc>
        <w:tc>
          <w:tcPr>
            <w:tcW w:w="990" w:type="dxa"/>
            <w:tcBorders>
              <w:top w:val="nil"/>
              <w:left w:val="nil"/>
              <w:bottom w:val="single" w:sz="4" w:space="0" w:color="auto"/>
              <w:right w:val="single" w:sz="4" w:space="0" w:color="auto"/>
            </w:tcBorders>
            <w:shd w:val="clear" w:color="auto" w:fill="002060"/>
            <w:vAlign w:val="bottom"/>
          </w:tcPr>
          <w:p w14:paraId="757DE81C" w14:textId="239875A4" w:rsidR="006A6035" w:rsidRPr="009F179C" w:rsidRDefault="006A6035" w:rsidP="00BC0C76">
            <w:pPr>
              <w:jc w:val="center"/>
              <w:rPr>
                <w:b/>
                <w:color w:val="FFFFFF" w:themeColor="background1"/>
              </w:rPr>
            </w:pPr>
            <w:r w:rsidRPr="009F179C">
              <w:rPr>
                <w:rFonts w:ascii="Calibri" w:hAnsi="Calibri" w:cs="Calibri"/>
                <w:b/>
                <w:bCs/>
                <w:color w:val="FFFFFF" w:themeColor="background1"/>
              </w:rPr>
              <w:t>578</w:t>
            </w:r>
          </w:p>
        </w:tc>
        <w:tc>
          <w:tcPr>
            <w:tcW w:w="985" w:type="dxa"/>
            <w:tcBorders>
              <w:top w:val="nil"/>
              <w:left w:val="nil"/>
              <w:bottom w:val="single" w:sz="4" w:space="0" w:color="auto"/>
              <w:right w:val="single" w:sz="8" w:space="0" w:color="auto"/>
            </w:tcBorders>
            <w:shd w:val="clear" w:color="auto" w:fill="002060"/>
            <w:vAlign w:val="bottom"/>
          </w:tcPr>
          <w:p w14:paraId="7A3E7F8A" w14:textId="728A57D3" w:rsidR="006A6035" w:rsidRPr="009F179C" w:rsidRDefault="006A6035" w:rsidP="00BC0C76">
            <w:pPr>
              <w:jc w:val="center"/>
              <w:rPr>
                <w:b/>
                <w:color w:val="FFFFFF" w:themeColor="background1"/>
              </w:rPr>
            </w:pPr>
            <w:r w:rsidRPr="009F179C">
              <w:rPr>
                <w:rFonts w:ascii="Calibri" w:hAnsi="Calibri" w:cs="Calibri"/>
                <w:b/>
                <w:bCs/>
                <w:color w:val="FFFFFF" w:themeColor="background1"/>
              </w:rPr>
              <w:t>63</w:t>
            </w:r>
            <w:r w:rsidR="00857ADB">
              <w:rPr>
                <w:rFonts w:ascii="Calibri" w:hAnsi="Calibri" w:cs="Calibri"/>
                <w:b/>
                <w:bCs/>
                <w:color w:val="FFFFFF" w:themeColor="background1"/>
              </w:rPr>
              <w:t>6</w:t>
            </w:r>
          </w:p>
        </w:tc>
      </w:tr>
      <w:tr w:rsidR="006A6035" w14:paraId="44FD492B" w14:textId="77777777" w:rsidTr="00933E1E">
        <w:trPr>
          <w:cantSplit/>
        </w:trPr>
        <w:tc>
          <w:tcPr>
            <w:tcW w:w="2155" w:type="dxa"/>
            <w:vAlign w:val="center"/>
          </w:tcPr>
          <w:p w14:paraId="57D60CC7" w14:textId="004ED7BA" w:rsidR="006A6035" w:rsidRPr="009F179C" w:rsidRDefault="006A6035" w:rsidP="006A6035">
            <w:pPr>
              <w:jc w:val="right"/>
              <w:rPr>
                <w:bCs/>
              </w:rPr>
            </w:pPr>
            <w:r w:rsidRPr="009F179C">
              <w:rPr>
                <w:bCs/>
              </w:rPr>
              <w:t>Neurological Research</w:t>
            </w:r>
          </w:p>
        </w:tc>
        <w:tc>
          <w:tcPr>
            <w:tcW w:w="900" w:type="dxa"/>
            <w:tcBorders>
              <w:top w:val="single" w:sz="4" w:space="0" w:color="auto"/>
              <w:left w:val="nil"/>
              <w:bottom w:val="single" w:sz="4" w:space="0" w:color="auto"/>
              <w:right w:val="single" w:sz="4" w:space="0" w:color="auto"/>
            </w:tcBorders>
            <w:shd w:val="clear" w:color="auto" w:fill="auto"/>
            <w:vAlign w:val="center"/>
          </w:tcPr>
          <w:p w14:paraId="49B51D56" w14:textId="57E00013" w:rsidR="006A6035" w:rsidRDefault="006A6035" w:rsidP="00BC0C76">
            <w:pPr>
              <w:jc w:val="center"/>
              <w:rPr>
                <w:b/>
              </w:rPr>
            </w:pPr>
            <w:r>
              <w:rPr>
                <w:rFonts w:ascii="Calibri" w:hAnsi="Calibri" w:cs="Calibri"/>
                <w:color w:val="000000"/>
              </w:rPr>
              <w:t>182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4334D6D" w14:textId="476FADF2" w:rsidR="006A6035" w:rsidRDefault="006A6035" w:rsidP="00BC0C76">
            <w:pPr>
              <w:jc w:val="center"/>
              <w:rPr>
                <w:b/>
              </w:rPr>
            </w:pPr>
            <w:r>
              <w:rPr>
                <w:rFonts w:ascii="Calibri" w:hAnsi="Calibri" w:cs="Calibri"/>
                <w:color w:val="000000"/>
              </w:rPr>
              <w:t>182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F2E18A0" w14:textId="2270FCF9" w:rsidR="006A6035" w:rsidRDefault="006A6035" w:rsidP="00BC0C76">
            <w:pPr>
              <w:jc w:val="center"/>
              <w:rPr>
                <w:b/>
              </w:rPr>
            </w:pPr>
            <w:r>
              <w:rPr>
                <w:rFonts w:ascii="Calibri" w:hAnsi="Calibri" w:cs="Calibri"/>
                <w:color w:val="000000"/>
              </w:rPr>
              <w:t>197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6739DA6" w14:textId="63A5B10D" w:rsidR="006A6035" w:rsidRDefault="006A6035" w:rsidP="00BC0C76">
            <w:pPr>
              <w:jc w:val="center"/>
              <w:rPr>
                <w:b/>
              </w:rPr>
            </w:pPr>
            <w:r>
              <w:rPr>
                <w:rFonts w:ascii="Calibri" w:hAnsi="Calibri" w:cs="Calibri"/>
                <w:color w:val="000000"/>
              </w:rPr>
              <w:t>220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C73B5F5" w14:textId="66861C55" w:rsidR="006A6035" w:rsidRDefault="006A6035" w:rsidP="00BC0C76">
            <w:pPr>
              <w:jc w:val="center"/>
              <w:rPr>
                <w:b/>
              </w:rPr>
            </w:pPr>
            <w:r>
              <w:rPr>
                <w:rFonts w:ascii="Calibri" w:hAnsi="Calibri" w:cs="Calibri"/>
                <w:color w:val="000000"/>
              </w:rPr>
              <w:t>233</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E184AE0" w14:textId="41F9D633" w:rsidR="006A6035" w:rsidRDefault="006A6035" w:rsidP="00BC0C76">
            <w:pPr>
              <w:jc w:val="center"/>
              <w:rPr>
                <w:b/>
              </w:rPr>
            </w:pPr>
            <w:r>
              <w:rPr>
                <w:rFonts w:ascii="Calibri" w:hAnsi="Calibri" w:cs="Calibri"/>
                <w:color w:val="000000"/>
              </w:rPr>
              <w:t>257</w:t>
            </w:r>
          </w:p>
        </w:tc>
      </w:tr>
      <w:tr w:rsidR="006A6035" w14:paraId="7549D18A" w14:textId="77777777" w:rsidTr="00933E1E">
        <w:trPr>
          <w:cantSplit/>
        </w:trPr>
        <w:tc>
          <w:tcPr>
            <w:tcW w:w="2155" w:type="dxa"/>
            <w:vAlign w:val="center"/>
          </w:tcPr>
          <w:p w14:paraId="43ECCFA3" w14:textId="0C35B631" w:rsidR="006A6035" w:rsidRPr="009F179C" w:rsidRDefault="009F179C" w:rsidP="006A6035">
            <w:pPr>
              <w:jc w:val="right"/>
              <w:rPr>
                <w:bCs/>
              </w:rPr>
            </w:pPr>
            <w:r>
              <w:rPr>
                <w:bCs/>
              </w:rPr>
              <w:t>S</w:t>
            </w:r>
            <w:r w:rsidR="006A6035" w:rsidRPr="009F179C">
              <w:rPr>
                <w:bCs/>
              </w:rPr>
              <w:t>pecialty scan</w:t>
            </w:r>
          </w:p>
        </w:tc>
        <w:tc>
          <w:tcPr>
            <w:tcW w:w="900" w:type="dxa"/>
            <w:tcBorders>
              <w:top w:val="single" w:sz="4" w:space="0" w:color="auto"/>
              <w:left w:val="nil"/>
              <w:bottom w:val="single" w:sz="4" w:space="0" w:color="auto"/>
              <w:right w:val="single" w:sz="4" w:space="0" w:color="auto"/>
            </w:tcBorders>
            <w:shd w:val="clear" w:color="auto" w:fill="auto"/>
            <w:vAlign w:val="center"/>
          </w:tcPr>
          <w:p w14:paraId="6EE671F6" w14:textId="7669117E" w:rsidR="006A6035" w:rsidRDefault="006A6035" w:rsidP="00BC0C76">
            <w:pPr>
              <w:jc w:val="center"/>
              <w:rPr>
                <w:b/>
              </w:rPr>
            </w:pPr>
            <w:r>
              <w:rPr>
                <w:rFonts w:ascii="Calibri" w:hAnsi="Calibri" w:cs="Calibri"/>
                <w:color w:val="000000"/>
              </w:rPr>
              <w:t>182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ECABA" w14:textId="37D0F4AD" w:rsidR="006A6035" w:rsidRDefault="006A6035" w:rsidP="00BC0C76">
            <w:pPr>
              <w:jc w:val="center"/>
              <w:rPr>
                <w:b/>
              </w:rPr>
            </w:pPr>
            <w:r>
              <w:rPr>
                <w:rFonts w:ascii="Calibri" w:hAnsi="Calibri" w:cs="Calibri"/>
                <w:color w:val="000000"/>
              </w:rPr>
              <w:t>182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A40BD3" w14:textId="7E98147E" w:rsidR="006A6035" w:rsidRDefault="006A6035" w:rsidP="00BC0C76">
            <w:pPr>
              <w:jc w:val="center"/>
              <w:rPr>
                <w:b/>
              </w:rPr>
            </w:pPr>
            <w:r>
              <w:rPr>
                <w:rFonts w:ascii="Calibri" w:hAnsi="Calibri" w:cs="Calibri"/>
                <w:color w:val="000000"/>
              </w:rPr>
              <w:t>21</w:t>
            </w:r>
            <w:r w:rsidR="005634FA">
              <w:rPr>
                <w:rFonts w:ascii="Calibri" w:hAnsi="Calibri" w:cs="Calibri"/>
                <w:color w:val="000000"/>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D6677B7" w14:textId="5D02B18A" w:rsidR="006A6035" w:rsidRDefault="006A6035" w:rsidP="00BC0C76">
            <w:pPr>
              <w:jc w:val="center"/>
              <w:rPr>
                <w:b/>
              </w:rPr>
            </w:pPr>
            <w:r>
              <w:rPr>
                <w:rFonts w:ascii="Calibri" w:hAnsi="Calibri" w:cs="Calibri"/>
                <w:color w:val="000000"/>
              </w:rPr>
              <w:t>236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0B8E10" w14:textId="51CCE0C3" w:rsidR="006A6035" w:rsidRDefault="006A6035" w:rsidP="00BC0C76">
            <w:pPr>
              <w:jc w:val="center"/>
              <w:rPr>
                <w:b/>
              </w:rPr>
            </w:pPr>
            <w:r>
              <w:rPr>
                <w:rFonts w:ascii="Calibri" w:hAnsi="Calibri" w:cs="Calibri"/>
                <w:color w:val="000000"/>
              </w:rPr>
              <w:t>25</w:t>
            </w:r>
            <w:r w:rsidR="00B40EDE">
              <w:rPr>
                <w:rFonts w:ascii="Calibri" w:hAnsi="Calibri" w:cs="Calibri"/>
                <w:color w:val="000000"/>
              </w:rPr>
              <w:t>7</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955A28D" w14:textId="2152498F" w:rsidR="006A6035" w:rsidRDefault="006A6035" w:rsidP="00BC0C76">
            <w:pPr>
              <w:jc w:val="center"/>
              <w:rPr>
                <w:b/>
              </w:rPr>
            </w:pPr>
            <w:r>
              <w:rPr>
                <w:rFonts w:ascii="Calibri" w:hAnsi="Calibri" w:cs="Calibri"/>
                <w:color w:val="000000"/>
              </w:rPr>
              <w:t>27</w:t>
            </w:r>
            <w:r w:rsidR="00ED5FF2">
              <w:rPr>
                <w:rFonts w:ascii="Calibri" w:hAnsi="Calibri" w:cs="Calibri"/>
                <w:color w:val="000000"/>
              </w:rPr>
              <w:t>7</w:t>
            </w:r>
          </w:p>
        </w:tc>
      </w:tr>
      <w:tr w:rsidR="009F179C" w14:paraId="6BA455A9" w14:textId="77777777" w:rsidTr="00933E1E">
        <w:trPr>
          <w:cantSplit/>
        </w:trPr>
        <w:tc>
          <w:tcPr>
            <w:tcW w:w="2155" w:type="dxa"/>
            <w:vAlign w:val="center"/>
          </w:tcPr>
          <w:p w14:paraId="2BF87E90" w14:textId="1C7E42B4" w:rsidR="009F179C" w:rsidRPr="009F179C" w:rsidRDefault="009F179C" w:rsidP="009F179C">
            <w:pPr>
              <w:jc w:val="right"/>
              <w:rPr>
                <w:bCs/>
              </w:rPr>
            </w:pPr>
            <w:r>
              <w:rPr>
                <w:bCs/>
              </w:rPr>
              <w:t>Fluorodeoxyglucose</w:t>
            </w:r>
            <w:r w:rsidR="00DD7722">
              <w:rPr>
                <w:rStyle w:val="FootnoteReference"/>
                <w:bCs/>
              </w:rPr>
              <w:footnoteReference w:id="29"/>
            </w:r>
            <w:r>
              <w:rPr>
                <w:bCs/>
              </w:rPr>
              <w:t xml:space="preserve"> (“</w:t>
            </w:r>
            <w:r w:rsidRPr="009F179C">
              <w:rPr>
                <w:bCs/>
              </w:rPr>
              <w:t>FDG</w:t>
            </w:r>
            <w:r>
              <w:rPr>
                <w:bCs/>
              </w:rPr>
              <w:t>”) scan</w:t>
            </w:r>
          </w:p>
        </w:tc>
        <w:tc>
          <w:tcPr>
            <w:tcW w:w="900" w:type="dxa"/>
            <w:tcBorders>
              <w:top w:val="single" w:sz="4" w:space="0" w:color="auto"/>
              <w:left w:val="nil"/>
              <w:bottom w:val="single" w:sz="4" w:space="0" w:color="auto"/>
              <w:right w:val="single" w:sz="4" w:space="0" w:color="auto"/>
            </w:tcBorders>
            <w:shd w:val="clear" w:color="auto" w:fill="auto"/>
            <w:vAlign w:val="center"/>
          </w:tcPr>
          <w:p w14:paraId="771C35A6" w14:textId="322201EA" w:rsidR="009F179C" w:rsidRDefault="009F179C" w:rsidP="00BC0C76">
            <w:pPr>
              <w:jc w:val="center"/>
              <w:rPr>
                <w:b/>
              </w:rPr>
            </w:pPr>
            <w:r>
              <w:rPr>
                <w:rFonts w:ascii="Calibri" w:hAnsi="Calibri" w:cs="Calibri"/>
                <w:color w:val="000000"/>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0430B42" w14:textId="5DB0424D" w:rsidR="009F179C" w:rsidRDefault="009F179C" w:rsidP="00BC0C76">
            <w:pPr>
              <w:jc w:val="center"/>
              <w:rPr>
                <w:b/>
              </w:rPr>
            </w:pPr>
            <w:r>
              <w:rPr>
                <w:rFonts w:ascii="Calibri" w:hAnsi="Calibri" w:cs="Calibri"/>
                <w:color w:val="000000"/>
              </w:rPr>
              <w:t>55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7139074" w14:textId="4DEC6B13" w:rsidR="009F179C" w:rsidRDefault="009F179C" w:rsidP="00BC0C76">
            <w:pPr>
              <w:jc w:val="center"/>
              <w:rPr>
                <w:b/>
              </w:rPr>
            </w:pPr>
            <w:r>
              <w:rPr>
                <w:rFonts w:ascii="Calibri" w:hAnsi="Calibri" w:cs="Calibri"/>
                <w:color w:val="000000"/>
              </w:rPr>
              <w:t>62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499BC29" w14:textId="01D48F59" w:rsidR="009F179C" w:rsidRDefault="009F179C" w:rsidP="00BC0C76">
            <w:pPr>
              <w:jc w:val="center"/>
              <w:rPr>
                <w:b/>
              </w:rPr>
            </w:pPr>
            <w:r>
              <w:rPr>
                <w:rFonts w:ascii="Calibri" w:hAnsi="Calibri" w:cs="Calibri"/>
                <w:color w:val="000000"/>
              </w:rPr>
              <w:t>69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8D43AD9" w14:textId="528BFBD5" w:rsidR="009F179C" w:rsidRDefault="009F179C" w:rsidP="00BC0C76">
            <w:pPr>
              <w:jc w:val="center"/>
              <w:rPr>
                <w:b/>
              </w:rPr>
            </w:pPr>
            <w:r>
              <w:rPr>
                <w:rFonts w:ascii="Calibri" w:hAnsi="Calibri" w:cs="Calibri"/>
                <w:color w:val="000000"/>
              </w:rPr>
              <w:t>88</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0E27B62" w14:textId="5F49048E" w:rsidR="009F179C" w:rsidRDefault="009F179C" w:rsidP="00BC0C76">
            <w:pPr>
              <w:jc w:val="center"/>
              <w:rPr>
                <w:b/>
              </w:rPr>
            </w:pPr>
            <w:r>
              <w:rPr>
                <w:rFonts w:ascii="Calibri" w:hAnsi="Calibri" w:cs="Calibri"/>
                <w:color w:val="000000"/>
              </w:rPr>
              <w:t>102</w:t>
            </w:r>
          </w:p>
        </w:tc>
      </w:tr>
    </w:tbl>
    <w:p w14:paraId="25E99B68" w14:textId="77777777" w:rsidR="0091644A" w:rsidRDefault="0091644A" w:rsidP="008E0859">
      <w:pPr>
        <w:spacing w:after="0" w:line="240" w:lineRule="auto"/>
        <w:ind w:left="1440"/>
        <w:jc w:val="both"/>
        <w:rPr>
          <w:b/>
          <w:kern w:val="0"/>
          <w14:ligatures w14:val="none"/>
        </w:rPr>
      </w:pPr>
    </w:p>
    <w:p w14:paraId="4373DDF6" w14:textId="01FEA962" w:rsidR="0019203D" w:rsidRDefault="0019203D" w:rsidP="008E0859">
      <w:pPr>
        <w:spacing w:after="0" w:line="240" w:lineRule="auto"/>
        <w:ind w:left="1440"/>
        <w:jc w:val="both"/>
        <w:rPr>
          <w:bCs/>
          <w:kern w:val="0"/>
          <w14:ligatures w14:val="none"/>
        </w:rPr>
      </w:pPr>
      <w:r w:rsidRPr="00153788">
        <w:rPr>
          <w:bCs/>
          <w:kern w:val="0"/>
          <w14:ligatures w14:val="none"/>
        </w:rPr>
        <w:t>The Applicant als</w:t>
      </w:r>
      <w:r w:rsidR="009A54A1">
        <w:rPr>
          <w:bCs/>
          <w:kern w:val="0"/>
          <w14:ligatures w14:val="none"/>
        </w:rPr>
        <w:t>o</w:t>
      </w:r>
      <w:r w:rsidRPr="00153788">
        <w:rPr>
          <w:bCs/>
          <w:kern w:val="0"/>
          <w14:ligatures w14:val="none"/>
        </w:rPr>
        <w:t xml:space="preserve"> relies on recent data from the Advisory Board Company ("Advisory Board”),</w:t>
      </w:r>
      <w:r w:rsidRPr="00153788">
        <w:rPr>
          <w:bCs/>
          <w:kern w:val="0"/>
          <w:vertAlign w:val="superscript"/>
          <w14:ligatures w14:val="none"/>
        </w:rPr>
        <w:footnoteReference w:id="30"/>
      </w:r>
      <w:r w:rsidRPr="00153788">
        <w:rPr>
          <w:bCs/>
          <w:kern w:val="0"/>
          <w14:ligatures w14:val="none"/>
        </w:rPr>
        <w:t xml:space="preserve"> to further demonstrate the need for PET/CT in the proposed Primary Service Area (“PSA”). </w:t>
      </w:r>
      <w:bookmarkStart w:id="16" w:name="_Hlk97817042"/>
      <w:r w:rsidR="00853520">
        <w:rPr>
          <w:bCs/>
          <w:kern w:val="0"/>
          <w14:ligatures w14:val="none"/>
        </w:rPr>
        <w:t>T</w:t>
      </w:r>
      <w:r w:rsidRPr="00153788">
        <w:rPr>
          <w:bCs/>
          <w:kern w:val="0"/>
          <w14:ligatures w14:val="none"/>
        </w:rPr>
        <w:t>he Advisory Board projects that demand for PET/CT within the PSA will grow by +</w:t>
      </w:r>
      <w:r w:rsidRPr="00A411A9">
        <w:t xml:space="preserve"> </w:t>
      </w:r>
      <w:r w:rsidRPr="00A411A9">
        <w:rPr>
          <w:bCs/>
          <w:kern w:val="0"/>
          <w14:ligatures w14:val="none"/>
        </w:rPr>
        <w:t xml:space="preserve">13.7% over the next </w:t>
      </w:r>
      <w:r w:rsidR="00D92098">
        <w:rPr>
          <w:bCs/>
          <w:kern w:val="0"/>
          <w14:ligatures w14:val="none"/>
        </w:rPr>
        <w:t>f</w:t>
      </w:r>
      <w:r w:rsidRPr="00A411A9">
        <w:rPr>
          <w:bCs/>
          <w:kern w:val="0"/>
          <w14:ligatures w14:val="none"/>
        </w:rPr>
        <w:t>ive (5) years and +22.0% over the next 10 years</w:t>
      </w:r>
      <w:r w:rsidR="00AE3EEF">
        <w:rPr>
          <w:bCs/>
          <w:kern w:val="0"/>
          <w14:ligatures w14:val="none"/>
        </w:rPr>
        <w:t>.</w:t>
      </w:r>
    </w:p>
    <w:p w14:paraId="5F666917" w14:textId="77777777" w:rsidR="008E0859" w:rsidRPr="00153788" w:rsidRDefault="008E0859" w:rsidP="008E0859">
      <w:pPr>
        <w:spacing w:after="0" w:line="240" w:lineRule="auto"/>
        <w:ind w:left="1440"/>
        <w:jc w:val="both"/>
        <w:rPr>
          <w:bCs/>
          <w:kern w:val="0"/>
          <w14:ligatures w14:val="none"/>
        </w:rPr>
      </w:pPr>
    </w:p>
    <w:bookmarkEnd w:id="16"/>
    <w:p w14:paraId="4F1705E6" w14:textId="7C97D795" w:rsidR="0019203D" w:rsidRDefault="0019203D" w:rsidP="0019203D">
      <w:pPr>
        <w:numPr>
          <w:ilvl w:val="1"/>
          <w:numId w:val="2"/>
        </w:numPr>
        <w:contextualSpacing/>
        <w:rPr>
          <w:bCs/>
          <w:kern w:val="0"/>
          <w14:ligatures w14:val="none"/>
        </w:rPr>
      </w:pPr>
      <w:r w:rsidRPr="00153788">
        <w:rPr>
          <w:bCs/>
          <w:kern w:val="0"/>
          <w14:ligatures w14:val="none"/>
        </w:rPr>
        <w:t>The growth in the number of older patients helps define the need to establish</w:t>
      </w:r>
      <w:r w:rsidR="00572171">
        <w:rPr>
          <w:bCs/>
          <w:kern w:val="0"/>
          <w14:ligatures w14:val="none"/>
        </w:rPr>
        <w:t xml:space="preserve"> </w:t>
      </w:r>
      <w:r w:rsidRPr="00153788">
        <w:rPr>
          <w:bCs/>
          <w:kern w:val="0"/>
          <w14:ligatures w14:val="none"/>
        </w:rPr>
        <w:t>PET/CT</w:t>
      </w:r>
      <w:r w:rsidR="00572171">
        <w:rPr>
          <w:bCs/>
          <w:kern w:val="0"/>
          <w14:ligatures w14:val="none"/>
        </w:rPr>
        <w:t xml:space="preserve"> diagnostic</w:t>
      </w:r>
      <w:r w:rsidRPr="00153788">
        <w:rPr>
          <w:bCs/>
          <w:kern w:val="0"/>
          <w14:ligatures w14:val="none"/>
        </w:rPr>
        <w:t xml:space="preserve"> imaging service</w:t>
      </w:r>
      <w:r w:rsidR="00572171">
        <w:rPr>
          <w:bCs/>
          <w:kern w:val="0"/>
          <w14:ligatures w14:val="none"/>
        </w:rPr>
        <w:t>s</w:t>
      </w:r>
      <w:r w:rsidR="0067314B">
        <w:rPr>
          <w:bCs/>
          <w:kern w:val="0"/>
          <w14:ligatures w14:val="none"/>
        </w:rPr>
        <w:t>.</w:t>
      </w:r>
    </w:p>
    <w:p w14:paraId="0357796F" w14:textId="77777777" w:rsidR="001A23C3" w:rsidRPr="00153788" w:rsidRDefault="001A23C3" w:rsidP="001A23C3">
      <w:pPr>
        <w:ind w:left="1440"/>
        <w:contextualSpacing/>
        <w:rPr>
          <w:bCs/>
          <w:kern w:val="0"/>
          <w14:ligatures w14:val="none"/>
        </w:rPr>
      </w:pPr>
    </w:p>
    <w:p w14:paraId="23E5F86B" w14:textId="439867FC" w:rsidR="005E02C6" w:rsidRDefault="005E02C6" w:rsidP="0019203D">
      <w:pPr>
        <w:ind w:left="1440"/>
        <w:contextualSpacing/>
        <w:jc w:val="both"/>
        <w:rPr>
          <w:kern w:val="0"/>
          <w14:ligatures w14:val="none"/>
        </w:rPr>
      </w:pPr>
      <w:r w:rsidRPr="005E02C6">
        <w:rPr>
          <w:kern w:val="0"/>
          <w14:ligatures w14:val="none"/>
        </w:rPr>
        <w:t xml:space="preserve">Adults </w:t>
      </w:r>
      <w:r w:rsidR="00A064E2">
        <w:rPr>
          <w:kern w:val="0"/>
          <w14:ligatures w14:val="none"/>
        </w:rPr>
        <w:t xml:space="preserve">(19-64) </w:t>
      </w:r>
      <w:r w:rsidRPr="005E02C6">
        <w:rPr>
          <w:kern w:val="0"/>
          <w14:ligatures w14:val="none"/>
        </w:rPr>
        <w:t>and older adults</w:t>
      </w:r>
      <w:r w:rsidR="00A064E2">
        <w:rPr>
          <w:kern w:val="0"/>
          <w14:ligatures w14:val="none"/>
        </w:rPr>
        <w:t xml:space="preserve"> (</w:t>
      </w:r>
      <w:r w:rsidR="00642D59">
        <w:rPr>
          <w:kern w:val="0"/>
          <w14:ligatures w14:val="none"/>
        </w:rPr>
        <w:t xml:space="preserve">65-84) </w:t>
      </w:r>
      <w:r w:rsidRPr="005E02C6">
        <w:rPr>
          <w:kern w:val="0"/>
          <w14:ligatures w14:val="none"/>
        </w:rPr>
        <w:t xml:space="preserve">comprise </w:t>
      </w:r>
      <w:r w:rsidR="00642D59">
        <w:rPr>
          <w:kern w:val="0"/>
          <w14:ligatures w14:val="none"/>
        </w:rPr>
        <w:t xml:space="preserve">the </w:t>
      </w:r>
      <w:r w:rsidR="00400A82">
        <w:rPr>
          <w:kern w:val="0"/>
          <w14:ligatures w14:val="none"/>
        </w:rPr>
        <w:t xml:space="preserve">overwhelming </w:t>
      </w:r>
      <w:r w:rsidR="00642D59">
        <w:rPr>
          <w:kern w:val="0"/>
          <w14:ligatures w14:val="none"/>
        </w:rPr>
        <w:t xml:space="preserve">bulk </w:t>
      </w:r>
      <w:r w:rsidR="009A13D0">
        <w:rPr>
          <w:kern w:val="0"/>
          <w14:ligatures w14:val="none"/>
        </w:rPr>
        <w:t xml:space="preserve">of </w:t>
      </w:r>
      <w:r w:rsidRPr="005E02C6">
        <w:rPr>
          <w:kern w:val="0"/>
          <w14:ligatures w14:val="none"/>
        </w:rPr>
        <w:t xml:space="preserve">the Applicant’s </w:t>
      </w:r>
      <w:r w:rsidR="00121B13">
        <w:rPr>
          <w:kern w:val="0"/>
          <w14:ligatures w14:val="none"/>
        </w:rPr>
        <w:t xml:space="preserve">total </w:t>
      </w:r>
      <w:r w:rsidRPr="005E02C6">
        <w:rPr>
          <w:kern w:val="0"/>
          <w14:ligatures w14:val="none"/>
        </w:rPr>
        <w:t>patient panel</w:t>
      </w:r>
      <w:r w:rsidR="004C6BAE">
        <w:rPr>
          <w:kern w:val="0"/>
          <w14:ligatures w14:val="none"/>
        </w:rPr>
        <w:t xml:space="preserve"> between </w:t>
      </w:r>
      <w:r w:rsidR="004C6BAE" w:rsidRPr="004C6BAE">
        <w:rPr>
          <w:kern w:val="0"/>
          <w14:ligatures w14:val="none"/>
        </w:rPr>
        <w:t>CY20 to Q3 of CY23</w:t>
      </w:r>
      <w:r w:rsidRPr="005E02C6">
        <w:rPr>
          <w:kern w:val="0"/>
          <w14:ligatures w14:val="none"/>
        </w:rPr>
        <w:t xml:space="preserve">. </w:t>
      </w:r>
      <w:r w:rsidR="00A779E2">
        <w:rPr>
          <w:kern w:val="0"/>
          <w14:ligatures w14:val="none"/>
        </w:rPr>
        <w:t>Adult p</w:t>
      </w:r>
      <w:r w:rsidRPr="005E02C6">
        <w:rPr>
          <w:kern w:val="0"/>
          <w14:ligatures w14:val="none"/>
        </w:rPr>
        <w:t xml:space="preserve">atients in the </w:t>
      </w:r>
      <w:r w:rsidR="001A4DAD">
        <w:rPr>
          <w:kern w:val="0"/>
          <w14:ligatures w14:val="none"/>
        </w:rPr>
        <w:t>19-64 cohort represented about 7</w:t>
      </w:r>
      <w:r w:rsidR="005F2D31">
        <w:rPr>
          <w:kern w:val="0"/>
          <w14:ligatures w14:val="none"/>
        </w:rPr>
        <w:t>6</w:t>
      </w:r>
      <w:r w:rsidR="001A4DAD">
        <w:rPr>
          <w:kern w:val="0"/>
          <w14:ligatures w14:val="none"/>
        </w:rPr>
        <w:t>% of the total patient population</w:t>
      </w:r>
      <w:r w:rsidR="00442869">
        <w:rPr>
          <w:kern w:val="0"/>
          <w14:ligatures w14:val="none"/>
        </w:rPr>
        <w:t>,</w:t>
      </w:r>
      <w:r w:rsidR="001A4DAD">
        <w:rPr>
          <w:kern w:val="0"/>
          <w14:ligatures w14:val="none"/>
        </w:rPr>
        <w:t xml:space="preserve"> and </w:t>
      </w:r>
      <w:r w:rsidR="00A779E2">
        <w:rPr>
          <w:kern w:val="0"/>
          <w14:ligatures w14:val="none"/>
        </w:rPr>
        <w:t xml:space="preserve">older </w:t>
      </w:r>
      <w:r w:rsidR="001A4DAD">
        <w:rPr>
          <w:kern w:val="0"/>
          <w14:ligatures w14:val="none"/>
        </w:rPr>
        <w:t>adult</w:t>
      </w:r>
      <w:r w:rsidR="00A779E2">
        <w:rPr>
          <w:kern w:val="0"/>
          <w14:ligatures w14:val="none"/>
        </w:rPr>
        <w:t xml:space="preserve"> patients</w:t>
      </w:r>
      <w:r w:rsidR="001A4DAD">
        <w:rPr>
          <w:kern w:val="0"/>
          <w14:ligatures w14:val="none"/>
        </w:rPr>
        <w:t xml:space="preserve"> </w:t>
      </w:r>
      <w:r w:rsidR="004C6BAE">
        <w:rPr>
          <w:kern w:val="0"/>
          <w14:ligatures w14:val="none"/>
        </w:rPr>
        <w:t xml:space="preserve">in the </w:t>
      </w:r>
      <w:r w:rsidRPr="005E02C6">
        <w:rPr>
          <w:kern w:val="0"/>
          <w14:ligatures w14:val="none"/>
        </w:rPr>
        <w:t>65</w:t>
      </w:r>
      <w:r w:rsidR="00985834">
        <w:rPr>
          <w:kern w:val="0"/>
          <w14:ligatures w14:val="none"/>
        </w:rPr>
        <w:t>+</w:t>
      </w:r>
      <w:r w:rsidRPr="005E02C6">
        <w:rPr>
          <w:kern w:val="0"/>
          <w14:ligatures w14:val="none"/>
        </w:rPr>
        <w:t xml:space="preserve"> age cohort represented about 2</w:t>
      </w:r>
      <w:r w:rsidR="004F7D75">
        <w:rPr>
          <w:kern w:val="0"/>
          <w14:ligatures w14:val="none"/>
        </w:rPr>
        <w:t>3</w:t>
      </w:r>
      <w:r w:rsidRPr="005E02C6">
        <w:rPr>
          <w:kern w:val="0"/>
          <w14:ligatures w14:val="none"/>
        </w:rPr>
        <w:t>% of the total patient population.</w:t>
      </w:r>
    </w:p>
    <w:p w14:paraId="4BF397BC" w14:textId="77777777" w:rsidR="008D204C" w:rsidRDefault="008D204C" w:rsidP="0019203D">
      <w:pPr>
        <w:ind w:left="1440"/>
        <w:contextualSpacing/>
        <w:jc w:val="both"/>
        <w:rPr>
          <w:kern w:val="0"/>
          <w14:ligatures w14:val="none"/>
        </w:rPr>
      </w:pPr>
    </w:p>
    <w:p w14:paraId="6BF1AC1E" w14:textId="109AED98" w:rsidR="00C17020" w:rsidRPr="00C17020" w:rsidRDefault="00C17020" w:rsidP="00C17020">
      <w:pPr>
        <w:ind w:left="1440"/>
        <w:contextualSpacing/>
        <w:jc w:val="both"/>
        <w:rPr>
          <w:bCs/>
          <w:kern w:val="0"/>
          <w14:ligatures w14:val="none"/>
        </w:rPr>
      </w:pPr>
      <w:r w:rsidRPr="00C17020">
        <w:rPr>
          <w:bCs/>
          <w:kern w:val="0"/>
          <w14:ligatures w14:val="none"/>
        </w:rPr>
        <w:t xml:space="preserve">The U.S. Census Bureau's American Community Survey reveals that </w:t>
      </w:r>
      <w:r w:rsidR="0074176C">
        <w:rPr>
          <w:bCs/>
          <w:kern w:val="0"/>
          <w14:ligatures w14:val="none"/>
        </w:rPr>
        <w:t xml:space="preserve">the </w:t>
      </w:r>
      <w:r w:rsidRPr="00C17020">
        <w:rPr>
          <w:bCs/>
          <w:kern w:val="0"/>
          <w14:ligatures w14:val="none"/>
        </w:rPr>
        <w:t>Massachusetts population aged 65 years and above was 1,156,031 as of September 2023</w:t>
      </w:r>
      <w:r w:rsidR="009F0C90">
        <w:rPr>
          <w:bCs/>
          <w:kern w:val="0"/>
          <w14:ligatures w14:val="none"/>
        </w:rPr>
        <w:t xml:space="preserve"> – t</w:t>
      </w:r>
      <w:r w:rsidRPr="00C17020">
        <w:rPr>
          <w:bCs/>
          <w:kern w:val="0"/>
          <w14:ligatures w14:val="none"/>
        </w:rPr>
        <w:t>his</w:t>
      </w:r>
      <w:r w:rsidR="009F0C90">
        <w:rPr>
          <w:bCs/>
          <w:kern w:val="0"/>
          <w14:ligatures w14:val="none"/>
        </w:rPr>
        <w:t xml:space="preserve"> </w:t>
      </w:r>
      <w:r w:rsidRPr="00C17020">
        <w:rPr>
          <w:bCs/>
          <w:kern w:val="0"/>
          <w14:ligatures w14:val="none"/>
        </w:rPr>
        <w:t xml:space="preserve">subset population is 16.53% of the entire </w:t>
      </w:r>
      <w:r w:rsidR="0057163A">
        <w:rPr>
          <w:bCs/>
          <w:kern w:val="0"/>
          <w14:ligatures w14:val="none"/>
        </w:rPr>
        <w:t xml:space="preserve">Massachusetts </w:t>
      </w:r>
      <w:r w:rsidRPr="00C17020">
        <w:rPr>
          <w:bCs/>
          <w:kern w:val="0"/>
          <w14:ligatures w14:val="none"/>
        </w:rPr>
        <w:t>population.</w:t>
      </w:r>
    </w:p>
    <w:p w14:paraId="0A92E49C" w14:textId="77777777" w:rsidR="00C17020" w:rsidRDefault="00C17020" w:rsidP="0019203D">
      <w:pPr>
        <w:ind w:left="1440"/>
        <w:contextualSpacing/>
        <w:jc w:val="both"/>
        <w:rPr>
          <w:kern w:val="0"/>
          <w14:ligatures w14:val="none"/>
        </w:rPr>
      </w:pPr>
    </w:p>
    <w:p w14:paraId="0410BD04" w14:textId="46312998" w:rsidR="0019203D" w:rsidRPr="009F0C90" w:rsidRDefault="0019203D" w:rsidP="009F0C90">
      <w:pPr>
        <w:ind w:left="1440"/>
        <w:contextualSpacing/>
        <w:jc w:val="both"/>
        <w:rPr>
          <w:kern w:val="0"/>
          <w14:ligatures w14:val="none"/>
        </w:rPr>
      </w:pPr>
      <w:r w:rsidRPr="00153788">
        <w:rPr>
          <w:kern w:val="0"/>
          <w14:ligatures w14:val="none"/>
        </w:rPr>
        <w:t xml:space="preserve">The population of both Massachusetts and </w:t>
      </w:r>
      <w:r w:rsidR="00BE35BB">
        <w:rPr>
          <w:kern w:val="0"/>
          <w14:ligatures w14:val="none"/>
        </w:rPr>
        <w:t>the Applicant’s PSA</w:t>
      </w:r>
      <w:r w:rsidRPr="00153788">
        <w:rPr>
          <w:kern w:val="0"/>
          <w14:ligatures w14:val="none"/>
        </w:rPr>
        <w:t xml:space="preserve"> </w:t>
      </w:r>
      <w:r w:rsidR="00286789">
        <w:rPr>
          <w:kern w:val="0"/>
          <w14:ligatures w14:val="none"/>
        </w:rPr>
        <w:t xml:space="preserve">that is aged 65 and older </w:t>
      </w:r>
      <w:r w:rsidR="00442869">
        <w:rPr>
          <w:kern w:val="0"/>
          <w14:ligatures w14:val="none"/>
        </w:rPr>
        <w:t xml:space="preserve">helps </w:t>
      </w:r>
      <w:r w:rsidRPr="00153788">
        <w:rPr>
          <w:kern w:val="0"/>
          <w14:ligatures w14:val="none"/>
        </w:rPr>
        <w:t xml:space="preserve">demonstrate the need for local PET/CT imaging services. </w:t>
      </w:r>
      <w:r w:rsidR="00286789">
        <w:rPr>
          <w:kern w:val="0"/>
          <w14:ligatures w14:val="none"/>
        </w:rPr>
        <w:t>Additionally, s</w:t>
      </w:r>
      <w:r w:rsidRPr="00153788">
        <w:rPr>
          <w:kern w:val="0"/>
          <w14:ligatures w14:val="none"/>
        </w:rPr>
        <w:t>tatewide population projections provided by the University of Massachusetts’ Donahue Institute suggest that population growth in Massachusetts is expected to increase through 2035.</w:t>
      </w:r>
      <w:r w:rsidRPr="00153788">
        <w:rPr>
          <w:kern w:val="0"/>
          <w:vertAlign w:val="superscript"/>
          <w14:ligatures w14:val="none"/>
        </w:rPr>
        <w:footnoteReference w:id="31"/>
      </w:r>
      <w:r w:rsidRPr="00153788">
        <w:rPr>
          <w:kern w:val="0"/>
          <w14:ligatures w14:val="none"/>
        </w:rPr>
        <w:t xml:space="preserve"> While overall statewide population growth will continue to grow at a consistent rate of 3.2% during this period, estimates suggest that certain age cohorts will account for a </w:t>
      </w:r>
      <w:r w:rsidRPr="00153788">
        <w:rPr>
          <w:kern w:val="0"/>
          <w14:ligatures w14:val="none"/>
        </w:rPr>
        <w:lastRenderedPageBreak/>
        <w:t xml:space="preserve">greater share of the population than others. Specifically, within the next 15-20 years, the largest part of the Commonwealth’s population growth will be attributable to residents within the 50+ age cohort, and residents </w:t>
      </w:r>
      <w:r w:rsidR="00C17020">
        <w:rPr>
          <w:kern w:val="0"/>
          <w14:ligatures w14:val="none"/>
        </w:rPr>
        <w:t>who</w:t>
      </w:r>
      <w:r w:rsidRPr="00153788">
        <w:rPr>
          <w:kern w:val="0"/>
          <w14:ligatures w14:val="none"/>
        </w:rPr>
        <w:t xml:space="preserve"> are 65+ will represent 21% of the Massachusetts population</w:t>
      </w:r>
      <w:r w:rsidRPr="00153788">
        <w:rPr>
          <w:bCs/>
          <w:kern w:val="0"/>
          <w14:ligatures w14:val="none"/>
        </w:rPr>
        <w:t>.</w:t>
      </w:r>
      <w:r w:rsidRPr="00153788">
        <w:rPr>
          <w:kern w:val="0"/>
          <w:vertAlign w:val="superscript"/>
          <w14:ligatures w14:val="none"/>
        </w:rPr>
        <w:footnoteReference w:id="32"/>
      </w:r>
      <w:r w:rsidRPr="00153788">
        <w:rPr>
          <w:bCs/>
          <w:kern w:val="0"/>
          <w14:ligatures w14:val="none"/>
        </w:rPr>
        <w:t xml:space="preserve"> </w:t>
      </w:r>
    </w:p>
    <w:p w14:paraId="112FEF0A" w14:textId="77777777" w:rsidR="0019203D" w:rsidRDefault="0019203D" w:rsidP="0019203D">
      <w:pPr>
        <w:ind w:left="1440"/>
        <w:contextualSpacing/>
        <w:jc w:val="both"/>
        <w:rPr>
          <w:kern w:val="0"/>
          <w14:ligatures w14:val="none"/>
        </w:rPr>
      </w:pPr>
    </w:p>
    <w:p w14:paraId="741CDD12" w14:textId="108264BC" w:rsidR="008E14B1" w:rsidRDefault="00CF3778" w:rsidP="0019203D">
      <w:pPr>
        <w:ind w:left="1440"/>
        <w:contextualSpacing/>
        <w:jc w:val="both"/>
        <w:rPr>
          <w:kern w:val="0"/>
          <w14:ligatures w14:val="none"/>
        </w:rPr>
      </w:pPr>
      <w:r w:rsidRPr="00995FF3">
        <w:rPr>
          <w:kern w:val="0"/>
          <w14:ligatures w14:val="none"/>
        </w:rPr>
        <w:t xml:space="preserve">The </w:t>
      </w:r>
      <w:r w:rsidR="00995FF3" w:rsidRPr="00995FF3">
        <w:rPr>
          <w:kern w:val="0"/>
          <w14:ligatures w14:val="none"/>
        </w:rPr>
        <w:t>Applicant’s</w:t>
      </w:r>
      <w:r w:rsidR="00995FF3">
        <w:rPr>
          <w:kern w:val="0"/>
          <w14:ligatures w14:val="none"/>
        </w:rPr>
        <w:t xml:space="preserve"> PSA is </w:t>
      </w:r>
      <w:r w:rsidR="00995FF3" w:rsidRPr="00995FF3">
        <w:rPr>
          <w:kern w:val="0"/>
          <w14:ligatures w14:val="none"/>
        </w:rPr>
        <w:t xml:space="preserve">defined by cities and towns representing approximately a third of the patients currently served by </w:t>
      </w:r>
      <w:r w:rsidR="009F799E">
        <w:rPr>
          <w:kern w:val="0"/>
          <w14:ligatures w14:val="none"/>
        </w:rPr>
        <w:t>Atrius</w:t>
      </w:r>
      <w:r w:rsidR="00136A86">
        <w:rPr>
          <w:kern w:val="0"/>
          <w14:ligatures w14:val="none"/>
        </w:rPr>
        <w:t xml:space="preserve"> Health</w:t>
      </w:r>
      <w:r w:rsidR="00995FF3" w:rsidRPr="00995FF3">
        <w:rPr>
          <w:kern w:val="0"/>
          <w14:ligatures w14:val="none"/>
        </w:rPr>
        <w:t xml:space="preserve">.  </w:t>
      </w:r>
      <w:r w:rsidR="0048392D">
        <w:rPr>
          <w:kern w:val="0"/>
          <w14:ligatures w14:val="none"/>
        </w:rPr>
        <w:t xml:space="preserve">Please see </w:t>
      </w:r>
      <w:r w:rsidR="00D52ADC">
        <w:rPr>
          <w:kern w:val="0"/>
          <w14:ligatures w14:val="none"/>
        </w:rPr>
        <w:t>Table</w:t>
      </w:r>
      <w:r w:rsidR="004D63CC">
        <w:rPr>
          <w:kern w:val="0"/>
          <w14:ligatures w14:val="none"/>
        </w:rPr>
        <w:t xml:space="preserve"> 9 below for </w:t>
      </w:r>
      <w:r w:rsidR="0048392D">
        <w:rPr>
          <w:kern w:val="0"/>
          <w14:ligatures w14:val="none"/>
        </w:rPr>
        <w:t xml:space="preserve">the number of </w:t>
      </w:r>
      <w:r w:rsidR="005C03F3">
        <w:rPr>
          <w:kern w:val="0"/>
          <w14:ligatures w14:val="none"/>
        </w:rPr>
        <w:t>residents</w:t>
      </w:r>
      <w:r w:rsidR="0048392D">
        <w:rPr>
          <w:kern w:val="0"/>
          <w14:ligatures w14:val="none"/>
        </w:rPr>
        <w:t xml:space="preserve"> aged 65 and older</w:t>
      </w:r>
      <w:r w:rsidR="00136A86">
        <w:rPr>
          <w:kern w:val="0"/>
          <w14:ligatures w14:val="none"/>
        </w:rPr>
        <w:t xml:space="preserve"> as of September 2023</w:t>
      </w:r>
      <w:r w:rsidR="008E14B1">
        <w:rPr>
          <w:kern w:val="0"/>
          <w14:ligatures w14:val="none"/>
        </w:rPr>
        <w:t>.</w:t>
      </w:r>
    </w:p>
    <w:p w14:paraId="49DFACEE" w14:textId="77777777" w:rsidR="005E20FA" w:rsidRDefault="005E20FA" w:rsidP="0019203D">
      <w:pPr>
        <w:ind w:left="1440"/>
        <w:contextualSpacing/>
        <w:jc w:val="both"/>
        <w:rPr>
          <w:kern w:val="0"/>
          <w14:ligatures w14:val="none"/>
        </w:rPr>
      </w:pPr>
    </w:p>
    <w:p w14:paraId="7E98AEA1" w14:textId="50A3F4CF" w:rsidR="00CF3778" w:rsidRPr="00081CDE" w:rsidRDefault="008E14B1" w:rsidP="00081CDE">
      <w:pPr>
        <w:ind w:left="1440"/>
        <w:contextualSpacing/>
        <w:jc w:val="both"/>
        <w:rPr>
          <w:b/>
          <w:bCs/>
          <w:kern w:val="0"/>
          <w14:ligatures w14:val="none"/>
        </w:rPr>
      </w:pPr>
      <w:r w:rsidRPr="003048C9">
        <w:rPr>
          <w:b/>
          <w:bCs/>
          <w:kern w:val="0"/>
          <w14:ligatures w14:val="none"/>
        </w:rPr>
        <w:t xml:space="preserve">Table 9: </w:t>
      </w:r>
      <w:r w:rsidR="00AE519E">
        <w:rPr>
          <w:b/>
          <w:bCs/>
          <w:kern w:val="0"/>
          <w14:ligatures w14:val="none"/>
        </w:rPr>
        <w:t xml:space="preserve">Residents </w:t>
      </w:r>
      <w:r w:rsidRPr="003048C9">
        <w:rPr>
          <w:b/>
          <w:bCs/>
          <w:kern w:val="0"/>
          <w14:ligatures w14:val="none"/>
        </w:rPr>
        <w:t xml:space="preserve">Aged 65 and </w:t>
      </w:r>
      <w:r w:rsidR="00136A86">
        <w:rPr>
          <w:b/>
          <w:bCs/>
          <w:kern w:val="0"/>
          <w14:ligatures w14:val="none"/>
        </w:rPr>
        <w:t>O</w:t>
      </w:r>
      <w:r w:rsidRPr="003048C9">
        <w:rPr>
          <w:b/>
          <w:bCs/>
          <w:kern w:val="0"/>
          <w14:ligatures w14:val="none"/>
        </w:rPr>
        <w:t xml:space="preserve">lder </w:t>
      </w:r>
    </w:p>
    <w:tbl>
      <w:tblPr>
        <w:tblStyle w:val="TableGrid"/>
        <w:tblW w:w="0" w:type="auto"/>
        <w:tblInd w:w="1440" w:type="dxa"/>
        <w:tblLook w:val="04A0" w:firstRow="1" w:lastRow="0" w:firstColumn="1" w:lastColumn="0" w:noHBand="0" w:noVBand="1"/>
      </w:tblPr>
      <w:tblGrid>
        <w:gridCol w:w="2785"/>
        <w:gridCol w:w="5125"/>
      </w:tblGrid>
      <w:tr w:rsidR="00C148EE" w:rsidRPr="00161C32" w14:paraId="79FE39ED" w14:textId="77777777" w:rsidTr="00897806">
        <w:trPr>
          <w:cantSplit/>
          <w:tblHeader/>
        </w:trPr>
        <w:tc>
          <w:tcPr>
            <w:tcW w:w="2785" w:type="dxa"/>
            <w:shd w:val="clear" w:color="auto" w:fill="002060"/>
          </w:tcPr>
          <w:p w14:paraId="3D18F4E8" w14:textId="31D4462B" w:rsidR="00C148EE" w:rsidRPr="00161C32" w:rsidRDefault="00C148EE" w:rsidP="0019203D">
            <w:pPr>
              <w:contextualSpacing/>
              <w:jc w:val="both"/>
            </w:pPr>
            <w:r w:rsidRPr="00161C32">
              <w:t>Town/City</w:t>
            </w:r>
            <w:r w:rsidR="0006361D">
              <w:rPr>
                <w:rStyle w:val="FootnoteReference"/>
              </w:rPr>
              <w:footnoteReference w:id="33"/>
            </w:r>
          </w:p>
        </w:tc>
        <w:tc>
          <w:tcPr>
            <w:tcW w:w="5125" w:type="dxa"/>
            <w:shd w:val="clear" w:color="auto" w:fill="002060"/>
          </w:tcPr>
          <w:p w14:paraId="01782A5F" w14:textId="3989BECE" w:rsidR="00C148EE" w:rsidRPr="00161C32" w:rsidRDefault="00C148EE" w:rsidP="0019203D">
            <w:pPr>
              <w:contextualSpacing/>
              <w:jc w:val="both"/>
            </w:pPr>
            <w:r w:rsidRPr="00161C32">
              <w:t xml:space="preserve">Number of </w:t>
            </w:r>
            <w:r w:rsidR="005C03F3" w:rsidRPr="00161C32">
              <w:t>Residents Aged 65 and older</w:t>
            </w:r>
            <w:r w:rsidR="001E33E6" w:rsidRPr="00161C32">
              <w:rPr>
                <w:rStyle w:val="FootnoteReference"/>
              </w:rPr>
              <w:footnoteReference w:id="34"/>
            </w:r>
          </w:p>
        </w:tc>
      </w:tr>
      <w:tr w:rsidR="007667FB" w:rsidRPr="00161C32" w14:paraId="26F35315" w14:textId="77777777" w:rsidTr="00897806">
        <w:trPr>
          <w:cantSplit/>
        </w:trPr>
        <w:tc>
          <w:tcPr>
            <w:tcW w:w="2785" w:type="dxa"/>
          </w:tcPr>
          <w:p w14:paraId="105F9259" w14:textId="1F2599FD" w:rsidR="007667FB" w:rsidRPr="00161C32" w:rsidRDefault="007667FB" w:rsidP="0019203D">
            <w:pPr>
              <w:contextualSpacing/>
              <w:jc w:val="both"/>
            </w:pPr>
            <w:r w:rsidRPr="00161C32">
              <w:t>Arlington</w:t>
            </w:r>
          </w:p>
        </w:tc>
        <w:tc>
          <w:tcPr>
            <w:tcW w:w="5125" w:type="dxa"/>
          </w:tcPr>
          <w:p w14:paraId="3D7E0785" w14:textId="1CE2E97E" w:rsidR="007667FB" w:rsidRPr="00161C32" w:rsidRDefault="008A6EE8" w:rsidP="0019203D">
            <w:pPr>
              <w:contextualSpacing/>
              <w:jc w:val="both"/>
            </w:pPr>
            <w:r w:rsidRPr="00161C32">
              <w:t>7,385</w:t>
            </w:r>
          </w:p>
        </w:tc>
      </w:tr>
      <w:tr w:rsidR="00C148EE" w:rsidRPr="00161C32" w14:paraId="3E0CBF1E" w14:textId="77777777" w:rsidTr="00897806">
        <w:trPr>
          <w:cantSplit/>
        </w:trPr>
        <w:tc>
          <w:tcPr>
            <w:tcW w:w="2785" w:type="dxa"/>
          </w:tcPr>
          <w:p w14:paraId="29013AE0" w14:textId="0435B424" w:rsidR="00C148EE" w:rsidRPr="00161C32" w:rsidRDefault="00B7045E" w:rsidP="0019203D">
            <w:pPr>
              <w:contextualSpacing/>
              <w:jc w:val="both"/>
            </w:pPr>
            <w:r w:rsidRPr="00161C32">
              <w:t>Boston</w:t>
            </w:r>
          </w:p>
        </w:tc>
        <w:tc>
          <w:tcPr>
            <w:tcW w:w="5125" w:type="dxa"/>
          </w:tcPr>
          <w:p w14:paraId="2F3C7978" w14:textId="19F9A7A4" w:rsidR="00C148EE" w:rsidRPr="00161C32" w:rsidRDefault="00E04850" w:rsidP="0019203D">
            <w:pPr>
              <w:contextualSpacing/>
              <w:jc w:val="both"/>
            </w:pPr>
            <w:r w:rsidRPr="00161C32">
              <w:t>79,459</w:t>
            </w:r>
          </w:p>
        </w:tc>
      </w:tr>
      <w:tr w:rsidR="00422316" w:rsidRPr="00161C32" w14:paraId="40D2F6F7" w14:textId="77777777" w:rsidTr="00897806">
        <w:trPr>
          <w:cantSplit/>
        </w:trPr>
        <w:tc>
          <w:tcPr>
            <w:tcW w:w="2785" w:type="dxa"/>
          </w:tcPr>
          <w:p w14:paraId="5E709184" w14:textId="1E39CA74" w:rsidR="00422316" w:rsidRPr="00161C32" w:rsidRDefault="00422316" w:rsidP="0019203D">
            <w:pPr>
              <w:contextualSpacing/>
              <w:jc w:val="both"/>
            </w:pPr>
            <w:r w:rsidRPr="00161C32">
              <w:t>Braintree</w:t>
            </w:r>
          </w:p>
        </w:tc>
        <w:tc>
          <w:tcPr>
            <w:tcW w:w="5125" w:type="dxa"/>
          </w:tcPr>
          <w:p w14:paraId="1F8B5F47" w14:textId="30634DBA" w:rsidR="00422316" w:rsidRPr="00161C32" w:rsidRDefault="0015339A" w:rsidP="0019203D">
            <w:pPr>
              <w:contextualSpacing/>
              <w:jc w:val="both"/>
            </w:pPr>
            <w:r w:rsidRPr="00161C32">
              <w:t>6,341</w:t>
            </w:r>
          </w:p>
        </w:tc>
      </w:tr>
      <w:tr w:rsidR="00C148EE" w:rsidRPr="00161C32" w14:paraId="260D9927" w14:textId="77777777" w:rsidTr="00897806">
        <w:trPr>
          <w:cantSplit/>
        </w:trPr>
        <w:tc>
          <w:tcPr>
            <w:tcW w:w="2785" w:type="dxa"/>
          </w:tcPr>
          <w:p w14:paraId="0A0CC987" w14:textId="28D6D21D" w:rsidR="00C148EE" w:rsidRPr="00161C32" w:rsidRDefault="00B7045E" w:rsidP="0019203D">
            <w:pPr>
              <w:contextualSpacing/>
              <w:jc w:val="both"/>
            </w:pPr>
            <w:r w:rsidRPr="00161C32">
              <w:t>Brockton</w:t>
            </w:r>
          </w:p>
        </w:tc>
        <w:tc>
          <w:tcPr>
            <w:tcW w:w="5125" w:type="dxa"/>
          </w:tcPr>
          <w:p w14:paraId="279BFB8A" w14:textId="2A1F3A31" w:rsidR="00C148EE" w:rsidRPr="00161C32" w:rsidRDefault="00597426" w:rsidP="0019203D">
            <w:pPr>
              <w:contextualSpacing/>
              <w:jc w:val="both"/>
            </w:pPr>
            <w:r w:rsidRPr="00161C32">
              <w:t>13,942</w:t>
            </w:r>
          </w:p>
        </w:tc>
      </w:tr>
      <w:tr w:rsidR="00C148EE" w:rsidRPr="00161C32" w14:paraId="2C3AC94B" w14:textId="77777777" w:rsidTr="00897806">
        <w:trPr>
          <w:cantSplit/>
        </w:trPr>
        <w:tc>
          <w:tcPr>
            <w:tcW w:w="2785" w:type="dxa"/>
          </w:tcPr>
          <w:p w14:paraId="1BB8E9FF" w14:textId="6D1E1D62" w:rsidR="00C148EE" w:rsidRPr="00161C32" w:rsidRDefault="007667FB" w:rsidP="0019203D">
            <w:pPr>
              <w:contextualSpacing/>
              <w:jc w:val="both"/>
            </w:pPr>
            <w:r w:rsidRPr="00161C32">
              <w:t>Cambridge</w:t>
            </w:r>
          </w:p>
        </w:tc>
        <w:tc>
          <w:tcPr>
            <w:tcW w:w="5125" w:type="dxa"/>
          </w:tcPr>
          <w:p w14:paraId="1FF59AA7" w14:textId="3A1121E7" w:rsidR="00C148EE" w:rsidRPr="00161C32" w:rsidRDefault="00FD6440" w:rsidP="0019203D">
            <w:pPr>
              <w:contextualSpacing/>
              <w:jc w:val="both"/>
            </w:pPr>
            <w:r w:rsidRPr="00161C32">
              <w:t>13,218</w:t>
            </w:r>
          </w:p>
        </w:tc>
      </w:tr>
      <w:tr w:rsidR="00C148EE" w:rsidRPr="00161C32" w14:paraId="2B445F33" w14:textId="77777777" w:rsidTr="00897806">
        <w:trPr>
          <w:cantSplit/>
        </w:trPr>
        <w:tc>
          <w:tcPr>
            <w:tcW w:w="2785" w:type="dxa"/>
          </w:tcPr>
          <w:p w14:paraId="664906CE" w14:textId="726425CF" w:rsidR="00C148EE" w:rsidRPr="00161C32" w:rsidRDefault="007667FB" w:rsidP="0019203D">
            <w:pPr>
              <w:contextualSpacing/>
              <w:jc w:val="both"/>
            </w:pPr>
            <w:r w:rsidRPr="00161C32">
              <w:t>Dedham</w:t>
            </w:r>
          </w:p>
        </w:tc>
        <w:tc>
          <w:tcPr>
            <w:tcW w:w="5125" w:type="dxa"/>
          </w:tcPr>
          <w:p w14:paraId="1A96EE65" w14:textId="428DC76D" w:rsidR="00C148EE" w:rsidRPr="00161C32" w:rsidRDefault="003B5FF3" w:rsidP="0019203D">
            <w:pPr>
              <w:contextualSpacing/>
              <w:jc w:val="both"/>
            </w:pPr>
            <w:r w:rsidRPr="00161C32">
              <w:t>4,957</w:t>
            </w:r>
          </w:p>
        </w:tc>
      </w:tr>
      <w:tr w:rsidR="00C148EE" w:rsidRPr="00161C32" w14:paraId="1B2CE405" w14:textId="77777777" w:rsidTr="00897806">
        <w:trPr>
          <w:cantSplit/>
        </w:trPr>
        <w:tc>
          <w:tcPr>
            <w:tcW w:w="2785" w:type="dxa"/>
          </w:tcPr>
          <w:p w14:paraId="7904FE71" w14:textId="716C0EA6" w:rsidR="00C148EE" w:rsidRPr="00161C32" w:rsidRDefault="007667FB" w:rsidP="0019203D">
            <w:pPr>
              <w:contextualSpacing/>
              <w:jc w:val="both"/>
            </w:pPr>
            <w:r w:rsidRPr="00161C32">
              <w:t>Dorchester</w:t>
            </w:r>
            <w:r w:rsidR="005A02EE" w:rsidRPr="00161C32">
              <w:rPr>
                <w:rStyle w:val="FootnoteReference"/>
              </w:rPr>
              <w:footnoteReference w:id="35"/>
            </w:r>
            <w:r w:rsidRPr="00161C32">
              <w:t xml:space="preserve"> </w:t>
            </w:r>
          </w:p>
        </w:tc>
        <w:tc>
          <w:tcPr>
            <w:tcW w:w="5125" w:type="dxa"/>
          </w:tcPr>
          <w:p w14:paraId="4FA229DD" w14:textId="1896EF6E" w:rsidR="00C148EE" w:rsidRPr="00161C32" w:rsidRDefault="005A02EE" w:rsidP="0019203D">
            <w:pPr>
              <w:contextualSpacing/>
              <w:jc w:val="both"/>
            </w:pPr>
            <w:r w:rsidRPr="00161C32">
              <w:t>11,879</w:t>
            </w:r>
          </w:p>
        </w:tc>
      </w:tr>
      <w:tr w:rsidR="00C148EE" w:rsidRPr="00161C32" w14:paraId="5B9B5FE1" w14:textId="77777777" w:rsidTr="00897806">
        <w:trPr>
          <w:cantSplit/>
        </w:trPr>
        <w:tc>
          <w:tcPr>
            <w:tcW w:w="2785" w:type="dxa"/>
          </w:tcPr>
          <w:p w14:paraId="24345A67" w14:textId="1C045D2C" w:rsidR="00C148EE" w:rsidRPr="00161C32" w:rsidRDefault="00D7483D" w:rsidP="0019203D">
            <w:pPr>
              <w:contextualSpacing/>
              <w:jc w:val="both"/>
            </w:pPr>
            <w:r w:rsidRPr="00161C32">
              <w:t>Lowell</w:t>
            </w:r>
          </w:p>
        </w:tc>
        <w:tc>
          <w:tcPr>
            <w:tcW w:w="5125" w:type="dxa"/>
          </w:tcPr>
          <w:p w14:paraId="077CD8F2" w14:textId="4EFFE1C1" w:rsidR="00C148EE" w:rsidRPr="00161C32" w:rsidRDefault="00104C0F" w:rsidP="0019203D">
            <w:pPr>
              <w:contextualSpacing/>
              <w:jc w:val="both"/>
            </w:pPr>
            <w:r w:rsidRPr="00161C32">
              <w:t>13,040</w:t>
            </w:r>
          </w:p>
        </w:tc>
      </w:tr>
      <w:tr w:rsidR="00C148EE" w:rsidRPr="00161C32" w14:paraId="63F3AEBB" w14:textId="77777777" w:rsidTr="00897806">
        <w:trPr>
          <w:cantSplit/>
        </w:trPr>
        <w:tc>
          <w:tcPr>
            <w:tcW w:w="2785" w:type="dxa"/>
          </w:tcPr>
          <w:p w14:paraId="72BA1BC5" w14:textId="22F9E92E" w:rsidR="00C148EE" w:rsidRPr="00161C32" w:rsidRDefault="00D7483D" w:rsidP="0019203D">
            <w:pPr>
              <w:contextualSpacing/>
              <w:jc w:val="both"/>
            </w:pPr>
            <w:r w:rsidRPr="00161C32">
              <w:t>Medford</w:t>
            </w:r>
          </w:p>
        </w:tc>
        <w:tc>
          <w:tcPr>
            <w:tcW w:w="5125" w:type="dxa"/>
          </w:tcPr>
          <w:p w14:paraId="68C83705" w14:textId="60B9FE26" w:rsidR="00C148EE" w:rsidRPr="00161C32" w:rsidRDefault="00792FBB" w:rsidP="0019203D">
            <w:pPr>
              <w:contextualSpacing/>
              <w:jc w:val="both"/>
            </w:pPr>
            <w:r w:rsidRPr="00161C32">
              <w:t>9,017</w:t>
            </w:r>
          </w:p>
        </w:tc>
      </w:tr>
      <w:tr w:rsidR="00C148EE" w:rsidRPr="00161C32" w14:paraId="78476971" w14:textId="77777777" w:rsidTr="00897806">
        <w:trPr>
          <w:cantSplit/>
        </w:trPr>
        <w:tc>
          <w:tcPr>
            <w:tcW w:w="2785" w:type="dxa"/>
          </w:tcPr>
          <w:p w14:paraId="168315B3" w14:textId="3219FDBB" w:rsidR="00C148EE" w:rsidRPr="00161C32" w:rsidRDefault="00D7483D" w:rsidP="0019203D">
            <w:pPr>
              <w:contextualSpacing/>
              <w:jc w:val="both"/>
            </w:pPr>
            <w:r w:rsidRPr="00161C32">
              <w:t>Norwood</w:t>
            </w:r>
          </w:p>
        </w:tc>
        <w:tc>
          <w:tcPr>
            <w:tcW w:w="5125" w:type="dxa"/>
          </w:tcPr>
          <w:p w14:paraId="3DE43EBB" w14:textId="2A1F859F" w:rsidR="00C148EE" w:rsidRPr="00161C32" w:rsidRDefault="00E27606" w:rsidP="0019203D">
            <w:pPr>
              <w:contextualSpacing/>
              <w:jc w:val="both"/>
            </w:pPr>
            <w:r w:rsidRPr="00161C32">
              <w:t>5,032</w:t>
            </w:r>
          </w:p>
        </w:tc>
      </w:tr>
      <w:tr w:rsidR="00C148EE" w:rsidRPr="00161C32" w14:paraId="42E52246" w14:textId="77777777" w:rsidTr="00897806">
        <w:trPr>
          <w:cantSplit/>
        </w:trPr>
        <w:tc>
          <w:tcPr>
            <w:tcW w:w="2785" w:type="dxa"/>
          </w:tcPr>
          <w:p w14:paraId="66A50843" w14:textId="2D9A9790" w:rsidR="00C148EE" w:rsidRPr="00161C32" w:rsidRDefault="00D7483D" w:rsidP="0019203D">
            <w:pPr>
              <w:contextualSpacing/>
              <w:jc w:val="both"/>
            </w:pPr>
            <w:r w:rsidRPr="00161C32">
              <w:t>Peabody</w:t>
            </w:r>
          </w:p>
        </w:tc>
        <w:tc>
          <w:tcPr>
            <w:tcW w:w="5125" w:type="dxa"/>
          </w:tcPr>
          <w:p w14:paraId="643AE80D" w14:textId="275EA1B3" w:rsidR="00C148EE" w:rsidRPr="00161C32" w:rsidRDefault="000E4DCE" w:rsidP="0019203D">
            <w:pPr>
              <w:contextualSpacing/>
              <w:jc w:val="both"/>
            </w:pPr>
            <w:r w:rsidRPr="00161C32">
              <w:t>12,408</w:t>
            </w:r>
          </w:p>
        </w:tc>
      </w:tr>
      <w:tr w:rsidR="00C148EE" w:rsidRPr="00161C32" w14:paraId="2AF47785" w14:textId="77777777" w:rsidTr="00897806">
        <w:trPr>
          <w:cantSplit/>
        </w:trPr>
        <w:tc>
          <w:tcPr>
            <w:tcW w:w="2785" w:type="dxa"/>
          </w:tcPr>
          <w:p w14:paraId="6B60B251" w14:textId="7032384E" w:rsidR="00C148EE" w:rsidRPr="00161C32" w:rsidRDefault="002256A6" w:rsidP="0019203D">
            <w:pPr>
              <w:contextualSpacing/>
              <w:jc w:val="both"/>
            </w:pPr>
            <w:r w:rsidRPr="00161C32">
              <w:t>Plymouth</w:t>
            </w:r>
          </w:p>
        </w:tc>
        <w:tc>
          <w:tcPr>
            <w:tcW w:w="5125" w:type="dxa"/>
          </w:tcPr>
          <w:p w14:paraId="77A5B3ED" w14:textId="124A435C" w:rsidR="00C148EE" w:rsidRPr="00161C32" w:rsidRDefault="002256A6" w:rsidP="0019203D">
            <w:pPr>
              <w:contextualSpacing/>
              <w:jc w:val="both"/>
            </w:pPr>
            <w:r w:rsidRPr="00161C32">
              <w:t>14,069</w:t>
            </w:r>
          </w:p>
        </w:tc>
      </w:tr>
      <w:tr w:rsidR="00C148EE" w:rsidRPr="00161C32" w14:paraId="2DD2D09E" w14:textId="77777777" w:rsidTr="00897806">
        <w:trPr>
          <w:cantSplit/>
        </w:trPr>
        <w:tc>
          <w:tcPr>
            <w:tcW w:w="2785" w:type="dxa"/>
          </w:tcPr>
          <w:p w14:paraId="7F99FCDC" w14:textId="2777DA14" w:rsidR="00C148EE" w:rsidRPr="00161C32" w:rsidRDefault="005F1ABD" w:rsidP="0019203D">
            <w:pPr>
              <w:contextualSpacing/>
              <w:jc w:val="both"/>
            </w:pPr>
            <w:r w:rsidRPr="00161C32">
              <w:t>Quincy</w:t>
            </w:r>
          </w:p>
        </w:tc>
        <w:tc>
          <w:tcPr>
            <w:tcW w:w="5125" w:type="dxa"/>
          </w:tcPr>
          <w:p w14:paraId="51867211" w14:textId="2CDFC866" w:rsidR="00C148EE" w:rsidRPr="00161C32" w:rsidRDefault="005F1ABD" w:rsidP="0019203D">
            <w:pPr>
              <w:contextualSpacing/>
              <w:jc w:val="both"/>
            </w:pPr>
            <w:r w:rsidRPr="00161C32">
              <w:t>16,878</w:t>
            </w:r>
          </w:p>
        </w:tc>
      </w:tr>
      <w:tr w:rsidR="00C148EE" w:rsidRPr="00161C32" w14:paraId="2B7CED4D" w14:textId="77777777" w:rsidTr="00897806">
        <w:trPr>
          <w:cantSplit/>
        </w:trPr>
        <w:tc>
          <w:tcPr>
            <w:tcW w:w="2785" w:type="dxa"/>
          </w:tcPr>
          <w:p w14:paraId="0B99FA18" w14:textId="5EDAD764" w:rsidR="00C148EE" w:rsidRPr="00161C32" w:rsidRDefault="005F1ABD" w:rsidP="0019203D">
            <w:pPr>
              <w:contextualSpacing/>
              <w:jc w:val="both"/>
            </w:pPr>
            <w:r w:rsidRPr="00161C32">
              <w:t>Somerville</w:t>
            </w:r>
          </w:p>
        </w:tc>
        <w:tc>
          <w:tcPr>
            <w:tcW w:w="5125" w:type="dxa"/>
          </w:tcPr>
          <w:p w14:paraId="2D1C2324" w14:textId="5F56F8A1" w:rsidR="00C148EE" w:rsidRPr="00161C32" w:rsidRDefault="00E909D0" w:rsidP="0019203D">
            <w:pPr>
              <w:contextualSpacing/>
              <w:jc w:val="both"/>
            </w:pPr>
            <w:r w:rsidRPr="00161C32">
              <w:t>7,491</w:t>
            </w:r>
          </w:p>
        </w:tc>
      </w:tr>
      <w:tr w:rsidR="00C148EE" w:rsidRPr="00161C32" w14:paraId="09269A06" w14:textId="77777777" w:rsidTr="00897806">
        <w:trPr>
          <w:cantSplit/>
        </w:trPr>
        <w:tc>
          <w:tcPr>
            <w:tcW w:w="2785" w:type="dxa"/>
          </w:tcPr>
          <w:p w14:paraId="72A878EA" w14:textId="14A9E189" w:rsidR="00C148EE" w:rsidRPr="00161C32" w:rsidRDefault="005F1ABD" w:rsidP="0019203D">
            <w:pPr>
              <w:contextualSpacing/>
              <w:jc w:val="both"/>
            </w:pPr>
            <w:r w:rsidRPr="00161C32">
              <w:t>Watertown</w:t>
            </w:r>
          </w:p>
        </w:tc>
        <w:tc>
          <w:tcPr>
            <w:tcW w:w="5125" w:type="dxa"/>
          </w:tcPr>
          <w:p w14:paraId="44338FF6" w14:textId="7032C3DE" w:rsidR="00C148EE" w:rsidRPr="00161C32" w:rsidRDefault="00AE519E" w:rsidP="0019203D">
            <w:pPr>
              <w:contextualSpacing/>
              <w:jc w:val="both"/>
            </w:pPr>
            <w:r w:rsidRPr="00161C32">
              <w:t>6,129</w:t>
            </w:r>
          </w:p>
        </w:tc>
      </w:tr>
    </w:tbl>
    <w:p w14:paraId="583AEC7E" w14:textId="77777777" w:rsidR="0063226A" w:rsidRDefault="0063226A" w:rsidP="004F4DEF">
      <w:pPr>
        <w:ind w:left="1440"/>
        <w:contextualSpacing/>
        <w:jc w:val="both"/>
        <w:rPr>
          <w:kern w:val="0"/>
          <w14:ligatures w14:val="none"/>
        </w:rPr>
      </w:pPr>
    </w:p>
    <w:p w14:paraId="3A4D1ED0" w14:textId="0D5925D8" w:rsidR="0019203D" w:rsidRDefault="0019203D" w:rsidP="004F4DEF">
      <w:pPr>
        <w:ind w:left="1440"/>
        <w:contextualSpacing/>
        <w:jc w:val="both"/>
        <w:rPr>
          <w:kern w:val="0"/>
          <w14:ligatures w14:val="none"/>
        </w:rPr>
      </w:pPr>
      <w:r w:rsidRPr="00153788">
        <w:rPr>
          <w:kern w:val="0"/>
          <w14:ligatures w14:val="none"/>
        </w:rPr>
        <w:t xml:space="preserve">Assuming the demographic trends within </w:t>
      </w:r>
      <w:r w:rsidR="004759CB">
        <w:rPr>
          <w:kern w:val="0"/>
          <w14:ligatures w14:val="none"/>
        </w:rPr>
        <w:t>the Applicant</w:t>
      </w:r>
      <w:r w:rsidRPr="00153788">
        <w:rPr>
          <w:kern w:val="0"/>
          <w14:ligatures w14:val="none"/>
        </w:rPr>
        <w:t xml:space="preserve">’s patient population continue to mirror that of the state, it is expected that </w:t>
      </w:r>
      <w:r w:rsidR="00073F7E">
        <w:rPr>
          <w:kern w:val="0"/>
          <w14:ligatures w14:val="none"/>
        </w:rPr>
        <w:t>the Applicant’s PSA</w:t>
      </w:r>
      <w:r w:rsidRPr="00153788">
        <w:rPr>
          <w:kern w:val="0"/>
          <w14:ligatures w14:val="none"/>
        </w:rPr>
        <w:t xml:space="preserve"> will continue to see growth in the </w:t>
      </w:r>
      <w:r w:rsidR="004759CB">
        <w:rPr>
          <w:kern w:val="0"/>
          <w14:ligatures w14:val="none"/>
        </w:rPr>
        <w:t>65</w:t>
      </w:r>
      <w:r w:rsidRPr="00153788">
        <w:rPr>
          <w:kern w:val="0"/>
          <w14:ligatures w14:val="none"/>
        </w:rPr>
        <w:t xml:space="preserve">+ age cohort that it serves.  As the </w:t>
      </w:r>
      <w:r w:rsidR="004759CB">
        <w:rPr>
          <w:kern w:val="0"/>
          <w14:ligatures w14:val="none"/>
        </w:rPr>
        <w:t>Applicant</w:t>
      </w:r>
      <w:r w:rsidR="00E142C9">
        <w:rPr>
          <w:kern w:val="0"/>
          <w14:ligatures w14:val="none"/>
        </w:rPr>
        <w:t>’</w:t>
      </w:r>
      <w:r w:rsidR="004759CB">
        <w:rPr>
          <w:kern w:val="0"/>
          <w14:ligatures w14:val="none"/>
        </w:rPr>
        <w:t>s</w:t>
      </w:r>
      <w:r w:rsidRPr="00153788">
        <w:rPr>
          <w:kern w:val="0"/>
          <w14:ligatures w14:val="none"/>
        </w:rPr>
        <w:t xml:space="preserve"> patients </w:t>
      </w:r>
      <w:r w:rsidR="00E142C9">
        <w:rPr>
          <w:kern w:val="0"/>
          <w14:ligatures w14:val="none"/>
        </w:rPr>
        <w:t xml:space="preserve">age into </w:t>
      </w:r>
      <w:r w:rsidR="000E3C61">
        <w:rPr>
          <w:kern w:val="0"/>
          <w14:ligatures w14:val="none"/>
        </w:rPr>
        <w:t>the 65+</w:t>
      </w:r>
      <w:r w:rsidRPr="00153788">
        <w:rPr>
          <w:kern w:val="0"/>
          <w14:ligatures w14:val="none"/>
        </w:rPr>
        <w:t xml:space="preserve"> age cohort, the </w:t>
      </w:r>
      <w:bookmarkStart w:id="17" w:name="_Hlk98500256"/>
      <w:r w:rsidRPr="00153788">
        <w:rPr>
          <w:kern w:val="0"/>
          <w14:ligatures w14:val="none"/>
        </w:rPr>
        <w:t>need for imaging services, such as PET/CT, becomes more important for detecting, managing, and treating age-related condition</w:t>
      </w:r>
      <w:bookmarkEnd w:id="17"/>
      <w:r w:rsidRPr="00153788">
        <w:rPr>
          <w:kern w:val="0"/>
          <w14:ligatures w14:val="none"/>
        </w:rPr>
        <w:t>s,</w:t>
      </w:r>
      <w:r w:rsidRPr="00153788">
        <w:rPr>
          <w:kern w:val="0"/>
          <w:vertAlign w:val="superscript"/>
          <w14:ligatures w14:val="none"/>
        </w:rPr>
        <w:footnoteReference w:id="36"/>
      </w:r>
      <w:r w:rsidRPr="00153788">
        <w:rPr>
          <w:kern w:val="0"/>
          <w14:ligatures w14:val="none"/>
        </w:rPr>
        <w:t xml:space="preserve"> as discussed in further detail below</w:t>
      </w:r>
      <w:r w:rsidR="00283255">
        <w:rPr>
          <w:kern w:val="0"/>
          <w14:ligatures w14:val="none"/>
        </w:rPr>
        <w:t>.</w:t>
      </w:r>
    </w:p>
    <w:p w14:paraId="3BF2EBA5" w14:textId="77777777" w:rsidR="003048C9" w:rsidRDefault="003048C9" w:rsidP="0019203D">
      <w:pPr>
        <w:ind w:left="1440"/>
        <w:contextualSpacing/>
        <w:jc w:val="both"/>
        <w:rPr>
          <w:kern w:val="0"/>
          <w14:ligatures w14:val="none"/>
        </w:rPr>
      </w:pPr>
    </w:p>
    <w:p w14:paraId="1945CEB5" w14:textId="5064B068" w:rsidR="0019203D" w:rsidRPr="00153788" w:rsidRDefault="0019203D" w:rsidP="0019203D">
      <w:pPr>
        <w:ind w:left="1440"/>
        <w:contextualSpacing/>
        <w:jc w:val="both"/>
        <w:rPr>
          <w:kern w:val="0"/>
          <w14:ligatures w14:val="none"/>
        </w:rPr>
      </w:pPr>
      <w:r w:rsidRPr="00153788">
        <w:rPr>
          <w:kern w:val="0"/>
          <w14:ligatures w14:val="none"/>
        </w:rPr>
        <w:t xml:space="preserve">To ensure that </w:t>
      </w:r>
      <w:r>
        <w:rPr>
          <w:kern w:val="0"/>
          <w14:ligatures w14:val="none"/>
        </w:rPr>
        <w:t>the Applicant</w:t>
      </w:r>
      <w:r w:rsidRPr="00153788">
        <w:rPr>
          <w:kern w:val="0"/>
          <w14:ligatures w14:val="none"/>
        </w:rPr>
        <w:t xml:space="preserve">’s aging patient panel has access to </w:t>
      </w:r>
      <w:r w:rsidR="00073F7E">
        <w:rPr>
          <w:kern w:val="0"/>
          <w14:ligatures w14:val="none"/>
        </w:rPr>
        <w:t>high-quality</w:t>
      </w:r>
      <w:r w:rsidRPr="00153788">
        <w:rPr>
          <w:kern w:val="0"/>
          <w14:ligatures w14:val="none"/>
        </w:rPr>
        <w:t xml:space="preserve"> PET/CT services with proven</w:t>
      </w:r>
      <w:r w:rsidRPr="00153788">
        <w:rPr>
          <w:bCs/>
          <w:kern w:val="0"/>
          <w14:ligatures w14:val="none"/>
        </w:rPr>
        <w:t xml:space="preserve"> </w:t>
      </w:r>
      <w:r w:rsidRPr="00153788">
        <w:rPr>
          <w:kern w:val="0"/>
          <w14:ligatures w14:val="none"/>
        </w:rPr>
        <w:t>effectiveness in the fields of oncology</w:t>
      </w:r>
      <w:r w:rsidR="00A2349E">
        <w:rPr>
          <w:kern w:val="0"/>
          <w14:ligatures w14:val="none"/>
        </w:rPr>
        <w:t xml:space="preserve">, </w:t>
      </w:r>
      <w:r w:rsidRPr="00153788">
        <w:rPr>
          <w:kern w:val="0"/>
          <w14:ligatures w14:val="none"/>
        </w:rPr>
        <w:t>cardiology,</w:t>
      </w:r>
      <w:r w:rsidR="00A2349E">
        <w:rPr>
          <w:kern w:val="0"/>
          <w14:ligatures w14:val="none"/>
        </w:rPr>
        <w:t xml:space="preserve"> and neurology</w:t>
      </w:r>
      <w:r w:rsidRPr="00153788">
        <w:rPr>
          <w:kern w:val="0"/>
          <w:vertAlign w:val="superscript"/>
          <w14:ligatures w14:val="none"/>
        </w:rPr>
        <w:footnoteReference w:id="37"/>
      </w:r>
      <w:r w:rsidRPr="00153788">
        <w:rPr>
          <w:kern w:val="0"/>
          <w14:ligatures w14:val="none"/>
        </w:rPr>
        <w:t xml:space="preserve"> the Applicant seeks to establish a licensed IDTF satellite clinic to provide PET/CT imaging services at </w:t>
      </w:r>
      <w:r w:rsidR="002A48F7">
        <w:rPr>
          <w:kern w:val="0"/>
          <w14:ligatures w14:val="none"/>
        </w:rPr>
        <w:t xml:space="preserve">the </w:t>
      </w:r>
      <w:r>
        <w:rPr>
          <w:kern w:val="0"/>
          <w14:ligatures w14:val="none"/>
        </w:rPr>
        <w:t>Shields Dedham</w:t>
      </w:r>
      <w:r w:rsidR="002A48F7">
        <w:rPr>
          <w:kern w:val="0"/>
          <w14:ligatures w14:val="none"/>
        </w:rPr>
        <w:t xml:space="preserve"> location</w:t>
      </w:r>
      <w:r w:rsidRPr="00153788">
        <w:rPr>
          <w:kern w:val="0"/>
          <w14:ligatures w14:val="none"/>
        </w:rPr>
        <w:t>.</w:t>
      </w:r>
    </w:p>
    <w:p w14:paraId="2617AE1A" w14:textId="77777777" w:rsidR="0019203D" w:rsidRPr="00153788" w:rsidRDefault="0019203D" w:rsidP="0019203D">
      <w:pPr>
        <w:ind w:left="1440"/>
        <w:contextualSpacing/>
        <w:rPr>
          <w:bCs/>
          <w:kern w:val="0"/>
          <w14:ligatures w14:val="none"/>
        </w:rPr>
      </w:pPr>
    </w:p>
    <w:p w14:paraId="757EE5B2" w14:textId="3A09DD91" w:rsidR="0019203D" w:rsidRPr="00153788" w:rsidRDefault="00A2349E" w:rsidP="0019203D">
      <w:pPr>
        <w:numPr>
          <w:ilvl w:val="1"/>
          <w:numId w:val="2"/>
        </w:numPr>
        <w:contextualSpacing/>
        <w:rPr>
          <w:bCs/>
          <w:kern w:val="0"/>
          <w14:ligatures w14:val="none"/>
        </w:rPr>
      </w:pPr>
      <w:r>
        <w:rPr>
          <w:bCs/>
          <w:kern w:val="0"/>
          <w14:ligatures w14:val="none"/>
        </w:rPr>
        <w:lastRenderedPageBreak/>
        <w:t>Disease burden trends and t</w:t>
      </w:r>
      <w:r w:rsidR="0019203D" w:rsidRPr="00153788">
        <w:rPr>
          <w:bCs/>
          <w:kern w:val="0"/>
          <w14:ligatures w14:val="none"/>
        </w:rPr>
        <w:t>he increased number of patients, especially older patients, with underlying age-related oncologic</w:t>
      </w:r>
      <w:r w:rsidR="001B1BE4">
        <w:rPr>
          <w:bCs/>
          <w:kern w:val="0"/>
          <w14:ligatures w14:val="none"/>
        </w:rPr>
        <w:t>,</w:t>
      </w:r>
      <w:r w:rsidR="0019203D" w:rsidRPr="00153788">
        <w:rPr>
          <w:bCs/>
          <w:kern w:val="0"/>
          <w14:ligatures w14:val="none"/>
        </w:rPr>
        <w:t xml:space="preserve"> cardiac</w:t>
      </w:r>
      <w:r w:rsidR="001B1BE4">
        <w:rPr>
          <w:bCs/>
          <w:kern w:val="0"/>
          <w14:ligatures w14:val="none"/>
        </w:rPr>
        <w:t>, and neurologic</w:t>
      </w:r>
      <w:r w:rsidR="0019203D" w:rsidRPr="00153788">
        <w:rPr>
          <w:bCs/>
          <w:kern w:val="0"/>
          <w14:ligatures w14:val="none"/>
        </w:rPr>
        <w:t xml:space="preserve"> conditions </w:t>
      </w:r>
      <w:r w:rsidR="000B21AC">
        <w:rPr>
          <w:bCs/>
          <w:kern w:val="0"/>
          <w14:ligatures w14:val="none"/>
        </w:rPr>
        <w:t>support</w:t>
      </w:r>
      <w:r w:rsidR="0019203D" w:rsidRPr="00153788">
        <w:rPr>
          <w:bCs/>
          <w:kern w:val="0"/>
          <w14:ligatures w14:val="none"/>
        </w:rPr>
        <w:t xml:space="preserve"> the need for PET/CT imaging services.</w:t>
      </w:r>
    </w:p>
    <w:p w14:paraId="203EDE18" w14:textId="77777777" w:rsidR="0019203D" w:rsidRDefault="0019203D" w:rsidP="0019203D">
      <w:pPr>
        <w:ind w:left="1080"/>
        <w:contextualSpacing/>
        <w:rPr>
          <w:bCs/>
          <w:kern w:val="0"/>
          <w14:ligatures w14:val="none"/>
        </w:rPr>
      </w:pPr>
    </w:p>
    <w:p w14:paraId="79BBC0FC" w14:textId="77777777" w:rsidR="000447C1" w:rsidRDefault="000447C1" w:rsidP="00830BA3">
      <w:pPr>
        <w:ind w:left="1440"/>
        <w:contextualSpacing/>
        <w:jc w:val="both"/>
        <w:rPr>
          <w:bCs/>
          <w:kern w:val="0"/>
          <w14:ligatures w14:val="none"/>
        </w:rPr>
      </w:pPr>
      <w:r w:rsidRPr="00D073E1">
        <w:rPr>
          <w:bCs/>
          <w:kern w:val="0"/>
          <w14:ligatures w14:val="none"/>
        </w:rPr>
        <w:t>As the population expands, over the period from 2000 to 2050, the number and percentage of Americans over age 65 is expected to double.</w:t>
      </w:r>
      <w:r w:rsidRPr="00D073E1">
        <w:rPr>
          <w:bCs/>
          <w:kern w:val="0"/>
          <w:vertAlign w:val="superscript"/>
          <w14:ligatures w14:val="none"/>
        </w:rPr>
        <w:footnoteReference w:id="38"/>
      </w:r>
      <w:r w:rsidRPr="00D073E1">
        <w:rPr>
          <w:bCs/>
          <w:kern w:val="0"/>
          <w14:ligatures w14:val="none"/>
        </w:rPr>
        <w:t xml:space="preserve"> This population expansion will be accompanied by a marked increase in patients requiring care for disorders with high prevalence in the elderly.</w:t>
      </w:r>
      <w:r w:rsidRPr="00D073E1">
        <w:rPr>
          <w:bCs/>
          <w:kern w:val="0"/>
          <w:vertAlign w:val="superscript"/>
          <w14:ligatures w14:val="none"/>
        </w:rPr>
        <w:footnoteReference w:id="39"/>
      </w:r>
      <w:r>
        <w:rPr>
          <w:bCs/>
          <w:kern w:val="0"/>
          <w14:ligatures w14:val="none"/>
        </w:rPr>
        <w:t xml:space="preserve"> </w:t>
      </w:r>
    </w:p>
    <w:p w14:paraId="7438AE2D" w14:textId="77777777" w:rsidR="002A48F7" w:rsidRDefault="002A48F7" w:rsidP="00830BA3">
      <w:pPr>
        <w:ind w:left="1440"/>
        <w:contextualSpacing/>
        <w:jc w:val="both"/>
        <w:rPr>
          <w:bCs/>
          <w:kern w:val="0"/>
          <w14:ligatures w14:val="none"/>
        </w:rPr>
      </w:pPr>
    </w:p>
    <w:p w14:paraId="26DAFF16" w14:textId="1ED6206A" w:rsidR="0019203D" w:rsidRPr="00153788" w:rsidRDefault="0019203D" w:rsidP="00830BA3">
      <w:pPr>
        <w:ind w:left="1440"/>
        <w:contextualSpacing/>
        <w:jc w:val="both"/>
        <w:rPr>
          <w:bCs/>
          <w:kern w:val="0"/>
          <w14:ligatures w14:val="none"/>
        </w:rPr>
      </w:pPr>
      <w:r w:rsidRPr="00153788">
        <w:rPr>
          <w:bCs/>
          <w:kern w:val="0"/>
          <w14:ligatures w14:val="none"/>
        </w:rPr>
        <w:t xml:space="preserve">In consideration </w:t>
      </w:r>
      <w:r w:rsidR="00553AC7">
        <w:rPr>
          <w:bCs/>
          <w:kern w:val="0"/>
          <w14:ligatures w14:val="none"/>
        </w:rPr>
        <w:t>of</w:t>
      </w:r>
      <w:r w:rsidRPr="00153788">
        <w:rPr>
          <w:bCs/>
          <w:kern w:val="0"/>
          <w14:ligatures w14:val="none"/>
        </w:rPr>
        <w:t xml:space="preserve"> the aging population, “imaging strongly contributes to establishing accurate and timely diagnosis, informs and guides treatment decisions</w:t>
      </w:r>
      <w:r w:rsidR="000B21AC">
        <w:rPr>
          <w:bCs/>
          <w:kern w:val="0"/>
          <w14:ligatures w14:val="none"/>
        </w:rPr>
        <w:t>,</w:t>
      </w:r>
      <w:r w:rsidRPr="00153788">
        <w:rPr>
          <w:bCs/>
          <w:kern w:val="0"/>
          <w14:ligatures w14:val="none"/>
        </w:rPr>
        <w:t xml:space="preserve"> and contributes to improving treatment outcomes.”</w:t>
      </w:r>
      <w:r w:rsidRPr="00153788">
        <w:rPr>
          <w:bCs/>
          <w:kern w:val="0"/>
          <w:vertAlign w:val="superscript"/>
          <w14:ligatures w14:val="none"/>
        </w:rPr>
        <w:footnoteReference w:id="40"/>
      </w:r>
      <w:r w:rsidRPr="00153788">
        <w:rPr>
          <w:bCs/>
          <w:kern w:val="0"/>
          <w14:ligatures w14:val="none"/>
        </w:rPr>
        <w:t xml:space="preserve"> </w:t>
      </w:r>
      <w:r w:rsidR="000B21AC">
        <w:rPr>
          <w:bCs/>
          <w:kern w:val="0"/>
          <w14:ligatures w14:val="none"/>
        </w:rPr>
        <w:t xml:space="preserve"> </w:t>
      </w:r>
      <w:r w:rsidRPr="00153788">
        <w:rPr>
          <w:bCs/>
          <w:kern w:val="0"/>
          <w14:ligatures w14:val="none"/>
        </w:rPr>
        <w:t xml:space="preserve">Imaging is used for precise planning of radiotherapy procedures </w:t>
      </w:r>
      <w:r w:rsidR="006F4167">
        <w:rPr>
          <w:bCs/>
          <w:kern w:val="0"/>
          <w14:ligatures w14:val="none"/>
        </w:rPr>
        <w:t>and</w:t>
      </w:r>
      <w:r w:rsidRPr="00153788">
        <w:rPr>
          <w:bCs/>
          <w:kern w:val="0"/>
          <w14:ligatures w14:val="none"/>
        </w:rPr>
        <w:t xml:space="preserve"> real-time visualization of different image-guided interventions and is essential in tumor sampling for pathology work-up,</w:t>
      </w:r>
      <w:r w:rsidRPr="00153788">
        <w:rPr>
          <w:bCs/>
          <w:kern w:val="0"/>
          <w:vertAlign w:val="superscript"/>
          <w14:ligatures w14:val="none"/>
        </w:rPr>
        <w:footnoteReference w:id="41"/>
      </w:r>
      <w:r w:rsidRPr="00153788">
        <w:rPr>
          <w:bCs/>
          <w:kern w:val="0"/>
          <w14:ligatures w14:val="none"/>
        </w:rPr>
        <w:t xml:space="preserve"> which is essential to</w:t>
      </w:r>
      <w:r w:rsidR="00A31EA5">
        <w:rPr>
          <w:bCs/>
          <w:kern w:val="0"/>
          <w14:ligatures w14:val="none"/>
        </w:rPr>
        <w:t xml:space="preserve"> the Applicant</w:t>
      </w:r>
      <w:r w:rsidRPr="00153788">
        <w:rPr>
          <w:bCs/>
          <w:kern w:val="0"/>
          <w14:ligatures w14:val="none"/>
        </w:rPr>
        <w:t>’s aging patients with oncologic</w:t>
      </w:r>
      <w:r w:rsidR="00A31EA5">
        <w:rPr>
          <w:bCs/>
          <w:kern w:val="0"/>
          <w14:ligatures w14:val="none"/>
        </w:rPr>
        <w:t xml:space="preserve">, </w:t>
      </w:r>
      <w:r w:rsidRPr="00153788">
        <w:rPr>
          <w:bCs/>
          <w:kern w:val="0"/>
          <w14:ligatures w14:val="none"/>
        </w:rPr>
        <w:t>cardiac</w:t>
      </w:r>
      <w:r w:rsidR="00A31EA5">
        <w:rPr>
          <w:bCs/>
          <w:kern w:val="0"/>
          <w14:ligatures w14:val="none"/>
        </w:rPr>
        <w:t>, and neurologic</w:t>
      </w:r>
      <w:r w:rsidRPr="00153788">
        <w:rPr>
          <w:bCs/>
          <w:kern w:val="0"/>
          <w14:ligatures w14:val="none"/>
        </w:rPr>
        <w:t xml:space="preserve"> concerns.  </w:t>
      </w:r>
    </w:p>
    <w:p w14:paraId="3A78A398" w14:textId="77777777" w:rsidR="0019203D" w:rsidRPr="00153788" w:rsidRDefault="0019203D" w:rsidP="0019203D">
      <w:pPr>
        <w:ind w:left="1440"/>
        <w:contextualSpacing/>
        <w:rPr>
          <w:bCs/>
          <w:kern w:val="0"/>
          <w14:ligatures w14:val="none"/>
        </w:rPr>
      </w:pPr>
    </w:p>
    <w:p w14:paraId="4128C553" w14:textId="1AD36889" w:rsidR="0019203D" w:rsidRPr="00153788" w:rsidRDefault="0019203D" w:rsidP="0019203D">
      <w:pPr>
        <w:ind w:left="1440"/>
        <w:contextualSpacing/>
        <w:rPr>
          <w:bCs/>
          <w:kern w:val="0"/>
          <w:u w:val="single"/>
          <w14:ligatures w14:val="none"/>
        </w:rPr>
      </w:pPr>
      <w:r w:rsidRPr="00153788">
        <w:rPr>
          <w:bCs/>
          <w:kern w:val="0"/>
          <w:u w:val="single"/>
          <w14:ligatures w14:val="none"/>
        </w:rPr>
        <w:t>Oncologic</w:t>
      </w:r>
      <w:r w:rsidR="00C31286">
        <w:rPr>
          <w:bCs/>
          <w:kern w:val="0"/>
          <w:u w:val="single"/>
          <w14:ligatures w14:val="none"/>
        </w:rPr>
        <w:t xml:space="preserve"> Conditions and the Need for PET/CT</w:t>
      </w:r>
    </w:p>
    <w:p w14:paraId="5426E974" w14:textId="77777777" w:rsidR="0019203D" w:rsidRPr="00153788" w:rsidRDefault="0019203D" w:rsidP="0019203D">
      <w:pPr>
        <w:ind w:left="1440"/>
        <w:contextualSpacing/>
        <w:jc w:val="both"/>
        <w:rPr>
          <w:bCs/>
          <w:kern w:val="0"/>
          <w14:ligatures w14:val="none"/>
        </w:rPr>
      </w:pPr>
    </w:p>
    <w:p w14:paraId="73D6DAFC" w14:textId="434CCB86" w:rsidR="0019203D" w:rsidRPr="00153788" w:rsidRDefault="0019203D" w:rsidP="0019203D">
      <w:pPr>
        <w:ind w:left="1440"/>
        <w:contextualSpacing/>
        <w:jc w:val="both"/>
        <w:rPr>
          <w:bCs/>
          <w:kern w:val="0"/>
          <w14:ligatures w14:val="none"/>
        </w:rPr>
      </w:pPr>
      <w:r w:rsidRPr="00153788">
        <w:rPr>
          <w:bCs/>
          <w:kern w:val="0"/>
          <w14:ligatures w14:val="none"/>
        </w:rPr>
        <w:t>Research studies and their findings demonstrate that the prevalence of cancer increases with age.</w:t>
      </w:r>
      <w:r w:rsidRPr="00153788">
        <w:rPr>
          <w:bCs/>
          <w:kern w:val="0"/>
          <w:vertAlign w:val="superscript"/>
          <w14:ligatures w14:val="none"/>
        </w:rPr>
        <w:footnoteReference w:id="42"/>
      </w:r>
      <w:r w:rsidRPr="00153788">
        <w:rPr>
          <w:bCs/>
          <w:kern w:val="0"/>
          <w14:ligatures w14:val="none"/>
        </w:rPr>
        <w:t xml:space="preserve"> Persons over 65 account for 60</w:t>
      </w:r>
      <w:r w:rsidR="0073184A">
        <w:rPr>
          <w:bCs/>
          <w:kern w:val="0"/>
          <w14:ligatures w14:val="none"/>
        </w:rPr>
        <w:t xml:space="preserve"> percent</w:t>
      </w:r>
      <w:r w:rsidRPr="00153788">
        <w:rPr>
          <w:bCs/>
          <w:kern w:val="0"/>
          <w14:ligatures w14:val="none"/>
        </w:rPr>
        <w:t xml:space="preserve"> of newly diagnosed malignancies and 70</w:t>
      </w:r>
      <w:r w:rsidR="0073184A">
        <w:rPr>
          <w:bCs/>
          <w:kern w:val="0"/>
          <w14:ligatures w14:val="none"/>
        </w:rPr>
        <w:t xml:space="preserve"> percent</w:t>
      </w:r>
      <w:r w:rsidRPr="00153788">
        <w:rPr>
          <w:bCs/>
          <w:kern w:val="0"/>
          <w14:ligatures w14:val="none"/>
        </w:rPr>
        <w:t xml:space="preserve"> of all cancer deaths</w:t>
      </w:r>
      <w:r w:rsidR="00B03EFF">
        <w:rPr>
          <w:bCs/>
          <w:kern w:val="0"/>
          <w14:ligatures w14:val="none"/>
        </w:rPr>
        <w:t>.</w:t>
      </w:r>
      <w:r w:rsidR="004642E6">
        <w:rPr>
          <w:rStyle w:val="FootnoteReference"/>
          <w:bCs/>
          <w:kern w:val="0"/>
          <w14:ligatures w14:val="none"/>
        </w:rPr>
        <w:footnoteReference w:id="43"/>
      </w:r>
      <w:r w:rsidRPr="00153788">
        <w:rPr>
          <w:bCs/>
          <w:kern w:val="0"/>
          <w14:ligatures w14:val="none"/>
        </w:rPr>
        <w:t xml:space="preserve"> </w:t>
      </w:r>
      <w:r w:rsidR="00B03EFF">
        <w:rPr>
          <w:bCs/>
          <w:kern w:val="0"/>
          <w14:ligatures w14:val="none"/>
        </w:rPr>
        <w:t>T</w:t>
      </w:r>
      <w:r w:rsidRPr="00153788">
        <w:rPr>
          <w:bCs/>
          <w:kern w:val="0"/>
          <w14:ligatures w14:val="none"/>
        </w:rPr>
        <w:t>he incidence of cancer in individuals over 65 is 10 times greater than in those younger than 65, and the cancer death rate is 16 times greater in patients over 65 compared to younger patients.</w:t>
      </w:r>
      <w:r w:rsidRPr="00153788">
        <w:rPr>
          <w:bCs/>
          <w:kern w:val="0"/>
          <w:vertAlign w:val="superscript"/>
          <w14:ligatures w14:val="none"/>
        </w:rPr>
        <w:footnoteReference w:id="44"/>
      </w:r>
      <w:r w:rsidRPr="00153788">
        <w:rPr>
          <w:bCs/>
          <w:kern w:val="0"/>
          <w14:ligatures w14:val="none"/>
        </w:rPr>
        <w:t xml:space="preserve"> Furthermore, even with a progressive decrease in the cancer incidence and death rate, </w:t>
      </w:r>
      <w:r w:rsidR="008F57C9">
        <w:rPr>
          <w:bCs/>
          <w:kern w:val="0"/>
          <w14:ligatures w14:val="none"/>
        </w:rPr>
        <w:t xml:space="preserve">the </w:t>
      </w:r>
      <w:r w:rsidRPr="00153788">
        <w:rPr>
          <w:bCs/>
          <w:kern w:val="0"/>
          <w14:ligatures w14:val="none"/>
        </w:rPr>
        <w:t>aging of the population will be accompanied by a marked increase in the total number of patients with cancer,</w:t>
      </w:r>
      <w:r w:rsidRPr="00153788">
        <w:rPr>
          <w:bCs/>
          <w:kern w:val="0"/>
          <w:vertAlign w:val="superscript"/>
          <w14:ligatures w14:val="none"/>
        </w:rPr>
        <w:footnoteReference w:id="45"/>
      </w:r>
      <w:r w:rsidRPr="00153788">
        <w:rPr>
          <w:bCs/>
          <w:kern w:val="0"/>
          <w14:ligatures w14:val="none"/>
        </w:rPr>
        <w:t xml:space="preserve"> the majority of whom will require the most precise diagnostic imaging. </w:t>
      </w:r>
    </w:p>
    <w:p w14:paraId="149BD934" w14:textId="77777777" w:rsidR="0019203D" w:rsidRDefault="0019203D" w:rsidP="0019203D">
      <w:pPr>
        <w:ind w:left="1440"/>
        <w:contextualSpacing/>
        <w:jc w:val="both"/>
        <w:rPr>
          <w:bCs/>
          <w:kern w:val="0"/>
          <w14:ligatures w14:val="none"/>
        </w:rPr>
      </w:pPr>
    </w:p>
    <w:p w14:paraId="30DCD6E6" w14:textId="3D0A3346" w:rsidR="00124C02" w:rsidRDefault="00124C02" w:rsidP="006362E5">
      <w:pPr>
        <w:ind w:left="1440"/>
        <w:contextualSpacing/>
        <w:jc w:val="both"/>
        <w:rPr>
          <w:bCs/>
          <w:kern w:val="0"/>
          <w14:ligatures w14:val="none"/>
        </w:rPr>
      </w:pPr>
      <w:r w:rsidRPr="00124C02">
        <w:rPr>
          <w:bCs/>
          <w:kern w:val="0"/>
          <w14:ligatures w14:val="none"/>
        </w:rPr>
        <w:t>Cancer incidence</w:t>
      </w:r>
      <w:r>
        <w:rPr>
          <w:bCs/>
          <w:kern w:val="0"/>
          <w14:ligatures w14:val="none"/>
        </w:rPr>
        <w:t xml:space="preserve"> nationwide </w:t>
      </w:r>
      <w:r w:rsidRPr="00124C02">
        <w:rPr>
          <w:bCs/>
          <w:kern w:val="0"/>
          <w14:ligatures w14:val="none"/>
        </w:rPr>
        <w:t xml:space="preserve">is on the rise for many common cancers. In </w:t>
      </w:r>
      <w:r w:rsidR="00697AEB">
        <w:rPr>
          <w:bCs/>
          <w:kern w:val="0"/>
          <w14:ligatures w14:val="none"/>
        </w:rPr>
        <w:t>2024</w:t>
      </w:r>
      <w:r w:rsidRPr="00124C02">
        <w:rPr>
          <w:bCs/>
          <w:kern w:val="0"/>
          <w14:ligatures w14:val="none"/>
        </w:rPr>
        <w:t xml:space="preserve">, </w:t>
      </w:r>
      <w:r w:rsidR="00697AEB">
        <w:rPr>
          <w:bCs/>
          <w:kern w:val="0"/>
          <w14:ligatures w14:val="none"/>
        </w:rPr>
        <w:t xml:space="preserve">the American Cancer Society </w:t>
      </w:r>
      <w:r w:rsidR="006362E5">
        <w:rPr>
          <w:bCs/>
          <w:kern w:val="0"/>
          <w14:ligatures w14:val="none"/>
        </w:rPr>
        <w:t xml:space="preserve">is </w:t>
      </w:r>
      <w:r w:rsidRPr="00124C02">
        <w:rPr>
          <w:bCs/>
          <w:kern w:val="0"/>
          <w14:ligatures w14:val="none"/>
        </w:rPr>
        <w:t>expecting to hit a bleak mileston</w:t>
      </w:r>
      <w:r w:rsidR="006362E5">
        <w:rPr>
          <w:bCs/>
          <w:kern w:val="0"/>
          <w14:ligatures w14:val="none"/>
        </w:rPr>
        <w:t xml:space="preserve">e – for </w:t>
      </w:r>
      <w:r w:rsidRPr="00124C02">
        <w:rPr>
          <w:bCs/>
          <w:kern w:val="0"/>
          <w14:ligatures w14:val="none"/>
        </w:rPr>
        <w:t>the first time</w:t>
      </w:r>
      <w:r w:rsidR="006362E5">
        <w:rPr>
          <w:bCs/>
          <w:kern w:val="0"/>
          <w14:ligatures w14:val="none"/>
        </w:rPr>
        <w:t>,</w:t>
      </w:r>
      <w:r w:rsidRPr="00124C02">
        <w:rPr>
          <w:bCs/>
          <w:kern w:val="0"/>
          <w14:ligatures w14:val="none"/>
        </w:rPr>
        <w:t xml:space="preserve"> new cases of cancer in the US are expected to cross the 2-million mark</w:t>
      </w:r>
      <w:r w:rsidR="006362E5">
        <w:rPr>
          <w:bCs/>
          <w:kern w:val="0"/>
          <w14:ligatures w14:val="none"/>
        </w:rPr>
        <w:t>, which is nearly</w:t>
      </w:r>
      <w:r w:rsidRPr="00124C02">
        <w:rPr>
          <w:bCs/>
          <w:kern w:val="0"/>
          <w14:ligatures w14:val="none"/>
        </w:rPr>
        <w:t xml:space="preserve"> </w:t>
      </w:r>
      <w:r w:rsidR="00843943" w:rsidRPr="00124C02">
        <w:rPr>
          <w:bCs/>
          <w:kern w:val="0"/>
          <w14:ligatures w14:val="none"/>
        </w:rPr>
        <w:t xml:space="preserve">5,500 </w:t>
      </w:r>
      <w:r w:rsidR="00843943" w:rsidRPr="00124C02">
        <w:rPr>
          <w:bCs/>
          <w:kern w:val="0"/>
          <w14:ligatures w14:val="none"/>
        </w:rPr>
        <w:lastRenderedPageBreak/>
        <w:t>cancer</w:t>
      </w:r>
      <w:r w:rsidRPr="00124C02">
        <w:rPr>
          <w:bCs/>
          <w:kern w:val="0"/>
          <w14:ligatures w14:val="none"/>
        </w:rPr>
        <w:t xml:space="preserve"> diagnoses a day.</w:t>
      </w:r>
      <w:r w:rsidR="00ED381D">
        <w:rPr>
          <w:rStyle w:val="FootnoteReference"/>
          <w:bCs/>
          <w:kern w:val="0"/>
          <w14:ligatures w14:val="none"/>
        </w:rPr>
        <w:footnoteReference w:id="46"/>
      </w:r>
      <w:r w:rsidRPr="00124C02">
        <w:rPr>
          <w:bCs/>
          <w:kern w:val="0"/>
          <w14:ligatures w14:val="none"/>
        </w:rPr>
        <w:t xml:space="preserve"> In 2024, over 611,000 deaths from cancer are projected for the US.</w:t>
      </w:r>
      <w:r w:rsidR="00843943">
        <w:rPr>
          <w:rStyle w:val="FootnoteReference"/>
          <w:bCs/>
          <w:kern w:val="0"/>
          <w14:ligatures w14:val="none"/>
        </w:rPr>
        <w:footnoteReference w:id="47"/>
      </w:r>
      <w:r w:rsidRPr="00124C02">
        <w:rPr>
          <w:bCs/>
          <w:kern w:val="0"/>
          <w14:ligatures w14:val="none"/>
        </w:rPr>
        <w:t xml:space="preserve"> That’s more than 1,600 deaths from cancer each day.</w:t>
      </w:r>
      <w:r w:rsidR="00843943">
        <w:rPr>
          <w:rStyle w:val="FootnoteReference"/>
          <w:bCs/>
          <w:kern w:val="0"/>
          <w14:ligatures w14:val="none"/>
        </w:rPr>
        <w:footnoteReference w:id="48"/>
      </w:r>
    </w:p>
    <w:p w14:paraId="103C56AE" w14:textId="77777777" w:rsidR="006362E5" w:rsidRDefault="006362E5" w:rsidP="006362E5">
      <w:pPr>
        <w:ind w:left="1440"/>
        <w:contextualSpacing/>
        <w:jc w:val="both"/>
        <w:rPr>
          <w:bCs/>
          <w:kern w:val="0"/>
          <w14:ligatures w14:val="none"/>
        </w:rPr>
      </w:pPr>
    </w:p>
    <w:p w14:paraId="3A2E8C8B" w14:textId="77777777" w:rsidR="004834DD" w:rsidRDefault="004834DD" w:rsidP="004834DD">
      <w:pPr>
        <w:ind w:left="1440"/>
        <w:contextualSpacing/>
        <w:jc w:val="both"/>
        <w:rPr>
          <w:bCs/>
          <w:kern w:val="0"/>
          <w14:ligatures w14:val="none"/>
        </w:rPr>
      </w:pPr>
      <w:r w:rsidRPr="00153788">
        <w:rPr>
          <w:bCs/>
          <w:kern w:val="0"/>
          <w14:ligatures w14:val="none"/>
        </w:rPr>
        <w:t xml:space="preserve">Lower rates of cancer screening caused by the COVID-19 pandemic will likely translate into increased cancer deaths over the next decade, according to recent research published in the journal </w:t>
      </w:r>
      <w:r w:rsidRPr="00153788">
        <w:rPr>
          <w:bCs/>
          <w:i/>
          <w:iCs/>
          <w:kern w:val="0"/>
          <w14:ligatures w14:val="none"/>
        </w:rPr>
        <w:t>Cancer</w:t>
      </w:r>
      <w:r w:rsidRPr="00153788">
        <w:rPr>
          <w:bCs/>
          <w:kern w:val="0"/>
          <w14:ligatures w14:val="none"/>
        </w:rPr>
        <w:t>.</w:t>
      </w:r>
      <w:r w:rsidRPr="00153788">
        <w:rPr>
          <w:bCs/>
          <w:kern w:val="0"/>
          <w:vertAlign w:val="superscript"/>
          <w14:ligatures w14:val="none"/>
        </w:rPr>
        <w:footnoteReference w:id="49"/>
      </w:r>
      <w:r w:rsidRPr="00153788">
        <w:rPr>
          <w:bCs/>
          <w:kern w:val="0"/>
          <w14:ligatures w14:val="none"/>
        </w:rPr>
        <w:t xml:space="preserve"> The report shows how the pandemic affected screening rates for breast, colorectal, lung, and cervical cancers in the U.S. – more than 9.4 million screening exams were missed in 2020 – and underscores the effort needed to tackle the problem, according to a group led by Dr. Rachel Joung of Northwestern University in Chicago.</w:t>
      </w:r>
      <w:r w:rsidRPr="00153788">
        <w:rPr>
          <w:bCs/>
          <w:kern w:val="0"/>
          <w:vertAlign w:val="superscript"/>
          <w14:ligatures w14:val="none"/>
        </w:rPr>
        <w:footnoteReference w:id="50"/>
      </w:r>
    </w:p>
    <w:p w14:paraId="00171FC1" w14:textId="77777777" w:rsidR="004834DD" w:rsidRPr="00153788" w:rsidRDefault="004834DD" w:rsidP="006362E5">
      <w:pPr>
        <w:ind w:left="1440"/>
        <w:contextualSpacing/>
        <w:jc w:val="both"/>
        <w:rPr>
          <w:bCs/>
          <w:kern w:val="0"/>
          <w14:ligatures w14:val="none"/>
        </w:rPr>
      </w:pPr>
    </w:p>
    <w:p w14:paraId="7C51C451" w14:textId="4D63CB01" w:rsidR="009476AF" w:rsidRDefault="0019203D" w:rsidP="0019203D">
      <w:pPr>
        <w:ind w:left="1440"/>
        <w:contextualSpacing/>
        <w:jc w:val="both"/>
        <w:rPr>
          <w:kern w:val="0"/>
          <w14:ligatures w14:val="none"/>
        </w:rPr>
      </w:pPr>
      <w:r w:rsidRPr="00ED2E58">
        <w:rPr>
          <w:kern w:val="0"/>
          <w14:ligatures w14:val="none"/>
        </w:rPr>
        <w:t>According to the American Cancer Society, the</w:t>
      </w:r>
      <w:r w:rsidR="00A13E2A" w:rsidRPr="00ED2E58">
        <w:rPr>
          <w:kern w:val="0"/>
          <w14:ligatures w14:val="none"/>
        </w:rPr>
        <w:t xml:space="preserve"> estimated number of new cancer cases </w:t>
      </w:r>
      <w:r w:rsidR="00E967DA" w:rsidRPr="00ED2E58">
        <w:rPr>
          <w:kern w:val="0"/>
          <w14:ligatures w14:val="none"/>
        </w:rPr>
        <w:t xml:space="preserve">in Massachusetts is </w:t>
      </w:r>
      <w:r w:rsidRPr="00ED2E58">
        <w:rPr>
          <w:kern w:val="0"/>
          <w14:ligatures w14:val="none"/>
        </w:rPr>
        <w:t xml:space="preserve">projected to be </w:t>
      </w:r>
      <w:r w:rsidR="00E967DA" w:rsidRPr="00ED2E58">
        <w:rPr>
          <w:kern w:val="0"/>
          <w14:ligatures w14:val="none"/>
        </w:rPr>
        <w:t>44</w:t>
      </w:r>
      <w:r w:rsidR="00E967DA" w:rsidRPr="00E967DA">
        <w:rPr>
          <w:kern w:val="0"/>
          <w14:ligatures w14:val="none"/>
        </w:rPr>
        <w:t>,040</w:t>
      </w:r>
      <w:r w:rsidR="007F14CF">
        <w:rPr>
          <w:kern w:val="0"/>
          <w14:ligatures w14:val="none"/>
        </w:rPr>
        <w:t xml:space="preserve"> (all sites)</w:t>
      </w:r>
      <w:r w:rsidR="00E967DA">
        <w:rPr>
          <w:kern w:val="0"/>
          <w14:ligatures w14:val="none"/>
        </w:rPr>
        <w:t xml:space="preserve"> and </w:t>
      </w:r>
      <w:r w:rsidR="00DD3F38">
        <w:rPr>
          <w:kern w:val="0"/>
          <w14:ligatures w14:val="none"/>
        </w:rPr>
        <w:t xml:space="preserve">the estimated number of deaths is projected to be </w:t>
      </w:r>
      <w:r w:rsidR="005336CA">
        <w:rPr>
          <w:kern w:val="0"/>
          <w14:ligatures w14:val="none"/>
        </w:rPr>
        <w:t>12,410.</w:t>
      </w:r>
      <w:r w:rsidR="00ED2E58">
        <w:rPr>
          <w:rStyle w:val="FootnoteReference"/>
          <w:kern w:val="0"/>
          <w14:ligatures w14:val="none"/>
        </w:rPr>
        <w:footnoteReference w:id="51"/>
      </w:r>
      <w:r w:rsidR="005336CA">
        <w:rPr>
          <w:kern w:val="0"/>
          <w14:ligatures w14:val="none"/>
        </w:rPr>
        <w:t xml:space="preserve"> </w:t>
      </w:r>
      <w:r w:rsidR="00321E5A">
        <w:rPr>
          <w:kern w:val="0"/>
          <w14:ligatures w14:val="none"/>
        </w:rPr>
        <w:t xml:space="preserve">The </w:t>
      </w:r>
      <w:r w:rsidR="00E6572B" w:rsidRPr="00E6572B">
        <w:rPr>
          <w:kern w:val="0"/>
          <w14:ligatures w14:val="none"/>
        </w:rPr>
        <w:t xml:space="preserve">Cancer Incidence Statewide Reports </w:t>
      </w:r>
      <w:r w:rsidR="00E6572B">
        <w:rPr>
          <w:kern w:val="0"/>
          <w14:ligatures w14:val="none"/>
        </w:rPr>
        <w:t>show that</w:t>
      </w:r>
      <w:r w:rsidR="00321E5A">
        <w:rPr>
          <w:kern w:val="0"/>
          <w14:ligatures w14:val="none"/>
        </w:rPr>
        <w:t xml:space="preserve"> </w:t>
      </w:r>
      <w:r w:rsidR="009476AF" w:rsidRPr="009476AF">
        <w:rPr>
          <w:kern w:val="0"/>
          <w14:ligatures w14:val="none"/>
        </w:rPr>
        <w:t>Breast cancer was the leading cancer among Massachusetts females between 2015 and 2019, followed by lung and bronchus, corpus uteri &amp; uterus, colon and rectum, and thyroid cancers.</w:t>
      </w:r>
      <w:r w:rsidR="008C1DBA">
        <w:rPr>
          <w:rStyle w:val="FootnoteReference"/>
          <w:kern w:val="0"/>
          <w14:ligatures w14:val="none"/>
        </w:rPr>
        <w:footnoteReference w:id="52"/>
      </w:r>
      <w:r w:rsidR="009476AF" w:rsidRPr="009476AF">
        <w:rPr>
          <w:kern w:val="0"/>
          <w14:ligatures w14:val="none"/>
        </w:rPr>
        <w:t xml:space="preserve"> Among males, prostate cancer was the leading cancer, followed by lung and bronchus, colon and rectum, urinary bladder, and melanoma cancers.</w:t>
      </w:r>
      <w:r w:rsidR="008C1DBA">
        <w:rPr>
          <w:rStyle w:val="FootnoteReference"/>
          <w:kern w:val="0"/>
          <w14:ligatures w14:val="none"/>
        </w:rPr>
        <w:footnoteReference w:id="53"/>
      </w:r>
    </w:p>
    <w:p w14:paraId="2475CB8F" w14:textId="77777777" w:rsidR="00E12D60" w:rsidRDefault="00E12D60" w:rsidP="0019203D">
      <w:pPr>
        <w:ind w:left="1440"/>
        <w:contextualSpacing/>
        <w:jc w:val="both"/>
        <w:rPr>
          <w:kern w:val="0"/>
          <w14:ligatures w14:val="none"/>
        </w:rPr>
      </w:pPr>
    </w:p>
    <w:p w14:paraId="188A304F" w14:textId="3C37428C" w:rsidR="00E12D60" w:rsidRDefault="00E12D60" w:rsidP="0019203D">
      <w:pPr>
        <w:ind w:left="1440"/>
        <w:contextualSpacing/>
        <w:jc w:val="both"/>
        <w:rPr>
          <w:kern w:val="0"/>
          <w14:ligatures w14:val="none"/>
        </w:rPr>
      </w:pPr>
      <w:r w:rsidRPr="00E12D60">
        <w:rPr>
          <w:kern w:val="0"/>
          <w14:ligatures w14:val="none"/>
        </w:rPr>
        <w:t xml:space="preserve">In a setting where comprehensive care and follow-up treatment can be appropriately provided, </w:t>
      </w:r>
      <w:r w:rsidR="007D2907">
        <w:rPr>
          <w:kern w:val="0"/>
          <w14:ligatures w14:val="none"/>
        </w:rPr>
        <w:t>the Applicant</w:t>
      </w:r>
      <w:r w:rsidRPr="00E12D60">
        <w:rPr>
          <w:kern w:val="0"/>
          <w14:ligatures w14:val="none"/>
        </w:rPr>
        <w:t xml:space="preserve">’s </w:t>
      </w:r>
      <w:r>
        <w:rPr>
          <w:kern w:val="0"/>
          <w14:ligatures w14:val="none"/>
        </w:rPr>
        <w:t>oncology</w:t>
      </w:r>
      <w:r w:rsidRPr="00E12D60">
        <w:rPr>
          <w:kern w:val="0"/>
          <w14:ligatures w14:val="none"/>
        </w:rPr>
        <w:t xml:space="preserve"> patients will benefit from access to PET/CT by allowing for efficient and accurate assessment, clinical analysis, and treatment decisions.</w:t>
      </w:r>
    </w:p>
    <w:p w14:paraId="74C04943" w14:textId="77777777" w:rsidR="0019203D" w:rsidRDefault="0019203D" w:rsidP="0019203D">
      <w:pPr>
        <w:ind w:left="1440"/>
        <w:contextualSpacing/>
        <w:jc w:val="both"/>
        <w:rPr>
          <w:bCs/>
          <w:kern w:val="0"/>
          <w14:ligatures w14:val="none"/>
        </w:rPr>
      </w:pPr>
    </w:p>
    <w:p w14:paraId="4D5BDDD5" w14:textId="1B3FD437" w:rsidR="0019203D" w:rsidRPr="00153788" w:rsidRDefault="0019203D" w:rsidP="0019203D">
      <w:pPr>
        <w:ind w:left="1440"/>
        <w:contextualSpacing/>
        <w:jc w:val="both"/>
        <w:rPr>
          <w:bCs/>
          <w:kern w:val="0"/>
          <w:u w:val="single"/>
          <w14:ligatures w14:val="none"/>
        </w:rPr>
      </w:pPr>
      <w:r w:rsidRPr="00153788">
        <w:rPr>
          <w:bCs/>
          <w:kern w:val="0"/>
          <w:u w:val="single"/>
          <w14:ligatures w14:val="none"/>
        </w:rPr>
        <w:t>Cardiac</w:t>
      </w:r>
      <w:r w:rsidR="00211714">
        <w:rPr>
          <w:bCs/>
          <w:kern w:val="0"/>
          <w:u w:val="single"/>
          <w14:ligatures w14:val="none"/>
        </w:rPr>
        <w:t xml:space="preserve"> Conditions and the Need for PET/CT</w:t>
      </w:r>
    </w:p>
    <w:p w14:paraId="585A237F" w14:textId="77777777" w:rsidR="0019203D" w:rsidRDefault="0019203D" w:rsidP="0019203D">
      <w:pPr>
        <w:ind w:left="1440"/>
        <w:contextualSpacing/>
        <w:jc w:val="both"/>
        <w:rPr>
          <w:bCs/>
          <w:kern w:val="0"/>
          <w14:ligatures w14:val="none"/>
        </w:rPr>
      </w:pPr>
    </w:p>
    <w:p w14:paraId="4C5A40D8" w14:textId="24A5CDEA" w:rsidR="00A9657C" w:rsidRPr="00A9657C" w:rsidRDefault="00890DAF" w:rsidP="00211714">
      <w:pPr>
        <w:ind w:left="1440"/>
        <w:contextualSpacing/>
        <w:jc w:val="both"/>
        <w:rPr>
          <w:bCs/>
          <w:kern w:val="0"/>
          <w14:ligatures w14:val="none"/>
        </w:rPr>
      </w:pPr>
      <w:r w:rsidRPr="00153788">
        <w:rPr>
          <w:bCs/>
          <w:kern w:val="0"/>
          <w14:ligatures w14:val="none"/>
        </w:rPr>
        <w:t>It is well-established that age is a leading risk factor for cardiovascular disease and the risk for coronary heart disease increases starting at age 45 for men and at age 55 for women.</w:t>
      </w:r>
      <w:r w:rsidRPr="00153788">
        <w:rPr>
          <w:bCs/>
          <w:kern w:val="0"/>
          <w:vertAlign w:val="superscript"/>
          <w14:ligatures w14:val="none"/>
        </w:rPr>
        <w:footnoteReference w:id="54"/>
      </w:r>
      <w:r w:rsidRPr="00153788">
        <w:rPr>
          <w:bCs/>
          <w:kern w:val="0"/>
          <w14:ligatures w14:val="none"/>
        </w:rPr>
        <w:t xml:space="preserve"> </w:t>
      </w:r>
      <w:r w:rsidR="00A9657C" w:rsidRPr="00A9657C">
        <w:rPr>
          <w:bCs/>
          <w:kern w:val="0"/>
          <w14:ligatures w14:val="none"/>
        </w:rPr>
        <w:t>Heart disease</w:t>
      </w:r>
      <w:r w:rsidR="00A9657C" w:rsidRPr="00A9657C">
        <w:rPr>
          <w:bCs/>
          <w:kern w:val="0"/>
          <w:vertAlign w:val="superscript"/>
          <w14:ligatures w14:val="none"/>
        </w:rPr>
        <w:footnoteReference w:id="55"/>
      </w:r>
      <w:r w:rsidR="00A9657C" w:rsidRPr="00A9657C">
        <w:rPr>
          <w:bCs/>
          <w:kern w:val="0"/>
          <w14:ligatures w14:val="none"/>
        </w:rPr>
        <w:t xml:space="preserve"> continues to kill more people in the U.S. than any other cause, despite, or perhaps even li</w:t>
      </w:r>
      <w:r w:rsidR="00C741E8">
        <w:rPr>
          <w:bCs/>
          <w:kern w:val="0"/>
          <w14:ligatures w14:val="none"/>
        </w:rPr>
        <w:t>k</w:t>
      </w:r>
      <w:r w:rsidR="00A9657C" w:rsidRPr="00A9657C">
        <w:rPr>
          <w:bCs/>
          <w:kern w:val="0"/>
          <w14:ligatures w14:val="none"/>
        </w:rPr>
        <w:t xml:space="preserve">ely due to the impact of the COVID-19 pandemic over the last few years, according to 2021 provisional data released from the </w:t>
      </w:r>
      <w:r w:rsidR="00C741E8">
        <w:rPr>
          <w:bCs/>
          <w:kern w:val="0"/>
          <w14:ligatures w14:val="none"/>
        </w:rPr>
        <w:t>U.S.</w:t>
      </w:r>
      <w:r w:rsidR="00A9657C" w:rsidRPr="00A9657C">
        <w:rPr>
          <w:bCs/>
          <w:kern w:val="0"/>
          <w14:ligatures w14:val="none"/>
        </w:rPr>
        <w:t xml:space="preserve"> Centers for Disease Control and Prevention.</w:t>
      </w:r>
      <w:r w:rsidR="00A9657C" w:rsidRPr="00A9657C">
        <w:rPr>
          <w:bCs/>
          <w:kern w:val="0"/>
          <w:vertAlign w:val="superscript"/>
          <w14:ligatures w14:val="none"/>
        </w:rPr>
        <w:footnoteReference w:id="56"/>
      </w:r>
      <w:r w:rsidR="00A9657C" w:rsidRPr="00A9657C">
        <w:rPr>
          <w:bCs/>
          <w:kern w:val="0"/>
          <w14:ligatures w14:val="none"/>
        </w:rPr>
        <w:t xml:space="preserve"> </w:t>
      </w:r>
      <w:r w:rsidR="00211714">
        <w:rPr>
          <w:bCs/>
          <w:kern w:val="0"/>
          <w14:ligatures w14:val="none"/>
        </w:rPr>
        <w:t xml:space="preserve"> </w:t>
      </w:r>
      <w:r w:rsidR="00A9657C" w:rsidRPr="00A9657C">
        <w:rPr>
          <w:bCs/>
          <w:kern w:val="0"/>
          <w14:ligatures w14:val="none"/>
        </w:rPr>
        <w:t>That trend is likely to continue for years to come as the long-</w:t>
      </w:r>
      <w:r w:rsidR="00A9657C" w:rsidRPr="00A9657C">
        <w:rPr>
          <w:bCs/>
          <w:kern w:val="0"/>
          <w14:ligatures w14:val="none"/>
        </w:rPr>
        <w:lastRenderedPageBreak/>
        <w:t>term impact of the novel coronavirus will directly affect cardiovascular health, according to the American Heart Association.</w:t>
      </w:r>
      <w:r w:rsidR="00A9657C" w:rsidRPr="00A9657C">
        <w:rPr>
          <w:bCs/>
          <w:kern w:val="0"/>
          <w:vertAlign w:val="superscript"/>
          <w14:ligatures w14:val="none"/>
        </w:rPr>
        <w:footnoteReference w:id="57"/>
      </w:r>
    </w:p>
    <w:p w14:paraId="4DD3C561" w14:textId="77777777" w:rsidR="00A9657C" w:rsidRPr="00153788" w:rsidRDefault="00A9657C" w:rsidP="0019203D">
      <w:pPr>
        <w:ind w:left="1440"/>
        <w:contextualSpacing/>
        <w:jc w:val="both"/>
        <w:rPr>
          <w:bCs/>
          <w:kern w:val="0"/>
          <w14:ligatures w14:val="none"/>
        </w:rPr>
      </w:pPr>
    </w:p>
    <w:p w14:paraId="1510A74A" w14:textId="18B8617F" w:rsidR="0019203D" w:rsidRDefault="0019203D" w:rsidP="0019203D">
      <w:pPr>
        <w:ind w:left="1440"/>
        <w:contextualSpacing/>
        <w:jc w:val="both"/>
        <w:rPr>
          <w:bCs/>
          <w:kern w:val="0"/>
          <w14:ligatures w14:val="none"/>
        </w:rPr>
      </w:pPr>
      <w:r w:rsidRPr="00153788">
        <w:rPr>
          <w:bCs/>
          <w:kern w:val="0"/>
          <w14:ligatures w14:val="none"/>
        </w:rPr>
        <w:t>According to the 20</w:t>
      </w:r>
      <w:r w:rsidR="00F143C9">
        <w:rPr>
          <w:bCs/>
          <w:kern w:val="0"/>
          <w14:ligatures w14:val="none"/>
        </w:rPr>
        <w:t>22</w:t>
      </w:r>
      <w:r w:rsidRPr="00153788">
        <w:rPr>
          <w:bCs/>
          <w:kern w:val="0"/>
          <w14:ligatures w14:val="none"/>
        </w:rPr>
        <w:t xml:space="preserve"> results from the Massachusetts Behavioral Risk Factor Surveillance System, statewide, </w:t>
      </w:r>
      <w:r w:rsidR="00F143C9">
        <w:rPr>
          <w:bCs/>
          <w:kern w:val="0"/>
          <w14:ligatures w14:val="none"/>
        </w:rPr>
        <w:t>11.8</w:t>
      </w:r>
      <w:r w:rsidRPr="00153788">
        <w:rPr>
          <w:bCs/>
          <w:kern w:val="0"/>
          <w14:ligatures w14:val="none"/>
        </w:rPr>
        <w:t xml:space="preserve">% of Massachusetts adults </w:t>
      </w:r>
      <w:r w:rsidR="00F143C9">
        <w:rPr>
          <w:bCs/>
          <w:kern w:val="0"/>
          <w14:ligatures w14:val="none"/>
        </w:rPr>
        <w:t>wer</w:t>
      </w:r>
      <w:r w:rsidRPr="00153788">
        <w:rPr>
          <w:bCs/>
          <w:kern w:val="0"/>
          <w14:ligatures w14:val="none"/>
        </w:rPr>
        <w:t>e diagnosed with myocardial infarction</w:t>
      </w:r>
      <w:r w:rsidR="001844C0">
        <w:rPr>
          <w:bCs/>
          <w:kern w:val="0"/>
          <w14:ligatures w14:val="none"/>
        </w:rPr>
        <w:t>,</w:t>
      </w:r>
      <w:r w:rsidRPr="00153788">
        <w:rPr>
          <w:bCs/>
          <w:kern w:val="0"/>
          <w14:ligatures w14:val="none"/>
        </w:rPr>
        <w:t xml:space="preserve"> and </w:t>
      </w:r>
      <w:r w:rsidR="007663C5">
        <w:rPr>
          <w:bCs/>
          <w:kern w:val="0"/>
          <w14:ligatures w14:val="none"/>
        </w:rPr>
        <w:t>12.8</w:t>
      </w:r>
      <w:r w:rsidRPr="00153788">
        <w:rPr>
          <w:bCs/>
          <w:kern w:val="0"/>
          <w14:ligatures w14:val="none"/>
        </w:rPr>
        <w:t xml:space="preserve">% </w:t>
      </w:r>
      <w:r w:rsidR="001844C0">
        <w:rPr>
          <w:bCs/>
          <w:kern w:val="0"/>
          <w14:ligatures w14:val="none"/>
        </w:rPr>
        <w:t>we</w:t>
      </w:r>
      <w:r w:rsidRPr="00153788">
        <w:rPr>
          <w:bCs/>
          <w:kern w:val="0"/>
          <w14:ligatures w14:val="none"/>
        </w:rPr>
        <w:t>re diagnosed with angina or coronary heart disease annually.</w:t>
      </w:r>
      <w:r w:rsidRPr="00153788">
        <w:rPr>
          <w:bCs/>
          <w:kern w:val="0"/>
          <w:vertAlign w:val="superscript"/>
          <w14:ligatures w14:val="none"/>
        </w:rPr>
        <w:footnoteReference w:id="58"/>
      </w:r>
      <w:r w:rsidRPr="00153788">
        <w:rPr>
          <w:bCs/>
          <w:kern w:val="0"/>
          <w14:ligatures w14:val="none"/>
        </w:rPr>
        <w:t xml:space="preserve">  Moreover, according to </w:t>
      </w:r>
      <w:r w:rsidR="00D36850">
        <w:rPr>
          <w:bCs/>
          <w:kern w:val="0"/>
          <w14:ligatures w14:val="none"/>
        </w:rPr>
        <w:t>Massachusetts</w:t>
      </w:r>
      <w:r w:rsidR="005E792B">
        <w:rPr>
          <w:bCs/>
          <w:kern w:val="0"/>
          <w14:ligatures w14:val="none"/>
        </w:rPr>
        <w:t>’</w:t>
      </w:r>
      <w:r w:rsidR="005E792B" w:rsidRPr="005E792B">
        <w:t xml:space="preserve"> </w:t>
      </w:r>
      <w:r w:rsidR="005E792B">
        <w:t>P</w:t>
      </w:r>
      <w:r w:rsidR="005E792B" w:rsidRPr="005E792B">
        <w:rPr>
          <w:bCs/>
          <w:kern w:val="0"/>
          <w14:ligatures w14:val="none"/>
        </w:rPr>
        <w:t>opulation Health Information Tool (PHIT) dataset</w:t>
      </w:r>
      <w:r w:rsidRPr="00153788">
        <w:rPr>
          <w:bCs/>
          <w:kern w:val="0"/>
          <w14:ligatures w14:val="none"/>
        </w:rPr>
        <w:t xml:space="preserve">, </w:t>
      </w:r>
      <w:r w:rsidR="00D36850">
        <w:rPr>
          <w:bCs/>
          <w:kern w:val="0"/>
          <w14:ligatures w14:val="none"/>
        </w:rPr>
        <w:t>11,954</w:t>
      </w:r>
      <w:r w:rsidRPr="00153788">
        <w:rPr>
          <w:bCs/>
          <w:kern w:val="0"/>
          <w14:ligatures w14:val="none"/>
        </w:rPr>
        <w:t xml:space="preserve"> people died of heart disease in Massachusetts in 20</w:t>
      </w:r>
      <w:r w:rsidR="005E792B">
        <w:rPr>
          <w:bCs/>
          <w:kern w:val="0"/>
          <w14:ligatures w14:val="none"/>
        </w:rPr>
        <w:t>21</w:t>
      </w:r>
      <w:r w:rsidR="00F43841">
        <w:rPr>
          <w:bCs/>
          <w:kern w:val="0"/>
          <w14:ligatures w14:val="none"/>
        </w:rPr>
        <w:t xml:space="preserve">. This </w:t>
      </w:r>
      <w:r w:rsidR="007E32CC">
        <w:rPr>
          <w:bCs/>
          <w:kern w:val="0"/>
          <w14:ligatures w14:val="none"/>
        </w:rPr>
        <w:t xml:space="preserve">data </w:t>
      </w:r>
      <w:r w:rsidR="00F43841">
        <w:rPr>
          <w:bCs/>
          <w:kern w:val="0"/>
          <w14:ligatures w14:val="none"/>
        </w:rPr>
        <w:t>makes</w:t>
      </w:r>
      <w:r w:rsidRPr="00153788">
        <w:rPr>
          <w:bCs/>
          <w:kern w:val="0"/>
          <w14:ligatures w14:val="none"/>
        </w:rPr>
        <w:t xml:space="preserve"> heart disease the second leading cause of death</w:t>
      </w:r>
      <w:r w:rsidR="001E09ED">
        <w:rPr>
          <w:bCs/>
          <w:kern w:val="0"/>
          <w14:ligatures w14:val="none"/>
        </w:rPr>
        <w:t xml:space="preserve"> in the Commonwealth</w:t>
      </w:r>
      <w:r w:rsidRPr="00153788">
        <w:rPr>
          <w:bCs/>
          <w:kern w:val="0"/>
          <w14:ligatures w14:val="none"/>
        </w:rPr>
        <w:t>.</w:t>
      </w:r>
      <w:r w:rsidR="00D54256">
        <w:rPr>
          <w:rStyle w:val="FootnoteReference"/>
          <w:bCs/>
          <w:kern w:val="0"/>
          <w14:ligatures w14:val="none"/>
        </w:rPr>
        <w:footnoteReference w:id="59"/>
      </w:r>
      <w:r w:rsidR="00F43841">
        <w:rPr>
          <w:bCs/>
          <w:kern w:val="0"/>
          <w14:ligatures w14:val="none"/>
        </w:rPr>
        <w:t xml:space="preserve"> </w:t>
      </w:r>
    </w:p>
    <w:p w14:paraId="670BAC0D" w14:textId="77777777" w:rsidR="001309B1" w:rsidRPr="00153788" w:rsidRDefault="001309B1" w:rsidP="0019203D">
      <w:pPr>
        <w:ind w:left="1440"/>
        <w:contextualSpacing/>
        <w:jc w:val="both"/>
        <w:rPr>
          <w:bCs/>
          <w:kern w:val="0"/>
          <w14:ligatures w14:val="none"/>
        </w:rPr>
      </w:pPr>
    </w:p>
    <w:p w14:paraId="064BF788" w14:textId="51FB20FA" w:rsidR="0019203D" w:rsidRDefault="00E12D60" w:rsidP="00E12D60">
      <w:pPr>
        <w:ind w:left="1440"/>
        <w:jc w:val="both"/>
      </w:pPr>
      <w:r w:rsidRPr="00E12D60">
        <w:t xml:space="preserve">In a setting where comprehensive care and follow-up treatment can be appropriately provided, </w:t>
      </w:r>
      <w:r w:rsidR="00211714">
        <w:t>the Applicant</w:t>
      </w:r>
      <w:r w:rsidRPr="00E12D60">
        <w:t>’s cardiology patients will benefit from access to PET/CT by allowing for efficient and accurate assessment, clinical analysis, and treatment decisions.</w:t>
      </w:r>
    </w:p>
    <w:p w14:paraId="4707AAA2" w14:textId="77777777" w:rsidR="0019203D" w:rsidRPr="0019203D" w:rsidRDefault="0019203D" w:rsidP="0019203D">
      <w:pPr>
        <w:ind w:left="1440"/>
        <w:contextualSpacing/>
        <w:rPr>
          <w:bCs/>
          <w:kern w:val="0"/>
          <w:u w:val="single"/>
          <w14:ligatures w14:val="none"/>
        </w:rPr>
      </w:pPr>
      <w:r w:rsidRPr="0019203D">
        <w:rPr>
          <w:bCs/>
          <w:kern w:val="0"/>
          <w:u w:val="single"/>
          <w14:ligatures w14:val="none"/>
        </w:rPr>
        <w:t xml:space="preserve">Neurological Conditions and the Need for PET-CT </w:t>
      </w:r>
    </w:p>
    <w:p w14:paraId="0C29F49A" w14:textId="77777777" w:rsidR="0019203D" w:rsidRPr="0019203D" w:rsidRDefault="0019203D" w:rsidP="0019203D">
      <w:pPr>
        <w:ind w:left="1440"/>
        <w:contextualSpacing/>
        <w:rPr>
          <w:bCs/>
          <w:kern w:val="0"/>
          <w14:ligatures w14:val="none"/>
        </w:rPr>
      </w:pPr>
    </w:p>
    <w:p w14:paraId="40997310" w14:textId="36D34269" w:rsidR="0019203D" w:rsidRPr="0019203D" w:rsidRDefault="0019203D" w:rsidP="0019203D">
      <w:pPr>
        <w:ind w:left="1440"/>
        <w:contextualSpacing/>
        <w:jc w:val="both"/>
        <w:rPr>
          <w:kern w:val="0"/>
          <w14:ligatures w14:val="none"/>
        </w:rPr>
      </w:pPr>
      <w:r w:rsidRPr="0019203D">
        <w:rPr>
          <w:kern w:val="0"/>
          <w14:ligatures w14:val="none"/>
        </w:rPr>
        <w:t>Recent studies have placed an increased focus on aging and neurological diseases, such as epilepsy and Alzheimer’s dementia.  Additionally, the risk of having a seizure increases after the age of 60.</w:t>
      </w:r>
      <w:r w:rsidRPr="0019203D">
        <w:rPr>
          <w:kern w:val="0"/>
          <w:vertAlign w:val="superscript"/>
          <w14:ligatures w14:val="none"/>
        </w:rPr>
        <w:footnoteReference w:id="60"/>
      </w:r>
      <w:r w:rsidRPr="0019203D">
        <w:rPr>
          <w:kern w:val="0"/>
          <w14:ligatures w14:val="none"/>
        </w:rPr>
        <w:t xml:space="preserve">  Moreover, the incidence rate of Alzheimer’s also increases with age.</w:t>
      </w:r>
      <w:r w:rsidRPr="0019203D">
        <w:rPr>
          <w:kern w:val="0"/>
          <w:vertAlign w:val="superscript"/>
          <w14:ligatures w14:val="none"/>
        </w:rPr>
        <w:footnoteReference w:id="61"/>
      </w:r>
      <w:r w:rsidRPr="0019203D">
        <w:rPr>
          <w:kern w:val="0"/>
          <w14:ligatures w14:val="none"/>
        </w:rPr>
        <w:t xml:space="preserve"> Millions of Americans have Alzheimer’s or other dementias.</w:t>
      </w:r>
      <w:r w:rsidRPr="0019203D">
        <w:rPr>
          <w:kern w:val="0"/>
          <w:vertAlign w:val="superscript"/>
          <w14:ligatures w14:val="none"/>
        </w:rPr>
        <w:footnoteReference w:id="62"/>
      </w:r>
      <w:r w:rsidRPr="0019203D">
        <w:rPr>
          <w:kern w:val="0"/>
          <w14:ligatures w14:val="none"/>
        </w:rPr>
        <w:t xml:space="preserve"> As the size and proportion of the U.S. population age 65 and older continues to increase, the number of Americans with Alzheimer’s or other dementias will grow. This number will escalate rapidly in </w:t>
      </w:r>
      <w:r w:rsidR="00125504">
        <w:rPr>
          <w:kern w:val="0"/>
          <w14:ligatures w14:val="none"/>
        </w:rPr>
        <w:t xml:space="preserve">the </w:t>
      </w:r>
      <w:r w:rsidRPr="0019203D">
        <w:rPr>
          <w:kern w:val="0"/>
          <w14:ligatures w14:val="none"/>
        </w:rPr>
        <w:t>coming years, as the population of Americans aged 65 and older is projected to grow from 55 million in 2019 to 88 million by 2050.</w:t>
      </w:r>
      <w:r w:rsidRPr="0019203D">
        <w:rPr>
          <w:kern w:val="0"/>
          <w:vertAlign w:val="superscript"/>
          <w14:ligatures w14:val="none"/>
        </w:rPr>
        <w:footnoteReference w:id="63"/>
      </w:r>
      <w:r w:rsidRPr="0019203D">
        <w:rPr>
          <w:bCs/>
          <w:kern w:val="0"/>
          <w14:ligatures w14:val="none"/>
        </w:rPr>
        <w:t xml:space="preserve">  </w:t>
      </w:r>
    </w:p>
    <w:p w14:paraId="59E012B7" w14:textId="77777777" w:rsidR="0019203D" w:rsidRPr="0019203D" w:rsidRDefault="0019203D" w:rsidP="0019203D">
      <w:pPr>
        <w:ind w:left="1440"/>
        <w:contextualSpacing/>
        <w:jc w:val="both"/>
        <w:rPr>
          <w:bCs/>
          <w:kern w:val="0"/>
          <w14:ligatures w14:val="none"/>
        </w:rPr>
      </w:pPr>
    </w:p>
    <w:p w14:paraId="043AD186" w14:textId="1981E0E6" w:rsidR="0019203D" w:rsidRPr="0019203D" w:rsidRDefault="0019203D" w:rsidP="0019203D">
      <w:pPr>
        <w:ind w:left="1440"/>
        <w:contextualSpacing/>
        <w:jc w:val="both"/>
        <w:rPr>
          <w:bCs/>
          <w:kern w:val="0"/>
          <w14:ligatures w14:val="none"/>
        </w:rPr>
      </w:pPr>
      <w:r w:rsidRPr="0019203D">
        <w:rPr>
          <w:bCs/>
          <w:kern w:val="0"/>
          <w14:ligatures w14:val="none"/>
        </w:rPr>
        <w:t xml:space="preserve">The baby boom generation has already begun to reach age 65 and </w:t>
      </w:r>
      <w:r w:rsidR="001601ED">
        <w:rPr>
          <w:bCs/>
          <w:kern w:val="0"/>
          <w14:ligatures w14:val="none"/>
        </w:rPr>
        <w:t>older</w:t>
      </w:r>
      <w:r w:rsidRPr="0019203D">
        <w:rPr>
          <w:bCs/>
          <w:kern w:val="0"/>
          <w14:ligatures w14:val="none"/>
        </w:rPr>
        <w:t>,</w:t>
      </w:r>
      <w:r w:rsidR="00B2559D">
        <w:rPr>
          <w:bCs/>
          <w:kern w:val="0"/>
          <w14:ligatures w14:val="none"/>
        </w:rPr>
        <w:t xml:space="preserve"> which is</w:t>
      </w:r>
      <w:r w:rsidRPr="0019203D">
        <w:rPr>
          <w:bCs/>
          <w:kern w:val="0"/>
          <w14:ligatures w14:val="none"/>
        </w:rPr>
        <w:t xml:space="preserve"> the age range of greatest risk of Alzheimer’s dementia. The oldest members of the baby boom generation turned age 73 in 2019 and by 2030, all Baby Boomers will be aged 65 or older.</w:t>
      </w:r>
      <w:r w:rsidRPr="0019203D">
        <w:rPr>
          <w:bCs/>
          <w:kern w:val="0"/>
          <w:vertAlign w:val="superscript"/>
          <w14:ligatures w14:val="none"/>
        </w:rPr>
        <w:footnoteReference w:id="64"/>
      </w:r>
      <w:r w:rsidRPr="0019203D">
        <w:rPr>
          <w:bCs/>
          <w:kern w:val="0"/>
          <w14:ligatures w14:val="none"/>
        </w:rPr>
        <w:t xml:space="preserve">  </w:t>
      </w:r>
      <w:bookmarkStart w:id="21" w:name="_Hlk98756749"/>
    </w:p>
    <w:p w14:paraId="5F84A964" w14:textId="77777777" w:rsidR="0019203D" w:rsidRPr="0019203D" w:rsidRDefault="0019203D" w:rsidP="0019203D">
      <w:pPr>
        <w:ind w:left="1440"/>
        <w:contextualSpacing/>
        <w:jc w:val="both"/>
        <w:rPr>
          <w:bCs/>
          <w:kern w:val="0"/>
          <w14:ligatures w14:val="none"/>
        </w:rPr>
      </w:pPr>
    </w:p>
    <w:p w14:paraId="5EC3509C" w14:textId="77777777" w:rsidR="00EE2463" w:rsidRDefault="0019203D" w:rsidP="0019203D">
      <w:pPr>
        <w:ind w:left="1440"/>
        <w:contextualSpacing/>
        <w:jc w:val="both"/>
        <w:rPr>
          <w:bCs/>
          <w:kern w:val="0"/>
          <w14:ligatures w14:val="none"/>
        </w:rPr>
      </w:pPr>
      <w:r w:rsidRPr="0019203D">
        <w:rPr>
          <w:bCs/>
          <w:kern w:val="0"/>
          <w14:ligatures w14:val="none"/>
        </w:rPr>
        <w:t>The impact of Alzheimer's is projected to rise, and the most recent data show</w:t>
      </w:r>
      <w:r w:rsidR="00DB5FE7">
        <w:rPr>
          <w:bCs/>
          <w:kern w:val="0"/>
          <w14:ligatures w14:val="none"/>
        </w:rPr>
        <w:t xml:space="preserve"> that </w:t>
      </w:r>
      <w:r w:rsidRPr="0019203D">
        <w:rPr>
          <w:bCs/>
          <w:kern w:val="0"/>
          <w14:ligatures w14:val="none"/>
        </w:rPr>
        <w:t>130,000 people aged 65 and older are living with Alzheimer's in Massachusetts.</w:t>
      </w:r>
      <w:r w:rsidRPr="0019203D">
        <w:rPr>
          <w:bCs/>
          <w:kern w:val="0"/>
          <w:vertAlign w:val="superscript"/>
          <w14:ligatures w14:val="none"/>
        </w:rPr>
        <w:footnoteReference w:id="65"/>
      </w:r>
      <w:r w:rsidRPr="0019203D">
        <w:rPr>
          <w:bCs/>
          <w:kern w:val="0"/>
          <w14:ligatures w14:val="none"/>
        </w:rPr>
        <w:t xml:space="preserve"> Furthermore, 9.3% of people aged 45 and older have subjective cognitive decline.</w:t>
      </w:r>
      <w:r w:rsidRPr="0019203D">
        <w:rPr>
          <w:bCs/>
          <w:kern w:val="0"/>
          <w:vertAlign w:val="superscript"/>
          <w14:ligatures w14:val="none"/>
        </w:rPr>
        <w:footnoteReference w:id="66"/>
      </w:r>
      <w:r w:rsidRPr="0019203D">
        <w:rPr>
          <w:bCs/>
          <w:kern w:val="0"/>
          <w14:ligatures w14:val="none"/>
        </w:rPr>
        <w:t xml:space="preserve"> </w:t>
      </w:r>
      <w:r w:rsidR="00FD0A27">
        <w:rPr>
          <w:bCs/>
          <w:kern w:val="0"/>
          <w14:ligatures w14:val="none"/>
        </w:rPr>
        <w:t>According to the Al</w:t>
      </w:r>
      <w:r w:rsidR="008A7F63">
        <w:rPr>
          <w:bCs/>
          <w:kern w:val="0"/>
          <w14:ligatures w14:val="none"/>
        </w:rPr>
        <w:t>zheimer’s Impact Movement (“AIM”)</w:t>
      </w:r>
      <w:r w:rsidR="00DB5FE7">
        <w:rPr>
          <w:bCs/>
          <w:kern w:val="0"/>
          <w14:ligatures w14:val="none"/>
        </w:rPr>
        <w:t>,</w:t>
      </w:r>
      <w:r w:rsidR="008A7F63">
        <w:rPr>
          <w:bCs/>
          <w:kern w:val="0"/>
          <w14:ligatures w14:val="none"/>
        </w:rPr>
        <w:t xml:space="preserve"> </w:t>
      </w:r>
      <w:r w:rsidR="003A00FA">
        <w:rPr>
          <w:bCs/>
          <w:kern w:val="0"/>
          <w14:ligatures w14:val="none"/>
        </w:rPr>
        <w:t xml:space="preserve">an estimated 150,000 people aged 65 and older </w:t>
      </w:r>
      <w:r w:rsidR="00086593">
        <w:rPr>
          <w:bCs/>
          <w:kern w:val="0"/>
          <w14:ligatures w14:val="none"/>
        </w:rPr>
        <w:t xml:space="preserve">in Massachusetts </w:t>
      </w:r>
      <w:r w:rsidR="003A00FA">
        <w:rPr>
          <w:bCs/>
          <w:kern w:val="0"/>
          <w14:ligatures w14:val="none"/>
        </w:rPr>
        <w:t>will</w:t>
      </w:r>
      <w:r w:rsidR="00086593">
        <w:rPr>
          <w:bCs/>
          <w:kern w:val="0"/>
          <w14:ligatures w14:val="none"/>
        </w:rPr>
        <w:t xml:space="preserve"> be suffering the same diagnosis</w:t>
      </w:r>
      <w:r w:rsidR="001D4ECA">
        <w:rPr>
          <w:bCs/>
          <w:kern w:val="0"/>
          <w14:ligatures w14:val="none"/>
        </w:rPr>
        <w:t xml:space="preserve"> by 2025</w:t>
      </w:r>
      <w:r w:rsidR="00086593">
        <w:rPr>
          <w:bCs/>
          <w:kern w:val="0"/>
          <w14:ligatures w14:val="none"/>
        </w:rPr>
        <w:t>.</w:t>
      </w:r>
      <w:r w:rsidR="00522981">
        <w:rPr>
          <w:rStyle w:val="FootnoteReference"/>
          <w:bCs/>
          <w:kern w:val="0"/>
          <w14:ligatures w14:val="none"/>
        </w:rPr>
        <w:footnoteReference w:id="67"/>
      </w:r>
      <w:r w:rsidR="003A00FA">
        <w:rPr>
          <w:bCs/>
          <w:kern w:val="0"/>
          <w14:ligatures w14:val="none"/>
        </w:rPr>
        <w:t xml:space="preserve"> </w:t>
      </w:r>
      <w:r w:rsidR="00FD0A27">
        <w:rPr>
          <w:bCs/>
          <w:kern w:val="0"/>
          <w14:ligatures w14:val="none"/>
        </w:rPr>
        <w:t xml:space="preserve"> </w:t>
      </w:r>
    </w:p>
    <w:p w14:paraId="307EB07F" w14:textId="77777777" w:rsidR="00600903" w:rsidRDefault="00600903" w:rsidP="0019203D">
      <w:pPr>
        <w:ind w:left="1440"/>
        <w:contextualSpacing/>
        <w:jc w:val="both"/>
        <w:rPr>
          <w:bCs/>
          <w:kern w:val="0"/>
          <w14:ligatures w14:val="none"/>
        </w:rPr>
      </w:pPr>
    </w:p>
    <w:p w14:paraId="7F634581" w14:textId="72292BB5" w:rsidR="0019203D" w:rsidRDefault="0019203D" w:rsidP="0019203D">
      <w:pPr>
        <w:ind w:left="1440"/>
        <w:contextualSpacing/>
        <w:jc w:val="both"/>
        <w:rPr>
          <w:bCs/>
          <w:kern w:val="0"/>
          <w14:ligatures w14:val="none"/>
        </w:rPr>
      </w:pPr>
      <w:r w:rsidRPr="0019203D">
        <w:rPr>
          <w:bCs/>
          <w:kern w:val="0"/>
          <w14:ligatures w14:val="none"/>
        </w:rPr>
        <w:t xml:space="preserve">An early diagnosis [from a timely screening], opens the door to future care and treatment and helps people to plan while they are still able to make important decisions </w:t>
      </w:r>
      <w:r w:rsidR="001601ED">
        <w:rPr>
          <w:bCs/>
          <w:kern w:val="0"/>
          <w14:ligatures w14:val="none"/>
        </w:rPr>
        <w:t>regarding</w:t>
      </w:r>
      <w:r w:rsidR="00B2559D">
        <w:rPr>
          <w:bCs/>
          <w:kern w:val="0"/>
          <w14:ligatures w14:val="none"/>
        </w:rPr>
        <w:t xml:space="preserve"> </w:t>
      </w:r>
      <w:r w:rsidRPr="0019203D">
        <w:rPr>
          <w:bCs/>
          <w:kern w:val="0"/>
          <w14:ligatures w14:val="none"/>
        </w:rPr>
        <w:t>their care and support needs and financial and legal matters.</w:t>
      </w:r>
      <w:r w:rsidRPr="0019203D">
        <w:rPr>
          <w:bCs/>
          <w:kern w:val="0"/>
          <w:vertAlign w:val="superscript"/>
          <w14:ligatures w14:val="none"/>
        </w:rPr>
        <w:footnoteReference w:id="68"/>
      </w:r>
      <w:r w:rsidRPr="0019203D">
        <w:rPr>
          <w:bCs/>
          <w:kern w:val="0"/>
          <w14:ligatures w14:val="none"/>
        </w:rPr>
        <w:t xml:space="preserve"> </w:t>
      </w:r>
      <w:r w:rsidR="003E1FD0">
        <w:rPr>
          <w:bCs/>
          <w:kern w:val="0"/>
          <w14:ligatures w14:val="none"/>
        </w:rPr>
        <w:t>Early diagnosis</w:t>
      </w:r>
      <w:r w:rsidRPr="0019203D">
        <w:rPr>
          <w:bCs/>
          <w:kern w:val="0"/>
          <w14:ligatures w14:val="none"/>
        </w:rPr>
        <w:t xml:space="preserve"> also helps them and their families to receive practical information, advice, and guidance as they face new challenges.</w:t>
      </w:r>
      <w:r w:rsidRPr="0019203D">
        <w:rPr>
          <w:bCs/>
          <w:kern w:val="0"/>
          <w:vertAlign w:val="superscript"/>
          <w14:ligatures w14:val="none"/>
        </w:rPr>
        <w:footnoteReference w:id="69"/>
      </w:r>
    </w:p>
    <w:p w14:paraId="54D8FE0C" w14:textId="77777777" w:rsidR="004B61D6" w:rsidRDefault="004B61D6" w:rsidP="0019203D">
      <w:pPr>
        <w:ind w:left="1440"/>
        <w:contextualSpacing/>
        <w:jc w:val="both"/>
        <w:rPr>
          <w:bCs/>
          <w:kern w:val="0"/>
          <w14:ligatures w14:val="none"/>
        </w:rPr>
      </w:pPr>
    </w:p>
    <w:p w14:paraId="5F211D24" w14:textId="77777777" w:rsidR="00164C65" w:rsidRPr="00164C65" w:rsidRDefault="00164C65" w:rsidP="00164C65">
      <w:pPr>
        <w:ind w:left="1440"/>
        <w:contextualSpacing/>
        <w:jc w:val="both"/>
        <w:rPr>
          <w:bCs/>
          <w:kern w:val="0"/>
          <w14:ligatures w14:val="none"/>
        </w:rPr>
      </w:pPr>
      <w:r w:rsidRPr="00164C65">
        <w:rPr>
          <w:bCs/>
          <w:kern w:val="0"/>
          <w14:ligatures w14:val="none"/>
        </w:rPr>
        <w:t>According to a report from the Department of Public Health entitled Massachusetts Deaths 2021,</w:t>
      </w:r>
      <w:r w:rsidRPr="00164C65">
        <w:rPr>
          <w:bCs/>
          <w:kern w:val="0"/>
          <w:vertAlign w:val="superscript"/>
          <w14:ligatures w14:val="none"/>
        </w:rPr>
        <w:footnoteReference w:id="70"/>
      </w:r>
      <w:r w:rsidRPr="00164C65">
        <w:rPr>
          <w:bCs/>
          <w:kern w:val="0"/>
          <w14:ligatures w14:val="none"/>
        </w:rPr>
        <w:t xml:space="preserve">  Alzheimer’s is rated sixth on the list of the top ten leading underlying causes of death in Massachusetts for people between the ages of 75-84 and is rated the seventh cause of death across all ages.</w:t>
      </w:r>
      <w:r w:rsidRPr="00164C65">
        <w:rPr>
          <w:bCs/>
          <w:kern w:val="0"/>
          <w:vertAlign w:val="superscript"/>
          <w14:ligatures w14:val="none"/>
        </w:rPr>
        <w:footnoteReference w:id="71"/>
      </w:r>
      <w:r w:rsidRPr="00164C65">
        <w:rPr>
          <w:bCs/>
          <w:kern w:val="0"/>
          <w14:ligatures w14:val="none"/>
        </w:rPr>
        <w:t xml:space="preserve"> </w:t>
      </w:r>
    </w:p>
    <w:p w14:paraId="5F3EFC69" w14:textId="77777777" w:rsidR="003D3AC4" w:rsidRDefault="003D3AC4" w:rsidP="0019203D">
      <w:pPr>
        <w:ind w:left="1440"/>
        <w:contextualSpacing/>
        <w:jc w:val="both"/>
        <w:rPr>
          <w:bCs/>
          <w:kern w:val="0"/>
          <w14:ligatures w14:val="none"/>
        </w:rPr>
      </w:pPr>
    </w:p>
    <w:p w14:paraId="60A3D317" w14:textId="6B36B66E" w:rsidR="00AC188A" w:rsidRDefault="00AC188A" w:rsidP="00AC188A">
      <w:pPr>
        <w:ind w:left="1440"/>
        <w:contextualSpacing/>
        <w:jc w:val="both"/>
        <w:rPr>
          <w:bCs/>
          <w:kern w:val="0"/>
          <w14:ligatures w14:val="none"/>
        </w:rPr>
      </w:pPr>
      <w:r w:rsidRPr="00D073E1">
        <w:rPr>
          <w:bCs/>
          <w:kern w:val="0"/>
          <w14:ligatures w14:val="none"/>
        </w:rPr>
        <w:t xml:space="preserve">In a setting where comprehensive care and follow-up treatment can be appropriately provided, </w:t>
      </w:r>
      <w:r w:rsidR="009F799E">
        <w:rPr>
          <w:bCs/>
          <w:kern w:val="0"/>
          <w14:ligatures w14:val="none"/>
        </w:rPr>
        <w:t>Atrius</w:t>
      </w:r>
      <w:r w:rsidR="00B2559D">
        <w:rPr>
          <w:bCs/>
          <w:kern w:val="0"/>
          <w14:ligatures w14:val="none"/>
        </w:rPr>
        <w:t xml:space="preserve"> Health</w:t>
      </w:r>
      <w:r>
        <w:rPr>
          <w:bCs/>
          <w:kern w:val="0"/>
          <w14:ligatures w14:val="none"/>
        </w:rPr>
        <w:t>’s</w:t>
      </w:r>
      <w:r w:rsidRPr="00D073E1">
        <w:rPr>
          <w:bCs/>
          <w:kern w:val="0"/>
          <w14:ligatures w14:val="none"/>
        </w:rPr>
        <w:t xml:space="preserve"> </w:t>
      </w:r>
      <w:r>
        <w:rPr>
          <w:bCs/>
          <w:kern w:val="0"/>
          <w14:ligatures w14:val="none"/>
        </w:rPr>
        <w:t>neurology</w:t>
      </w:r>
      <w:r w:rsidRPr="00D073E1">
        <w:rPr>
          <w:bCs/>
          <w:kern w:val="0"/>
          <w14:ligatures w14:val="none"/>
        </w:rPr>
        <w:t xml:space="preserve"> patients will benefit from access to </w:t>
      </w:r>
      <w:r>
        <w:rPr>
          <w:bCs/>
          <w:kern w:val="0"/>
          <w14:ligatures w14:val="none"/>
        </w:rPr>
        <w:t>PET/CT</w:t>
      </w:r>
      <w:r w:rsidRPr="00D073E1">
        <w:rPr>
          <w:bCs/>
          <w:kern w:val="0"/>
          <w14:ligatures w14:val="none"/>
        </w:rPr>
        <w:t xml:space="preserve"> by allowing for efficient and accurate assessment, clinical analysis, and treatment decisions.</w:t>
      </w:r>
    </w:p>
    <w:p w14:paraId="24ED6E1A" w14:textId="77777777" w:rsidR="00AC188A" w:rsidRDefault="00AC188A" w:rsidP="0019203D">
      <w:pPr>
        <w:ind w:left="1440"/>
        <w:contextualSpacing/>
        <w:jc w:val="both"/>
        <w:rPr>
          <w:bCs/>
          <w:kern w:val="0"/>
          <w14:ligatures w14:val="none"/>
        </w:rPr>
      </w:pPr>
    </w:p>
    <w:p w14:paraId="68EB376B" w14:textId="53B2220B" w:rsidR="0019203D" w:rsidRDefault="00451608" w:rsidP="005E20FA">
      <w:pPr>
        <w:spacing w:after="0" w:line="240" w:lineRule="auto"/>
        <w:ind w:left="1440"/>
        <w:contextualSpacing/>
        <w:jc w:val="both"/>
        <w:rPr>
          <w:bCs/>
          <w:kern w:val="0"/>
          <w14:ligatures w14:val="none"/>
        </w:rPr>
      </w:pPr>
      <w:r>
        <w:rPr>
          <w:bCs/>
          <w:kern w:val="0"/>
          <w14:ligatures w14:val="none"/>
        </w:rPr>
        <w:t>As previously mentioned, t</w:t>
      </w:r>
      <w:r w:rsidR="00786D28">
        <w:rPr>
          <w:bCs/>
          <w:kern w:val="0"/>
          <w14:ligatures w14:val="none"/>
        </w:rPr>
        <w:t xml:space="preserve">he Proposed Project will serve as </w:t>
      </w:r>
      <w:r w:rsidR="00002928" w:rsidRPr="00002928">
        <w:rPr>
          <w:bCs/>
          <w:kern w:val="0"/>
          <w14:ligatures w14:val="none"/>
        </w:rPr>
        <w:t>part-time clinical use as well as part-time use as the diagnostic imaging unit supporting</w:t>
      </w:r>
      <w:r>
        <w:rPr>
          <w:bCs/>
          <w:kern w:val="0"/>
          <w14:ligatures w14:val="none"/>
        </w:rPr>
        <w:t xml:space="preserve"> several</w:t>
      </w:r>
      <w:r w:rsidR="00002928" w:rsidRPr="00002928">
        <w:rPr>
          <w:bCs/>
          <w:kern w:val="0"/>
          <w14:ligatures w14:val="none"/>
        </w:rPr>
        <w:t xml:space="preserve"> Alzheimer’s clinical research trials</w:t>
      </w:r>
      <w:r w:rsidR="00D000B1">
        <w:rPr>
          <w:bCs/>
          <w:kern w:val="0"/>
          <w14:ligatures w14:val="none"/>
        </w:rPr>
        <w:t xml:space="preserve">, thus positively contributing to </w:t>
      </w:r>
      <w:r w:rsidR="00A5017D">
        <w:rPr>
          <w:bCs/>
          <w:kern w:val="0"/>
          <w14:ligatures w14:val="none"/>
        </w:rPr>
        <w:t xml:space="preserve">not just diagnosis, but also to the </w:t>
      </w:r>
      <w:r w:rsidR="005C2805">
        <w:rPr>
          <w:bCs/>
          <w:kern w:val="0"/>
          <w14:ligatures w14:val="none"/>
        </w:rPr>
        <w:t xml:space="preserve">ever-growing </w:t>
      </w:r>
      <w:r w:rsidR="00BD1550">
        <w:rPr>
          <w:bCs/>
          <w:kern w:val="0"/>
          <w14:ligatures w14:val="none"/>
        </w:rPr>
        <w:t>collection</w:t>
      </w:r>
      <w:r w:rsidR="00A5017D">
        <w:rPr>
          <w:bCs/>
          <w:kern w:val="0"/>
          <w14:ligatures w14:val="none"/>
        </w:rPr>
        <w:t xml:space="preserve"> of </w:t>
      </w:r>
      <w:r w:rsidR="003D3AC4">
        <w:rPr>
          <w:bCs/>
          <w:kern w:val="0"/>
          <w14:ligatures w14:val="none"/>
        </w:rPr>
        <w:t>research data that will help inform trends in treatment and diseases progression</w:t>
      </w:r>
      <w:r w:rsidR="00BD1550">
        <w:rPr>
          <w:bCs/>
          <w:kern w:val="0"/>
          <w14:ligatures w14:val="none"/>
        </w:rPr>
        <w:t>,</w:t>
      </w:r>
      <w:r w:rsidR="003D3AC4">
        <w:rPr>
          <w:bCs/>
          <w:kern w:val="0"/>
          <w14:ligatures w14:val="none"/>
        </w:rPr>
        <w:t xml:space="preserve"> among other things. </w:t>
      </w:r>
    </w:p>
    <w:p w14:paraId="0CCC3A7D" w14:textId="77777777" w:rsidR="00371D10" w:rsidRDefault="00371D10" w:rsidP="005E20FA">
      <w:pPr>
        <w:spacing w:after="0" w:line="240" w:lineRule="auto"/>
        <w:ind w:left="1440"/>
        <w:contextualSpacing/>
        <w:jc w:val="both"/>
        <w:rPr>
          <w:bCs/>
          <w:kern w:val="0"/>
          <w14:ligatures w14:val="none"/>
        </w:rPr>
      </w:pPr>
    </w:p>
    <w:p w14:paraId="49A64B8C" w14:textId="77777777" w:rsidR="00371D10" w:rsidRPr="0019203D" w:rsidRDefault="00371D10" w:rsidP="005E20FA">
      <w:pPr>
        <w:spacing w:after="0" w:line="240" w:lineRule="auto"/>
        <w:ind w:left="1440"/>
        <w:contextualSpacing/>
        <w:jc w:val="both"/>
        <w:rPr>
          <w:bCs/>
          <w:kern w:val="0"/>
          <w14:ligatures w14:val="none"/>
        </w:rPr>
      </w:pPr>
    </w:p>
    <w:bookmarkEnd w:id="21"/>
    <w:p w14:paraId="32FBB267" w14:textId="77777777" w:rsidR="00A632E9" w:rsidRPr="002A4311" w:rsidRDefault="00A632E9" w:rsidP="005E20FA">
      <w:pPr>
        <w:spacing w:after="0" w:line="240" w:lineRule="auto"/>
        <w:rPr>
          <w:b/>
          <w:kern w:val="0"/>
          <w14:ligatures w14:val="none"/>
        </w:rPr>
      </w:pPr>
      <w:r w:rsidRPr="002A4311">
        <w:rPr>
          <w:b/>
          <w:kern w:val="0"/>
          <w14:ligatures w14:val="none"/>
        </w:rPr>
        <w:t>F1.a.iii</w:t>
      </w:r>
      <w:r w:rsidRPr="002A4311">
        <w:rPr>
          <w:b/>
          <w:kern w:val="0"/>
          <w14:ligatures w14:val="none"/>
        </w:rPr>
        <w:tab/>
      </w:r>
      <w:r w:rsidRPr="002A4311">
        <w:rPr>
          <w:b/>
          <w:kern w:val="0"/>
          <w:u w:val="single"/>
          <w14:ligatures w14:val="none"/>
        </w:rPr>
        <w:t>Competition</w:t>
      </w:r>
      <w:r w:rsidRPr="002A4311">
        <w:rPr>
          <w:b/>
          <w:kern w:val="0"/>
          <w14:ligatures w14:val="none"/>
        </w:rPr>
        <w:t>:</w:t>
      </w:r>
    </w:p>
    <w:p w14:paraId="1BA71EC8" w14:textId="77777777" w:rsidR="005E20FA" w:rsidRDefault="005E20FA" w:rsidP="005E20FA">
      <w:pPr>
        <w:spacing w:after="0" w:line="240" w:lineRule="auto"/>
        <w:jc w:val="both"/>
        <w:rPr>
          <w:b/>
          <w:kern w:val="0"/>
          <w14:ligatures w14:val="none"/>
        </w:rPr>
      </w:pPr>
    </w:p>
    <w:p w14:paraId="7CF7F773" w14:textId="0745CBC6" w:rsidR="00A632E9" w:rsidRDefault="00A632E9" w:rsidP="005E20FA">
      <w:pPr>
        <w:spacing w:after="0" w:line="240" w:lineRule="auto"/>
        <w:jc w:val="both"/>
        <w:rPr>
          <w:b/>
          <w:kern w:val="0"/>
          <w14:ligatures w14:val="none"/>
        </w:rPr>
      </w:pPr>
      <w:r w:rsidRPr="002A4311">
        <w:rPr>
          <w:b/>
          <w:kern w:val="0"/>
          <w14:ligatures w14:val="none"/>
        </w:rPr>
        <w:t xml:space="preserve">Provide evidence that the Proposed Project will compete </w:t>
      </w:r>
      <w:proofErr w:type="gramStart"/>
      <w:r w:rsidRPr="002A4311">
        <w:rPr>
          <w:b/>
          <w:kern w:val="0"/>
          <w14:ligatures w14:val="none"/>
        </w:rPr>
        <w:t>on the basis of</w:t>
      </w:r>
      <w:proofErr w:type="gramEnd"/>
      <w:r w:rsidRPr="002A4311">
        <w:rPr>
          <w:b/>
          <w:kern w:val="0"/>
          <w14:ligatures w14:val="none"/>
        </w:rPr>
        <w:t xml:space="preserve"> price, total medical expenses, provider costs, and other recognized measures of health care spending. When responding to this question, please consider Factor 4, Financial Feasibility and Reasonableness of Costs.</w:t>
      </w:r>
    </w:p>
    <w:p w14:paraId="5E9BF2EA" w14:textId="77777777" w:rsidR="00387D67" w:rsidRPr="002A4311" w:rsidRDefault="00387D67" w:rsidP="005E20FA">
      <w:pPr>
        <w:spacing w:after="0" w:line="240" w:lineRule="auto"/>
        <w:jc w:val="both"/>
        <w:rPr>
          <w:b/>
          <w:kern w:val="0"/>
          <w14:ligatures w14:val="none"/>
        </w:rPr>
      </w:pPr>
    </w:p>
    <w:p w14:paraId="4FDCF568" w14:textId="697DA737" w:rsidR="00A632E9" w:rsidRPr="002A4311" w:rsidRDefault="00A632E9" w:rsidP="00A632E9">
      <w:pPr>
        <w:jc w:val="both"/>
        <w:rPr>
          <w:kern w:val="0"/>
          <w14:ligatures w14:val="none"/>
        </w:rPr>
      </w:pPr>
      <w:r w:rsidRPr="002A4311">
        <w:rPr>
          <w:kern w:val="0"/>
          <w14:ligatures w14:val="none"/>
        </w:rPr>
        <w:t>The Applicant’s Proposed Project will compete on the basis of price, total medical expenses (“TME”), provider costs</w:t>
      </w:r>
      <w:r>
        <w:rPr>
          <w:kern w:val="0"/>
          <w14:ligatures w14:val="none"/>
        </w:rPr>
        <w:t>,</w:t>
      </w:r>
      <w:r w:rsidRPr="002A4311">
        <w:rPr>
          <w:kern w:val="0"/>
          <w14:ligatures w14:val="none"/>
        </w:rPr>
        <w:t xml:space="preserve"> and other recognized measures of health care spending by providing access to PET</w:t>
      </w:r>
      <w:r w:rsidR="00A3619C">
        <w:rPr>
          <w:kern w:val="0"/>
          <w14:ligatures w14:val="none"/>
        </w:rPr>
        <w:t>/</w:t>
      </w:r>
      <w:r w:rsidRPr="002A4311">
        <w:rPr>
          <w:kern w:val="0"/>
          <w14:ligatures w14:val="none"/>
        </w:rPr>
        <w:t>CT imaging capacity to meet projected demand.</w:t>
      </w:r>
      <w:r w:rsidRPr="002A4311">
        <w:rPr>
          <w:kern w:val="0"/>
          <w:vertAlign w:val="superscript"/>
          <w14:ligatures w14:val="none"/>
        </w:rPr>
        <w:footnoteReference w:id="72"/>
      </w:r>
      <w:r w:rsidRPr="002A4311">
        <w:rPr>
          <w:kern w:val="0"/>
          <w14:ligatures w14:val="none"/>
        </w:rPr>
        <w:t xml:space="preserve"> The Applicant’s primary objectives with the Proposed Project are to increase access</w:t>
      </w:r>
      <w:r>
        <w:rPr>
          <w:kern w:val="0"/>
          <w14:ligatures w14:val="none"/>
        </w:rPr>
        <w:t xml:space="preserve"> to high-quality, low-cost diagnostic imaging</w:t>
      </w:r>
      <w:r w:rsidRPr="002A4311">
        <w:rPr>
          <w:kern w:val="0"/>
          <w14:ligatures w14:val="none"/>
        </w:rPr>
        <w:t xml:space="preserve">, accommodate </w:t>
      </w:r>
      <w:r w:rsidR="00A3619C">
        <w:rPr>
          <w:kern w:val="0"/>
          <w14:ligatures w14:val="none"/>
        </w:rPr>
        <w:t xml:space="preserve">future </w:t>
      </w:r>
      <w:r w:rsidRPr="002A4311">
        <w:rPr>
          <w:kern w:val="0"/>
          <w14:ligatures w14:val="none"/>
        </w:rPr>
        <w:t>volume demands,</w:t>
      </w:r>
      <w:r>
        <w:rPr>
          <w:kern w:val="0"/>
          <w14:ligatures w14:val="none"/>
        </w:rPr>
        <w:t xml:space="preserve"> and perform </w:t>
      </w:r>
      <w:r w:rsidRPr="00DC61FC">
        <w:rPr>
          <w:kern w:val="0"/>
          <w14:ligatures w14:val="none"/>
        </w:rPr>
        <w:t xml:space="preserve">diagnostic imaging </w:t>
      </w:r>
      <w:r>
        <w:rPr>
          <w:kern w:val="0"/>
          <w14:ligatures w14:val="none"/>
        </w:rPr>
        <w:t>to</w:t>
      </w:r>
      <w:r w:rsidRPr="00DC61FC">
        <w:rPr>
          <w:kern w:val="0"/>
          <w14:ligatures w14:val="none"/>
        </w:rPr>
        <w:t xml:space="preserve"> support Alzheimer’s clinical research trials</w:t>
      </w:r>
      <w:r>
        <w:rPr>
          <w:kern w:val="0"/>
          <w14:ligatures w14:val="none"/>
        </w:rPr>
        <w:t xml:space="preserve"> </w:t>
      </w:r>
      <w:r w:rsidRPr="002A4311">
        <w:rPr>
          <w:kern w:val="0"/>
          <w14:ligatures w14:val="none"/>
        </w:rPr>
        <w:t xml:space="preserve">through </w:t>
      </w:r>
      <w:r>
        <w:rPr>
          <w:kern w:val="0"/>
          <w14:ligatures w14:val="none"/>
        </w:rPr>
        <w:t xml:space="preserve">the </w:t>
      </w:r>
      <w:r w:rsidRPr="002A4311">
        <w:rPr>
          <w:kern w:val="0"/>
          <w14:ligatures w14:val="none"/>
        </w:rPr>
        <w:t xml:space="preserve">operation of a PET-CT unit </w:t>
      </w:r>
      <w:r w:rsidR="007F0AA8">
        <w:rPr>
          <w:kern w:val="0"/>
          <w14:ligatures w14:val="none"/>
        </w:rPr>
        <w:t xml:space="preserve">at an existing Shields facility in Dedham. </w:t>
      </w:r>
    </w:p>
    <w:p w14:paraId="6ABF6FB8" w14:textId="0F08EE56" w:rsidR="00A632E9" w:rsidRPr="002A4311" w:rsidRDefault="00A632E9" w:rsidP="00A632E9">
      <w:pPr>
        <w:jc w:val="both"/>
        <w:rPr>
          <w:bCs/>
          <w:kern w:val="0"/>
          <w14:ligatures w14:val="none"/>
        </w:rPr>
      </w:pPr>
      <w:r w:rsidRPr="002A4311">
        <w:rPr>
          <w:bCs/>
          <w:kern w:val="0"/>
          <w14:ligatures w14:val="none"/>
        </w:rPr>
        <w:t>As noted in Factor F1.</w:t>
      </w:r>
      <w:proofErr w:type="gramStart"/>
      <w:r w:rsidRPr="002A4311">
        <w:rPr>
          <w:bCs/>
          <w:kern w:val="0"/>
          <w14:ligatures w14:val="none"/>
        </w:rPr>
        <w:t>a.ii</w:t>
      </w:r>
      <w:proofErr w:type="gramEnd"/>
      <w:r w:rsidRPr="002A4311">
        <w:rPr>
          <w:bCs/>
          <w:kern w:val="0"/>
          <w14:ligatures w14:val="none"/>
        </w:rPr>
        <w:t xml:space="preserve">, </w:t>
      </w:r>
      <w:r>
        <w:rPr>
          <w:bCs/>
          <w:kern w:val="0"/>
          <w14:ligatures w14:val="none"/>
        </w:rPr>
        <w:t xml:space="preserve">the </w:t>
      </w:r>
      <w:r w:rsidR="0042212E">
        <w:rPr>
          <w:bCs/>
          <w:kern w:val="0"/>
          <w14:ligatures w14:val="none"/>
        </w:rPr>
        <w:t>projected</w:t>
      </w:r>
      <w:r w:rsidRPr="002A4311">
        <w:rPr>
          <w:bCs/>
          <w:kern w:val="0"/>
          <w14:ligatures w14:val="none"/>
        </w:rPr>
        <w:t xml:space="preserve"> </w:t>
      </w:r>
      <w:r w:rsidR="00D557E3">
        <w:rPr>
          <w:bCs/>
          <w:kern w:val="0"/>
          <w14:ligatures w14:val="none"/>
        </w:rPr>
        <w:t xml:space="preserve">volume </w:t>
      </w:r>
      <w:r w:rsidRPr="002A4311">
        <w:rPr>
          <w:bCs/>
          <w:kern w:val="0"/>
          <w14:ligatures w14:val="none"/>
        </w:rPr>
        <w:t>need</w:t>
      </w:r>
      <w:r w:rsidR="00D557E3">
        <w:rPr>
          <w:bCs/>
          <w:kern w:val="0"/>
          <w14:ligatures w14:val="none"/>
        </w:rPr>
        <w:t>s</w:t>
      </w:r>
      <w:r w:rsidRPr="002A4311">
        <w:rPr>
          <w:bCs/>
          <w:kern w:val="0"/>
          <w14:ligatures w14:val="none"/>
        </w:rPr>
        <w:t xml:space="preserve"> for PET</w:t>
      </w:r>
      <w:r>
        <w:rPr>
          <w:bCs/>
          <w:kern w:val="0"/>
          <w14:ligatures w14:val="none"/>
        </w:rPr>
        <w:t>/</w:t>
      </w:r>
      <w:r w:rsidRPr="002A4311">
        <w:rPr>
          <w:bCs/>
          <w:kern w:val="0"/>
          <w14:ligatures w14:val="none"/>
        </w:rPr>
        <w:t xml:space="preserve">CT imaging and other indicators </w:t>
      </w:r>
      <w:r w:rsidR="00E03A87">
        <w:rPr>
          <w:bCs/>
          <w:kern w:val="0"/>
          <w14:ligatures w14:val="none"/>
        </w:rPr>
        <w:t>demonstrate</w:t>
      </w:r>
      <w:r w:rsidRPr="002A4311">
        <w:rPr>
          <w:bCs/>
          <w:kern w:val="0"/>
          <w14:ligatures w14:val="none"/>
        </w:rPr>
        <w:t xml:space="preserve"> a need for PET</w:t>
      </w:r>
      <w:r>
        <w:rPr>
          <w:bCs/>
          <w:kern w:val="0"/>
          <w14:ligatures w14:val="none"/>
        </w:rPr>
        <w:t>/</w:t>
      </w:r>
      <w:r w:rsidRPr="002A4311">
        <w:rPr>
          <w:bCs/>
          <w:kern w:val="0"/>
          <w14:ligatures w14:val="none"/>
        </w:rPr>
        <w:t>CT service</w:t>
      </w:r>
      <w:r>
        <w:rPr>
          <w:bCs/>
          <w:kern w:val="0"/>
          <w14:ligatures w14:val="none"/>
        </w:rPr>
        <w:t>s</w:t>
      </w:r>
      <w:r w:rsidRPr="002A4311">
        <w:rPr>
          <w:bCs/>
          <w:kern w:val="0"/>
          <w14:ligatures w14:val="none"/>
        </w:rPr>
        <w:t xml:space="preserve">. Providing access to care has been documented to reduce </w:t>
      </w:r>
      <w:r w:rsidR="00E14E1F">
        <w:rPr>
          <w:bCs/>
          <w:kern w:val="0"/>
          <w14:ligatures w14:val="none"/>
        </w:rPr>
        <w:t xml:space="preserve">health </w:t>
      </w:r>
      <w:r w:rsidR="00E14E1F">
        <w:rPr>
          <w:bCs/>
          <w:kern w:val="0"/>
          <w14:ligatures w14:val="none"/>
        </w:rPr>
        <w:lastRenderedPageBreak/>
        <w:t>care</w:t>
      </w:r>
      <w:r w:rsidRPr="002A4311">
        <w:rPr>
          <w:bCs/>
          <w:kern w:val="0"/>
          <w14:ligatures w14:val="none"/>
        </w:rPr>
        <w:t xml:space="preserve"> utilization and spending.</w:t>
      </w:r>
      <w:r w:rsidRPr="002A4311">
        <w:rPr>
          <w:bCs/>
          <w:kern w:val="0"/>
          <w:vertAlign w:val="superscript"/>
          <w14:ligatures w14:val="none"/>
        </w:rPr>
        <w:footnoteReference w:id="73"/>
      </w:r>
      <w:r w:rsidRPr="002A4311">
        <w:rPr>
          <w:bCs/>
          <w:kern w:val="0"/>
          <w14:ligatures w14:val="none"/>
        </w:rPr>
        <w:t xml:space="preserve">  Studies have detailed high costs for unnecessary repeat imaging</w:t>
      </w:r>
      <w:r w:rsidRPr="002A4311">
        <w:rPr>
          <w:bCs/>
          <w:kern w:val="0"/>
          <w:vertAlign w:val="superscript"/>
          <w14:ligatures w14:val="none"/>
        </w:rPr>
        <w:footnoteReference w:id="74"/>
      </w:r>
      <w:r w:rsidRPr="002A4311">
        <w:rPr>
          <w:bCs/>
          <w:kern w:val="0"/>
          <w14:ligatures w14:val="none"/>
        </w:rPr>
        <w:t xml:space="preserve"> which could be improved through more appropriate use of all imaging, including PET</w:t>
      </w:r>
      <w:r>
        <w:rPr>
          <w:bCs/>
          <w:kern w:val="0"/>
          <w14:ligatures w14:val="none"/>
        </w:rPr>
        <w:t>/</w:t>
      </w:r>
      <w:r w:rsidRPr="002A4311">
        <w:rPr>
          <w:bCs/>
          <w:kern w:val="0"/>
          <w14:ligatures w14:val="none"/>
        </w:rPr>
        <w:t>CT, and better integration of services. For the Proposed Project, reducing unnecessary expenditures related to inefficiencies from lack of service integration</w:t>
      </w:r>
      <w:r w:rsidRPr="002A4311">
        <w:rPr>
          <w:bCs/>
          <w:kern w:val="0"/>
          <w:vertAlign w:val="superscript"/>
          <w14:ligatures w14:val="none"/>
        </w:rPr>
        <w:footnoteReference w:id="75"/>
      </w:r>
      <w:r w:rsidRPr="002A4311">
        <w:rPr>
          <w:bCs/>
          <w:kern w:val="0"/>
          <w14:ligatures w14:val="none"/>
        </w:rPr>
        <w:t xml:space="preserve"> can lead to lower operational overhead and lower </w:t>
      </w:r>
      <w:r w:rsidR="00E14E1F">
        <w:rPr>
          <w:bCs/>
          <w:kern w:val="0"/>
          <w14:ligatures w14:val="none"/>
        </w:rPr>
        <w:t>health care</w:t>
      </w:r>
      <w:r w:rsidRPr="002A4311">
        <w:rPr>
          <w:bCs/>
          <w:kern w:val="0"/>
          <w14:ligatures w14:val="none"/>
        </w:rPr>
        <w:t xml:space="preserve"> spending, which could, in turn, reduce TME</w:t>
      </w:r>
      <w:r>
        <w:rPr>
          <w:bCs/>
          <w:kern w:val="0"/>
          <w14:ligatures w14:val="none"/>
        </w:rPr>
        <w:t>.</w:t>
      </w:r>
    </w:p>
    <w:p w14:paraId="4D2DD6FC" w14:textId="2082D370" w:rsidR="00A632E9" w:rsidRPr="002A4311" w:rsidRDefault="00A632E9" w:rsidP="00A632E9">
      <w:pPr>
        <w:autoSpaceDE w:val="0"/>
        <w:autoSpaceDN w:val="0"/>
        <w:adjustRightInd w:val="0"/>
        <w:spacing w:after="0" w:line="240" w:lineRule="auto"/>
        <w:jc w:val="both"/>
        <w:rPr>
          <w:rFonts w:ascii="Calibri" w:hAnsi="Calibri" w:cs="Calibri"/>
          <w:kern w:val="0"/>
          <w14:ligatures w14:val="none"/>
        </w:rPr>
      </w:pPr>
      <w:r w:rsidRPr="002A4311">
        <w:rPr>
          <w:rFonts w:ascii="Calibri" w:hAnsi="Calibri" w:cs="Calibri"/>
          <w:kern w:val="0"/>
          <w14:ligatures w14:val="none"/>
        </w:rPr>
        <w:t>The Proposed Project will not negatively impact TME, as the PET</w:t>
      </w:r>
      <w:r>
        <w:rPr>
          <w:rFonts w:ascii="Calibri" w:hAnsi="Calibri" w:cs="Calibri"/>
          <w:kern w:val="0"/>
          <w14:ligatures w14:val="none"/>
        </w:rPr>
        <w:t>/</w:t>
      </w:r>
      <w:r w:rsidRPr="002A4311">
        <w:rPr>
          <w:rFonts w:ascii="Calibri" w:hAnsi="Calibri" w:cs="Calibri"/>
          <w:kern w:val="0"/>
          <w14:ligatures w14:val="none"/>
        </w:rPr>
        <w:t>CT services will be provided through a licensed IDTF clinic, where PET</w:t>
      </w:r>
      <w:r>
        <w:rPr>
          <w:rFonts w:ascii="Calibri" w:hAnsi="Calibri" w:cs="Calibri"/>
          <w:kern w:val="0"/>
          <w14:ligatures w14:val="none"/>
        </w:rPr>
        <w:t>/</w:t>
      </w:r>
      <w:r w:rsidRPr="002A4311">
        <w:rPr>
          <w:rFonts w:ascii="Calibri" w:hAnsi="Calibri" w:cs="Calibri"/>
          <w:kern w:val="0"/>
          <w14:ligatures w14:val="none"/>
        </w:rPr>
        <w:t xml:space="preserve">CT </w:t>
      </w:r>
      <w:r w:rsidR="007F0AA8">
        <w:rPr>
          <w:rFonts w:ascii="Calibri" w:hAnsi="Calibri" w:cs="Calibri"/>
          <w:kern w:val="0"/>
          <w14:ligatures w14:val="none"/>
        </w:rPr>
        <w:t xml:space="preserve">imaging </w:t>
      </w:r>
      <w:r w:rsidRPr="002A4311">
        <w:rPr>
          <w:rFonts w:ascii="Calibri" w:hAnsi="Calibri" w:cs="Calibri"/>
          <w:kern w:val="0"/>
          <w14:ligatures w14:val="none"/>
        </w:rPr>
        <w:t xml:space="preserve">services </w:t>
      </w:r>
      <w:r>
        <w:rPr>
          <w:rFonts w:ascii="Calibri" w:hAnsi="Calibri" w:cs="Calibri"/>
          <w:kern w:val="0"/>
          <w14:ligatures w14:val="none"/>
        </w:rPr>
        <w:t>cost</w:t>
      </w:r>
      <w:r w:rsidRPr="002A4311">
        <w:rPr>
          <w:rFonts w:ascii="Calibri" w:hAnsi="Calibri" w:cs="Calibri"/>
          <w:kern w:val="0"/>
          <w14:ligatures w14:val="none"/>
        </w:rPr>
        <w:t xml:space="preserve"> less.</w:t>
      </w:r>
      <w:r w:rsidRPr="002A4311">
        <w:rPr>
          <w:rFonts w:ascii="Calibri" w:hAnsi="Calibri" w:cs="Calibri"/>
          <w:kern w:val="0"/>
          <w:vertAlign w:val="superscript"/>
          <w14:ligatures w14:val="none"/>
        </w:rPr>
        <w:footnoteReference w:id="76"/>
      </w:r>
      <w:r w:rsidRPr="002A4311">
        <w:rPr>
          <w:rFonts w:ascii="Calibri" w:hAnsi="Calibri" w:cs="Calibri"/>
          <w:kern w:val="0"/>
          <w14:ligatures w14:val="none"/>
        </w:rPr>
        <w:t xml:space="preserve"> The clinic will be </w:t>
      </w:r>
      <w:r>
        <w:rPr>
          <w:rFonts w:ascii="Calibri" w:hAnsi="Calibri" w:cs="Calibri"/>
          <w:kern w:val="0"/>
          <w14:ligatures w14:val="none"/>
        </w:rPr>
        <w:t xml:space="preserve">operationally </w:t>
      </w:r>
      <w:r w:rsidRPr="002A4311">
        <w:rPr>
          <w:rFonts w:ascii="Calibri" w:hAnsi="Calibri" w:cs="Calibri"/>
          <w:kern w:val="0"/>
          <w14:ligatures w14:val="none"/>
        </w:rPr>
        <w:t>managed by Shields, which will seek to identify optimization opportunities to further drive down the cost to provide care, while simultaneously ensuring the highest quality of care possible.</w:t>
      </w:r>
    </w:p>
    <w:p w14:paraId="729D6606" w14:textId="77777777" w:rsidR="00A632E9" w:rsidRPr="002A4311" w:rsidRDefault="00A632E9" w:rsidP="00A632E9">
      <w:pPr>
        <w:autoSpaceDE w:val="0"/>
        <w:autoSpaceDN w:val="0"/>
        <w:adjustRightInd w:val="0"/>
        <w:spacing w:after="0" w:line="240" w:lineRule="auto"/>
        <w:ind w:left="720"/>
        <w:jc w:val="both"/>
        <w:rPr>
          <w:rFonts w:ascii="Calibri" w:hAnsi="Calibri" w:cs="Calibri"/>
          <w:kern w:val="0"/>
          <w14:ligatures w14:val="none"/>
        </w:rPr>
      </w:pPr>
    </w:p>
    <w:p w14:paraId="1B5FE446" w14:textId="3F035563" w:rsidR="00A632E9" w:rsidRPr="00140F57" w:rsidRDefault="00A632E9" w:rsidP="00A632E9">
      <w:pPr>
        <w:autoSpaceDE w:val="0"/>
        <w:autoSpaceDN w:val="0"/>
        <w:adjustRightInd w:val="0"/>
        <w:spacing w:after="0" w:line="240" w:lineRule="auto"/>
        <w:jc w:val="both"/>
        <w:rPr>
          <w:bCs/>
          <w:kern w:val="0"/>
          <w14:ligatures w14:val="none"/>
        </w:rPr>
      </w:pPr>
      <w:r w:rsidRPr="00140F57">
        <w:rPr>
          <w:bCs/>
          <w:kern w:val="0"/>
          <w14:ligatures w14:val="none"/>
        </w:rPr>
        <w:t xml:space="preserve">Shields’ operational model allows for improved scheduling, workflow, technology, and customer service. These front-end/access-focused optimizations drive efficiency, which in turn drives down the cost of providing care, allowing Shields to operate </w:t>
      </w:r>
      <w:r w:rsidR="00B307AD" w:rsidRPr="00140F57">
        <w:rPr>
          <w:bCs/>
          <w:kern w:val="0"/>
          <w14:ligatures w14:val="none"/>
        </w:rPr>
        <w:t xml:space="preserve">efficiently and </w:t>
      </w:r>
      <w:r w:rsidRPr="00140F57">
        <w:rPr>
          <w:bCs/>
          <w:kern w:val="0"/>
          <w14:ligatures w14:val="none"/>
        </w:rPr>
        <w:t xml:space="preserve">effectively under </w:t>
      </w:r>
      <w:r w:rsidR="00F12C13" w:rsidRPr="00140F57">
        <w:rPr>
          <w:bCs/>
          <w:kern w:val="0"/>
          <w14:ligatures w14:val="none"/>
        </w:rPr>
        <w:t xml:space="preserve">the </w:t>
      </w:r>
      <w:r w:rsidRPr="00140F57">
        <w:rPr>
          <w:bCs/>
          <w:kern w:val="0"/>
          <w14:ligatures w14:val="none"/>
        </w:rPr>
        <w:t xml:space="preserve">lower, IDTF rates. A pricing comparison conducted by </w:t>
      </w:r>
      <w:r w:rsidR="00E14E1F" w:rsidRPr="00140F57">
        <w:rPr>
          <w:bCs/>
          <w:kern w:val="0"/>
          <w14:ligatures w14:val="none"/>
        </w:rPr>
        <w:t>Health care</w:t>
      </w:r>
      <w:r w:rsidRPr="00140F57">
        <w:rPr>
          <w:bCs/>
          <w:kern w:val="0"/>
          <w14:ligatures w14:val="none"/>
        </w:rPr>
        <w:t xml:space="preserve"> Financial Management Solutions (“HFMA”) found that average hospital prices were up to 208 percent higher in the field of nuclear medicine</w:t>
      </w:r>
      <w:r w:rsidRPr="00140F57">
        <w:rPr>
          <w:bCs/>
        </w:rPr>
        <w:footnoteReference w:id="77"/>
      </w:r>
      <w:r w:rsidRPr="00140F57">
        <w:rPr>
          <w:bCs/>
          <w:kern w:val="0"/>
          <w14:ligatures w14:val="none"/>
        </w:rPr>
        <w:t xml:space="preserve"> than the average prices at free-standing imaging centers.</w:t>
      </w:r>
      <w:r w:rsidRPr="0050520D">
        <w:rPr>
          <w:rFonts w:ascii="Calibri" w:hAnsi="Calibri" w:cs="Calibri"/>
          <w:kern w:val="0"/>
          <w:vertAlign w:val="superscript"/>
          <w14:ligatures w14:val="none"/>
        </w:rPr>
        <w:footnoteReference w:id="78"/>
      </w:r>
      <w:r w:rsidRPr="00140F57">
        <w:rPr>
          <w:bCs/>
          <w:kern w:val="0"/>
          <w14:ligatures w14:val="none"/>
        </w:rPr>
        <w:t xml:space="preserve"> The lower IDTF rates offer payers the opportunity to require lower patient cost-sharing and the opportunity for lower TME overall, thus also improving access to high-quality care.</w:t>
      </w:r>
    </w:p>
    <w:p w14:paraId="48C52114" w14:textId="77777777" w:rsidR="00A632E9" w:rsidRPr="00140F57" w:rsidRDefault="00A632E9" w:rsidP="00A632E9">
      <w:pPr>
        <w:autoSpaceDE w:val="0"/>
        <w:autoSpaceDN w:val="0"/>
        <w:adjustRightInd w:val="0"/>
        <w:spacing w:after="0" w:line="240" w:lineRule="auto"/>
        <w:jc w:val="both"/>
        <w:rPr>
          <w:bCs/>
          <w:kern w:val="0"/>
          <w14:ligatures w14:val="none"/>
        </w:rPr>
      </w:pPr>
    </w:p>
    <w:p w14:paraId="4D92D953" w14:textId="5DA31BD7" w:rsidR="00A632E9" w:rsidRPr="00140F57" w:rsidRDefault="00A632E9" w:rsidP="00A632E9">
      <w:pPr>
        <w:autoSpaceDE w:val="0"/>
        <w:autoSpaceDN w:val="0"/>
        <w:adjustRightInd w:val="0"/>
        <w:spacing w:after="0" w:line="240" w:lineRule="auto"/>
        <w:jc w:val="both"/>
        <w:rPr>
          <w:bCs/>
          <w:kern w:val="0"/>
          <w14:ligatures w14:val="none"/>
        </w:rPr>
      </w:pPr>
      <w:r w:rsidRPr="00140F57">
        <w:rPr>
          <w:bCs/>
          <w:kern w:val="0"/>
          <w14:ligatures w14:val="none"/>
        </w:rPr>
        <w:t>Furthermore, many national insurers have implemented site-of-care reviews for diagnostic imaging.</w:t>
      </w:r>
      <w:r w:rsidRPr="0050520D">
        <w:rPr>
          <w:rFonts w:ascii="Calibri" w:hAnsi="Calibri" w:cs="Calibri"/>
          <w:kern w:val="0"/>
          <w:vertAlign w:val="superscript"/>
          <w14:ligatures w14:val="none"/>
        </w:rPr>
        <w:footnoteReference w:id="79"/>
      </w:r>
      <w:r w:rsidRPr="0050520D">
        <w:rPr>
          <w:rFonts w:ascii="Calibri" w:hAnsi="Calibri" w:cs="Calibri"/>
          <w:kern w:val="0"/>
          <w:vertAlign w:val="superscript"/>
          <w14:ligatures w14:val="none"/>
        </w:rPr>
        <w:t xml:space="preserve"> </w:t>
      </w:r>
      <w:r w:rsidRPr="00140F57">
        <w:rPr>
          <w:bCs/>
          <w:kern w:val="0"/>
          <w14:ligatures w14:val="none"/>
        </w:rPr>
        <w:t xml:space="preserve"> Payers like United </w:t>
      </w:r>
      <w:r w:rsidR="00E14E1F" w:rsidRPr="00140F57">
        <w:rPr>
          <w:bCs/>
          <w:kern w:val="0"/>
          <w14:ligatures w14:val="none"/>
        </w:rPr>
        <w:t xml:space="preserve">Health </w:t>
      </w:r>
      <w:r w:rsidR="00061456">
        <w:rPr>
          <w:bCs/>
          <w:kern w:val="0"/>
          <w14:ligatures w14:val="none"/>
        </w:rPr>
        <w:t>Care</w:t>
      </w:r>
      <w:r w:rsidRPr="00140F57">
        <w:rPr>
          <w:bCs/>
          <w:kern w:val="0"/>
          <w14:ligatures w14:val="none"/>
        </w:rPr>
        <w:t>, Cigna, and Anthem/BCBS have all implemented these policies as an attempt to push patients to lower-cost sites of care for imaging. If a procedure is to be performed at an IDTF, a site of care review will not occur (and therefore no additional charges will be incurred). The review will only occur (and be billed) if the procedure is performed in a hospital-based setting.</w:t>
      </w:r>
    </w:p>
    <w:p w14:paraId="2E9F72CB" w14:textId="77777777" w:rsidR="0013129C" w:rsidRPr="00140F57" w:rsidRDefault="0013129C" w:rsidP="00A632E9">
      <w:pPr>
        <w:autoSpaceDE w:val="0"/>
        <w:autoSpaceDN w:val="0"/>
        <w:adjustRightInd w:val="0"/>
        <w:spacing w:after="0" w:line="240" w:lineRule="auto"/>
        <w:jc w:val="both"/>
        <w:rPr>
          <w:bCs/>
          <w:kern w:val="0"/>
          <w14:ligatures w14:val="none"/>
        </w:rPr>
      </w:pPr>
    </w:p>
    <w:p w14:paraId="26045839" w14:textId="707A2026" w:rsidR="00AC188A" w:rsidRPr="00140F57" w:rsidRDefault="0013129C" w:rsidP="00B43106">
      <w:pPr>
        <w:autoSpaceDE w:val="0"/>
        <w:autoSpaceDN w:val="0"/>
        <w:adjustRightInd w:val="0"/>
        <w:spacing w:after="0" w:line="240" w:lineRule="auto"/>
        <w:jc w:val="both"/>
        <w:rPr>
          <w:bCs/>
          <w:kern w:val="0"/>
          <w14:ligatures w14:val="none"/>
        </w:rPr>
      </w:pPr>
      <w:r w:rsidRPr="00140F57">
        <w:rPr>
          <w:bCs/>
          <w:kern w:val="0"/>
          <w14:ligatures w14:val="none"/>
        </w:rPr>
        <w:t>Finally, there is evidence that research can help cut the cost of medical care.</w:t>
      </w:r>
      <w:r w:rsidRPr="0050520D">
        <w:rPr>
          <w:rFonts w:ascii="Calibri" w:hAnsi="Calibri" w:cs="Calibri"/>
          <w:kern w:val="0"/>
          <w:vertAlign w:val="superscript"/>
          <w14:ligatures w14:val="none"/>
        </w:rPr>
        <w:footnoteReference w:id="80"/>
      </w:r>
      <w:r w:rsidRPr="00140F57">
        <w:rPr>
          <w:bCs/>
          <w:kern w:val="0"/>
          <w14:ligatures w14:val="none"/>
        </w:rPr>
        <w:t xml:space="preserve"> PET/CT has shown important promise for reducing the cost of cancer management by improving the accuracy of both diagnosis and staging, thereby helping to avoid expensive, futile treatments</w:t>
      </w:r>
      <w:r w:rsidRPr="0050520D">
        <w:rPr>
          <w:rFonts w:ascii="Calibri" w:hAnsi="Calibri" w:cs="Calibri"/>
          <w:kern w:val="0"/>
          <w:vertAlign w:val="superscript"/>
          <w14:ligatures w14:val="none"/>
        </w:rPr>
        <w:footnoteReference w:id="81"/>
      </w:r>
      <w:r w:rsidRPr="00140F57">
        <w:rPr>
          <w:bCs/>
          <w:kern w:val="0"/>
          <w14:ligatures w14:val="none"/>
        </w:rPr>
        <w:t xml:space="preserve"> and associated side </w:t>
      </w:r>
      <w:r w:rsidRPr="00140F57">
        <w:rPr>
          <w:bCs/>
          <w:kern w:val="0"/>
          <w14:ligatures w14:val="none"/>
        </w:rPr>
        <w:lastRenderedPageBreak/>
        <w:t>effects.</w:t>
      </w:r>
      <w:r w:rsidRPr="0050520D">
        <w:rPr>
          <w:rFonts w:ascii="Calibri" w:hAnsi="Calibri" w:cs="Calibri"/>
          <w:kern w:val="0"/>
          <w:vertAlign w:val="superscript"/>
          <w14:ligatures w14:val="none"/>
        </w:rPr>
        <w:footnoteReference w:id="82"/>
      </w:r>
      <w:r w:rsidRPr="0050520D">
        <w:rPr>
          <w:rFonts w:ascii="Calibri" w:hAnsi="Calibri" w:cs="Calibri"/>
          <w:kern w:val="0"/>
          <w:vertAlign w:val="superscript"/>
          <w14:ligatures w14:val="none"/>
        </w:rPr>
        <w:t xml:space="preserve"> </w:t>
      </w:r>
      <w:r w:rsidRPr="00140F57">
        <w:rPr>
          <w:bCs/>
          <w:kern w:val="0"/>
          <w14:ligatures w14:val="none"/>
        </w:rPr>
        <w:t>PET/CT also has the potential to reduce the cost burden over time to the health care system by identifying the most appropriate treatment,</w:t>
      </w:r>
      <w:r w:rsidRPr="0050520D">
        <w:rPr>
          <w:rFonts w:ascii="Calibri" w:hAnsi="Calibri" w:cs="Calibri"/>
          <w:kern w:val="0"/>
          <w:vertAlign w:val="superscript"/>
          <w14:ligatures w14:val="none"/>
        </w:rPr>
        <w:footnoteReference w:id="83"/>
      </w:r>
      <w:r w:rsidRPr="00140F57">
        <w:rPr>
          <w:bCs/>
          <w:kern w:val="0"/>
          <w14:ligatures w14:val="none"/>
        </w:rPr>
        <w:t xml:space="preserve"> earlier in the disease process.</w:t>
      </w:r>
    </w:p>
    <w:p w14:paraId="517CE26F" w14:textId="77777777" w:rsidR="00AC188A" w:rsidRPr="00140F57" w:rsidRDefault="00AC188A" w:rsidP="0005096C">
      <w:pPr>
        <w:autoSpaceDE w:val="0"/>
        <w:autoSpaceDN w:val="0"/>
        <w:adjustRightInd w:val="0"/>
        <w:spacing w:after="0" w:line="240" w:lineRule="auto"/>
        <w:jc w:val="both"/>
        <w:rPr>
          <w:bCs/>
          <w:kern w:val="0"/>
          <w14:ligatures w14:val="none"/>
        </w:rPr>
      </w:pPr>
    </w:p>
    <w:p w14:paraId="163909C8" w14:textId="38E9E747" w:rsidR="0005096C" w:rsidRDefault="0005096C" w:rsidP="0005096C">
      <w:pPr>
        <w:autoSpaceDE w:val="0"/>
        <w:autoSpaceDN w:val="0"/>
        <w:adjustRightInd w:val="0"/>
        <w:spacing w:after="0" w:line="240" w:lineRule="auto"/>
        <w:jc w:val="both"/>
        <w:rPr>
          <w:bCs/>
          <w:kern w:val="0"/>
          <w14:ligatures w14:val="none"/>
        </w:rPr>
      </w:pPr>
      <w:r w:rsidRPr="00140F57">
        <w:rPr>
          <w:bCs/>
          <w:kern w:val="0"/>
          <w14:ligatures w14:val="none"/>
        </w:rPr>
        <w:t>Accordingly, the Proposed Project will provide patients with access to high-quality PET/CT services while also meaningfully contributing to Massachusetts’ goals for cost containment.</w:t>
      </w:r>
    </w:p>
    <w:p w14:paraId="08EF4780" w14:textId="77777777" w:rsidR="00930236" w:rsidRDefault="00930236" w:rsidP="0005096C">
      <w:pPr>
        <w:autoSpaceDE w:val="0"/>
        <w:autoSpaceDN w:val="0"/>
        <w:adjustRightInd w:val="0"/>
        <w:spacing w:after="0" w:line="240" w:lineRule="auto"/>
        <w:jc w:val="both"/>
        <w:rPr>
          <w:bCs/>
          <w:kern w:val="0"/>
          <w14:ligatures w14:val="none"/>
        </w:rPr>
      </w:pPr>
    </w:p>
    <w:p w14:paraId="555C89AC" w14:textId="77777777" w:rsidR="00930236" w:rsidRPr="00140F57" w:rsidRDefault="00930236" w:rsidP="0005096C">
      <w:pPr>
        <w:autoSpaceDE w:val="0"/>
        <w:autoSpaceDN w:val="0"/>
        <w:adjustRightInd w:val="0"/>
        <w:spacing w:after="0" w:line="240" w:lineRule="auto"/>
        <w:jc w:val="both"/>
        <w:rPr>
          <w:bCs/>
          <w:kern w:val="0"/>
          <w14:ligatures w14:val="none"/>
        </w:rPr>
      </w:pPr>
    </w:p>
    <w:p w14:paraId="15096102" w14:textId="77777777" w:rsidR="00A632E9" w:rsidRPr="00D073E1" w:rsidRDefault="00A632E9" w:rsidP="00A632E9">
      <w:pPr>
        <w:rPr>
          <w:b/>
          <w:kern w:val="0"/>
          <w14:ligatures w14:val="none"/>
        </w:rPr>
      </w:pPr>
      <w:r w:rsidRPr="00D073E1">
        <w:rPr>
          <w:b/>
          <w:kern w:val="0"/>
          <w14:ligatures w14:val="none"/>
        </w:rPr>
        <w:t>F1.</w:t>
      </w:r>
      <w:proofErr w:type="gramStart"/>
      <w:r w:rsidRPr="00D073E1">
        <w:rPr>
          <w:b/>
          <w:kern w:val="0"/>
          <w14:ligatures w14:val="none"/>
        </w:rPr>
        <w:t>b.i</w:t>
      </w:r>
      <w:proofErr w:type="gramEnd"/>
      <w:r w:rsidRPr="00D073E1">
        <w:rPr>
          <w:b/>
          <w:kern w:val="0"/>
          <w14:ligatures w14:val="none"/>
        </w:rPr>
        <w:tab/>
      </w:r>
      <w:r w:rsidRPr="00D073E1">
        <w:rPr>
          <w:b/>
          <w:kern w:val="0"/>
          <w:u w:val="single"/>
          <w14:ligatures w14:val="none"/>
        </w:rPr>
        <w:t>Public Health Value/Evidence-Based</w:t>
      </w:r>
      <w:r w:rsidRPr="00D073E1">
        <w:rPr>
          <w:b/>
          <w:kern w:val="0"/>
          <w14:ligatures w14:val="none"/>
        </w:rPr>
        <w:t>:</w:t>
      </w:r>
    </w:p>
    <w:p w14:paraId="23DB35C9" w14:textId="77777777" w:rsidR="00A632E9" w:rsidRPr="00D073E1" w:rsidRDefault="00A632E9" w:rsidP="00A632E9">
      <w:pPr>
        <w:rPr>
          <w:b/>
          <w:kern w:val="0"/>
          <w14:ligatures w14:val="none"/>
        </w:rPr>
      </w:pPr>
      <w:r w:rsidRPr="00D073E1">
        <w:rPr>
          <w:b/>
          <w:kern w:val="0"/>
          <w14:ligatures w14:val="none"/>
        </w:rPr>
        <w:t>Provide information on the evidence-base for the Proposed Project. That is, how does the Proposed Project address the Need that the Applicant has identified.</w:t>
      </w:r>
    </w:p>
    <w:p w14:paraId="2BAB325E" w14:textId="77777777" w:rsidR="00A632E9" w:rsidRPr="00D073E1" w:rsidRDefault="00A632E9" w:rsidP="00A632E9">
      <w:pPr>
        <w:ind w:left="720"/>
        <w:contextualSpacing/>
        <w:rPr>
          <w:b/>
          <w:kern w:val="0"/>
          <w14:ligatures w14:val="none"/>
        </w:rPr>
      </w:pPr>
    </w:p>
    <w:p w14:paraId="61B80B86" w14:textId="77777777" w:rsidR="00A632E9" w:rsidRPr="00D073E1" w:rsidRDefault="00A632E9" w:rsidP="00A632E9">
      <w:pPr>
        <w:numPr>
          <w:ilvl w:val="0"/>
          <w:numId w:val="3"/>
        </w:numPr>
        <w:contextualSpacing/>
        <w:rPr>
          <w:b/>
          <w:kern w:val="0"/>
          <w14:ligatures w14:val="none"/>
        </w:rPr>
      </w:pPr>
      <w:r w:rsidRPr="00D073E1">
        <w:rPr>
          <w:b/>
          <w:kern w:val="0"/>
          <w14:ligatures w14:val="none"/>
        </w:rPr>
        <w:t>Overview</w:t>
      </w:r>
    </w:p>
    <w:p w14:paraId="6C9F098A" w14:textId="77777777" w:rsidR="00A632E9" w:rsidRPr="00D073E1" w:rsidRDefault="00A632E9" w:rsidP="00A632E9">
      <w:pPr>
        <w:ind w:left="720"/>
        <w:contextualSpacing/>
        <w:rPr>
          <w:bCs/>
          <w:kern w:val="0"/>
          <w14:ligatures w14:val="none"/>
        </w:rPr>
      </w:pPr>
    </w:p>
    <w:p w14:paraId="2C3DE89F" w14:textId="38C24D7A" w:rsidR="00A632E9" w:rsidRPr="00D073E1" w:rsidRDefault="00A632E9" w:rsidP="00A632E9">
      <w:pPr>
        <w:ind w:left="720"/>
        <w:contextualSpacing/>
        <w:jc w:val="both"/>
        <w:rPr>
          <w:bCs/>
          <w:kern w:val="0"/>
          <w14:ligatures w14:val="none"/>
        </w:rPr>
      </w:pPr>
      <w:r w:rsidRPr="00667163">
        <w:rPr>
          <w:bCs/>
          <w:kern w:val="0"/>
          <w14:ligatures w14:val="none"/>
        </w:rPr>
        <w:t>The use of computed tomography (CT) in conjunction with PET is a remarkable technical improvement for this imaging modality.</w:t>
      </w:r>
      <w:r>
        <w:rPr>
          <w:rStyle w:val="FootnoteReference"/>
          <w:bCs/>
          <w:kern w:val="0"/>
          <w14:ligatures w14:val="none"/>
        </w:rPr>
        <w:footnoteReference w:id="84"/>
      </w:r>
      <w:r>
        <w:rPr>
          <w:bCs/>
          <w:kern w:val="0"/>
          <w14:ligatures w14:val="none"/>
        </w:rPr>
        <w:t xml:space="preserve"> </w:t>
      </w:r>
      <w:r w:rsidRPr="00D073E1">
        <w:rPr>
          <w:bCs/>
          <w:kern w:val="0"/>
          <w14:ligatures w14:val="none"/>
        </w:rPr>
        <w:t xml:space="preserve">Combined </w:t>
      </w:r>
      <w:r>
        <w:rPr>
          <w:bCs/>
          <w:kern w:val="0"/>
          <w14:ligatures w14:val="none"/>
        </w:rPr>
        <w:t>PET/CT</w:t>
      </w:r>
      <w:r w:rsidRPr="00D073E1">
        <w:rPr>
          <w:bCs/>
          <w:kern w:val="0"/>
          <w14:ligatures w14:val="none"/>
        </w:rPr>
        <w:t xml:space="preserve"> scans help clinicians pinpoint abnormal metabolic activity and provide more accurate diagnoses than the two scans performed separately.</w:t>
      </w:r>
      <w:r w:rsidRPr="00D073E1">
        <w:rPr>
          <w:bCs/>
          <w:kern w:val="0"/>
          <w:vertAlign w:val="superscript"/>
          <w14:ligatures w14:val="none"/>
        </w:rPr>
        <w:footnoteReference w:id="85"/>
      </w:r>
      <w:r w:rsidRPr="00D073E1">
        <w:rPr>
          <w:bCs/>
          <w:kern w:val="0"/>
          <w14:ligatures w14:val="none"/>
        </w:rPr>
        <w:t xml:space="preserve"> A PET scan measures important body functions, such as metabolism.</w:t>
      </w:r>
      <w:r w:rsidRPr="00D073E1">
        <w:rPr>
          <w:bCs/>
          <w:kern w:val="0"/>
          <w:vertAlign w:val="superscript"/>
          <w14:ligatures w14:val="none"/>
        </w:rPr>
        <w:footnoteReference w:id="86"/>
      </w:r>
      <w:r w:rsidRPr="00D073E1">
        <w:rPr>
          <w:bCs/>
          <w:kern w:val="0"/>
          <w14:ligatures w14:val="none"/>
        </w:rPr>
        <w:t xml:space="preserve"> It helps doctors evaluate how well organs and tissues are functioning.</w:t>
      </w:r>
      <w:r w:rsidRPr="00D073E1">
        <w:rPr>
          <w:bCs/>
          <w:kern w:val="0"/>
          <w:vertAlign w:val="superscript"/>
          <w14:ligatures w14:val="none"/>
        </w:rPr>
        <w:footnoteReference w:id="87"/>
      </w:r>
      <w:r w:rsidRPr="00D073E1">
        <w:rPr>
          <w:bCs/>
          <w:kern w:val="0"/>
          <w14:ligatures w14:val="none"/>
        </w:rPr>
        <w:t xml:space="preserve">  CT imaging uses special </w:t>
      </w:r>
      <w:r w:rsidR="00942367">
        <w:rPr>
          <w:bCs/>
          <w:kern w:val="0"/>
          <w14:ligatures w14:val="none"/>
        </w:rPr>
        <w:t>X-ray</w:t>
      </w:r>
      <w:r w:rsidRPr="00D073E1">
        <w:rPr>
          <w:bCs/>
          <w:kern w:val="0"/>
          <w14:ligatures w14:val="none"/>
        </w:rPr>
        <w:t xml:space="preserve"> equipment and in some cases a contrast material, to produce multiple images of the inside of the body.</w:t>
      </w:r>
      <w:r w:rsidRPr="00D073E1">
        <w:rPr>
          <w:bCs/>
          <w:kern w:val="0"/>
          <w:vertAlign w:val="superscript"/>
          <w14:ligatures w14:val="none"/>
        </w:rPr>
        <w:footnoteReference w:id="88"/>
      </w:r>
      <w:r w:rsidRPr="00D073E1">
        <w:rPr>
          <w:bCs/>
          <w:kern w:val="0"/>
          <w14:ligatures w14:val="none"/>
        </w:rPr>
        <w:t xml:space="preserve"> A radiologist views and interprets these images on a computer monitor. CT imaging provides excellent anatomic information.</w:t>
      </w:r>
      <w:r w:rsidRPr="00D073E1">
        <w:rPr>
          <w:bCs/>
          <w:kern w:val="0"/>
          <w:vertAlign w:val="superscript"/>
          <w14:ligatures w14:val="none"/>
        </w:rPr>
        <w:footnoteReference w:id="89"/>
      </w:r>
    </w:p>
    <w:p w14:paraId="5E11EE68" w14:textId="77777777" w:rsidR="00A632E9" w:rsidRPr="00D073E1" w:rsidRDefault="00A632E9" w:rsidP="00A632E9">
      <w:pPr>
        <w:ind w:left="720"/>
        <w:contextualSpacing/>
        <w:rPr>
          <w:bCs/>
          <w:kern w:val="0"/>
          <w14:ligatures w14:val="none"/>
        </w:rPr>
      </w:pPr>
    </w:p>
    <w:p w14:paraId="70F3F308" w14:textId="7A1F6811" w:rsidR="00A632E9" w:rsidRDefault="00A632E9" w:rsidP="00A632E9">
      <w:pPr>
        <w:ind w:left="720"/>
        <w:contextualSpacing/>
        <w:jc w:val="both"/>
        <w:rPr>
          <w:bCs/>
          <w:kern w:val="0"/>
          <w14:ligatures w14:val="none"/>
        </w:rPr>
      </w:pPr>
      <w:r w:rsidRPr="00D073E1">
        <w:rPr>
          <w:kern w:val="0"/>
          <w14:ligatures w14:val="none"/>
        </w:rPr>
        <w:t xml:space="preserve">The main applications of </w:t>
      </w:r>
      <w:r>
        <w:rPr>
          <w:kern w:val="0"/>
          <w14:ligatures w14:val="none"/>
        </w:rPr>
        <w:t>PET/CT</w:t>
      </w:r>
      <w:r w:rsidRPr="00D073E1">
        <w:rPr>
          <w:kern w:val="0"/>
          <w14:ligatures w14:val="none"/>
        </w:rPr>
        <w:t xml:space="preserve"> have been in the oncologic</w:t>
      </w:r>
      <w:r>
        <w:rPr>
          <w:kern w:val="0"/>
          <w14:ligatures w14:val="none"/>
        </w:rPr>
        <w:t>,</w:t>
      </w:r>
      <w:r w:rsidRPr="00D073E1">
        <w:rPr>
          <w:kern w:val="0"/>
          <w14:ligatures w14:val="none"/>
        </w:rPr>
        <w:t xml:space="preserve"> cardi</w:t>
      </w:r>
      <w:r w:rsidR="00CB196C">
        <w:rPr>
          <w:kern w:val="0"/>
          <w14:ligatures w14:val="none"/>
        </w:rPr>
        <w:t>ac</w:t>
      </w:r>
      <w:r>
        <w:rPr>
          <w:kern w:val="0"/>
          <w14:ligatures w14:val="none"/>
        </w:rPr>
        <w:t xml:space="preserve">, and neurologic </w:t>
      </w:r>
      <w:r w:rsidRPr="00D073E1">
        <w:rPr>
          <w:kern w:val="0"/>
          <w14:ligatures w14:val="none"/>
        </w:rPr>
        <w:t xml:space="preserve">domains where the combined technique has allowed improved </w:t>
      </w:r>
      <w:r>
        <w:rPr>
          <w:kern w:val="0"/>
          <w14:ligatures w14:val="none"/>
        </w:rPr>
        <w:t>all-in-one</w:t>
      </w:r>
      <w:r w:rsidRPr="00D073E1">
        <w:rPr>
          <w:kern w:val="0"/>
          <w14:ligatures w14:val="none"/>
        </w:rPr>
        <w:t xml:space="preserve"> imaging protocols that have been proven beneficial</w:t>
      </w:r>
      <w:r w:rsidRPr="00D073E1">
        <w:rPr>
          <w:bCs/>
          <w:kern w:val="0"/>
          <w14:ligatures w14:val="none"/>
        </w:rPr>
        <w:t>.</w:t>
      </w:r>
      <w:r w:rsidRPr="00D073E1">
        <w:rPr>
          <w:kern w:val="0"/>
          <w:vertAlign w:val="superscript"/>
          <w14:ligatures w14:val="none"/>
        </w:rPr>
        <w:footnoteReference w:id="90"/>
      </w:r>
      <w:r w:rsidRPr="00D073E1">
        <w:rPr>
          <w:bCs/>
          <w:kern w:val="0"/>
          <w14:ligatures w14:val="none"/>
        </w:rPr>
        <w:t xml:space="preserve"> </w:t>
      </w:r>
    </w:p>
    <w:p w14:paraId="127782F8" w14:textId="77777777" w:rsidR="00387D67" w:rsidRPr="00D073E1" w:rsidRDefault="00387D67" w:rsidP="00A632E9">
      <w:pPr>
        <w:ind w:left="720"/>
        <w:contextualSpacing/>
        <w:jc w:val="both"/>
        <w:rPr>
          <w:kern w:val="0"/>
          <w14:ligatures w14:val="none"/>
        </w:rPr>
      </w:pPr>
    </w:p>
    <w:p w14:paraId="199C3B88" w14:textId="77777777" w:rsidR="000853B0" w:rsidRDefault="00A632E9" w:rsidP="000853B0">
      <w:pPr>
        <w:ind w:left="720"/>
        <w:contextualSpacing/>
        <w:jc w:val="both"/>
        <w:rPr>
          <w:rFonts w:ascii="Calibri" w:hAnsi="Calibri" w:cs="Calibri"/>
          <w:kern w:val="0"/>
          <w14:ligatures w14:val="none"/>
        </w:rPr>
      </w:pPr>
      <w:r w:rsidRPr="00D073E1">
        <w:rPr>
          <w:rFonts w:ascii="Calibri" w:hAnsi="Calibri" w:cs="Calibri"/>
          <w:kern w:val="0"/>
          <w14:ligatures w14:val="none"/>
        </w:rPr>
        <w:t>The results of a significant Danish study</w:t>
      </w:r>
      <w:r w:rsidRPr="00D073E1">
        <w:rPr>
          <w:rFonts w:ascii="Calibri" w:hAnsi="Calibri" w:cs="Calibri"/>
          <w:kern w:val="0"/>
          <w:vertAlign w:val="superscript"/>
          <w14:ligatures w14:val="none"/>
        </w:rPr>
        <w:footnoteReference w:id="91"/>
      </w:r>
      <w:r w:rsidRPr="00D073E1">
        <w:rPr>
          <w:rFonts w:ascii="Calibri" w:hAnsi="Calibri" w:cs="Calibri"/>
          <w:kern w:val="0"/>
          <w14:ligatures w14:val="none"/>
        </w:rPr>
        <w:t xml:space="preserve"> published in the Journal of Nuclear Medicine revealed that </w:t>
      </w:r>
      <w:r>
        <w:rPr>
          <w:rFonts w:ascii="Calibri" w:hAnsi="Calibri" w:cs="Calibri"/>
          <w:kern w:val="0"/>
          <w14:ligatures w14:val="none"/>
        </w:rPr>
        <w:t xml:space="preserve">the </w:t>
      </w:r>
      <w:r w:rsidRPr="00D073E1">
        <w:rPr>
          <w:rFonts w:ascii="Calibri" w:hAnsi="Calibri" w:cs="Calibri"/>
          <w:kern w:val="0"/>
          <w14:ligatures w14:val="none"/>
        </w:rPr>
        <w:t xml:space="preserve">implementation of </w:t>
      </w:r>
      <w:r>
        <w:rPr>
          <w:rFonts w:ascii="Calibri" w:hAnsi="Calibri" w:cs="Calibri"/>
          <w:kern w:val="0"/>
          <w14:ligatures w14:val="none"/>
        </w:rPr>
        <w:t>PET/CT</w:t>
      </w:r>
      <w:r w:rsidRPr="00D073E1">
        <w:rPr>
          <w:rFonts w:ascii="Calibri" w:hAnsi="Calibri" w:cs="Calibri"/>
          <w:kern w:val="0"/>
          <w14:ligatures w14:val="none"/>
        </w:rPr>
        <w:t xml:space="preserve"> as the</w:t>
      </w:r>
      <w:r w:rsidRPr="00D073E1">
        <w:rPr>
          <w:rFonts w:ascii="Calibri" w:hAnsi="Calibri" w:cs="Calibri"/>
          <w:i/>
          <w:iCs/>
          <w:kern w:val="0"/>
          <w14:ligatures w14:val="none"/>
        </w:rPr>
        <w:t xml:space="preserve"> first-line imaging</w:t>
      </w:r>
      <w:r w:rsidRPr="00D073E1">
        <w:rPr>
          <w:rFonts w:ascii="Calibri" w:hAnsi="Calibri" w:cs="Calibri"/>
          <w:kern w:val="0"/>
          <w14:ligatures w14:val="none"/>
        </w:rPr>
        <w:t xml:space="preserve"> modality </w:t>
      </w:r>
      <w:r w:rsidRPr="00D073E1">
        <w:rPr>
          <w:rFonts w:ascii="Calibri" w:hAnsi="Calibri" w:cs="Calibri"/>
          <w:i/>
          <w:iCs/>
          <w:kern w:val="0"/>
          <w14:ligatures w14:val="none"/>
        </w:rPr>
        <w:t>instead of CT alone</w:t>
      </w:r>
      <w:r w:rsidRPr="00D073E1">
        <w:rPr>
          <w:rFonts w:ascii="Calibri" w:hAnsi="Calibri" w:cs="Calibri"/>
          <w:kern w:val="0"/>
          <w14:ligatures w14:val="none"/>
        </w:rPr>
        <w:t xml:space="preserve">, should be considered. The positive predictive value was </w:t>
      </w:r>
      <w:r w:rsidRPr="0075027B">
        <w:rPr>
          <w:rFonts w:ascii="Calibri" w:hAnsi="Calibri" w:cs="Calibri"/>
          <w:kern w:val="0"/>
          <w:vertAlign w:val="superscript"/>
          <w14:ligatures w14:val="none"/>
        </w:rPr>
        <w:t>83</w:t>
      </w:r>
      <w:r>
        <w:rPr>
          <w:rFonts w:ascii="Calibri" w:hAnsi="Calibri" w:cs="Calibri"/>
          <w:kern w:val="0"/>
          <w14:ligatures w14:val="none"/>
        </w:rPr>
        <w:t xml:space="preserve"> percent </w:t>
      </w:r>
      <w:r w:rsidRPr="00D073E1">
        <w:rPr>
          <w:rFonts w:ascii="Calibri" w:hAnsi="Calibri" w:cs="Calibri"/>
          <w:kern w:val="0"/>
          <w14:ligatures w14:val="none"/>
        </w:rPr>
        <w:t xml:space="preserve">for </w:t>
      </w:r>
      <w:r>
        <w:rPr>
          <w:rFonts w:ascii="Calibri" w:hAnsi="Calibri" w:cs="Calibri"/>
          <w:kern w:val="0"/>
          <w14:ligatures w14:val="none"/>
        </w:rPr>
        <w:t>PET/CT</w:t>
      </w:r>
      <w:r w:rsidRPr="00D073E1">
        <w:rPr>
          <w:rFonts w:ascii="Calibri" w:hAnsi="Calibri" w:cs="Calibri"/>
          <w:kern w:val="0"/>
          <w14:ligatures w14:val="none"/>
        </w:rPr>
        <w:t xml:space="preserve"> but only </w:t>
      </w:r>
      <w:r w:rsidRPr="0075027B">
        <w:rPr>
          <w:rFonts w:ascii="Calibri" w:hAnsi="Calibri" w:cs="Calibri"/>
          <w:kern w:val="0"/>
          <w:vertAlign w:val="superscript"/>
          <w14:ligatures w14:val="none"/>
        </w:rPr>
        <w:t>54</w:t>
      </w:r>
      <w:r>
        <w:rPr>
          <w:rFonts w:ascii="Calibri" w:hAnsi="Calibri" w:cs="Calibri"/>
          <w:kern w:val="0"/>
          <w14:ligatures w14:val="none"/>
        </w:rPr>
        <w:t xml:space="preserve"> percent</w:t>
      </w:r>
      <w:r w:rsidRPr="00D073E1">
        <w:rPr>
          <w:rFonts w:ascii="Calibri" w:hAnsi="Calibri" w:cs="Calibri"/>
          <w:kern w:val="0"/>
          <w14:ligatures w14:val="none"/>
        </w:rPr>
        <w:t xml:space="preserve"> for CT.</w:t>
      </w:r>
      <w:r w:rsidRPr="00D073E1">
        <w:rPr>
          <w:rFonts w:ascii="Calibri" w:hAnsi="Calibri" w:cs="Calibri"/>
          <w:kern w:val="0"/>
          <w:vertAlign w:val="superscript"/>
          <w14:ligatures w14:val="none"/>
        </w:rPr>
        <w:footnoteReference w:id="92"/>
      </w:r>
      <w:r w:rsidRPr="00D073E1">
        <w:rPr>
          <w:rFonts w:ascii="Calibri" w:hAnsi="Calibri" w:cs="Calibri"/>
          <w:kern w:val="0"/>
          <w14:ligatures w14:val="none"/>
        </w:rPr>
        <w:t xml:space="preserve"> </w:t>
      </w:r>
      <w:r w:rsidRPr="00D073E1">
        <w:rPr>
          <w:rFonts w:ascii="Calibri" w:hAnsi="Calibri" w:cs="Calibri"/>
          <w:kern w:val="0"/>
          <w14:ligatures w14:val="none"/>
        </w:rPr>
        <w:lastRenderedPageBreak/>
        <w:t xml:space="preserve">In addition, in the subgroups in which the initial imaging modality showed a suggestion of malignant disease, there was a significantly longer time to final diagnosis in the CT group than in the </w:t>
      </w:r>
      <w:r>
        <w:rPr>
          <w:rFonts w:ascii="Calibri" w:hAnsi="Calibri" w:cs="Calibri"/>
          <w:kern w:val="0"/>
          <w14:ligatures w14:val="none"/>
        </w:rPr>
        <w:t>PET/CT</w:t>
      </w:r>
      <w:r w:rsidRPr="00D073E1">
        <w:rPr>
          <w:rFonts w:ascii="Calibri" w:hAnsi="Calibri" w:cs="Calibri"/>
          <w:kern w:val="0"/>
          <w14:ligatures w14:val="none"/>
        </w:rPr>
        <w:t xml:space="preserve"> group.</w:t>
      </w:r>
      <w:r w:rsidRPr="00D073E1">
        <w:rPr>
          <w:rFonts w:ascii="Calibri" w:hAnsi="Calibri" w:cs="Calibri"/>
          <w:kern w:val="0"/>
          <w:vertAlign w:val="superscript"/>
          <w14:ligatures w14:val="none"/>
        </w:rPr>
        <w:footnoteReference w:id="93"/>
      </w:r>
      <w:r w:rsidRPr="00D073E1">
        <w:rPr>
          <w:rFonts w:ascii="Calibri" w:hAnsi="Calibri" w:cs="Calibri"/>
          <w:kern w:val="0"/>
          <w14:ligatures w14:val="none"/>
        </w:rPr>
        <w:t xml:space="preserve"> This study strongly suggests that </w:t>
      </w:r>
      <w:r>
        <w:rPr>
          <w:rFonts w:ascii="Calibri" w:hAnsi="Calibri" w:cs="Calibri"/>
          <w:kern w:val="0"/>
          <w14:ligatures w14:val="none"/>
        </w:rPr>
        <w:t>PET/CT</w:t>
      </w:r>
      <w:r w:rsidRPr="00D073E1">
        <w:rPr>
          <w:rFonts w:ascii="Calibri" w:hAnsi="Calibri" w:cs="Calibri"/>
          <w:kern w:val="0"/>
          <w14:ligatures w14:val="none"/>
        </w:rPr>
        <w:t xml:space="preserve"> can support patients receiving the proper diagnosis in less time, which allows clinicians to focus their energies </w:t>
      </w:r>
      <w:r>
        <w:rPr>
          <w:rFonts w:ascii="Calibri" w:hAnsi="Calibri" w:cs="Calibri"/>
          <w:kern w:val="0"/>
          <w14:ligatures w14:val="none"/>
        </w:rPr>
        <w:t>on</w:t>
      </w:r>
      <w:r w:rsidRPr="00D073E1">
        <w:rPr>
          <w:rFonts w:ascii="Calibri" w:hAnsi="Calibri" w:cs="Calibri"/>
          <w:kern w:val="0"/>
          <w14:ligatures w14:val="none"/>
        </w:rPr>
        <w:t xml:space="preserve"> treatment and recovery.  </w:t>
      </w:r>
    </w:p>
    <w:p w14:paraId="5B77B7D4" w14:textId="77777777" w:rsidR="000853B0" w:rsidRDefault="000853B0" w:rsidP="000853B0">
      <w:pPr>
        <w:ind w:left="720"/>
        <w:contextualSpacing/>
        <w:jc w:val="both"/>
        <w:rPr>
          <w:rFonts w:ascii="Calibri" w:hAnsi="Calibri" w:cs="Calibri"/>
          <w:kern w:val="0"/>
          <w14:ligatures w14:val="none"/>
        </w:rPr>
      </w:pPr>
    </w:p>
    <w:p w14:paraId="74F2BF72" w14:textId="27CD391E" w:rsidR="00A632E9" w:rsidRPr="000853B0" w:rsidRDefault="00A632E9" w:rsidP="000853B0">
      <w:pPr>
        <w:ind w:left="720"/>
        <w:contextualSpacing/>
        <w:jc w:val="both"/>
        <w:rPr>
          <w:rFonts w:ascii="Calibri" w:hAnsi="Calibri" w:cs="Calibri"/>
          <w:kern w:val="0"/>
          <w14:ligatures w14:val="none"/>
        </w:rPr>
      </w:pPr>
      <w:r w:rsidRPr="000853B0">
        <w:rPr>
          <w:bCs/>
          <w:kern w:val="0"/>
          <w14:ligatures w14:val="none"/>
        </w:rPr>
        <w:t>Moreover, medical care delay</w:t>
      </w:r>
      <w:r w:rsidR="000325FC">
        <w:rPr>
          <w:rStyle w:val="FootnoteReference"/>
          <w:bCs/>
          <w:kern w:val="0"/>
          <w14:ligatures w14:val="none"/>
        </w:rPr>
        <w:footnoteReference w:id="94"/>
      </w:r>
      <w:r w:rsidRPr="000853B0">
        <w:rPr>
          <w:bCs/>
          <w:kern w:val="0"/>
          <w14:ligatures w14:val="none"/>
        </w:rPr>
        <w:t xml:space="preserve"> may well increase morbidity and mortality risk associated with treatable and preventable health conditions and might contribute to reported excess </w:t>
      </w:r>
      <w:r w:rsidR="00AB3E49">
        <w:rPr>
          <w:bCs/>
          <w:kern w:val="0"/>
          <w14:ligatures w14:val="none"/>
        </w:rPr>
        <w:t>deaths</w:t>
      </w:r>
      <w:r w:rsidRPr="000853B0">
        <w:rPr>
          <w:bCs/>
          <w:kern w:val="0"/>
          <w14:ligatures w14:val="none"/>
        </w:rPr>
        <w:t>, according to the Centers for Disease Control and Prevention (“CDC”).</w:t>
      </w:r>
      <w:r w:rsidRPr="00D073E1">
        <w:rPr>
          <w:vertAlign w:val="superscript"/>
        </w:rPr>
        <w:footnoteReference w:id="95"/>
      </w:r>
      <w:r w:rsidRPr="000853B0">
        <w:rPr>
          <w:bCs/>
          <w:kern w:val="0"/>
          <w14:ligatures w14:val="none"/>
        </w:rPr>
        <w:t xml:space="preserve"> Overall, an estimated 40.9 percent of U.S. adults have avoided medical care during the pandemic because of concerns about COVID-19, including 12</w:t>
      </w:r>
      <w:r w:rsidR="009E4191" w:rsidRPr="000853B0">
        <w:rPr>
          <w:bCs/>
          <w:kern w:val="0"/>
          <w14:ligatures w14:val="none"/>
        </w:rPr>
        <w:t xml:space="preserve"> </w:t>
      </w:r>
      <w:r w:rsidRPr="000853B0">
        <w:rPr>
          <w:bCs/>
          <w:kern w:val="0"/>
          <w14:ligatures w14:val="none"/>
        </w:rPr>
        <w:t>percent who avoided urgent or emergency care and 31.5</w:t>
      </w:r>
      <w:r w:rsidR="009E4191" w:rsidRPr="000853B0">
        <w:rPr>
          <w:bCs/>
          <w:kern w:val="0"/>
          <w14:ligatures w14:val="none"/>
        </w:rPr>
        <w:t xml:space="preserve"> </w:t>
      </w:r>
      <w:r w:rsidRPr="000853B0">
        <w:rPr>
          <w:bCs/>
          <w:kern w:val="0"/>
          <w14:ligatures w14:val="none"/>
        </w:rPr>
        <w:t>percent who avoided routine care.</w:t>
      </w:r>
      <w:r w:rsidRPr="00D073E1">
        <w:rPr>
          <w:vertAlign w:val="superscript"/>
        </w:rPr>
        <w:footnoteReference w:id="96"/>
      </w:r>
      <w:r w:rsidRPr="000853B0">
        <w:rPr>
          <w:bCs/>
          <w:kern w:val="0"/>
          <w14:ligatures w14:val="none"/>
        </w:rPr>
        <w:t xml:space="preserve"> Cancer screening is considered routine care for individuals starting as early as age 25.</w:t>
      </w:r>
      <w:r w:rsidRPr="00D073E1">
        <w:rPr>
          <w:vertAlign w:val="superscript"/>
        </w:rPr>
        <w:footnoteReference w:id="97"/>
      </w:r>
      <w:r w:rsidRPr="000853B0">
        <w:rPr>
          <w:bCs/>
          <w:kern w:val="0"/>
          <w14:ligatures w14:val="none"/>
        </w:rPr>
        <w:t xml:space="preserve">  </w:t>
      </w:r>
      <w:r w:rsidR="005D7DDD">
        <w:rPr>
          <w:bCs/>
          <w:kern w:val="0"/>
          <w14:ligatures w14:val="none"/>
        </w:rPr>
        <w:t xml:space="preserve">Additionally, the </w:t>
      </w:r>
      <w:r w:rsidRPr="000853B0">
        <w:rPr>
          <w:bCs/>
          <w:kern w:val="0"/>
          <w14:ligatures w14:val="none"/>
        </w:rPr>
        <w:t>CDC supports screening for breast, cervical, colorectal (colon), and lung cancers as recommended by the U.S. Preventive Services Task Force.</w:t>
      </w:r>
      <w:r w:rsidRPr="00D073E1">
        <w:rPr>
          <w:vertAlign w:val="superscript"/>
        </w:rPr>
        <w:footnoteReference w:id="98"/>
      </w:r>
    </w:p>
    <w:p w14:paraId="1EEC629F" w14:textId="4BCC9C32" w:rsidR="000853B0" w:rsidRPr="000853B0" w:rsidRDefault="000853B0" w:rsidP="000853B0">
      <w:pPr>
        <w:pStyle w:val="ListParagraph"/>
        <w:rPr>
          <w:bCs/>
          <w:kern w:val="0"/>
          <w14:ligatures w14:val="none"/>
        </w:rPr>
      </w:pPr>
      <w:r w:rsidRPr="000853B0">
        <w:rPr>
          <w:bCs/>
          <w:kern w:val="0"/>
          <w14:ligatures w14:val="none"/>
        </w:rPr>
        <w:t xml:space="preserve">PET/CT as a modality </w:t>
      </w:r>
      <w:r w:rsidR="005C0ADE">
        <w:rPr>
          <w:bCs/>
          <w:kern w:val="0"/>
          <w14:ligatures w14:val="none"/>
        </w:rPr>
        <w:t xml:space="preserve">also </w:t>
      </w:r>
      <w:r w:rsidRPr="000853B0">
        <w:rPr>
          <w:bCs/>
          <w:kern w:val="0"/>
          <w14:ligatures w14:val="none"/>
        </w:rPr>
        <w:t>has the potential to increase a patient’s quality-adjusted life years (QALYs) and reduce the cost burden over time to the healthcare system by identifying the most appropriate treatment.</w:t>
      </w:r>
      <w:r w:rsidRPr="000853B0">
        <w:rPr>
          <w:bCs/>
          <w:kern w:val="0"/>
          <w:vertAlign w:val="superscript"/>
          <w14:ligatures w14:val="none"/>
        </w:rPr>
        <w:footnoteReference w:id="99"/>
      </w:r>
    </w:p>
    <w:p w14:paraId="0E2CB791" w14:textId="77777777" w:rsidR="006911C3" w:rsidRDefault="006911C3" w:rsidP="00A632E9">
      <w:pPr>
        <w:ind w:left="720"/>
        <w:contextualSpacing/>
        <w:rPr>
          <w:bCs/>
          <w:kern w:val="0"/>
          <w14:ligatures w14:val="none"/>
        </w:rPr>
      </w:pPr>
    </w:p>
    <w:p w14:paraId="73F3D7F0" w14:textId="33D8358F" w:rsidR="00A632E9" w:rsidRPr="00D073E1" w:rsidRDefault="00A632E9" w:rsidP="00A632E9">
      <w:pPr>
        <w:numPr>
          <w:ilvl w:val="0"/>
          <w:numId w:val="3"/>
        </w:numPr>
        <w:contextualSpacing/>
        <w:rPr>
          <w:b/>
          <w:kern w:val="0"/>
          <w14:ligatures w14:val="none"/>
        </w:rPr>
      </w:pPr>
      <w:r>
        <w:rPr>
          <w:b/>
          <w:kern w:val="0"/>
          <w14:ligatures w14:val="none"/>
        </w:rPr>
        <w:t>PET/CT</w:t>
      </w:r>
      <w:r w:rsidRPr="00D073E1">
        <w:rPr>
          <w:b/>
          <w:kern w:val="0"/>
          <w14:ligatures w14:val="none"/>
        </w:rPr>
        <w:t xml:space="preserve"> as a Clinical Modality for Oncologic</w:t>
      </w:r>
      <w:r w:rsidR="0016352F">
        <w:rPr>
          <w:b/>
          <w:kern w:val="0"/>
          <w14:ligatures w14:val="none"/>
        </w:rPr>
        <w:t xml:space="preserve">, </w:t>
      </w:r>
      <w:r w:rsidRPr="00D073E1">
        <w:rPr>
          <w:b/>
          <w:kern w:val="0"/>
          <w14:ligatures w14:val="none"/>
        </w:rPr>
        <w:t>Cardiac</w:t>
      </w:r>
      <w:r w:rsidR="0016352F">
        <w:rPr>
          <w:b/>
          <w:kern w:val="0"/>
          <w14:ligatures w14:val="none"/>
        </w:rPr>
        <w:t>, and Neurologic</w:t>
      </w:r>
      <w:r w:rsidRPr="00D073E1">
        <w:rPr>
          <w:b/>
          <w:kern w:val="0"/>
          <w14:ligatures w14:val="none"/>
        </w:rPr>
        <w:t xml:space="preserve"> Conditions </w:t>
      </w:r>
    </w:p>
    <w:p w14:paraId="34634122" w14:textId="77777777" w:rsidR="0007528F" w:rsidRDefault="0007528F" w:rsidP="00A632E9">
      <w:pPr>
        <w:ind w:left="720"/>
        <w:contextualSpacing/>
        <w:rPr>
          <w:bCs/>
          <w:kern w:val="0"/>
          <w:u w:val="single"/>
          <w14:ligatures w14:val="none"/>
        </w:rPr>
      </w:pPr>
    </w:p>
    <w:p w14:paraId="37099751" w14:textId="230214B6" w:rsidR="00A632E9" w:rsidRPr="00D073E1" w:rsidRDefault="00AB3E49" w:rsidP="00A632E9">
      <w:pPr>
        <w:ind w:left="720"/>
        <w:contextualSpacing/>
        <w:rPr>
          <w:bCs/>
          <w:kern w:val="0"/>
          <w:u w:val="single"/>
          <w14:ligatures w14:val="none"/>
        </w:rPr>
      </w:pPr>
      <w:r>
        <w:rPr>
          <w:bCs/>
          <w:kern w:val="0"/>
          <w:u w:val="single"/>
          <w14:ligatures w14:val="none"/>
        </w:rPr>
        <w:t xml:space="preserve">PET/CT as a Clinical Modality for </w:t>
      </w:r>
      <w:r w:rsidR="00A632E9" w:rsidRPr="00D073E1">
        <w:rPr>
          <w:bCs/>
          <w:kern w:val="0"/>
          <w:u w:val="single"/>
          <w14:ligatures w14:val="none"/>
        </w:rPr>
        <w:t>Oncologic Conditions</w:t>
      </w:r>
    </w:p>
    <w:p w14:paraId="05FEE18F" w14:textId="77777777" w:rsidR="00A632E9" w:rsidRPr="00D073E1" w:rsidRDefault="00A632E9" w:rsidP="00A632E9">
      <w:pPr>
        <w:ind w:left="720"/>
        <w:contextualSpacing/>
        <w:rPr>
          <w:bCs/>
          <w:kern w:val="0"/>
          <w14:ligatures w14:val="none"/>
        </w:rPr>
      </w:pPr>
    </w:p>
    <w:p w14:paraId="3E12D4DE" w14:textId="77777777" w:rsidR="00115ED6" w:rsidRDefault="00A632E9" w:rsidP="00115ED6">
      <w:pPr>
        <w:ind w:left="720"/>
        <w:contextualSpacing/>
        <w:jc w:val="both"/>
        <w:rPr>
          <w:bCs/>
          <w:kern w:val="0"/>
          <w14:ligatures w14:val="none"/>
        </w:rPr>
      </w:pPr>
      <w:r w:rsidRPr="00D073E1">
        <w:rPr>
          <w:bCs/>
          <w:kern w:val="0"/>
          <w14:ligatures w14:val="none"/>
        </w:rPr>
        <w:t>Cancer studies have shown that early detection yields better outcomes for patients – and diagnostic imaging plays an essential role.</w:t>
      </w:r>
      <w:r w:rsidRPr="00D073E1">
        <w:rPr>
          <w:bCs/>
          <w:kern w:val="0"/>
          <w:vertAlign w:val="superscript"/>
          <w14:ligatures w14:val="none"/>
        </w:rPr>
        <w:footnoteReference w:id="100"/>
      </w:r>
      <w:r w:rsidRPr="00D073E1">
        <w:rPr>
          <w:bCs/>
          <w:kern w:val="0"/>
          <w14:ligatures w14:val="none"/>
        </w:rPr>
        <w:t xml:space="preserve">  Studies have shown that </w:t>
      </w:r>
      <w:r>
        <w:rPr>
          <w:bCs/>
          <w:kern w:val="0"/>
          <w14:ligatures w14:val="none"/>
        </w:rPr>
        <w:t>PET/CT</w:t>
      </w:r>
      <w:r w:rsidRPr="00D073E1">
        <w:rPr>
          <w:bCs/>
          <w:kern w:val="0"/>
          <w14:ligatures w14:val="none"/>
        </w:rPr>
        <w:t xml:space="preserve"> has become an established nuclear imaging modality that has proved especially useful in oncology.</w:t>
      </w:r>
      <w:r w:rsidRPr="00D073E1">
        <w:rPr>
          <w:bCs/>
          <w:kern w:val="0"/>
          <w:vertAlign w:val="superscript"/>
          <w14:ligatures w14:val="none"/>
        </w:rPr>
        <w:footnoteReference w:id="101"/>
      </w:r>
      <w:r w:rsidRPr="00D073E1">
        <w:rPr>
          <w:bCs/>
          <w:kern w:val="0"/>
          <w14:ligatures w14:val="none"/>
        </w:rPr>
        <w:t xml:space="preserve"> Major clinical advantages of </w:t>
      </w:r>
      <w:r>
        <w:rPr>
          <w:bCs/>
          <w:kern w:val="0"/>
          <w14:ligatures w14:val="none"/>
        </w:rPr>
        <w:t>PET/CT</w:t>
      </w:r>
      <w:r w:rsidRPr="00D073E1">
        <w:rPr>
          <w:bCs/>
          <w:kern w:val="0"/>
          <w14:ligatures w14:val="none"/>
        </w:rPr>
        <w:t xml:space="preserve"> include better localization of activity to normal vs. abnormal structures, better identification of inflammatory lesions, discovery of serendipitous </w:t>
      </w:r>
      <w:r w:rsidRPr="00D073E1">
        <w:rPr>
          <w:bCs/>
          <w:kern w:val="0"/>
          <w14:ligatures w14:val="none"/>
        </w:rPr>
        <w:lastRenderedPageBreak/>
        <w:t>abnormalities, confirmation of unusual or abnormal sites, and improved localization for biopsy or radiotherapy.  Studies to date typically have shown a 4</w:t>
      </w:r>
      <w:r>
        <w:rPr>
          <w:bCs/>
          <w:kern w:val="0"/>
          <w14:ligatures w14:val="none"/>
        </w:rPr>
        <w:t xml:space="preserve"> percent</w:t>
      </w:r>
      <w:r w:rsidRPr="00D073E1">
        <w:rPr>
          <w:bCs/>
          <w:kern w:val="0"/>
          <w14:ligatures w14:val="none"/>
        </w:rPr>
        <w:t xml:space="preserve"> to 15</w:t>
      </w:r>
      <w:r>
        <w:rPr>
          <w:bCs/>
          <w:kern w:val="0"/>
          <w14:ligatures w14:val="none"/>
        </w:rPr>
        <w:t xml:space="preserve"> percent</w:t>
      </w:r>
      <w:r w:rsidRPr="00D073E1">
        <w:rPr>
          <w:bCs/>
          <w:kern w:val="0"/>
          <w14:ligatures w14:val="none"/>
        </w:rPr>
        <w:t xml:space="preserve"> improvement in </w:t>
      </w:r>
      <w:r>
        <w:rPr>
          <w:bCs/>
          <w:kern w:val="0"/>
          <w14:ligatures w14:val="none"/>
        </w:rPr>
        <w:t xml:space="preserve">the </w:t>
      </w:r>
      <w:r w:rsidRPr="00D073E1">
        <w:rPr>
          <w:bCs/>
          <w:kern w:val="0"/>
          <w14:ligatures w14:val="none"/>
        </w:rPr>
        <w:t>overall accuracy of staging/restaging and a 30</w:t>
      </w:r>
      <w:r>
        <w:rPr>
          <w:bCs/>
          <w:kern w:val="0"/>
          <w14:ligatures w14:val="none"/>
        </w:rPr>
        <w:t xml:space="preserve"> percent</w:t>
      </w:r>
      <w:r w:rsidRPr="00D073E1">
        <w:rPr>
          <w:bCs/>
          <w:kern w:val="0"/>
          <w14:ligatures w14:val="none"/>
        </w:rPr>
        <w:t xml:space="preserve"> to 50</w:t>
      </w:r>
      <w:r>
        <w:rPr>
          <w:bCs/>
          <w:kern w:val="0"/>
          <w14:ligatures w14:val="none"/>
        </w:rPr>
        <w:t xml:space="preserve"> percent</w:t>
      </w:r>
      <w:r w:rsidRPr="00D073E1">
        <w:rPr>
          <w:bCs/>
          <w:kern w:val="0"/>
          <w14:ligatures w14:val="none"/>
        </w:rPr>
        <w:t xml:space="preserve"> improvement in the confidence of lesion localization. </w:t>
      </w:r>
      <w:r>
        <w:rPr>
          <w:bCs/>
          <w:kern w:val="0"/>
          <w14:ligatures w14:val="none"/>
        </w:rPr>
        <w:t>PET/CT</w:t>
      </w:r>
      <w:r w:rsidRPr="00D073E1">
        <w:rPr>
          <w:bCs/>
          <w:kern w:val="0"/>
          <w14:ligatures w14:val="none"/>
        </w:rPr>
        <w:t xml:space="preserve"> has become the standard of imaging care for many oncology patients.</w:t>
      </w:r>
      <w:r w:rsidRPr="00D073E1">
        <w:rPr>
          <w:bCs/>
          <w:kern w:val="0"/>
          <w:vertAlign w:val="superscript"/>
          <w14:ligatures w14:val="none"/>
        </w:rPr>
        <w:footnoteReference w:id="102"/>
      </w:r>
    </w:p>
    <w:p w14:paraId="0F683841" w14:textId="77777777" w:rsidR="00B43106" w:rsidRDefault="00B43106" w:rsidP="00115ED6">
      <w:pPr>
        <w:ind w:left="720"/>
        <w:contextualSpacing/>
        <w:jc w:val="both"/>
        <w:rPr>
          <w:bCs/>
          <w:kern w:val="0"/>
          <w14:ligatures w14:val="none"/>
        </w:rPr>
      </w:pPr>
    </w:p>
    <w:p w14:paraId="682D86A9" w14:textId="77777777" w:rsidR="001531EF" w:rsidRDefault="00115ED6" w:rsidP="001531EF">
      <w:pPr>
        <w:ind w:left="720"/>
        <w:contextualSpacing/>
        <w:jc w:val="both"/>
        <w:rPr>
          <w:bCs/>
          <w:kern w:val="0"/>
          <w14:ligatures w14:val="none"/>
        </w:rPr>
      </w:pPr>
      <w:r>
        <w:rPr>
          <w:bCs/>
          <w:kern w:val="0"/>
          <w14:ligatures w14:val="none"/>
        </w:rPr>
        <w:t>PET/CT</w:t>
      </w:r>
      <w:r w:rsidRPr="00050846">
        <w:rPr>
          <w:bCs/>
          <w:kern w:val="0"/>
          <w14:ligatures w14:val="none"/>
        </w:rPr>
        <w:t xml:space="preserve"> has brought groundbreaking changes in improving cancer care</w:t>
      </w:r>
      <w:r>
        <w:rPr>
          <w:bCs/>
          <w:kern w:val="0"/>
          <w14:ligatures w14:val="none"/>
        </w:rPr>
        <w:t xml:space="preserve"> </w:t>
      </w:r>
      <w:r w:rsidRPr="00050846">
        <w:rPr>
          <w:bCs/>
          <w:kern w:val="0"/>
          <w14:ligatures w14:val="none"/>
        </w:rPr>
        <w:t xml:space="preserve">for patients. These include improved detection of previously unrecognizable disease, ability to identify oligometastatic status enabling more aggressive treatment strategies when the disease burden is lower, its use in </w:t>
      </w:r>
      <w:r>
        <w:rPr>
          <w:bCs/>
          <w:kern w:val="0"/>
          <w14:ligatures w14:val="none"/>
        </w:rPr>
        <w:t>better-defining</w:t>
      </w:r>
      <w:r w:rsidRPr="00050846">
        <w:rPr>
          <w:bCs/>
          <w:kern w:val="0"/>
          <w14:ligatures w14:val="none"/>
        </w:rPr>
        <w:t xml:space="preserve"> treatment targets in radiotherapy, ability to monitor treatment responses early and thus improve the ability for early interventions of non-responding tumors, and as a prognosticating tool as well as outcome predicting tool.</w:t>
      </w:r>
      <w:r>
        <w:rPr>
          <w:rStyle w:val="FootnoteReference"/>
          <w:bCs/>
          <w:kern w:val="0"/>
          <w14:ligatures w14:val="none"/>
        </w:rPr>
        <w:footnoteReference w:id="103"/>
      </w:r>
    </w:p>
    <w:p w14:paraId="08EEA931" w14:textId="77777777" w:rsidR="001531EF" w:rsidRDefault="001531EF" w:rsidP="001531EF">
      <w:pPr>
        <w:ind w:left="720"/>
        <w:contextualSpacing/>
        <w:jc w:val="both"/>
        <w:rPr>
          <w:bCs/>
          <w:kern w:val="0"/>
          <w14:ligatures w14:val="none"/>
        </w:rPr>
      </w:pPr>
    </w:p>
    <w:p w14:paraId="06870527" w14:textId="3593FA1B" w:rsidR="001531EF" w:rsidRPr="00153788" w:rsidRDefault="001531EF" w:rsidP="001531EF">
      <w:pPr>
        <w:ind w:left="720"/>
        <w:contextualSpacing/>
        <w:jc w:val="both"/>
        <w:rPr>
          <w:bCs/>
          <w:kern w:val="0"/>
          <w14:ligatures w14:val="none"/>
        </w:rPr>
      </w:pPr>
      <w:r>
        <w:rPr>
          <w:bCs/>
          <w:kern w:val="0"/>
          <w14:ligatures w14:val="none"/>
        </w:rPr>
        <w:t>T</w:t>
      </w:r>
      <w:r w:rsidRPr="00B014E1">
        <w:rPr>
          <w:bCs/>
          <w:kern w:val="0"/>
          <w14:ligatures w14:val="none"/>
        </w:rPr>
        <w:t>he management of cancer has evolved over the years to include many modalities of treatment such as surgery, chemotherapy</w:t>
      </w:r>
      <w:r>
        <w:rPr>
          <w:bCs/>
          <w:kern w:val="0"/>
          <w14:ligatures w14:val="none"/>
        </w:rPr>
        <w:t>,</w:t>
      </w:r>
      <w:r w:rsidRPr="00B014E1">
        <w:rPr>
          <w:bCs/>
          <w:kern w:val="0"/>
          <w14:ligatures w14:val="none"/>
        </w:rPr>
        <w:t xml:space="preserve"> and radiation therapy.</w:t>
      </w:r>
      <w:r>
        <w:rPr>
          <w:rStyle w:val="FootnoteReference"/>
          <w:bCs/>
          <w:kern w:val="0"/>
          <w14:ligatures w14:val="none"/>
        </w:rPr>
        <w:footnoteReference w:id="104"/>
      </w:r>
      <w:r w:rsidRPr="00B014E1">
        <w:rPr>
          <w:bCs/>
          <w:kern w:val="0"/>
          <w14:ligatures w14:val="none"/>
        </w:rPr>
        <w:t xml:space="preserve"> Proper management requires accurate diagnosis and evaluation of </w:t>
      </w:r>
      <w:r>
        <w:rPr>
          <w:bCs/>
          <w:kern w:val="0"/>
          <w14:ligatures w14:val="none"/>
        </w:rPr>
        <w:t xml:space="preserve">the </w:t>
      </w:r>
      <w:r w:rsidRPr="00B014E1">
        <w:rPr>
          <w:bCs/>
          <w:kern w:val="0"/>
          <w14:ligatures w14:val="none"/>
        </w:rPr>
        <w:t xml:space="preserve">spread of </w:t>
      </w:r>
      <w:r>
        <w:rPr>
          <w:bCs/>
          <w:kern w:val="0"/>
          <w14:ligatures w14:val="none"/>
        </w:rPr>
        <w:t xml:space="preserve">the </w:t>
      </w:r>
      <w:r w:rsidRPr="00B014E1">
        <w:rPr>
          <w:bCs/>
          <w:kern w:val="0"/>
          <w14:ligatures w14:val="none"/>
        </w:rPr>
        <w:t>tumor and the PET/CT scanner provides sophisticated imaging to assess the original tumor as well as metastatic disease.</w:t>
      </w:r>
      <w:r>
        <w:rPr>
          <w:rStyle w:val="FootnoteReference"/>
          <w:bCs/>
          <w:kern w:val="0"/>
          <w14:ligatures w14:val="none"/>
        </w:rPr>
        <w:footnoteReference w:id="105"/>
      </w:r>
    </w:p>
    <w:p w14:paraId="43D12CD1" w14:textId="77777777" w:rsidR="00AB3E49" w:rsidRDefault="00AB3E49" w:rsidP="00A632E9">
      <w:pPr>
        <w:ind w:left="720"/>
        <w:contextualSpacing/>
        <w:jc w:val="both"/>
        <w:rPr>
          <w:bCs/>
          <w:kern w:val="0"/>
          <w:u w:val="single"/>
          <w14:ligatures w14:val="none"/>
        </w:rPr>
      </w:pPr>
    </w:p>
    <w:p w14:paraId="5E2CA972" w14:textId="73C608D6" w:rsidR="00A632E9" w:rsidRPr="00D073E1" w:rsidRDefault="00AB3E49" w:rsidP="00A632E9">
      <w:pPr>
        <w:ind w:left="720"/>
        <w:contextualSpacing/>
        <w:jc w:val="both"/>
        <w:rPr>
          <w:bCs/>
          <w:kern w:val="0"/>
          <w:u w:val="single"/>
          <w14:ligatures w14:val="none"/>
        </w:rPr>
      </w:pPr>
      <w:r>
        <w:rPr>
          <w:bCs/>
          <w:kern w:val="0"/>
          <w:u w:val="single"/>
          <w14:ligatures w14:val="none"/>
        </w:rPr>
        <w:t xml:space="preserve">PET/CT as a Clinical Modality for </w:t>
      </w:r>
      <w:r w:rsidR="00A632E9" w:rsidRPr="00D073E1">
        <w:rPr>
          <w:bCs/>
          <w:kern w:val="0"/>
          <w:u w:val="single"/>
          <w14:ligatures w14:val="none"/>
        </w:rPr>
        <w:t xml:space="preserve">Cardiac Conditions </w:t>
      </w:r>
    </w:p>
    <w:p w14:paraId="1C4C901C" w14:textId="77777777" w:rsidR="00AC2FF8" w:rsidRDefault="00AC2FF8" w:rsidP="00A632E9">
      <w:pPr>
        <w:ind w:left="720"/>
        <w:contextualSpacing/>
        <w:jc w:val="both"/>
        <w:rPr>
          <w:bCs/>
          <w:kern w:val="0"/>
          <w14:ligatures w14:val="none"/>
        </w:rPr>
      </w:pPr>
    </w:p>
    <w:p w14:paraId="6C5958D4" w14:textId="6FFEC806" w:rsidR="00A632E9" w:rsidRDefault="00A632E9" w:rsidP="00A632E9">
      <w:pPr>
        <w:ind w:left="720"/>
        <w:contextualSpacing/>
        <w:jc w:val="both"/>
        <w:rPr>
          <w:bCs/>
          <w:kern w:val="0"/>
          <w14:ligatures w14:val="none"/>
        </w:rPr>
      </w:pPr>
      <w:r>
        <w:rPr>
          <w:bCs/>
          <w:kern w:val="0"/>
          <w14:ligatures w14:val="none"/>
        </w:rPr>
        <w:t>PET/CT</w:t>
      </w:r>
      <w:r w:rsidRPr="00D073E1">
        <w:rPr>
          <w:bCs/>
          <w:kern w:val="0"/>
          <w14:ligatures w14:val="none"/>
        </w:rPr>
        <w:t xml:space="preserve"> images of the heart provide comprehensive information to physicians, allowing for more enhanced management of cardiovascular disease, especially for ischemic heart disease.</w:t>
      </w:r>
      <w:r w:rsidRPr="00D073E1">
        <w:rPr>
          <w:bCs/>
          <w:kern w:val="0"/>
          <w:vertAlign w:val="superscript"/>
          <w14:ligatures w14:val="none"/>
        </w:rPr>
        <w:footnoteReference w:id="106"/>
      </w:r>
      <w:r w:rsidRPr="00D073E1">
        <w:rPr>
          <w:bCs/>
          <w:kern w:val="0"/>
          <w14:ligatures w14:val="none"/>
        </w:rPr>
        <w:t xml:space="preserve"> The ability </w:t>
      </w:r>
      <w:r>
        <w:rPr>
          <w:bCs/>
          <w:kern w:val="0"/>
          <w14:ligatures w14:val="none"/>
        </w:rPr>
        <w:t>of</w:t>
      </w:r>
      <w:r w:rsidRPr="00D073E1">
        <w:rPr>
          <w:bCs/>
          <w:kern w:val="0"/>
          <w14:ligatures w14:val="none"/>
        </w:rPr>
        <w:t xml:space="preserve"> the heart to recover naturally from ischemic damage decreases with age and makes older patients more susceptible to injury.</w:t>
      </w:r>
      <w:r w:rsidRPr="00D073E1">
        <w:rPr>
          <w:bCs/>
          <w:kern w:val="0"/>
          <w:vertAlign w:val="superscript"/>
          <w14:ligatures w14:val="none"/>
        </w:rPr>
        <w:footnoteReference w:id="107"/>
      </w:r>
      <w:r w:rsidRPr="00D073E1">
        <w:rPr>
          <w:bCs/>
          <w:kern w:val="0"/>
          <w14:ligatures w14:val="none"/>
        </w:rPr>
        <w:t xml:space="preserve"> Where traditional CT and PET scans have unique advantages in diagnosing coronary artery disease, a typical cause of ischemic heart disease, each </w:t>
      </w:r>
      <w:r>
        <w:rPr>
          <w:bCs/>
          <w:kern w:val="0"/>
          <w14:ligatures w14:val="none"/>
        </w:rPr>
        <w:t>has</w:t>
      </w:r>
      <w:r w:rsidRPr="00D073E1">
        <w:rPr>
          <w:bCs/>
          <w:kern w:val="0"/>
          <w14:ligatures w14:val="none"/>
        </w:rPr>
        <w:t xml:space="preserve"> </w:t>
      </w:r>
      <w:r>
        <w:rPr>
          <w:bCs/>
          <w:kern w:val="0"/>
          <w14:ligatures w14:val="none"/>
        </w:rPr>
        <w:t>its</w:t>
      </w:r>
      <w:r w:rsidRPr="00D073E1">
        <w:rPr>
          <w:bCs/>
          <w:kern w:val="0"/>
          <w14:ligatures w14:val="none"/>
        </w:rPr>
        <w:t xml:space="preserve"> downfalls and</w:t>
      </w:r>
      <w:r w:rsidR="00CD2306">
        <w:rPr>
          <w:bCs/>
          <w:kern w:val="0"/>
          <w14:ligatures w14:val="none"/>
        </w:rPr>
        <w:t xml:space="preserve"> may </w:t>
      </w:r>
      <w:r w:rsidRPr="00D073E1">
        <w:rPr>
          <w:bCs/>
          <w:kern w:val="0"/>
          <w14:ligatures w14:val="none"/>
        </w:rPr>
        <w:t>result in missed diagnoses or unnecessary</w:t>
      </w:r>
      <w:r w:rsidR="004504B0">
        <w:rPr>
          <w:bCs/>
          <w:kern w:val="0"/>
          <w14:ligatures w14:val="none"/>
        </w:rPr>
        <w:t xml:space="preserve"> [and costly]</w:t>
      </w:r>
      <w:r w:rsidRPr="00D073E1">
        <w:rPr>
          <w:bCs/>
          <w:kern w:val="0"/>
          <w14:ligatures w14:val="none"/>
        </w:rPr>
        <w:t xml:space="preserve"> invasive procedures. Combined </w:t>
      </w:r>
      <w:r>
        <w:rPr>
          <w:bCs/>
          <w:kern w:val="0"/>
          <w14:ligatures w14:val="none"/>
        </w:rPr>
        <w:t>PET/CT</w:t>
      </w:r>
      <w:r w:rsidRPr="00D073E1">
        <w:rPr>
          <w:bCs/>
          <w:kern w:val="0"/>
          <w14:ligatures w14:val="none"/>
        </w:rPr>
        <w:t xml:space="preserve"> imaging remains the only technique that yields sufficient information in one procedure to quickly provide all the necessary information for a physician to make a timely and proper medical decision.</w:t>
      </w:r>
      <w:r w:rsidRPr="00D073E1">
        <w:rPr>
          <w:bCs/>
          <w:kern w:val="0"/>
          <w:vertAlign w:val="superscript"/>
          <w14:ligatures w14:val="none"/>
        </w:rPr>
        <w:footnoteReference w:id="108"/>
      </w:r>
      <w:r w:rsidRPr="00D073E1">
        <w:rPr>
          <w:bCs/>
          <w:kern w:val="0"/>
          <w14:ligatures w14:val="none"/>
        </w:rPr>
        <w:t xml:space="preserve"> </w:t>
      </w:r>
    </w:p>
    <w:p w14:paraId="593AF67B" w14:textId="77777777" w:rsidR="00DB5D45" w:rsidRDefault="00DB5D45" w:rsidP="00A632E9">
      <w:pPr>
        <w:ind w:left="720"/>
        <w:contextualSpacing/>
        <w:jc w:val="both"/>
        <w:rPr>
          <w:bCs/>
          <w:kern w:val="0"/>
          <w14:ligatures w14:val="none"/>
        </w:rPr>
      </w:pPr>
    </w:p>
    <w:p w14:paraId="139089E7" w14:textId="0DC9928A" w:rsidR="00DB5D45" w:rsidRPr="00153788" w:rsidRDefault="00DB5D45" w:rsidP="00DB5D45">
      <w:pPr>
        <w:ind w:left="720"/>
        <w:contextualSpacing/>
        <w:jc w:val="both"/>
        <w:rPr>
          <w:bCs/>
          <w:kern w:val="0"/>
          <w14:ligatures w14:val="none"/>
        </w:rPr>
      </w:pPr>
      <w:r w:rsidRPr="008D2C71">
        <w:rPr>
          <w:bCs/>
          <w:kern w:val="0"/>
          <w14:ligatures w14:val="none"/>
        </w:rPr>
        <w:t xml:space="preserve">PET/CT provides a highly accurate assessment of obstructive </w:t>
      </w:r>
      <w:r>
        <w:rPr>
          <w:bCs/>
          <w:kern w:val="0"/>
          <w14:ligatures w14:val="none"/>
        </w:rPr>
        <w:t>coronary artery disease (“</w:t>
      </w:r>
      <w:r w:rsidRPr="008D2C71">
        <w:rPr>
          <w:bCs/>
          <w:kern w:val="0"/>
          <w14:ligatures w14:val="none"/>
        </w:rPr>
        <w:t>CAD</w:t>
      </w:r>
      <w:r>
        <w:rPr>
          <w:bCs/>
          <w:kern w:val="0"/>
          <w14:ligatures w14:val="none"/>
        </w:rPr>
        <w:t>”)</w:t>
      </w:r>
      <w:r w:rsidRPr="008D2C71">
        <w:rPr>
          <w:bCs/>
          <w:kern w:val="0"/>
          <w14:ligatures w14:val="none"/>
        </w:rPr>
        <w:t>.</w:t>
      </w:r>
      <w:r>
        <w:rPr>
          <w:rStyle w:val="FootnoteReference"/>
          <w:bCs/>
          <w:kern w:val="0"/>
          <w14:ligatures w14:val="none"/>
        </w:rPr>
        <w:footnoteReference w:id="109"/>
      </w:r>
      <w:r w:rsidRPr="008D2C71">
        <w:rPr>
          <w:bCs/>
          <w:kern w:val="0"/>
          <w14:ligatures w14:val="none"/>
        </w:rPr>
        <w:t xml:space="preserve"> </w:t>
      </w:r>
      <w:r w:rsidR="00CD2306">
        <w:rPr>
          <w:bCs/>
          <w:kern w:val="0"/>
          <w14:ligatures w14:val="none"/>
        </w:rPr>
        <w:t>Importantly, n</w:t>
      </w:r>
      <w:r>
        <w:rPr>
          <w:bCs/>
          <w:kern w:val="0"/>
          <w14:ligatures w14:val="none"/>
        </w:rPr>
        <w:t>oninvasive</w:t>
      </w:r>
      <w:r w:rsidRPr="00C83316">
        <w:rPr>
          <w:bCs/>
          <w:kern w:val="0"/>
          <w14:ligatures w14:val="none"/>
        </w:rPr>
        <w:t xml:space="preserve"> imaging plays a pivotal role in assessing coronary artery anatomy, </w:t>
      </w:r>
      <w:r w:rsidRPr="00C83316">
        <w:rPr>
          <w:bCs/>
          <w:kern w:val="0"/>
          <w14:ligatures w14:val="none"/>
        </w:rPr>
        <w:lastRenderedPageBreak/>
        <w:t>myocardial perfusion, and ventricular function in patients with known or suspected cardiovascular diseases.</w:t>
      </w:r>
      <w:r>
        <w:rPr>
          <w:rStyle w:val="FootnoteReference"/>
          <w:bCs/>
          <w:kern w:val="0"/>
          <w14:ligatures w14:val="none"/>
        </w:rPr>
        <w:footnoteReference w:id="110"/>
      </w:r>
      <w:r>
        <w:rPr>
          <w:bCs/>
          <w:kern w:val="0"/>
          <w14:ligatures w14:val="none"/>
        </w:rPr>
        <w:t xml:space="preserve"> </w:t>
      </w:r>
    </w:p>
    <w:p w14:paraId="77F72D17" w14:textId="77777777" w:rsidR="004504B0" w:rsidRDefault="004504B0" w:rsidP="00A632E9">
      <w:pPr>
        <w:ind w:left="720"/>
        <w:contextualSpacing/>
        <w:jc w:val="both"/>
        <w:rPr>
          <w:bCs/>
          <w:kern w:val="0"/>
          <w14:ligatures w14:val="none"/>
        </w:rPr>
      </w:pPr>
    </w:p>
    <w:p w14:paraId="4C790456" w14:textId="23A12438" w:rsidR="00A632E9" w:rsidRPr="00D073E1" w:rsidRDefault="00A632E9" w:rsidP="00A632E9">
      <w:pPr>
        <w:ind w:left="720"/>
        <w:contextualSpacing/>
        <w:jc w:val="both"/>
        <w:rPr>
          <w:bCs/>
          <w:kern w:val="0"/>
          <w14:ligatures w14:val="none"/>
        </w:rPr>
      </w:pPr>
      <w:r w:rsidRPr="00D073E1">
        <w:rPr>
          <w:bCs/>
          <w:kern w:val="0"/>
          <w14:ligatures w14:val="none"/>
        </w:rPr>
        <w:t xml:space="preserve">In addition, the applications of </w:t>
      </w:r>
      <w:r>
        <w:rPr>
          <w:bCs/>
          <w:kern w:val="0"/>
          <w14:ligatures w14:val="none"/>
        </w:rPr>
        <w:t>PET/CT</w:t>
      </w:r>
      <w:r w:rsidRPr="00D073E1">
        <w:rPr>
          <w:bCs/>
          <w:kern w:val="0"/>
          <w14:ligatures w14:val="none"/>
        </w:rPr>
        <w:t xml:space="preserve"> are expanding, and its uses are being employed for assessing patients with cardiac pathology. In the heart, free fatty acid and glucose are major energy sources, however</w:t>
      </w:r>
      <w:r>
        <w:rPr>
          <w:bCs/>
          <w:kern w:val="0"/>
          <w14:ligatures w14:val="none"/>
        </w:rPr>
        <w:t>,</w:t>
      </w:r>
      <w:r w:rsidRPr="00D073E1">
        <w:rPr>
          <w:bCs/>
          <w:kern w:val="0"/>
          <w14:ligatures w14:val="none"/>
        </w:rPr>
        <w:t xml:space="preserve"> when there is a blockage of blood flow such as in a patient with myocardial ischemia, there is a metabolic change that occurs so that a new energy source is found usually in a process known as anaerobic glycolysis.</w:t>
      </w:r>
      <w:r w:rsidRPr="00D073E1">
        <w:rPr>
          <w:bCs/>
          <w:kern w:val="0"/>
          <w:vertAlign w:val="superscript"/>
          <w14:ligatures w14:val="none"/>
        </w:rPr>
        <w:footnoteReference w:id="111"/>
      </w:r>
      <w:r w:rsidRPr="00D073E1">
        <w:rPr>
          <w:bCs/>
          <w:kern w:val="0"/>
          <w14:ligatures w14:val="none"/>
        </w:rPr>
        <w:t xml:space="preserve">  These metabolic changes can be detected by PET/CT scans and evaluations of them can provide information regarding the functionality of the myocardium (the muscular layer of the heart), which can provide important data for surgery such as heart transplantation.</w:t>
      </w:r>
      <w:r w:rsidRPr="00D073E1">
        <w:rPr>
          <w:bCs/>
          <w:kern w:val="0"/>
          <w:vertAlign w:val="superscript"/>
          <w14:ligatures w14:val="none"/>
        </w:rPr>
        <w:footnoteReference w:id="112"/>
      </w:r>
      <w:r w:rsidRPr="00D073E1">
        <w:rPr>
          <w:bCs/>
          <w:kern w:val="0"/>
          <w14:ligatures w14:val="none"/>
        </w:rPr>
        <w:t xml:space="preserve">  There are many viability tests and noninvasive </w:t>
      </w:r>
      <w:r>
        <w:rPr>
          <w:bCs/>
          <w:kern w:val="0"/>
          <w14:ligatures w14:val="none"/>
        </w:rPr>
        <w:t>assessments</w:t>
      </w:r>
      <w:r w:rsidRPr="00D073E1">
        <w:rPr>
          <w:bCs/>
          <w:kern w:val="0"/>
          <w14:ligatures w14:val="none"/>
        </w:rPr>
        <w:t xml:space="preserve"> of cardiac glucose use, however</w:t>
      </w:r>
      <w:r w:rsidR="000E1CC2">
        <w:rPr>
          <w:bCs/>
          <w:kern w:val="0"/>
          <w14:ligatures w14:val="none"/>
        </w:rPr>
        <w:t>,</w:t>
      </w:r>
      <w:r w:rsidRPr="00D073E1">
        <w:rPr>
          <w:bCs/>
          <w:kern w:val="0"/>
          <w14:ligatures w14:val="none"/>
        </w:rPr>
        <w:t xml:space="preserve"> the </w:t>
      </w:r>
      <w:r>
        <w:rPr>
          <w:bCs/>
          <w:kern w:val="0"/>
          <w14:ligatures w14:val="none"/>
        </w:rPr>
        <w:t>PET/CT</w:t>
      </w:r>
      <w:r w:rsidRPr="00D073E1">
        <w:rPr>
          <w:bCs/>
          <w:kern w:val="0"/>
          <w14:ligatures w14:val="none"/>
        </w:rPr>
        <w:t xml:space="preserve"> scan is considered the most accurate technique for detecting viable myocardial tissue.</w:t>
      </w:r>
      <w:r w:rsidRPr="00D073E1">
        <w:rPr>
          <w:bCs/>
          <w:kern w:val="0"/>
          <w:vertAlign w:val="superscript"/>
          <w14:ligatures w14:val="none"/>
        </w:rPr>
        <w:footnoteReference w:id="113"/>
      </w:r>
      <w:r w:rsidRPr="00D073E1">
        <w:rPr>
          <w:bCs/>
          <w:kern w:val="0"/>
          <w14:ligatures w14:val="none"/>
        </w:rPr>
        <w:t xml:space="preserve"> </w:t>
      </w:r>
    </w:p>
    <w:p w14:paraId="59A83533" w14:textId="77777777" w:rsidR="00A632E9" w:rsidRPr="00D073E1" w:rsidRDefault="00A632E9" w:rsidP="00A632E9">
      <w:pPr>
        <w:ind w:left="720"/>
        <w:contextualSpacing/>
        <w:jc w:val="both"/>
        <w:rPr>
          <w:bCs/>
          <w:kern w:val="0"/>
          <w14:ligatures w14:val="none"/>
        </w:rPr>
      </w:pPr>
    </w:p>
    <w:p w14:paraId="250DDD31" w14:textId="025D3B40" w:rsidR="00A632E9" w:rsidRPr="00D073E1" w:rsidRDefault="00A632E9" w:rsidP="00A632E9">
      <w:pPr>
        <w:ind w:left="720"/>
        <w:contextualSpacing/>
        <w:jc w:val="both"/>
        <w:rPr>
          <w:bCs/>
          <w:kern w:val="0"/>
          <w14:ligatures w14:val="none"/>
        </w:rPr>
      </w:pPr>
      <w:r w:rsidRPr="00D073E1">
        <w:rPr>
          <w:bCs/>
          <w:kern w:val="0"/>
          <w14:ligatures w14:val="none"/>
        </w:rPr>
        <w:t xml:space="preserve">Aside from its ability to assess cardiac glucose use, </w:t>
      </w:r>
      <w:r>
        <w:rPr>
          <w:bCs/>
          <w:kern w:val="0"/>
          <w14:ligatures w14:val="none"/>
        </w:rPr>
        <w:t>PET/CT</w:t>
      </w:r>
      <w:r w:rsidRPr="00D073E1">
        <w:rPr>
          <w:bCs/>
          <w:kern w:val="0"/>
          <w14:ligatures w14:val="none"/>
        </w:rPr>
        <w:t xml:space="preserve"> can be used to determine overall left ventricular function and calculate important cardiac function data including end-diastolic volume (EDV), end-systolic volume (ESV)</w:t>
      </w:r>
      <w:r w:rsidR="000E1CC2">
        <w:rPr>
          <w:bCs/>
          <w:kern w:val="0"/>
          <w14:ligatures w14:val="none"/>
        </w:rPr>
        <w:t>,</w:t>
      </w:r>
      <w:r w:rsidRPr="00D073E1">
        <w:rPr>
          <w:bCs/>
          <w:kern w:val="0"/>
          <w14:ligatures w14:val="none"/>
        </w:rPr>
        <w:t xml:space="preserve"> and left ventricular ejection fraction (LVEF).</w:t>
      </w:r>
      <w:r w:rsidRPr="00D073E1">
        <w:rPr>
          <w:bCs/>
          <w:kern w:val="0"/>
          <w:vertAlign w:val="superscript"/>
          <w14:ligatures w14:val="none"/>
        </w:rPr>
        <w:footnoteReference w:id="114"/>
      </w:r>
      <w:r w:rsidRPr="00D073E1">
        <w:rPr>
          <w:bCs/>
          <w:kern w:val="0"/>
          <w14:ligatures w14:val="none"/>
        </w:rPr>
        <w:t xml:space="preserve">  When a patient is experiencing the chronic phase of severe myocardial infarction, researchers found that </w:t>
      </w:r>
      <w:r>
        <w:rPr>
          <w:bCs/>
          <w:kern w:val="0"/>
          <w14:ligatures w14:val="none"/>
        </w:rPr>
        <w:t>PET/CT</w:t>
      </w:r>
      <w:r w:rsidRPr="00D073E1">
        <w:rPr>
          <w:bCs/>
          <w:kern w:val="0"/>
          <w14:ligatures w14:val="none"/>
        </w:rPr>
        <w:t xml:space="preserve"> was useful for selecting candidates that were suitable for cell therapy.</w:t>
      </w:r>
      <w:r w:rsidRPr="00D073E1">
        <w:rPr>
          <w:bCs/>
          <w:kern w:val="0"/>
          <w:vertAlign w:val="superscript"/>
          <w14:ligatures w14:val="none"/>
        </w:rPr>
        <w:footnoteReference w:id="115"/>
      </w:r>
    </w:p>
    <w:p w14:paraId="1FEB575A" w14:textId="77777777" w:rsidR="00A632E9" w:rsidRPr="00D073E1" w:rsidRDefault="00A632E9" w:rsidP="00A632E9">
      <w:pPr>
        <w:ind w:left="720"/>
        <w:contextualSpacing/>
        <w:jc w:val="both"/>
        <w:rPr>
          <w:bCs/>
          <w:kern w:val="0"/>
          <w14:ligatures w14:val="none"/>
        </w:rPr>
      </w:pPr>
    </w:p>
    <w:p w14:paraId="2282D42A" w14:textId="2576413B" w:rsidR="00A632E9" w:rsidRPr="00D073E1" w:rsidRDefault="00A632E9" w:rsidP="00A632E9">
      <w:pPr>
        <w:ind w:left="720"/>
        <w:contextualSpacing/>
        <w:jc w:val="both"/>
        <w:rPr>
          <w:kern w:val="0"/>
          <w14:ligatures w14:val="none"/>
        </w:rPr>
      </w:pPr>
      <w:r w:rsidRPr="00D073E1">
        <w:rPr>
          <w:kern w:val="0"/>
          <w14:ligatures w14:val="none"/>
        </w:rPr>
        <w:t xml:space="preserve">When compared with cardiac Magnetic Resonance Imaging (MRI), the </w:t>
      </w:r>
      <w:r>
        <w:rPr>
          <w:kern w:val="0"/>
          <w14:ligatures w14:val="none"/>
        </w:rPr>
        <w:t>PET/CT</w:t>
      </w:r>
      <w:r w:rsidRPr="00D073E1">
        <w:rPr>
          <w:kern w:val="0"/>
          <w14:ligatures w14:val="none"/>
        </w:rPr>
        <w:t xml:space="preserve"> was able to detect a more impaired yet viable myocardium.</w:t>
      </w:r>
      <w:r w:rsidRPr="00D073E1">
        <w:rPr>
          <w:kern w:val="0"/>
          <w:vertAlign w:val="superscript"/>
          <w14:ligatures w14:val="none"/>
        </w:rPr>
        <w:footnoteReference w:id="116"/>
      </w:r>
      <w:r w:rsidRPr="00D073E1">
        <w:rPr>
          <w:kern w:val="0"/>
          <w14:ligatures w14:val="none"/>
        </w:rPr>
        <w:t xml:space="preserve"> In another study focused on cardiac sarcoidosis (</w:t>
      </w:r>
      <w:r w:rsidR="00C468C9">
        <w:rPr>
          <w:kern w:val="0"/>
          <w14:ligatures w14:val="none"/>
        </w:rPr>
        <w:t xml:space="preserve">an </w:t>
      </w:r>
      <w:r w:rsidRPr="00D073E1">
        <w:rPr>
          <w:kern w:val="0"/>
          <w14:ligatures w14:val="none"/>
        </w:rPr>
        <w:t xml:space="preserve">inflammatory condition that affects different areas of the heart), the researchers noted differences between the two modalities, and they found that </w:t>
      </w:r>
      <w:r>
        <w:rPr>
          <w:kern w:val="0"/>
          <w14:ligatures w14:val="none"/>
        </w:rPr>
        <w:t>PET/CT</w:t>
      </w:r>
      <w:r w:rsidRPr="00D073E1">
        <w:rPr>
          <w:kern w:val="0"/>
          <w14:ligatures w14:val="none"/>
        </w:rPr>
        <w:t xml:space="preserve"> was more efficient at detecting elevated serum </w:t>
      </w:r>
      <w:r w:rsidR="001D3727">
        <w:rPr>
          <w:kern w:val="0"/>
          <w14:ligatures w14:val="none"/>
        </w:rPr>
        <w:t>angiotensin-converting</w:t>
      </w:r>
      <w:r w:rsidRPr="00D073E1">
        <w:rPr>
          <w:kern w:val="0"/>
          <w14:ligatures w14:val="none"/>
        </w:rPr>
        <w:t xml:space="preserve"> enzyme (ACE) levels, which suggests that this type of scan may be more useful for active disease assessment and for following treatment response.</w:t>
      </w:r>
      <w:r w:rsidRPr="00D073E1">
        <w:rPr>
          <w:kern w:val="0"/>
          <w:vertAlign w:val="superscript"/>
          <w14:ligatures w14:val="none"/>
        </w:rPr>
        <w:footnoteReference w:id="117"/>
      </w:r>
      <w:r w:rsidRPr="00D073E1">
        <w:rPr>
          <w:bCs/>
          <w:kern w:val="0"/>
          <w14:ligatures w14:val="none"/>
        </w:rPr>
        <w:t xml:space="preserve">  </w:t>
      </w:r>
    </w:p>
    <w:p w14:paraId="10121924" w14:textId="77777777" w:rsidR="00A632E9" w:rsidRPr="00D073E1" w:rsidRDefault="00A632E9" w:rsidP="00A632E9">
      <w:pPr>
        <w:ind w:left="720"/>
        <w:contextualSpacing/>
        <w:jc w:val="both"/>
        <w:rPr>
          <w:bCs/>
          <w:kern w:val="0"/>
          <w14:ligatures w14:val="none"/>
        </w:rPr>
      </w:pPr>
    </w:p>
    <w:p w14:paraId="215B314D" w14:textId="77777777" w:rsidR="00A632E9" w:rsidRPr="00D073E1" w:rsidRDefault="00A632E9" w:rsidP="00A632E9">
      <w:pPr>
        <w:ind w:left="720"/>
        <w:contextualSpacing/>
        <w:jc w:val="both"/>
        <w:rPr>
          <w:kern w:val="0"/>
          <w14:ligatures w14:val="none"/>
        </w:rPr>
      </w:pPr>
      <w:r w:rsidRPr="00D073E1">
        <w:rPr>
          <w:kern w:val="0"/>
          <w14:ligatures w14:val="none"/>
        </w:rPr>
        <w:t xml:space="preserve">Additionally, a </w:t>
      </w:r>
      <w:r>
        <w:rPr>
          <w:kern w:val="0"/>
          <w14:ligatures w14:val="none"/>
        </w:rPr>
        <w:t>PET/CT</w:t>
      </w:r>
      <w:r w:rsidRPr="00D073E1">
        <w:rPr>
          <w:kern w:val="0"/>
          <w14:ligatures w14:val="none"/>
        </w:rPr>
        <w:t xml:space="preserve"> scan may be even more useful in such patients for evaluating the full extent of cardiac sarcoidosis by detecting unsuspected lesions and identification of potential biopsy sites. This type of scan is particularly more practical since many patients with this disease have </w:t>
      </w:r>
      <w:r w:rsidRPr="00D073E1">
        <w:rPr>
          <w:kern w:val="0"/>
          <w14:ligatures w14:val="none"/>
        </w:rPr>
        <w:lastRenderedPageBreak/>
        <w:t>implanted cardiac devices such as pacemakers or defibrillators that interfere with MRI scans due to the magnets that are used.</w:t>
      </w:r>
      <w:r w:rsidRPr="00D073E1">
        <w:rPr>
          <w:kern w:val="0"/>
          <w:vertAlign w:val="superscript"/>
          <w14:ligatures w14:val="none"/>
        </w:rPr>
        <w:footnoteReference w:id="118"/>
      </w:r>
    </w:p>
    <w:p w14:paraId="117DB984" w14:textId="77777777" w:rsidR="00A632E9" w:rsidRPr="00D073E1" w:rsidRDefault="00A632E9" w:rsidP="00DB5D45">
      <w:pPr>
        <w:contextualSpacing/>
        <w:jc w:val="both"/>
        <w:rPr>
          <w:bCs/>
          <w:kern w:val="0"/>
          <w14:ligatures w14:val="none"/>
        </w:rPr>
      </w:pPr>
    </w:p>
    <w:p w14:paraId="1F42B214" w14:textId="0A3DF125" w:rsidR="00A632E9" w:rsidRPr="001F3255" w:rsidRDefault="00AB3E49" w:rsidP="00A632E9">
      <w:pPr>
        <w:ind w:left="720"/>
        <w:contextualSpacing/>
        <w:jc w:val="both"/>
        <w:rPr>
          <w:bCs/>
          <w:kern w:val="0"/>
          <w:u w:val="single"/>
          <w14:ligatures w14:val="none"/>
        </w:rPr>
      </w:pPr>
      <w:r>
        <w:rPr>
          <w:bCs/>
          <w:kern w:val="0"/>
          <w:u w:val="single"/>
          <w14:ligatures w14:val="none"/>
        </w:rPr>
        <w:t xml:space="preserve">PET/CT as a Clinical Modality for </w:t>
      </w:r>
      <w:r w:rsidR="00A632E9" w:rsidRPr="001F3255">
        <w:rPr>
          <w:bCs/>
          <w:kern w:val="0"/>
          <w:u w:val="single"/>
          <w14:ligatures w14:val="none"/>
        </w:rPr>
        <w:t xml:space="preserve">Neurological Conditions </w:t>
      </w:r>
    </w:p>
    <w:p w14:paraId="5CB67AC9" w14:textId="77777777" w:rsidR="00A632E9" w:rsidRPr="001F3255" w:rsidRDefault="00A632E9" w:rsidP="00A632E9">
      <w:pPr>
        <w:ind w:left="720"/>
        <w:contextualSpacing/>
        <w:jc w:val="both"/>
        <w:rPr>
          <w:bCs/>
          <w:kern w:val="0"/>
          <w14:ligatures w14:val="none"/>
        </w:rPr>
      </w:pPr>
    </w:p>
    <w:p w14:paraId="5F9162D6" w14:textId="77777777" w:rsidR="00A632E9" w:rsidRPr="001F3255" w:rsidRDefault="00A632E9" w:rsidP="00A632E9">
      <w:pPr>
        <w:ind w:left="720"/>
        <w:contextualSpacing/>
        <w:jc w:val="both"/>
        <w:rPr>
          <w:kern w:val="0"/>
          <w14:ligatures w14:val="none"/>
        </w:rPr>
      </w:pPr>
      <w:r>
        <w:rPr>
          <w:kern w:val="0"/>
          <w14:ligatures w14:val="none"/>
        </w:rPr>
        <w:t>PET/CT</w:t>
      </w:r>
      <w:r w:rsidRPr="001F3255">
        <w:rPr>
          <w:kern w:val="0"/>
          <w14:ligatures w14:val="none"/>
        </w:rPr>
        <w:t xml:space="preserve"> has been shown to enhance a clinician’s ability to diagnose and effectively treat neurological diseases. In neurology, </w:t>
      </w:r>
      <w:r>
        <w:rPr>
          <w:kern w:val="0"/>
          <w14:ligatures w14:val="none"/>
        </w:rPr>
        <w:t>PET/CT</w:t>
      </w:r>
      <w:r w:rsidRPr="001F3255">
        <w:rPr>
          <w:kern w:val="0"/>
          <w14:ligatures w14:val="none"/>
        </w:rPr>
        <w:t xml:space="preserve"> plays an important role in the evaluation of various epileptic syndromes as well as in the clinical assessment of patients with a multitude of other disorders, including cognitive impairment and dementias.</w:t>
      </w:r>
      <w:r w:rsidRPr="001F3255">
        <w:rPr>
          <w:kern w:val="0"/>
          <w:vertAlign w:val="superscript"/>
          <w14:ligatures w14:val="none"/>
        </w:rPr>
        <w:footnoteReference w:id="119"/>
      </w:r>
      <w:r w:rsidRPr="001F3255">
        <w:rPr>
          <w:kern w:val="0"/>
          <w14:ligatures w14:val="none"/>
        </w:rPr>
        <w:t xml:space="preserve">  The </w:t>
      </w:r>
      <w:r>
        <w:rPr>
          <w:kern w:val="0"/>
          <w14:ligatures w14:val="none"/>
        </w:rPr>
        <w:t>PET/CT</w:t>
      </w:r>
      <w:r w:rsidRPr="001F3255">
        <w:rPr>
          <w:kern w:val="0"/>
          <w14:ligatures w14:val="none"/>
        </w:rPr>
        <w:t xml:space="preserve"> modality has become a valuable tool in the diagnosis, treatment evaluation</w:t>
      </w:r>
      <w:r>
        <w:rPr>
          <w:kern w:val="0"/>
          <w14:ligatures w14:val="none"/>
        </w:rPr>
        <w:t>,</w:t>
      </w:r>
      <w:r w:rsidRPr="001F3255">
        <w:rPr>
          <w:kern w:val="0"/>
          <w14:ligatures w14:val="none"/>
        </w:rPr>
        <w:t xml:space="preserve"> and follow-up of patients with a variety of infections and inflammatory conditions and is already the gold standard for some neurological indications.</w:t>
      </w:r>
      <w:r w:rsidRPr="001F3255">
        <w:rPr>
          <w:kern w:val="0"/>
          <w:vertAlign w:val="superscript"/>
          <w14:ligatures w14:val="none"/>
        </w:rPr>
        <w:footnoteReference w:id="120"/>
      </w:r>
    </w:p>
    <w:p w14:paraId="67898235" w14:textId="77777777" w:rsidR="00A632E9" w:rsidRPr="001F3255" w:rsidRDefault="00A632E9" w:rsidP="00A632E9">
      <w:pPr>
        <w:ind w:left="720"/>
        <w:contextualSpacing/>
        <w:jc w:val="both"/>
        <w:rPr>
          <w:bCs/>
          <w:kern w:val="0"/>
          <w14:ligatures w14:val="none"/>
        </w:rPr>
      </w:pPr>
    </w:p>
    <w:p w14:paraId="21551C9F" w14:textId="77777777" w:rsidR="00A632E9" w:rsidRPr="001F3255" w:rsidRDefault="00A632E9" w:rsidP="00A632E9">
      <w:pPr>
        <w:ind w:left="720"/>
        <w:contextualSpacing/>
        <w:jc w:val="both"/>
        <w:rPr>
          <w:bCs/>
          <w:kern w:val="0"/>
          <w14:ligatures w14:val="none"/>
        </w:rPr>
      </w:pPr>
      <w:r w:rsidRPr="001F3255">
        <w:rPr>
          <w:bCs/>
          <w:kern w:val="0"/>
          <w14:ligatures w14:val="none"/>
        </w:rPr>
        <w:t xml:space="preserve">PET (alone) has long been a part of the assessment of brain physiology and pathology. Its early applications were more academic and scientific rather than clinical. </w:t>
      </w:r>
      <w:r>
        <w:rPr>
          <w:bCs/>
          <w:kern w:val="0"/>
          <w14:ligatures w14:val="none"/>
        </w:rPr>
        <w:t>PET/CT</w:t>
      </w:r>
      <w:r w:rsidRPr="001F3255">
        <w:rPr>
          <w:bCs/>
          <w:kern w:val="0"/>
          <w14:ligatures w14:val="none"/>
        </w:rPr>
        <w:t xml:space="preserve"> </w:t>
      </w:r>
      <w:r>
        <w:rPr>
          <w:bCs/>
          <w:kern w:val="0"/>
          <w14:ligatures w14:val="none"/>
        </w:rPr>
        <w:t>has</w:t>
      </w:r>
      <w:r w:rsidRPr="001F3255">
        <w:rPr>
          <w:bCs/>
          <w:kern w:val="0"/>
          <w14:ligatures w14:val="none"/>
        </w:rPr>
        <w:t xml:space="preserve"> been proven as a superior scanning technique in oncological or cardiovascular disorders, but emerging research suggests that </w:t>
      </w:r>
      <w:r>
        <w:rPr>
          <w:bCs/>
          <w:kern w:val="0"/>
          <w14:ligatures w14:val="none"/>
        </w:rPr>
        <w:t>PET/CT</w:t>
      </w:r>
      <w:r w:rsidRPr="001F3255">
        <w:rPr>
          <w:bCs/>
          <w:kern w:val="0"/>
          <w14:ligatures w14:val="none"/>
        </w:rPr>
        <w:t xml:space="preserve"> could be an integral part </w:t>
      </w:r>
      <w:r>
        <w:rPr>
          <w:bCs/>
          <w:kern w:val="0"/>
          <w14:ligatures w14:val="none"/>
        </w:rPr>
        <w:t>of</w:t>
      </w:r>
      <w:r w:rsidRPr="001F3255">
        <w:rPr>
          <w:bCs/>
          <w:kern w:val="0"/>
          <w14:ligatures w14:val="none"/>
        </w:rPr>
        <w:t xml:space="preserve"> neuroradiological settings, such as vascular diseases such as carotid artery disease, which is a cause of stroke.</w:t>
      </w:r>
      <w:r w:rsidRPr="001F3255">
        <w:rPr>
          <w:bCs/>
          <w:kern w:val="0"/>
          <w:vertAlign w:val="superscript"/>
          <w14:ligatures w14:val="none"/>
        </w:rPr>
        <w:footnoteReference w:id="121"/>
      </w:r>
      <w:r w:rsidRPr="001F3255">
        <w:rPr>
          <w:bCs/>
          <w:kern w:val="0"/>
          <w14:ligatures w14:val="none"/>
        </w:rPr>
        <w:t xml:space="preserve">  A study that focused on the diagnosis of Autoimmune Encephalitis, an inflammatory neurological disease, found that when compared with MRI, </w:t>
      </w:r>
      <w:r>
        <w:rPr>
          <w:bCs/>
          <w:kern w:val="0"/>
          <w14:ligatures w14:val="none"/>
        </w:rPr>
        <w:t>PET/CT</w:t>
      </w:r>
      <w:r w:rsidRPr="001F3255">
        <w:rPr>
          <w:bCs/>
          <w:kern w:val="0"/>
          <w14:ligatures w14:val="none"/>
        </w:rPr>
        <w:t xml:space="preserve"> may be a better technique in providing an earlier diagnosis of the disease.</w:t>
      </w:r>
      <w:r w:rsidRPr="001F3255">
        <w:rPr>
          <w:bCs/>
          <w:kern w:val="0"/>
          <w:vertAlign w:val="superscript"/>
          <w14:ligatures w14:val="none"/>
        </w:rPr>
        <w:footnoteReference w:id="122"/>
      </w:r>
    </w:p>
    <w:p w14:paraId="5937D2C8" w14:textId="77777777" w:rsidR="00A632E9" w:rsidRPr="001F3255" w:rsidRDefault="00A632E9" w:rsidP="00A632E9">
      <w:pPr>
        <w:ind w:left="720"/>
        <w:contextualSpacing/>
        <w:jc w:val="both"/>
        <w:rPr>
          <w:bCs/>
          <w:kern w:val="0"/>
          <w14:ligatures w14:val="none"/>
        </w:rPr>
      </w:pPr>
    </w:p>
    <w:p w14:paraId="3A8DAD15" w14:textId="0ED2C40B" w:rsidR="00ED024C" w:rsidRPr="00A044E3" w:rsidRDefault="00A632E9" w:rsidP="00A044E3">
      <w:pPr>
        <w:ind w:left="720"/>
        <w:contextualSpacing/>
        <w:jc w:val="both"/>
        <w:rPr>
          <w:bCs/>
          <w:kern w:val="0"/>
          <w14:ligatures w14:val="none"/>
        </w:rPr>
      </w:pPr>
      <w:r w:rsidRPr="00C41527">
        <w:rPr>
          <w:bCs/>
          <w:kern w:val="0"/>
          <w14:ligatures w14:val="none"/>
        </w:rPr>
        <w:t>PET/CT is a powerful functional modality that can differentiate dementia types and influence disease management</w:t>
      </w:r>
      <w:r>
        <w:rPr>
          <w:bCs/>
          <w:kern w:val="0"/>
          <w14:ligatures w14:val="none"/>
        </w:rPr>
        <w:t>.</w:t>
      </w:r>
      <w:r>
        <w:rPr>
          <w:rStyle w:val="FootnoteReference"/>
          <w:bCs/>
          <w:kern w:val="0"/>
          <w14:ligatures w14:val="none"/>
        </w:rPr>
        <w:footnoteReference w:id="123"/>
      </w:r>
      <w:r w:rsidRPr="00C41527">
        <w:rPr>
          <w:bCs/>
          <w:kern w:val="0"/>
          <w14:ligatures w14:val="none"/>
        </w:rPr>
        <w:t xml:space="preserve"> </w:t>
      </w:r>
      <w:r w:rsidRPr="001F3255">
        <w:rPr>
          <w:bCs/>
          <w:kern w:val="0"/>
          <w14:ligatures w14:val="none"/>
        </w:rPr>
        <w:t xml:space="preserve">Current </w:t>
      </w:r>
      <w:r>
        <w:rPr>
          <w:bCs/>
          <w:kern w:val="0"/>
          <w14:ligatures w14:val="none"/>
        </w:rPr>
        <w:t xml:space="preserve">imaging </w:t>
      </w:r>
      <w:r w:rsidRPr="001F3255">
        <w:rPr>
          <w:bCs/>
          <w:kern w:val="0"/>
          <w14:ligatures w14:val="none"/>
        </w:rPr>
        <w:t xml:space="preserve">standards for dementia treatment include CT, </w:t>
      </w:r>
      <w:r>
        <w:rPr>
          <w:bCs/>
          <w:kern w:val="0"/>
          <w14:ligatures w14:val="none"/>
        </w:rPr>
        <w:t xml:space="preserve">PET/CT, </w:t>
      </w:r>
      <w:r w:rsidRPr="001F3255">
        <w:rPr>
          <w:bCs/>
          <w:kern w:val="0"/>
          <w14:ligatures w14:val="none"/>
        </w:rPr>
        <w:t xml:space="preserve">MRI, or </w:t>
      </w:r>
      <w:r>
        <w:rPr>
          <w:bCs/>
          <w:kern w:val="0"/>
          <w14:ligatures w14:val="none"/>
        </w:rPr>
        <w:t xml:space="preserve">a combination of these imaging modalities </w:t>
      </w:r>
      <w:r w:rsidRPr="001F3255">
        <w:rPr>
          <w:bCs/>
          <w:kern w:val="0"/>
          <w14:ligatures w14:val="none"/>
        </w:rPr>
        <w:t xml:space="preserve">to exclude masses and vascular </w:t>
      </w:r>
      <w:r>
        <w:rPr>
          <w:bCs/>
          <w:kern w:val="0"/>
          <w14:ligatures w14:val="none"/>
        </w:rPr>
        <w:t>lesions</w:t>
      </w:r>
      <w:r w:rsidRPr="001F3255">
        <w:rPr>
          <w:bCs/>
          <w:kern w:val="0"/>
          <w14:ligatures w14:val="none"/>
        </w:rPr>
        <w:t xml:space="preserve"> </w:t>
      </w:r>
      <w:r>
        <w:rPr>
          <w:bCs/>
          <w:kern w:val="0"/>
          <w14:ligatures w14:val="none"/>
        </w:rPr>
        <w:t xml:space="preserve">and </w:t>
      </w:r>
      <w:r w:rsidRPr="001F3255">
        <w:rPr>
          <w:bCs/>
          <w:kern w:val="0"/>
          <w14:ligatures w14:val="none"/>
        </w:rPr>
        <w:t xml:space="preserve">identify and monitor disease and its severity. The addition of </w:t>
      </w:r>
      <w:r>
        <w:rPr>
          <w:bCs/>
          <w:kern w:val="0"/>
          <w14:ligatures w14:val="none"/>
        </w:rPr>
        <w:t>PET/CT</w:t>
      </w:r>
      <w:r w:rsidRPr="001F3255">
        <w:rPr>
          <w:bCs/>
          <w:kern w:val="0"/>
          <w14:ligatures w14:val="none"/>
        </w:rPr>
        <w:t xml:space="preserve"> scans in dementia cases can provide complementary data </w:t>
      </w:r>
      <w:r>
        <w:rPr>
          <w:bCs/>
          <w:kern w:val="0"/>
          <w14:ligatures w14:val="none"/>
        </w:rPr>
        <w:t>concerning</w:t>
      </w:r>
      <w:r w:rsidRPr="001F3255">
        <w:rPr>
          <w:bCs/>
          <w:kern w:val="0"/>
          <w14:ligatures w14:val="none"/>
        </w:rPr>
        <w:t xml:space="preserve"> cerebral glucose metabolism, which is a key indicator in the diagnosis and treatment of dementia.</w:t>
      </w:r>
      <w:r w:rsidRPr="001F3255">
        <w:rPr>
          <w:bCs/>
          <w:kern w:val="0"/>
          <w:vertAlign w:val="superscript"/>
          <w14:ligatures w14:val="none"/>
        </w:rPr>
        <w:footnoteReference w:id="124"/>
      </w:r>
      <w:r w:rsidRPr="001F3255">
        <w:rPr>
          <w:bCs/>
          <w:kern w:val="0"/>
          <w14:ligatures w14:val="none"/>
        </w:rPr>
        <w:t xml:space="preserve">  </w:t>
      </w:r>
      <w:r w:rsidRPr="001F3255">
        <w:rPr>
          <w:kern w:val="0"/>
          <w14:ligatures w14:val="none"/>
        </w:rPr>
        <w:t xml:space="preserve">Studies suggest that PET imaging is </w:t>
      </w:r>
      <w:r>
        <w:rPr>
          <w:kern w:val="0"/>
          <w14:ligatures w14:val="none"/>
        </w:rPr>
        <w:t xml:space="preserve">also </w:t>
      </w:r>
      <w:r w:rsidRPr="001F3255">
        <w:rPr>
          <w:kern w:val="0"/>
          <w14:ligatures w14:val="none"/>
        </w:rPr>
        <w:t>valuable in the assessment of patients with dementia and can help in differentiating Alzheimer’s from other causes of dementia such as frontotemporal dementia and dementia of Lewy body.</w:t>
      </w:r>
      <w:r w:rsidRPr="001F3255">
        <w:rPr>
          <w:kern w:val="0"/>
          <w:vertAlign w:val="superscript"/>
          <w14:ligatures w14:val="none"/>
        </w:rPr>
        <w:footnoteReference w:id="125"/>
      </w:r>
    </w:p>
    <w:p w14:paraId="75516167" w14:textId="77777777" w:rsidR="006D2330" w:rsidRDefault="006D2330" w:rsidP="00ED024C">
      <w:pPr>
        <w:ind w:left="720"/>
        <w:contextualSpacing/>
        <w:jc w:val="both"/>
        <w:rPr>
          <w:bCs/>
          <w:kern w:val="0"/>
          <w14:ligatures w14:val="none"/>
        </w:rPr>
      </w:pPr>
    </w:p>
    <w:p w14:paraId="2A168C19" w14:textId="45CA19ED" w:rsidR="00ED024C" w:rsidRDefault="00ED024C" w:rsidP="00ED024C">
      <w:pPr>
        <w:ind w:left="720"/>
        <w:contextualSpacing/>
        <w:jc w:val="both"/>
        <w:rPr>
          <w:bCs/>
          <w:kern w:val="0"/>
          <w14:ligatures w14:val="none"/>
        </w:rPr>
      </w:pPr>
      <w:r w:rsidRPr="003D3AC4">
        <w:rPr>
          <w:bCs/>
          <w:kern w:val="0"/>
          <w14:ligatures w14:val="none"/>
        </w:rPr>
        <w:lastRenderedPageBreak/>
        <w:t>PET/CT is used as a problem-solving tool, most commonly with the radiotracer 18F-FDG, a radioactive glucose analog.</w:t>
      </w:r>
      <w:r>
        <w:rPr>
          <w:rStyle w:val="FootnoteReference"/>
          <w:bCs/>
          <w:kern w:val="0"/>
          <w14:ligatures w14:val="none"/>
        </w:rPr>
        <w:footnoteReference w:id="126"/>
      </w:r>
      <w:r w:rsidRPr="003D3AC4">
        <w:rPr>
          <w:bCs/>
          <w:kern w:val="0"/>
          <w14:ligatures w14:val="none"/>
        </w:rPr>
        <w:t xml:space="preserve"> Dementia is characterized by loss of neuronal metabolism, often in specific regions of the brain, and is detected by specific topographic patterns of decreased 18F-FDG uptake.</w:t>
      </w:r>
      <w:r>
        <w:rPr>
          <w:rStyle w:val="FootnoteReference"/>
          <w:bCs/>
          <w:kern w:val="0"/>
          <w14:ligatures w14:val="none"/>
        </w:rPr>
        <w:footnoteReference w:id="127"/>
      </w:r>
      <w:r w:rsidRPr="003D3AC4">
        <w:rPr>
          <w:bCs/>
          <w:kern w:val="0"/>
          <w14:ligatures w14:val="none"/>
        </w:rPr>
        <w:t xml:space="preserve"> </w:t>
      </w:r>
      <w:r>
        <w:rPr>
          <w:bCs/>
          <w:kern w:val="0"/>
          <w14:ligatures w14:val="none"/>
        </w:rPr>
        <w:t>S</w:t>
      </w:r>
      <w:r w:rsidRPr="003D3AC4">
        <w:rPr>
          <w:bCs/>
          <w:kern w:val="0"/>
          <w14:ligatures w14:val="none"/>
        </w:rPr>
        <w:t xml:space="preserve">tudies have shown that metabolic changes in signature regions of the brain can be detected with 18F-FDG PET/CT </w:t>
      </w:r>
      <w:r w:rsidRPr="00E72147">
        <w:rPr>
          <w:bCs/>
          <w:i/>
          <w:iCs/>
          <w:kern w:val="0"/>
          <w14:ligatures w14:val="none"/>
        </w:rPr>
        <w:t>before</w:t>
      </w:r>
      <w:r w:rsidRPr="003D3AC4">
        <w:rPr>
          <w:bCs/>
          <w:kern w:val="0"/>
          <w14:ligatures w14:val="none"/>
        </w:rPr>
        <w:t xml:space="preserve"> anatomic changes are visible on MRI</w:t>
      </w:r>
      <w:r>
        <w:rPr>
          <w:bCs/>
          <w:kern w:val="0"/>
          <w14:ligatures w14:val="none"/>
        </w:rPr>
        <w:t>.</w:t>
      </w:r>
      <w:r>
        <w:rPr>
          <w:rStyle w:val="FootnoteReference"/>
          <w:bCs/>
          <w:kern w:val="0"/>
          <w14:ligatures w14:val="none"/>
        </w:rPr>
        <w:footnoteReference w:id="128"/>
      </w:r>
    </w:p>
    <w:p w14:paraId="0533487C" w14:textId="77777777" w:rsidR="00D17283" w:rsidRDefault="00D17283" w:rsidP="00D17283">
      <w:pPr>
        <w:ind w:left="720"/>
        <w:contextualSpacing/>
        <w:jc w:val="both"/>
        <w:rPr>
          <w:bCs/>
          <w:kern w:val="0"/>
          <w14:ligatures w14:val="none"/>
        </w:rPr>
      </w:pPr>
    </w:p>
    <w:p w14:paraId="379D56C5" w14:textId="08FF24FE" w:rsidR="00ED024C" w:rsidRDefault="00A044E3" w:rsidP="00A632E9">
      <w:pPr>
        <w:ind w:left="720"/>
        <w:contextualSpacing/>
        <w:jc w:val="both"/>
        <w:rPr>
          <w:kern w:val="0"/>
          <w14:ligatures w14:val="none"/>
        </w:rPr>
      </w:pPr>
      <w:r>
        <w:rPr>
          <w:kern w:val="0"/>
          <w14:ligatures w14:val="none"/>
        </w:rPr>
        <w:t xml:space="preserve">Overall, PET/CT </w:t>
      </w:r>
      <w:r w:rsidR="00EB4C6D">
        <w:rPr>
          <w:kern w:val="0"/>
          <w14:ligatures w14:val="none"/>
        </w:rPr>
        <w:t xml:space="preserve">has proven to be a </w:t>
      </w:r>
      <w:r w:rsidR="002E67B4">
        <w:rPr>
          <w:kern w:val="0"/>
          <w14:ligatures w14:val="none"/>
        </w:rPr>
        <w:t>highly effective</w:t>
      </w:r>
      <w:r w:rsidR="00EB4C6D">
        <w:rPr>
          <w:kern w:val="0"/>
          <w14:ligatures w14:val="none"/>
        </w:rPr>
        <w:t xml:space="preserve"> diagnostic to</w:t>
      </w:r>
      <w:r w:rsidR="002E67B4">
        <w:rPr>
          <w:kern w:val="0"/>
          <w14:ligatures w14:val="none"/>
        </w:rPr>
        <w:t>ol</w:t>
      </w:r>
      <w:r w:rsidR="00352428">
        <w:rPr>
          <w:kern w:val="0"/>
          <w14:ligatures w14:val="none"/>
        </w:rPr>
        <w:t>; evidence that</w:t>
      </w:r>
      <w:r w:rsidR="002E67B4">
        <w:rPr>
          <w:kern w:val="0"/>
          <w14:ligatures w14:val="none"/>
        </w:rPr>
        <w:t xml:space="preserve"> that</w:t>
      </w:r>
      <w:r w:rsidR="00EB4C6D">
        <w:rPr>
          <w:kern w:val="0"/>
          <w14:ligatures w14:val="none"/>
        </w:rPr>
        <w:t xml:space="preserve"> provides a solid argument for </w:t>
      </w:r>
      <w:r w:rsidR="002E67B4">
        <w:rPr>
          <w:kern w:val="0"/>
          <w14:ligatures w14:val="none"/>
        </w:rPr>
        <w:t xml:space="preserve">the addition of this imaging modality in this service area. </w:t>
      </w:r>
    </w:p>
    <w:p w14:paraId="0C9E16E8" w14:textId="77777777" w:rsidR="00A044E3" w:rsidRDefault="00A044E3" w:rsidP="00A632E9">
      <w:pPr>
        <w:ind w:left="720"/>
        <w:contextualSpacing/>
        <w:jc w:val="both"/>
        <w:rPr>
          <w:kern w:val="0"/>
          <w14:ligatures w14:val="none"/>
        </w:rPr>
      </w:pPr>
    </w:p>
    <w:p w14:paraId="549AD41C" w14:textId="77777777" w:rsidR="002D6FDF" w:rsidRDefault="002D6FDF" w:rsidP="00A632E9">
      <w:pPr>
        <w:ind w:left="720"/>
        <w:contextualSpacing/>
        <w:jc w:val="both"/>
        <w:rPr>
          <w:kern w:val="0"/>
          <w14:ligatures w14:val="none"/>
        </w:rPr>
      </w:pPr>
    </w:p>
    <w:p w14:paraId="479DB1D1" w14:textId="77777777" w:rsidR="00A632E9" w:rsidRPr="00A632E9" w:rsidRDefault="00A632E9" w:rsidP="00A632E9">
      <w:pPr>
        <w:rPr>
          <w:b/>
          <w:kern w:val="0"/>
          <w14:ligatures w14:val="none"/>
        </w:rPr>
      </w:pPr>
      <w:r w:rsidRPr="00A632E9">
        <w:rPr>
          <w:b/>
          <w:kern w:val="0"/>
          <w14:ligatures w14:val="none"/>
        </w:rPr>
        <w:t>F1.</w:t>
      </w:r>
      <w:proofErr w:type="gramStart"/>
      <w:r w:rsidRPr="00A632E9">
        <w:rPr>
          <w:b/>
          <w:kern w:val="0"/>
          <w14:ligatures w14:val="none"/>
        </w:rPr>
        <w:t>b.ii</w:t>
      </w:r>
      <w:proofErr w:type="gramEnd"/>
      <w:r w:rsidRPr="00A632E9">
        <w:rPr>
          <w:b/>
          <w:kern w:val="0"/>
          <w14:ligatures w14:val="none"/>
        </w:rPr>
        <w:tab/>
      </w:r>
      <w:r w:rsidRPr="00A632E9">
        <w:rPr>
          <w:b/>
          <w:kern w:val="0"/>
          <w:u w:val="single"/>
          <w14:ligatures w14:val="none"/>
        </w:rPr>
        <w:t>Public Health Value / Outcome-Oriented</w:t>
      </w:r>
      <w:r w:rsidRPr="00A632E9">
        <w:rPr>
          <w:b/>
          <w:kern w:val="0"/>
          <w14:ligatures w14:val="none"/>
        </w:rPr>
        <w:t>:</w:t>
      </w:r>
    </w:p>
    <w:p w14:paraId="07BB6B95" w14:textId="77777777" w:rsidR="00A632E9" w:rsidRPr="00A632E9" w:rsidRDefault="00A632E9" w:rsidP="00AC2FF8">
      <w:pPr>
        <w:jc w:val="both"/>
        <w:rPr>
          <w:b/>
          <w:kern w:val="0"/>
          <w14:ligatures w14:val="none"/>
        </w:rPr>
      </w:pPr>
      <w:r w:rsidRPr="00A632E9">
        <w:rPr>
          <w:b/>
          <w:kern w:val="0"/>
          <w14:ligatures w14:val="none"/>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3C1ADFA3" w14:textId="77777777" w:rsidR="00A632E9" w:rsidRPr="002D6FDF" w:rsidRDefault="00A632E9" w:rsidP="00A632E9">
      <w:pPr>
        <w:numPr>
          <w:ilvl w:val="0"/>
          <w:numId w:val="4"/>
        </w:numPr>
        <w:contextualSpacing/>
        <w:rPr>
          <w:bCs/>
          <w:kern w:val="0"/>
          <w14:ligatures w14:val="none"/>
        </w:rPr>
      </w:pPr>
      <w:r w:rsidRPr="00A632E9">
        <w:rPr>
          <w:b/>
          <w:kern w:val="0"/>
          <w14:ligatures w14:val="none"/>
        </w:rPr>
        <w:t>Improving Health Outcomes and Quality of Life</w:t>
      </w:r>
    </w:p>
    <w:p w14:paraId="6FA19377" w14:textId="77777777" w:rsidR="002D6FDF" w:rsidRPr="00A632E9" w:rsidRDefault="002D6FDF" w:rsidP="002D6FDF">
      <w:pPr>
        <w:ind w:left="720"/>
        <w:contextualSpacing/>
        <w:rPr>
          <w:bCs/>
          <w:kern w:val="0"/>
          <w14:ligatures w14:val="none"/>
        </w:rPr>
      </w:pPr>
    </w:p>
    <w:p w14:paraId="6E024601" w14:textId="0A5117EB"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r w:rsidRPr="00A632E9">
        <w:rPr>
          <w:rFonts w:ascii="Calibri" w:hAnsi="Calibri" w:cs="Calibri"/>
          <w:kern w:val="0"/>
          <w14:ligatures w14:val="none"/>
        </w:rPr>
        <w:t>The Applicant anticipates that the Proposed Project will provide the Applicant’s patient panel with a low-cost option for access to PET/CT imaging services that will directly impact health outcomes, quality of life, and patient satisfaction.</w:t>
      </w:r>
    </w:p>
    <w:p w14:paraId="684493BD"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29E4B1C6" w14:textId="344904FF" w:rsidR="00A632E9" w:rsidRPr="00A632E9" w:rsidRDefault="00A632E9" w:rsidP="00A632E9">
      <w:pPr>
        <w:autoSpaceDE w:val="0"/>
        <w:autoSpaceDN w:val="0"/>
        <w:adjustRightInd w:val="0"/>
        <w:spacing w:after="0" w:line="240" w:lineRule="auto"/>
        <w:ind w:left="360"/>
        <w:jc w:val="both"/>
        <w:rPr>
          <w:kern w:val="0"/>
          <w14:ligatures w14:val="none"/>
        </w:rPr>
      </w:pPr>
      <w:r w:rsidRPr="00A632E9">
        <w:rPr>
          <w:rFonts w:ascii="Calibri" w:hAnsi="Calibri" w:cs="Calibri"/>
          <w:kern w:val="0"/>
          <w14:ligatures w14:val="none"/>
        </w:rPr>
        <w:t xml:space="preserve">Studies indicate that </w:t>
      </w:r>
      <w:r w:rsidRPr="00A632E9">
        <w:rPr>
          <w:rFonts w:ascii="Calibri" w:hAnsi="Calibri" w:cs="Calibri"/>
          <w:i/>
          <w:iCs/>
          <w:kern w:val="0"/>
          <w14:ligatures w14:val="none"/>
        </w:rPr>
        <w:t>delayed access</w:t>
      </w:r>
      <w:r w:rsidRPr="00A632E9">
        <w:rPr>
          <w:rFonts w:ascii="Calibri" w:hAnsi="Calibri" w:cs="Calibri"/>
          <w:kern w:val="0"/>
          <w14:ligatures w14:val="none"/>
        </w:rPr>
        <w:t xml:space="preserve"> to health care services results in decreased patient satisfaction, as well as negative health outcomes due to delays in diagnosis and treatment.</w:t>
      </w:r>
      <w:r w:rsidRPr="00A632E9">
        <w:rPr>
          <w:rFonts w:ascii="Calibri" w:hAnsi="Calibri" w:cs="Calibri"/>
          <w:kern w:val="0"/>
          <w:vertAlign w:val="superscript"/>
          <w14:ligatures w14:val="none"/>
        </w:rPr>
        <w:footnoteReference w:id="129"/>
      </w:r>
      <w:r w:rsidRPr="00A632E9">
        <w:rPr>
          <w:rFonts w:ascii="Calibri" w:hAnsi="Calibri" w:cs="Calibri"/>
          <w:kern w:val="0"/>
          <w14:ligatures w14:val="none"/>
        </w:rPr>
        <w:t xml:space="preserve"> Conversely</w:t>
      </w:r>
      <w:r w:rsidRPr="00A632E9">
        <w:rPr>
          <w:rFonts w:ascii="Calibri" w:hAnsi="Calibri" w:cs="Calibri"/>
          <w:i/>
          <w:iCs/>
          <w:kern w:val="0"/>
          <w14:ligatures w14:val="none"/>
        </w:rPr>
        <w:t xml:space="preserve">, </w:t>
      </w:r>
      <w:r w:rsidRPr="00A632E9">
        <w:rPr>
          <w:rFonts w:ascii="Calibri" w:hAnsi="Calibri" w:cs="Calibri"/>
          <w:bCs/>
          <w:i/>
          <w:iCs/>
          <w:kern w:val="0"/>
          <w14:ligatures w14:val="none"/>
        </w:rPr>
        <w:t>ease of access</w:t>
      </w:r>
      <w:r w:rsidRPr="00A632E9">
        <w:rPr>
          <w:rFonts w:ascii="Calibri" w:hAnsi="Calibri" w:cs="Calibri"/>
          <w:bCs/>
          <w:kern w:val="0"/>
          <w14:ligatures w14:val="none"/>
        </w:rPr>
        <w:t xml:space="preserve"> improves </w:t>
      </w:r>
      <w:r w:rsidR="007C320F">
        <w:rPr>
          <w:rFonts w:ascii="Calibri" w:hAnsi="Calibri" w:cs="Calibri"/>
          <w:bCs/>
          <w:kern w:val="0"/>
          <w14:ligatures w14:val="none"/>
        </w:rPr>
        <w:t xml:space="preserve">the </w:t>
      </w:r>
      <w:r w:rsidRPr="00A632E9">
        <w:rPr>
          <w:rFonts w:ascii="Calibri" w:hAnsi="Calibri" w:cs="Calibri"/>
          <w:bCs/>
          <w:kern w:val="0"/>
          <w14:ligatures w14:val="none"/>
        </w:rPr>
        <w:t>quality of life for patients because early detection and treatment of diseases improves patient outcomes.</w:t>
      </w:r>
      <w:r w:rsidRPr="00A632E9">
        <w:rPr>
          <w:rFonts w:ascii="Calibri" w:hAnsi="Calibri" w:cs="Calibri"/>
          <w:bCs/>
          <w:kern w:val="0"/>
          <w:vertAlign w:val="superscript"/>
          <w14:ligatures w14:val="none"/>
        </w:rPr>
        <w:footnoteReference w:id="130"/>
      </w:r>
      <w:r w:rsidRPr="00A632E9">
        <w:rPr>
          <w:rFonts w:ascii="Calibri" w:hAnsi="Calibri" w:cs="Calibri"/>
          <w:bCs/>
          <w:kern w:val="0"/>
          <w14:ligatures w14:val="none"/>
        </w:rPr>
        <w:t xml:space="preserve"> Satisfied patients are more likely to be compliant with their medical care plan, ultimately leading to improved outcomes and more efficient utilization of health care resources.</w:t>
      </w:r>
      <w:r w:rsidRPr="00A632E9">
        <w:rPr>
          <w:rFonts w:ascii="Calibri" w:hAnsi="Calibri" w:cs="Calibri"/>
          <w:bCs/>
          <w:kern w:val="0"/>
          <w:vertAlign w:val="superscript"/>
          <w14:ligatures w14:val="none"/>
        </w:rPr>
        <w:footnoteReference w:id="131"/>
      </w:r>
      <w:r w:rsidRPr="00A632E9">
        <w:rPr>
          <w:kern w:val="0"/>
          <w14:ligatures w14:val="none"/>
        </w:rPr>
        <w:t xml:space="preserve"> </w:t>
      </w:r>
    </w:p>
    <w:p w14:paraId="4584B2ED" w14:textId="77777777" w:rsidR="00A632E9" w:rsidRPr="00A632E9" w:rsidRDefault="00A632E9" w:rsidP="00A632E9">
      <w:pPr>
        <w:autoSpaceDE w:val="0"/>
        <w:autoSpaceDN w:val="0"/>
        <w:adjustRightInd w:val="0"/>
        <w:spacing w:after="0" w:line="240" w:lineRule="auto"/>
        <w:ind w:left="360"/>
        <w:jc w:val="both"/>
        <w:rPr>
          <w:kern w:val="0"/>
          <w14:ligatures w14:val="none"/>
        </w:rPr>
      </w:pPr>
    </w:p>
    <w:p w14:paraId="0ED0F834" w14:textId="3AD90069"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r w:rsidRPr="00A632E9">
        <w:rPr>
          <w:rFonts w:ascii="Calibri" w:hAnsi="Calibri" w:cs="Calibri"/>
          <w:kern w:val="0"/>
          <w14:ligatures w14:val="none"/>
        </w:rPr>
        <w:t>The addition of PET/CT diagnostic imaging services in the town of Dedham</w:t>
      </w:r>
      <w:r w:rsidR="00E24ADB">
        <w:rPr>
          <w:rFonts w:ascii="Calibri" w:hAnsi="Calibri" w:cs="Calibri"/>
          <w:kern w:val="0"/>
          <w:vertAlign w:val="superscript"/>
          <w14:ligatures w14:val="none"/>
        </w:rPr>
        <w:t xml:space="preserve"> </w:t>
      </w:r>
      <w:r w:rsidRPr="00A632E9">
        <w:rPr>
          <w:rFonts w:ascii="Calibri" w:hAnsi="Calibri" w:cs="Calibri"/>
          <w:kern w:val="0"/>
          <w14:ligatures w14:val="none"/>
        </w:rPr>
        <w:t>via an IDTF mobile clinic at an existing and serviceable docking pad helps the Applicant to ensure timely access to optimized, low-cost, high-quality imaging services for the patient panel. In addition, as mentioned previously in this narrative, health research has high value to society</w:t>
      </w:r>
      <w:r w:rsidRPr="00A632E9">
        <w:rPr>
          <w:rFonts w:ascii="Calibri" w:hAnsi="Calibri" w:cs="Calibri"/>
          <w:kern w:val="0"/>
          <w:vertAlign w:val="superscript"/>
          <w14:ligatures w14:val="none"/>
        </w:rPr>
        <w:footnoteReference w:id="132"/>
      </w:r>
      <w:r w:rsidRPr="00A632E9">
        <w:rPr>
          <w:rFonts w:ascii="Calibri" w:hAnsi="Calibri" w:cs="Calibri"/>
          <w:kern w:val="0"/>
          <w14:ligatures w14:val="none"/>
        </w:rPr>
        <w:t xml:space="preserve"> and the diagnostic research completed in these trials will provide important information about Alzheimer’s disease trends and risk factors. </w:t>
      </w:r>
    </w:p>
    <w:p w14:paraId="01CEAF06" w14:textId="77777777"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p>
    <w:p w14:paraId="711D1B45" w14:textId="77777777"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r w:rsidRPr="00A632E9">
        <w:rPr>
          <w:rFonts w:ascii="Calibri" w:hAnsi="Calibri" w:cs="Calibri"/>
          <w:kern w:val="0"/>
          <w14:ligatures w14:val="none"/>
        </w:rPr>
        <w:lastRenderedPageBreak/>
        <w:t>Access to such diagnostic imaging services for these patients – particularly for patients who are sick or affected by oncological, cardiovascular, and/or neurological issues – allows for better quality health outcomes, as it allows clinicians to have a better understanding of an individual’s condition and provide appropriate comprehensive treatment options in a timely manner. Along with providing better imaging data, PET/CT notably increases patient comfort and convenience by reducing the number of scanning sessions a patient must undergo.</w:t>
      </w:r>
      <w:r w:rsidRPr="00A632E9">
        <w:rPr>
          <w:rFonts w:ascii="Calibri" w:hAnsi="Calibri" w:cs="Calibri"/>
          <w:kern w:val="0"/>
          <w:vertAlign w:val="superscript"/>
          <w14:ligatures w14:val="none"/>
        </w:rPr>
        <w:footnoteReference w:id="133"/>
      </w:r>
    </w:p>
    <w:p w14:paraId="04AC18B7" w14:textId="77777777"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p>
    <w:p w14:paraId="593CC539" w14:textId="77777777"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r w:rsidRPr="00A632E9">
        <w:rPr>
          <w:rFonts w:ascii="Calibri" w:hAnsi="Calibri" w:cs="Calibri"/>
          <w:kern w:val="0"/>
          <w14:ligatures w14:val="none"/>
        </w:rPr>
        <w:t>A study evaluating the efficacy of combined PET/CT imaging revealed that PET (on its own) is a quite lengthy procedure, as it requires both emission and transmission scans.</w:t>
      </w:r>
      <w:r w:rsidRPr="00A632E9">
        <w:rPr>
          <w:rFonts w:ascii="Calibri" w:hAnsi="Calibri" w:cs="Calibri"/>
          <w:kern w:val="0"/>
          <w:vertAlign w:val="superscript"/>
          <w14:ligatures w14:val="none"/>
        </w:rPr>
        <w:footnoteReference w:id="134"/>
      </w:r>
      <w:r w:rsidRPr="00A632E9">
        <w:rPr>
          <w:rFonts w:ascii="Calibri" w:hAnsi="Calibri" w:cs="Calibri"/>
          <w:kern w:val="0"/>
          <w14:ligatures w14:val="none"/>
        </w:rPr>
        <w:t xml:space="preserve">  However, the study found that image fusion between PET and CT has resulted in an average time savings of 20 to 30 minutes per patient.</w:t>
      </w:r>
      <w:r w:rsidRPr="00A632E9">
        <w:rPr>
          <w:rFonts w:ascii="Calibri" w:hAnsi="Calibri" w:cs="Calibri"/>
          <w:kern w:val="0"/>
          <w:vertAlign w:val="superscript"/>
          <w14:ligatures w14:val="none"/>
        </w:rPr>
        <w:footnoteReference w:id="135"/>
      </w:r>
      <w:r w:rsidRPr="00A632E9">
        <w:rPr>
          <w:rFonts w:ascii="Calibri" w:hAnsi="Calibri" w:cs="Calibri"/>
          <w:kern w:val="0"/>
          <w14:ligatures w14:val="none"/>
        </w:rPr>
        <w:t xml:space="preserve">  In this case, transmission scans are not required because the CT data are used for attenuation correction.</w:t>
      </w:r>
      <w:r w:rsidRPr="00A632E9">
        <w:rPr>
          <w:rFonts w:ascii="Calibri" w:hAnsi="Calibri" w:cs="Calibri"/>
          <w:kern w:val="0"/>
          <w:vertAlign w:val="superscript"/>
          <w14:ligatures w14:val="none"/>
        </w:rPr>
        <w:footnoteReference w:id="136"/>
      </w:r>
      <w:r w:rsidRPr="00A632E9">
        <w:rPr>
          <w:rFonts w:ascii="Calibri" w:hAnsi="Calibri" w:cs="Calibri"/>
          <w:kern w:val="0"/>
          <w14:ligatures w14:val="none"/>
        </w:rPr>
        <w:t xml:space="preserve">  It has been estimated that patient output has increased by approximately 40 percent.</w:t>
      </w:r>
      <w:r w:rsidRPr="00A632E9">
        <w:rPr>
          <w:rFonts w:ascii="Calibri" w:hAnsi="Calibri" w:cs="Calibri"/>
          <w:kern w:val="0"/>
          <w:vertAlign w:val="superscript"/>
          <w14:ligatures w14:val="none"/>
        </w:rPr>
        <w:footnoteReference w:id="137"/>
      </w:r>
      <w:r w:rsidRPr="00A632E9">
        <w:rPr>
          <w:rFonts w:ascii="Calibri" w:hAnsi="Calibri" w:cs="Calibri"/>
          <w:kern w:val="0"/>
          <w14:ligatures w14:val="none"/>
        </w:rPr>
        <w:t xml:space="preserve"> </w:t>
      </w:r>
    </w:p>
    <w:p w14:paraId="0B670403" w14:textId="77777777"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p>
    <w:p w14:paraId="0A119493" w14:textId="2A45B8A5"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r w:rsidRPr="00A632E9">
        <w:rPr>
          <w:rFonts w:ascii="Calibri" w:hAnsi="Calibri" w:cs="Calibri"/>
          <w:kern w:val="0"/>
          <w14:ligatures w14:val="none"/>
        </w:rPr>
        <w:t>Time savings (as demonstrated above) directly correlates to patient satisfaction, according to</w:t>
      </w:r>
      <w:r w:rsidR="000E3B84">
        <w:rPr>
          <w:rFonts w:ascii="Calibri" w:hAnsi="Calibri" w:cs="Calibri"/>
          <w:kern w:val="0"/>
          <w14:ligatures w14:val="none"/>
        </w:rPr>
        <w:t xml:space="preserve"> a</w:t>
      </w:r>
      <w:r w:rsidRPr="00A632E9">
        <w:rPr>
          <w:rFonts w:ascii="Calibri" w:hAnsi="Calibri" w:cs="Calibri"/>
          <w:kern w:val="0"/>
          <w14:ligatures w14:val="none"/>
        </w:rPr>
        <w:t xml:space="preserve"> </w:t>
      </w:r>
      <w:r w:rsidR="000E3B84" w:rsidRPr="00A632E9">
        <w:rPr>
          <w:rFonts w:ascii="Calibri" w:hAnsi="Calibri" w:cs="Calibri"/>
          <w:kern w:val="0"/>
          <w14:ligatures w14:val="none"/>
        </w:rPr>
        <w:t xml:space="preserve">2017 Philips Research Report </w:t>
      </w:r>
      <w:r w:rsidR="001A7BC7">
        <w:rPr>
          <w:rFonts w:ascii="Calibri" w:hAnsi="Calibri" w:cs="Calibri"/>
          <w:kern w:val="0"/>
          <w14:ligatures w14:val="none"/>
        </w:rPr>
        <w:t xml:space="preserve">that </w:t>
      </w:r>
      <w:r w:rsidR="000E3B84" w:rsidRPr="00A632E9">
        <w:rPr>
          <w:rFonts w:ascii="Calibri" w:hAnsi="Calibri" w:cs="Calibri"/>
          <w:kern w:val="0"/>
          <w14:ligatures w14:val="none"/>
        </w:rPr>
        <w:t>survey</w:t>
      </w:r>
      <w:r w:rsidR="001A7BC7">
        <w:rPr>
          <w:rFonts w:ascii="Calibri" w:hAnsi="Calibri" w:cs="Calibri"/>
          <w:kern w:val="0"/>
          <w14:ligatures w14:val="none"/>
        </w:rPr>
        <w:t>ed</w:t>
      </w:r>
      <w:r w:rsidR="000E3B84" w:rsidRPr="00A632E9">
        <w:rPr>
          <w:rFonts w:ascii="Calibri" w:hAnsi="Calibri" w:cs="Calibri"/>
          <w:kern w:val="0"/>
          <w14:ligatures w14:val="none"/>
        </w:rPr>
        <w:t xml:space="preserve"> patient responses</w:t>
      </w:r>
      <w:r w:rsidRPr="00A632E9">
        <w:rPr>
          <w:rFonts w:ascii="Calibri" w:hAnsi="Calibri" w:cs="Calibri"/>
          <w:kern w:val="0"/>
          <w14:ligatures w14:val="none"/>
        </w:rPr>
        <w:t xml:space="preserve"> to recent imaging procedures. The report found that 61 percent of patients reported that an accurate scan in the least amount of time to reduce physical discomfort was an “extremely important” aspect of the imaging procedure.</w:t>
      </w:r>
      <w:r w:rsidRPr="00A632E9">
        <w:rPr>
          <w:rFonts w:ascii="Calibri" w:hAnsi="Calibri" w:cs="Calibri"/>
          <w:kern w:val="0"/>
          <w:vertAlign w:val="superscript"/>
          <w14:ligatures w14:val="none"/>
        </w:rPr>
        <w:footnoteReference w:id="138"/>
      </w:r>
      <w:r w:rsidRPr="00A632E9">
        <w:rPr>
          <w:rFonts w:ascii="Calibri" w:hAnsi="Calibri" w:cs="Calibri"/>
          <w:kern w:val="0"/>
          <w14:ligatures w14:val="none"/>
        </w:rPr>
        <w:t xml:space="preserve"> </w:t>
      </w:r>
    </w:p>
    <w:p w14:paraId="5F7D88B1" w14:textId="77777777"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p>
    <w:p w14:paraId="6DF1DE77" w14:textId="167AC5B2"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r w:rsidRPr="00A632E9">
        <w:rPr>
          <w:rFonts w:ascii="Calibri" w:hAnsi="Calibri" w:cs="Calibri"/>
          <w:kern w:val="0"/>
          <w14:ligatures w14:val="none"/>
        </w:rPr>
        <w:t xml:space="preserve">The fact that patients will be able to access PET/CT services in a timely, low-cost, and high-quality </w:t>
      </w:r>
      <w:r w:rsidR="000E3B84" w:rsidRPr="00A632E9">
        <w:rPr>
          <w:rFonts w:ascii="Calibri" w:hAnsi="Calibri" w:cs="Calibri"/>
          <w:kern w:val="0"/>
          <w14:ligatures w14:val="none"/>
        </w:rPr>
        <w:t>manner</w:t>
      </w:r>
      <w:r w:rsidRPr="00A632E9">
        <w:rPr>
          <w:rFonts w:ascii="Calibri" w:hAnsi="Calibri" w:cs="Calibri"/>
          <w:kern w:val="0"/>
          <w14:ligatures w14:val="none"/>
        </w:rPr>
        <w:t xml:space="preserve"> will enhance patient satisfaction, health outcomes, and quality of life. Patient satisfaction is an important indicator used for measuring quality in healt</w:t>
      </w:r>
      <w:r w:rsidR="0071299B">
        <w:rPr>
          <w:rFonts w:ascii="Calibri" w:hAnsi="Calibri" w:cs="Calibri"/>
          <w:kern w:val="0"/>
          <w14:ligatures w14:val="none"/>
        </w:rPr>
        <w:t>h</w:t>
      </w:r>
      <w:r w:rsidRPr="00A632E9">
        <w:rPr>
          <w:rFonts w:ascii="Calibri" w:hAnsi="Calibri" w:cs="Calibri"/>
          <w:kern w:val="0"/>
          <w14:ligatures w14:val="none"/>
        </w:rPr>
        <w:t xml:space="preserve"> care.</w:t>
      </w:r>
      <w:r w:rsidRPr="00A632E9">
        <w:rPr>
          <w:rFonts w:ascii="Calibri" w:hAnsi="Calibri" w:cs="Calibri"/>
          <w:kern w:val="0"/>
          <w:vertAlign w:val="superscript"/>
          <w14:ligatures w14:val="none"/>
        </w:rPr>
        <w:footnoteReference w:id="139"/>
      </w:r>
    </w:p>
    <w:p w14:paraId="72F07835" w14:textId="77777777"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p>
    <w:p w14:paraId="0E40888F" w14:textId="7E51FA4D"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r w:rsidRPr="00A632E9">
        <w:rPr>
          <w:rFonts w:ascii="Calibri" w:hAnsi="Calibri" w:cs="Calibri"/>
          <w:kern w:val="0"/>
          <w14:ligatures w14:val="none"/>
        </w:rPr>
        <w:t xml:space="preserve">Moreover, given that </w:t>
      </w:r>
      <w:r w:rsidR="009F799E">
        <w:rPr>
          <w:rFonts w:ascii="Calibri" w:hAnsi="Calibri" w:cs="Calibri"/>
          <w:kern w:val="0"/>
          <w14:ligatures w14:val="none"/>
        </w:rPr>
        <w:t>Atrius</w:t>
      </w:r>
      <w:r w:rsidRPr="00A632E9">
        <w:rPr>
          <w:rFonts w:ascii="Calibri" w:hAnsi="Calibri" w:cs="Calibri"/>
          <w:kern w:val="0"/>
          <w14:ligatures w14:val="none"/>
        </w:rPr>
        <w:t xml:space="preserve"> </w:t>
      </w:r>
      <w:r w:rsidR="003C0A8D">
        <w:rPr>
          <w:rFonts w:ascii="Calibri" w:hAnsi="Calibri" w:cs="Calibri"/>
          <w:kern w:val="0"/>
          <w14:ligatures w14:val="none"/>
        </w:rPr>
        <w:t xml:space="preserve">MSO </w:t>
      </w:r>
      <w:r w:rsidRPr="00A632E9">
        <w:rPr>
          <w:rFonts w:ascii="Calibri" w:hAnsi="Calibri" w:cs="Calibri"/>
          <w:kern w:val="0"/>
          <w14:ligatures w14:val="none"/>
        </w:rPr>
        <w:t xml:space="preserve">is a part owner of the Applicant, imaging services provided by the Applicant will be integrated with </w:t>
      </w:r>
      <w:r w:rsidR="009F799E">
        <w:rPr>
          <w:rFonts w:ascii="Calibri" w:hAnsi="Calibri" w:cs="Calibri"/>
          <w:kern w:val="0"/>
          <w14:ligatures w14:val="none"/>
        </w:rPr>
        <w:t>Atrius</w:t>
      </w:r>
      <w:r w:rsidR="003E67BF">
        <w:rPr>
          <w:rFonts w:ascii="Calibri" w:hAnsi="Calibri" w:cs="Calibri"/>
          <w:kern w:val="0"/>
          <w14:ligatures w14:val="none"/>
        </w:rPr>
        <w:t xml:space="preserve"> Health</w:t>
      </w:r>
      <w:r w:rsidRPr="00A632E9">
        <w:rPr>
          <w:rFonts w:ascii="Calibri" w:hAnsi="Calibri" w:cs="Calibri"/>
          <w:kern w:val="0"/>
          <w14:ligatures w14:val="none"/>
        </w:rPr>
        <w:t xml:space="preserve">’s Electronic Medical Records (“EMR”). Studies show that having access to integrated health information systems, including integrated picture archiving and communications systems (“PACS”) information has a direct impact on health outcomes, as access to a single medical record for patients helps facilitate enhanced care coordination by care teams and improved efficiency with respect to </w:t>
      </w:r>
      <w:r w:rsidR="00C5657F">
        <w:rPr>
          <w:rFonts w:ascii="Calibri" w:hAnsi="Calibri" w:cs="Calibri"/>
          <w:kern w:val="0"/>
          <w14:ligatures w14:val="none"/>
        </w:rPr>
        <w:t>w</w:t>
      </w:r>
      <w:r w:rsidRPr="00A632E9">
        <w:rPr>
          <w:rFonts w:ascii="Calibri" w:hAnsi="Calibri" w:cs="Calibri"/>
          <w:kern w:val="0"/>
          <w14:ligatures w14:val="none"/>
        </w:rPr>
        <w:t>orkflows.</w:t>
      </w:r>
      <w:r w:rsidRPr="00A632E9">
        <w:rPr>
          <w:rFonts w:ascii="Calibri" w:hAnsi="Calibri" w:cs="Calibri"/>
          <w:kern w:val="0"/>
          <w:vertAlign w:val="superscript"/>
          <w14:ligatures w14:val="none"/>
        </w:rPr>
        <w:footnoteReference w:id="140"/>
      </w:r>
    </w:p>
    <w:p w14:paraId="5CC3A0CD" w14:textId="77777777"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p>
    <w:p w14:paraId="57FCC3EB" w14:textId="77777777" w:rsidR="00A632E9" w:rsidRDefault="00A632E9" w:rsidP="00A632E9">
      <w:pPr>
        <w:autoSpaceDE w:val="0"/>
        <w:autoSpaceDN w:val="0"/>
        <w:adjustRightInd w:val="0"/>
        <w:spacing w:after="0" w:line="240" w:lineRule="auto"/>
        <w:ind w:left="360"/>
        <w:jc w:val="both"/>
        <w:rPr>
          <w:rFonts w:ascii="Calibri" w:hAnsi="Calibri" w:cs="Calibri"/>
          <w:kern w:val="0"/>
          <w14:ligatures w14:val="none"/>
        </w:rPr>
      </w:pPr>
      <w:r w:rsidRPr="00A632E9">
        <w:rPr>
          <w:rFonts w:ascii="Calibri" w:hAnsi="Calibri" w:cs="Calibri"/>
          <w:kern w:val="0"/>
          <w14:ligatures w14:val="none"/>
        </w:rPr>
        <w:t>Poor coordination of care has negative consequences for patients and contributes to higher medical costs.</w:t>
      </w:r>
      <w:r w:rsidRPr="00A632E9">
        <w:rPr>
          <w:rFonts w:ascii="Calibri" w:hAnsi="Calibri" w:cs="Calibri"/>
          <w:kern w:val="0"/>
          <w:vertAlign w:val="superscript"/>
          <w14:ligatures w14:val="none"/>
        </w:rPr>
        <w:footnoteReference w:id="141"/>
      </w:r>
      <w:r w:rsidRPr="00A632E9">
        <w:rPr>
          <w:rFonts w:ascii="Calibri" w:hAnsi="Calibri" w:cs="Calibri"/>
          <w:kern w:val="0"/>
          <w14:ligatures w14:val="none"/>
        </w:rPr>
        <w:t xml:space="preserve"> An integrated EMR allows primary care physicians (“PCPs”) and specialists to have access to the same patient information, allowing for real-time care decisions, thereby reducing duplication of services and unnecessary testing. The availability of these integrated record services for patients will </w:t>
      </w:r>
      <w:r w:rsidRPr="00A632E9">
        <w:rPr>
          <w:rFonts w:ascii="Calibri" w:hAnsi="Calibri" w:cs="Calibri"/>
          <w:kern w:val="0"/>
          <w14:ligatures w14:val="none"/>
        </w:rPr>
        <w:lastRenderedPageBreak/>
        <w:t>facilitate quick and easy access to patient images and reports, which will in turn affect timely care, improved outcomes, and better quality of life.</w:t>
      </w:r>
    </w:p>
    <w:p w14:paraId="5FE7092F" w14:textId="77777777" w:rsidR="00E047AF" w:rsidRDefault="00E047AF" w:rsidP="00A632E9">
      <w:pPr>
        <w:autoSpaceDE w:val="0"/>
        <w:autoSpaceDN w:val="0"/>
        <w:adjustRightInd w:val="0"/>
        <w:spacing w:after="0" w:line="240" w:lineRule="auto"/>
        <w:ind w:left="360"/>
        <w:jc w:val="both"/>
        <w:rPr>
          <w:rFonts w:ascii="Calibri" w:hAnsi="Calibri" w:cs="Calibri"/>
          <w:kern w:val="0"/>
          <w14:ligatures w14:val="none"/>
        </w:rPr>
      </w:pPr>
    </w:p>
    <w:p w14:paraId="06EC6833" w14:textId="77777777" w:rsidR="0063226A" w:rsidRDefault="0063226A" w:rsidP="00A632E9">
      <w:pPr>
        <w:autoSpaceDE w:val="0"/>
        <w:autoSpaceDN w:val="0"/>
        <w:adjustRightInd w:val="0"/>
        <w:spacing w:after="0" w:line="240" w:lineRule="auto"/>
        <w:ind w:left="360"/>
        <w:jc w:val="both"/>
        <w:rPr>
          <w:rFonts w:ascii="Calibri" w:hAnsi="Calibri" w:cs="Calibri"/>
          <w:kern w:val="0"/>
          <w14:ligatures w14:val="none"/>
        </w:rPr>
      </w:pPr>
    </w:p>
    <w:p w14:paraId="4F34D1FE" w14:textId="77777777" w:rsidR="00A632E9" w:rsidRDefault="00A632E9" w:rsidP="00A632E9">
      <w:pPr>
        <w:numPr>
          <w:ilvl w:val="0"/>
          <w:numId w:val="4"/>
        </w:numPr>
        <w:contextualSpacing/>
        <w:rPr>
          <w:b/>
          <w:kern w:val="0"/>
          <w14:ligatures w14:val="none"/>
        </w:rPr>
      </w:pPr>
      <w:r w:rsidRPr="00A632E9">
        <w:rPr>
          <w:b/>
          <w:kern w:val="0"/>
          <w14:ligatures w14:val="none"/>
        </w:rPr>
        <w:t xml:space="preserve">Assessing the Impact of the Proposed Project </w:t>
      </w:r>
    </w:p>
    <w:p w14:paraId="7DAE00C0" w14:textId="77777777" w:rsidR="00E047AF" w:rsidRPr="00A632E9" w:rsidRDefault="00E047AF" w:rsidP="00E047AF">
      <w:pPr>
        <w:ind w:left="720"/>
        <w:contextualSpacing/>
        <w:rPr>
          <w:b/>
          <w:kern w:val="0"/>
          <w14:ligatures w14:val="none"/>
        </w:rPr>
      </w:pPr>
    </w:p>
    <w:p w14:paraId="3868D6D0" w14:textId="77777777" w:rsidR="00A632E9" w:rsidRPr="00A632E9" w:rsidRDefault="00A632E9" w:rsidP="00A632E9">
      <w:pPr>
        <w:ind w:left="360"/>
        <w:jc w:val="both"/>
        <w:rPr>
          <w:bCs/>
          <w:kern w:val="0"/>
          <w14:ligatures w14:val="none"/>
        </w:rPr>
      </w:pPr>
      <w:r w:rsidRPr="00A632E9">
        <w:rPr>
          <w:bCs/>
          <w:kern w:val="0"/>
          <w14:ligatures w14:val="none"/>
        </w:rPr>
        <w:t>To assess the impact of the Proposed Project, the Applicant has developed the following quality metrics and reporting schematic, as well as projections for quality indicators that will measure patient satisfaction, access, and quality of care.</w:t>
      </w:r>
      <w:r w:rsidRPr="00A632E9">
        <w:rPr>
          <w:bCs/>
          <w:kern w:val="0"/>
          <w:vertAlign w:val="superscript"/>
          <w14:ligatures w14:val="none"/>
        </w:rPr>
        <w:footnoteReference w:id="142"/>
      </w:r>
      <w:r w:rsidRPr="00A632E9">
        <w:rPr>
          <w:bCs/>
          <w:kern w:val="0"/>
          <w14:ligatures w14:val="none"/>
        </w:rPr>
        <w:t xml:space="preserve"> The measures are discussed below:</w:t>
      </w:r>
    </w:p>
    <w:p w14:paraId="2905C5BA" w14:textId="77777777" w:rsidR="00A632E9" w:rsidRPr="00A632E9" w:rsidRDefault="00A632E9" w:rsidP="00A632E9">
      <w:pPr>
        <w:ind w:left="360"/>
        <w:jc w:val="both"/>
        <w:rPr>
          <w:bCs/>
          <w:kern w:val="0"/>
          <w14:ligatures w14:val="none"/>
        </w:rPr>
      </w:pPr>
      <w:r w:rsidRPr="00A632E9">
        <w:rPr>
          <w:b/>
          <w:kern w:val="0"/>
          <w14:ligatures w14:val="none"/>
        </w:rPr>
        <w:t>1. Patient Satisfaction:</w:t>
      </w:r>
      <w:r w:rsidRPr="00A632E9">
        <w:rPr>
          <w:bCs/>
          <w:kern w:val="0"/>
          <w14:ligatures w14:val="none"/>
        </w:rPr>
        <w:t xml:space="preserve"> Patients who are satisfied with care are more likely to seek additional treatment when necessary. The Applicant will review patient satisfaction levels with the PET/CT imaging service.</w:t>
      </w:r>
    </w:p>
    <w:p w14:paraId="5D7F3414" w14:textId="77777777" w:rsidR="00A632E9" w:rsidRPr="00A632E9" w:rsidRDefault="00A632E9" w:rsidP="00A632E9">
      <w:pPr>
        <w:ind w:left="720"/>
        <w:jc w:val="both"/>
        <w:rPr>
          <w:bCs/>
          <w:kern w:val="0"/>
          <w14:ligatures w14:val="none"/>
        </w:rPr>
      </w:pPr>
      <w:r w:rsidRPr="00A632E9">
        <w:rPr>
          <w:b/>
          <w:kern w:val="0"/>
          <w14:ligatures w14:val="none"/>
        </w:rPr>
        <w:t>Measure:</w:t>
      </w:r>
      <w:r w:rsidRPr="00A632E9">
        <w:rPr>
          <w:bCs/>
          <w:kern w:val="0"/>
          <w14:ligatures w14:val="none"/>
        </w:rPr>
        <w:t xml:space="preserve"> To ensure a service-excellence approach, patient satisfaction surveys will be distributed to all patients receiving imaging services with specific questions around a) satisfaction levels with pre-appointment communication; and b) satisfaction around the wait time for services.</w:t>
      </w:r>
    </w:p>
    <w:p w14:paraId="73FDD65A" w14:textId="77777777" w:rsidR="00A632E9" w:rsidRPr="00A632E9" w:rsidRDefault="00A632E9" w:rsidP="00A632E9">
      <w:pPr>
        <w:autoSpaceDE w:val="0"/>
        <w:autoSpaceDN w:val="0"/>
        <w:adjustRightInd w:val="0"/>
        <w:spacing w:after="0" w:line="240" w:lineRule="auto"/>
        <w:ind w:firstLine="720"/>
        <w:rPr>
          <w:rFonts w:ascii="Calibri" w:hAnsi="Calibri" w:cs="Calibri"/>
          <w:kern w:val="0"/>
          <w14:ligatures w14:val="none"/>
        </w:rPr>
      </w:pPr>
      <w:r w:rsidRPr="00A632E9">
        <w:rPr>
          <w:rFonts w:ascii="Calibri-Bold" w:hAnsi="Calibri-Bold" w:cs="Calibri-Bold"/>
          <w:b/>
          <w:bCs/>
          <w:kern w:val="0"/>
          <w14:ligatures w14:val="none"/>
        </w:rPr>
        <w:t xml:space="preserve">Projections: </w:t>
      </w:r>
      <w:r w:rsidRPr="00A632E9">
        <w:rPr>
          <w:rFonts w:ascii="Calibri" w:hAnsi="Calibri" w:cs="Calibri"/>
          <w:kern w:val="0"/>
          <w14:ligatures w14:val="none"/>
        </w:rPr>
        <w:t>As the Proposed Project is to establish a new clinic, the baseline will be established</w:t>
      </w:r>
    </w:p>
    <w:p w14:paraId="6C153AE5" w14:textId="77777777" w:rsidR="00A632E9" w:rsidRPr="00A632E9" w:rsidRDefault="00A632E9" w:rsidP="00A632E9">
      <w:pPr>
        <w:autoSpaceDE w:val="0"/>
        <w:autoSpaceDN w:val="0"/>
        <w:adjustRightInd w:val="0"/>
        <w:spacing w:after="0" w:line="240" w:lineRule="auto"/>
        <w:ind w:firstLine="720"/>
        <w:rPr>
          <w:rFonts w:ascii="Calibri" w:hAnsi="Calibri" w:cs="Calibri"/>
          <w:kern w:val="0"/>
          <w14:ligatures w14:val="none"/>
        </w:rPr>
      </w:pPr>
      <w:r w:rsidRPr="00A632E9">
        <w:rPr>
          <w:rFonts w:ascii="Calibri" w:hAnsi="Calibri" w:cs="Calibri"/>
          <w:kern w:val="0"/>
          <w14:ligatures w14:val="none"/>
        </w:rPr>
        <w:t>following one full year of operation.</w:t>
      </w:r>
    </w:p>
    <w:p w14:paraId="05815B4E" w14:textId="77777777" w:rsidR="00A632E9" w:rsidRPr="00A632E9" w:rsidRDefault="00A632E9" w:rsidP="00A632E9">
      <w:pPr>
        <w:autoSpaceDE w:val="0"/>
        <w:autoSpaceDN w:val="0"/>
        <w:adjustRightInd w:val="0"/>
        <w:spacing w:after="0" w:line="240" w:lineRule="auto"/>
        <w:ind w:firstLine="720"/>
        <w:rPr>
          <w:rFonts w:ascii="Calibri" w:hAnsi="Calibri" w:cs="Calibri"/>
          <w:kern w:val="0"/>
          <w14:ligatures w14:val="none"/>
        </w:rPr>
      </w:pPr>
    </w:p>
    <w:p w14:paraId="4E987968" w14:textId="77777777" w:rsidR="00A632E9" w:rsidRPr="00A632E9" w:rsidRDefault="00A632E9" w:rsidP="00A632E9">
      <w:pPr>
        <w:autoSpaceDE w:val="0"/>
        <w:autoSpaceDN w:val="0"/>
        <w:adjustRightInd w:val="0"/>
        <w:spacing w:after="0" w:line="240" w:lineRule="auto"/>
        <w:ind w:firstLine="720"/>
        <w:rPr>
          <w:rFonts w:ascii="Calibri" w:hAnsi="Calibri" w:cs="Calibri"/>
          <w:kern w:val="0"/>
          <w14:ligatures w14:val="none"/>
        </w:rPr>
      </w:pPr>
      <w:r w:rsidRPr="00A632E9">
        <w:rPr>
          <w:rFonts w:ascii="Calibri-Bold" w:hAnsi="Calibri-Bold" w:cs="Calibri-Bold"/>
          <w:b/>
          <w:bCs/>
          <w:kern w:val="0"/>
          <w14:ligatures w14:val="none"/>
        </w:rPr>
        <w:t xml:space="preserve">Monitoring: </w:t>
      </w:r>
      <w:r w:rsidRPr="00A632E9">
        <w:rPr>
          <w:rFonts w:ascii="Calibri" w:hAnsi="Calibri" w:cs="Calibri"/>
          <w:kern w:val="0"/>
          <w14:ligatures w14:val="none"/>
        </w:rPr>
        <w:t>Any category receiving a less than exceptional rating (satisfactory level) will be</w:t>
      </w:r>
    </w:p>
    <w:p w14:paraId="4A765BDA" w14:textId="77777777" w:rsidR="00A632E9" w:rsidRPr="00A632E9" w:rsidRDefault="00A632E9" w:rsidP="00A632E9">
      <w:pPr>
        <w:autoSpaceDE w:val="0"/>
        <w:autoSpaceDN w:val="0"/>
        <w:adjustRightInd w:val="0"/>
        <w:spacing w:after="0" w:line="240" w:lineRule="auto"/>
        <w:ind w:firstLine="720"/>
        <w:rPr>
          <w:rFonts w:ascii="Calibri" w:hAnsi="Calibri" w:cs="Calibri"/>
          <w:kern w:val="0"/>
          <w14:ligatures w14:val="none"/>
        </w:rPr>
      </w:pPr>
      <w:r w:rsidRPr="00A632E9">
        <w:rPr>
          <w:rFonts w:ascii="Calibri" w:hAnsi="Calibri" w:cs="Calibri"/>
          <w:kern w:val="0"/>
          <w14:ligatures w14:val="none"/>
        </w:rPr>
        <w:t>evaluated quarterly and policy changes shall be instituted.</w:t>
      </w:r>
    </w:p>
    <w:p w14:paraId="39AEA891" w14:textId="77777777" w:rsidR="00A632E9" w:rsidRPr="00A632E9" w:rsidRDefault="00A632E9" w:rsidP="00A632E9">
      <w:pPr>
        <w:autoSpaceDE w:val="0"/>
        <w:autoSpaceDN w:val="0"/>
        <w:adjustRightInd w:val="0"/>
        <w:spacing w:after="0" w:line="240" w:lineRule="auto"/>
        <w:ind w:firstLine="720"/>
        <w:rPr>
          <w:rFonts w:ascii="Calibri" w:hAnsi="Calibri" w:cs="Calibri"/>
          <w:kern w:val="0"/>
          <w14:ligatures w14:val="none"/>
        </w:rPr>
      </w:pPr>
    </w:p>
    <w:p w14:paraId="7C858B81" w14:textId="77777777" w:rsidR="00A632E9" w:rsidRPr="00A632E9" w:rsidRDefault="00A632E9" w:rsidP="00431EC4">
      <w:pPr>
        <w:ind w:left="720"/>
        <w:jc w:val="both"/>
        <w:rPr>
          <w:bCs/>
          <w:kern w:val="0"/>
          <w14:ligatures w14:val="none"/>
        </w:rPr>
      </w:pPr>
      <w:r w:rsidRPr="00A632E9">
        <w:rPr>
          <w:b/>
          <w:kern w:val="0"/>
          <w14:ligatures w14:val="none"/>
        </w:rPr>
        <w:t>2. Quality of Care –</w:t>
      </w:r>
      <w:r w:rsidRPr="00A632E9">
        <w:rPr>
          <w:bCs/>
          <w:kern w:val="0"/>
          <w14:ligatures w14:val="none"/>
        </w:rPr>
        <w:t xml:space="preserve"> </w:t>
      </w:r>
      <w:r w:rsidRPr="00A632E9">
        <w:rPr>
          <w:b/>
          <w:kern w:val="0"/>
          <w14:ligatures w14:val="none"/>
        </w:rPr>
        <w:t>Critical Value Reporting:</w:t>
      </w:r>
      <w:r w:rsidRPr="00A632E9">
        <w:rPr>
          <w:bCs/>
          <w:kern w:val="0"/>
          <w14:ligatures w14:val="none"/>
        </w:rPr>
        <w:t xml:space="preserve"> When critical values or abnormal test results are registered within an electronic medical record for a patient, the referring physician is notified via electronic communication. A benefit of having an integrated electronic medical record and PACS system is the ability to send these messages to a referring physician, so that clinical decisions may be expedited.</w:t>
      </w:r>
    </w:p>
    <w:p w14:paraId="2A45C2FC" w14:textId="77777777" w:rsidR="00A632E9" w:rsidRPr="00A632E9" w:rsidRDefault="00A632E9" w:rsidP="00A632E9">
      <w:pPr>
        <w:ind w:left="720"/>
        <w:jc w:val="both"/>
        <w:rPr>
          <w:bCs/>
          <w:kern w:val="0"/>
          <w14:ligatures w14:val="none"/>
        </w:rPr>
      </w:pPr>
      <w:r w:rsidRPr="00A632E9">
        <w:rPr>
          <w:b/>
          <w:kern w:val="0"/>
          <w14:ligatures w14:val="none"/>
        </w:rPr>
        <w:t>Measure:</w:t>
      </w:r>
      <w:r w:rsidRPr="00A632E9">
        <w:rPr>
          <w:bCs/>
          <w:kern w:val="0"/>
          <w14:ligatures w14:val="none"/>
        </w:rPr>
        <w:t xml:space="preserve"> Number of contracted radiologists conducting critical value reporting on cases being interpreted.</w:t>
      </w:r>
    </w:p>
    <w:p w14:paraId="5155FF68" w14:textId="5A4D1923" w:rsidR="00A632E9" w:rsidRPr="00A632E9" w:rsidRDefault="00A632E9" w:rsidP="00A632E9">
      <w:pPr>
        <w:ind w:left="720"/>
        <w:jc w:val="both"/>
        <w:rPr>
          <w:bCs/>
          <w:kern w:val="0"/>
          <w14:ligatures w14:val="none"/>
        </w:rPr>
      </w:pPr>
      <w:r w:rsidRPr="00A632E9">
        <w:rPr>
          <w:b/>
          <w:kern w:val="0"/>
          <w14:ligatures w14:val="none"/>
        </w:rPr>
        <w:t>Projections:</w:t>
      </w:r>
      <w:r w:rsidRPr="00A632E9">
        <w:rPr>
          <w:bCs/>
          <w:kern w:val="0"/>
          <w14:ligatures w14:val="none"/>
        </w:rPr>
        <w:t xml:space="preserve"> Baseline: 100% Year 1: 100% Year 2: 100% Year 3: 100</w:t>
      </w:r>
      <w:r w:rsidR="000E21DB">
        <w:rPr>
          <w:bCs/>
          <w:kern w:val="0"/>
          <w14:ligatures w14:val="none"/>
        </w:rPr>
        <w:t>%</w:t>
      </w:r>
    </w:p>
    <w:p w14:paraId="6B342C05" w14:textId="77777777" w:rsidR="00A632E9" w:rsidRPr="00A632E9" w:rsidRDefault="00A632E9" w:rsidP="00A632E9">
      <w:pPr>
        <w:ind w:left="720"/>
        <w:jc w:val="both"/>
        <w:rPr>
          <w:kern w:val="0"/>
          <w14:ligatures w14:val="none"/>
        </w:rPr>
      </w:pPr>
      <w:r w:rsidRPr="00A632E9">
        <w:rPr>
          <w:b/>
          <w:bCs/>
          <w:kern w:val="0"/>
          <w14:ligatures w14:val="none"/>
        </w:rPr>
        <w:t>Monitoring:</w:t>
      </w:r>
      <w:r w:rsidRPr="00A632E9">
        <w:rPr>
          <w:kern w:val="0"/>
          <w14:ligatures w14:val="none"/>
        </w:rPr>
        <w:t xml:space="preserve"> PET/CT scans will be forwarded to the medical records department and follow-up will be conducted to the referring physician. The radiologist will be available to answer any questions.</w:t>
      </w:r>
    </w:p>
    <w:p w14:paraId="4B89A397" w14:textId="77777777" w:rsidR="00A632E9" w:rsidRPr="00A632E9" w:rsidRDefault="00A632E9" w:rsidP="00431EC4">
      <w:pPr>
        <w:ind w:left="720"/>
        <w:jc w:val="both"/>
        <w:rPr>
          <w:bCs/>
          <w:kern w:val="0"/>
          <w14:ligatures w14:val="none"/>
        </w:rPr>
      </w:pPr>
      <w:r w:rsidRPr="00A632E9">
        <w:rPr>
          <w:b/>
          <w:kern w:val="0"/>
          <w14:ligatures w14:val="none"/>
        </w:rPr>
        <w:t>3. Quality of Care – Quality of PET/CT scan:</w:t>
      </w:r>
      <w:r w:rsidRPr="00A632E9">
        <w:rPr>
          <w:bCs/>
          <w:kern w:val="0"/>
          <w14:ligatures w14:val="none"/>
        </w:rPr>
        <w:t xml:space="preserve"> The quality of a PET/CT scan is imperative to its interpretation. Accordingly, the Applicant will evaluate the number of scans that need to be repeated over the course of a week to ensure radiology technicians are performing appropriate scans. Given that the PET/CT equipment will only be available </w:t>
      </w:r>
      <w:proofErr w:type="gramStart"/>
      <w:r w:rsidRPr="00A632E9">
        <w:rPr>
          <w:bCs/>
          <w:kern w:val="0"/>
          <w14:ligatures w14:val="none"/>
        </w:rPr>
        <w:t>one-day</w:t>
      </w:r>
      <w:proofErr w:type="gramEnd"/>
      <w:r w:rsidRPr="00A632E9">
        <w:rPr>
          <w:bCs/>
          <w:kern w:val="0"/>
          <w14:ligatures w14:val="none"/>
        </w:rPr>
        <w:t xml:space="preserve"> per week, the next opportunity for a scan would be seven days later.</w:t>
      </w:r>
    </w:p>
    <w:p w14:paraId="7A55C7B8" w14:textId="77777777" w:rsidR="00A632E9" w:rsidRPr="00A632E9" w:rsidRDefault="00A632E9" w:rsidP="00A632E9">
      <w:pPr>
        <w:ind w:left="720"/>
        <w:jc w:val="both"/>
        <w:rPr>
          <w:bCs/>
          <w:kern w:val="0"/>
          <w14:ligatures w14:val="none"/>
        </w:rPr>
      </w:pPr>
      <w:r w:rsidRPr="00A632E9">
        <w:rPr>
          <w:b/>
          <w:kern w:val="0"/>
          <w14:ligatures w14:val="none"/>
        </w:rPr>
        <w:lastRenderedPageBreak/>
        <w:t xml:space="preserve">Measure: </w:t>
      </w:r>
      <w:r w:rsidRPr="00A632E9">
        <w:rPr>
          <w:bCs/>
          <w:kern w:val="0"/>
          <w14:ligatures w14:val="none"/>
        </w:rPr>
        <w:t>The number of repeat PET/CT scans performed on patients within a seven-day period (day of scan to next day of scan)</w:t>
      </w:r>
    </w:p>
    <w:p w14:paraId="47DBE550" w14:textId="77777777" w:rsidR="00A632E9" w:rsidRPr="00A632E9" w:rsidRDefault="00A632E9" w:rsidP="00A632E9">
      <w:pPr>
        <w:ind w:left="720"/>
        <w:jc w:val="both"/>
        <w:rPr>
          <w:kern w:val="0"/>
          <w14:ligatures w14:val="none"/>
        </w:rPr>
      </w:pPr>
      <w:r w:rsidRPr="00A632E9">
        <w:rPr>
          <w:b/>
          <w:kern w:val="0"/>
          <w14:ligatures w14:val="none"/>
        </w:rPr>
        <w:t xml:space="preserve">Projections: </w:t>
      </w:r>
      <w:r w:rsidRPr="00A632E9">
        <w:rPr>
          <w:kern w:val="0"/>
          <w14:ligatures w14:val="none"/>
        </w:rPr>
        <w:t>Baseline: 1.5% Year 1: 1% Year 2: 1% Year 3: .08%</w:t>
      </w:r>
    </w:p>
    <w:p w14:paraId="59F9177C" w14:textId="77777777" w:rsidR="00A632E9" w:rsidRPr="00A632E9" w:rsidRDefault="00A632E9" w:rsidP="00A632E9">
      <w:pPr>
        <w:ind w:left="720"/>
        <w:jc w:val="both"/>
        <w:rPr>
          <w:bCs/>
          <w:kern w:val="0"/>
          <w14:ligatures w14:val="none"/>
        </w:rPr>
      </w:pPr>
      <w:r w:rsidRPr="00A632E9">
        <w:rPr>
          <w:b/>
          <w:kern w:val="0"/>
          <w14:ligatures w14:val="none"/>
        </w:rPr>
        <w:t xml:space="preserve">Monitoring: </w:t>
      </w:r>
      <w:r w:rsidRPr="00A632E9">
        <w:rPr>
          <w:bCs/>
          <w:kern w:val="0"/>
          <w14:ligatures w14:val="none"/>
        </w:rPr>
        <w:t>PET/CT technologists will track the number of scans that are repeated and scheduled for the next scan day. Technologists will document each case and conduct a monthly comparison to total volume to meet or exceed the metric.</w:t>
      </w:r>
    </w:p>
    <w:p w14:paraId="4406DFB1" w14:textId="77777777" w:rsidR="00A632E9" w:rsidRPr="00A632E9" w:rsidRDefault="00A632E9" w:rsidP="00431EC4">
      <w:pPr>
        <w:autoSpaceDE w:val="0"/>
        <w:autoSpaceDN w:val="0"/>
        <w:adjustRightInd w:val="0"/>
        <w:spacing w:after="0" w:line="240" w:lineRule="auto"/>
        <w:ind w:left="720"/>
        <w:jc w:val="both"/>
        <w:rPr>
          <w:bCs/>
          <w:kern w:val="0"/>
          <w14:ligatures w14:val="none"/>
        </w:rPr>
      </w:pPr>
      <w:r w:rsidRPr="00A632E9">
        <w:rPr>
          <w:b/>
          <w:kern w:val="0"/>
          <w14:ligatures w14:val="none"/>
        </w:rPr>
        <w:t xml:space="preserve">4. Quality of Care – Peer Review Over Read Correlation: </w:t>
      </w:r>
      <w:r w:rsidRPr="00A632E9">
        <w:rPr>
          <w:bCs/>
          <w:kern w:val="0"/>
          <w14:ligatures w14:val="none"/>
        </w:rPr>
        <w:t>To evaluate the accuracy of scan interpretations, the Applicant will conduct peer review readings to ensure quality outcomes for patients.</w:t>
      </w:r>
    </w:p>
    <w:p w14:paraId="56C05580" w14:textId="77777777" w:rsidR="00A632E9" w:rsidRPr="00A632E9" w:rsidRDefault="00A632E9" w:rsidP="00A632E9">
      <w:pPr>
        <w:autoSpaceDE w:val="0"/>
        <w:autoSpaceDN w:val="0"/>
        <w:adjustRightInd w:val="0"/>
        <w:spacing w:after="0" w:line="240" w:lineRule="auto"/>
        <w:jc w:val="both"/>
        <w:rPr>
          <w:bCs/>
          <w:kern w:val="0"/>
          <w14:ligatures w14:val="none"/>
        </w:rPr>
      </w:pPr>
    </w:p>
    <w:p w14:paraId="2B9D054A" w14:textId="77777777" w:rsidR="00A632E9" w:rsidRPr="00A632E9" w:rsidRDefault="00A632E9" w:rsidP="00A632E9">
      <w:pPr>
        <w:ind w:left="720"/>
        <w:jc w:val="both"/>
        <w:rPr>
          <w:bCs/>
          <w:kern w:val="0"/>
          <w14:ligatures w14:val="none"/>
        </w:rPr>
      </w:pPr>
      <w:r w:rsidRPr="00A632E9">
        <w:rPr>
          <w:b/>
          <w:kern w:val="0"/>
          <w14:ligatures w14:val="none"/>
        </w:rPr>
        <w:t xml:space="preserve">Measure: </w:t>
      </w:r>
      <w:r w:rsidRPr="00A632E9">
        <w:rPr>
          <w:bCs/>
          <w:kern w:val="0"/>
          <w14:ligatures w14:val="none"/>
        </w:rPr>
        <w:t>The Applicant will have contracted radiologists conduct peer review readings on a random basis (1 case per scan day) based on the American College of Radiology (“ACR”) Peer to Peer criteria and will follow-up on all discrepancies with the original reading radiologist.</w:t>
      </w:r>
    </w:p>
    <w:p w14:paraId="41E0B00A" w14:textId="77777777" w:rsidR="00A632E9" w:rsidRPr="00A632E9" w:rsidRDefault="00A632E9" w:rsidP="00A632E9">
      <w:pPr>
        <w:ind w:left="720"/>
        <w:jc w:val="both"/>
        <w:rPr>
          <w:bCs/>
          <w:kern w:val="0"/>
          <w14:ligatures w14:val="none"/>
        </w:rPr>
      </w:pPr>
      <w:r w:rsidRPr="00A632E9">
        <w:rPr>
          <w:b/>
          <w:kern w:val="0"/>
          <w14:ligatures w14:val="none"/>
        </w:rPr>
        <w:t xml:space="preserve">Projections: </w:t>
      </w:r>
      <w:r w:rsidRPr="00A632E9">
        <w:rPr>
          <w:bCs/>
          <w:kern w:val="0"/>
          <w14:ligatures w14:val="none"/>
        </w:rPr>
        <w:t>Baseline: 95% Year 1: 96% Year 2: 97% Year 3: 100%</w:t>
      </w:r>
    </w:p>
    <w:p w14:paraId="63CE4666" w14:textId="77777777" w:rsidR="00A632E9" w:rsidRPr="00A632E9" w:rsidRDefault="00A632E9" w:rsidP="00A632E9">
      <w:pPr>
        <w:ind w:left="720"/>
        <w:jc w:val="both"/>
        <w:rPr>
          <w:bCs/>
          <w:kern w:val="0"/>
          <w14:ligatures w14:val="none"/>
        </w:rPr>
      </w:pPr>
      <w:r w:rsidRPr="00A632E9">
        <w:rPr>
          <w:b/>
          <w:bCs/>
          <w:kern w:val="0"/>
          <w14:ligatures w14:val="none"/>
        </w:rPr>
        <w:t xml:space="preserve">Monitoring: </w:t>
      </w:r>
      <w:r w:rsidRPr="00A632E9">
        <w:rPr>
          <w:bCs/>
          <w:kern w:val="0"/>
          <w14:ligatures w14:val="none"/>
        </w:rPr>
        <w:t>A random selection of cases based on ACR Peer to Peer criteria will be reviewed. Radiologists will evaluate scans, document any inconsistencies, and discuss outstanding issues with the original reading radiologist.</w:t>
      </w:r>
    </w:p>
    <w:p w14:paraId="7B6F9DEE" w14:textId="77777777" w:rsidR="00A632E9" w:rsidRPr="00A632E9" w:rsidRDefault="00A632E9" w:rsidP="00431EC4">
      <w:pPr>
        <w:autoSpaceDE w:val="0"/>
        <w:autoSpaceDN w:val="0"/>
        <w:adjustRightInd w:val="0"/>
        <w:spacing w:after="0" w:line="240" w:lineRule="auto"/>
        <w:ind w:left="720"/>
        <w:jc w:val="both"/>
        <w:rPr>
          <w:bCs/>
          <w:kern w:val="0"/>
          <w14:ligatures w14:val="none"/>
        </w:rPr>
      </w:pPr>
      <w:r w:rsidRPr="00A632E9">
        <w:rPr>
          <w:b/>
          <w:kern w:val="0"/>
          <w14:ligatures w14:val="none"/>
        </w:rPr>
        <w:t>5. Provider Satisfaction – Value Assessment:</w:t>
      </w:r>
      <w:r w:rsidRPr="00A632E9">
        <w:rPr>
          <w:bCs/>
          <w:kern w:val="0"/>
          <w14:ligatures w14:val="none"/>
        </w:rPr>
        <w:t xml:space="preserve"> Ensuring provider satisfaction with PET/CT scans and their overall value when treating patients is necessary to assess the impact on care for patients. The Applicant will survey referring physicians to validate scan utility.</w:t>
      </w:r>
    </w:p>
    <w:p w14:paraId="040A9C5D" w14:textId="77777777" w:rsidR="00A632E9" w:rsidRPr="00A632E9" w:rsidRDefault="00A632E9" w:rsidP="00A632E9">
      <w:pPr>
        <w:autoSpaceDE w:val="0"/>
        <w:autoSpaceDN w:val="0"/>
        <w:adjustRightInd w:val="0"/>
        <w:spacing w:after="0" w:line="240" w:lineRule="auto"/>
        <w:jc w:val="both"/>
        <w:rPr>
          <w:b/>
          <w:kern w:val="0"/>
          <w14:ligatures w14:val="none"/>
        </w:rPr>
      </w:pPr>
    </w:p>
    <w:p w14:paraId="261D5AA7" w14:textId="77777777" w:rsidR="00A632E9" w:rsidRPr="00A632E9" w:rsidRDefault="00A632E9" w:rsidP="00A632E9">
      <w:pPr>
        <w:ind w:left="720"/>
        <w:jc w:val="both"/>
        <w:rPr>
          <w:bCs/>
          <w:kern w:val="0"/>
          <w14:ligatures w14:val="none"/>
        </w:rPr>
      </w:pPr>
      <w:r w:rsidRPr="00A632E9">
        <w:rPr>
          <w:b/>
          <w:kern w:val="0"/>
          <w14:ligatures w14:val="none"/>
        </w:rPr>
        <w:t xml:space="preserve">Measure: </w:t>
      </w:r>
      <w:r w:rsidRPr="00A632E9">
        <w:rPr>
          <w:bCs/>
          <w:kern w:val="0"/>
          <w14:ligatures w14:val="none"/>
        </w:rPr>
        <w:t>Confirmation with referral physician about the utility of PET/CT scans.</w:t>
      </w:r>
    </w:p>
    <w:p w14:paraId="4F2B7B5B" w14:textId="77777777" w:rsidR="00A632E9" w:rsidRPr="00A632E9" w:rsidRDefault="00A632E9" w:rsidP="00A632E9">
      <w:pPr>
        <w:ind w:left="720"/>
        <w:jc w:val="both"/>
        <w:rPr>
          <w:bCs/>
          <w:kern w:val="0"/>
          <w14:ligatures w14:val="none"/>
        </w:rPr>
      </w:pPr>
      <w:r w:rsidRPr="00A632E9">
        <w:rPr>
          <w:b/>
          <w:kern w:val="0"/>
          <w14:ligatures w14:val="none"/>
        </w:rPr>
        <w:t xml:space="preserve">Projections: </w:t>
      </w:r>
      <w:r w:rsidRPr="00A632E9">
        <w:rPr>
          <w:bCs/>
          <w:kern w:val="0"/>
          <w14:ligatures w14:val="none"/>
        </w:rPr>
        <w:t>Baseline: 95% Year 1: 96% Year 2: 97% Year 3: 100%</w:t>
      </w:r>
    </w:p>
    <w:p w14:paraId="52281EDC" w14:textId="77777777" w:rsidR="00A632E9" w:rsidRDefault="00A632E9" w:rsidP="0019390A">
      <w:pPr>
        <w:spacing w:after="0" w:line="240" w:lineRule="auto"/>
        <w:ind w:left="720"/>
        <w:jc w:val="both"/>
        <w:rPr>
          <w:bCs/>
          <w:kern w:val="0"/>
          <w14:ligatures w14:val="none"/>
        </w:rPr>
      </w:pPr>
      <w:r w:rsidRPr="00A632E9">
        <w:rPr>
          <w:b/>
          <w:kern w:val="0"/>
          <w14:ligatures w14:val="none"/>
        </w:rPr>
        <w:t xml:space="preserve">Monitoring: </w:t>
      </w:r>
      <w:r w:rsidRPr="00A632E9">
        <w:rPr>
          <w:bCs/>
          <w:kern w:val="0"/>
          <w14:ligatures w14:val="none"/>
        </w:rPr>
        <w:t>PET/CT referral physician population will be queried to validate scan utility via surveys.</w:t>
      </w:r>
    </w:p>
    <w:p w14:paraId="35112805" w14:textId="77777777" w:rsidR="0063226A" w:rsidRDefault="0063226A" w:rsidP="0019390A">
      <w:pPr>
        <w:spacing w:after="0" w:line="240" w:lineRule="auto"/>
        <w:ind w:left="720"/>
        <w:jc w:val="both"/>
        <w:rPr>
          <w:bCs/>
          <w:kern w:val="0"/>
          <w14:ligatures w14:val="none"/>
        </w:rPr>
      </w:pPr>
    </w:p>
    <w:p w14:paraId="1D072729" w14:textId="77777777" w:rsidR="0063226A" w:rsidRDefault="0063226A" w:rsidP="0019390A">
      <w:pPr>
        <w:spacing w:after="0" w:line="240" w:lineRule="auto"/>
        <w:ind w:left="720"/>
        <w:jc w:val="both"/>
        <w:rPr>
          <w:bCs/>
          <w:kern w:val="0"/>
          <w14:ligatures w14:val="none"/>
        </w:rPr>
      </w:pPr>
    </w:p>
    <w:p w14:paraId="6DE164D2" w14:textId="77777777" w:rsidR="00A632E9" w:rsidRPr="00A632E9" w:rsidRDefault="00A632E9" w:rsidP="00AC2FF8">
      <w:pPr>
        <w:spacing w:after="0" w:line="240" w:lineRule="auto"/>
        <w:rPr>
          <w:b/>
          <w:bCs/>
          <w:kern w:val="0"/>
          <w14:ligatures w14:val="none"/>
        </w:rPr>
      </w:pPr>
      <w:r w:rsidRPr="00A632E9">
        <w:rPr>
          <w:b/>
          <w:bCs/>
          <w:kern w:val="0"/>
          <w14:ligatures w14:val="none"/>
        </w:rPr>
        <w:t>F1.b.iii</w:t>
      </w:r>
      <w:r w:rsidRPr="00A632E9">
        <w:rPr>
          <w:b/>
          <w:bCs/>
          <w:kern w:val="0"/>
          <w14:ligatures w14:val="none"/>
        </w:rPr>
        <w:tab/>
      </w:r>
      <w:r w:rsidRPr="00A632E9">
        <w:rPr>
          <w:b/>
          <w:bCs/>
          <w:kern w:val="0"/>
          <w:u w:val="single"/>
          <w14:ligatures w14:val="none"/>
        </w:rPr>
        <w:t>Public Health Value /Health Equity-Focused</w:t>
      </w:r>
    </w:p>
    <w:p w14:paraId="2F3140D8" w14:textId="77777777" w:rsidR="00AC2FF8" w:rsidRDefault="00AC2FF8" w:rsidP="00AC2FF8">
      <w:pPr>
        <w:spacing w:after="0" w:line="240" w:lineRule="auto"/>
        <w:jc w:val="both"/>
        <w:rPr>
          <w:b/>
          <w:bCs/>
          <w:kern w:val="0"/>
          <w14:ligatures w14:val="none"/>
        </w:rPr>
      </w:pPr>
    </w:p>
    <w:p w14:paraId="7AE5CEE3" w14:textId="3BEDDC82" w:rsidR="00A632E9" w:rsidRDefault="00A632E9" w:rsidP="00AC2FF8">
      <w:pPr>
        <w:spacing w:after="0" w:line="240" w:lineRule="auto"/>
        <w:jc w:val="both"/>
        <w:rPr>
          <w:b/>
          <w:bCs/>
          <w:kern w:val="0"/>
          <w14:ligatures w14:val="none"/>
        </w:rPr>
      </w:pPr>
      <w:r w:rsidRPr="00A632E9">
        <w:rPr>
          <w:b/>
          <w:bCs/>
          <w:kern w:val="0"/>
          <w14:ligatures w14:val="none"/>
        </w:rPr>
        <w:t>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3E47FA43" w14:textId="77777777" w:rsidR="00AC2FF8" w:rsidRPr="00A632E9" w:rsidRDefault="00AC2FF8" w:rsidP="00AC2FF8">
      <w:pPr>
        <w:spacing w:after="0" w:line="240" w:lineRule="auto"/>
        <w:jc w:val="both"/>
        <w:rPr>
          <w:b/>
          <w:bCs/>
          <w:kern w:val="0"/>
          <w14:ligatures w14:val="none"/>
        </w:rPr>
      </w:pPr>
    </w:p>
    <w:p w14:paraId="5D3ECB61" w14:textId="253B8C10"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To ensure health equity for all populations, including those deemed underserved, the Proposed Project will not adversely affect the accessibility of services for poor, medically indigent, and/or Medicaid-eligible individuals. The Applicant will not discriminate based on the ability to pay or payer source following implementation of the Proposed Project. As further detailed throughout this narrative, the Proposed Project will provide access to high-quality PET/CT services for all patients by offering a low-cost alternative in </w:t>
      </w:r>
      <w:r w:rsidR="00EF7A00">
        <w:rPr>
          <w:rFonts w:ascii="Calibri" w:hAnsi="Calibri" w:cs="Calibri"/>
          <w:kern w:val="0"/>
          <w14:ligatures w14:val="none"/>
        </w:rPr>
        <w:t>a</w:t>
      </w:r>
      <w:r w:rsidRPr="00A632E9">
        <w:rPr>
          <w:rFonts w:ascii="Calibri" w:hAnsi="Calibri" w:cs="Calibri"/>
          <w:kern w:val="0"/>
          <w14:ligatures w14:val="none"/>
        </w:rPr>
        <w:t xml:space="preserve"> community setting.</w:t>
      </w:r>
    </w:p>
    <w:p w14:paraId="436ACBD1" w14:textId="77777777" w:rsidR="006D2330" w:rsidRDefault="006D2330" w:rsidP="00A632E9">
      <w:pPr>
        <w:autoSpaceDE w:val="0"/>
        <w:autoSpaceDN w:val="0"/>
        <w:adjustRightInd w:val="0"/>
        <w:spacing w:after="0" w:line="240" w:lineRule="auto"/>
        <w:jc w:val="both"/>
        <w:rPr>
          <w:rFonts w:ascii="Calibri" w:hAnsi="Calibri" w:cs="Calibri"/>
          <w:kern w:val="0"/>
          <w14:ligatures w14:val="none"/>
        </w:rPr>
      </w:pPr>
    </w:p>
    <w:p w14:paraId="1019FA50" w14:textId="6F692D53" w:rsidR="00A632E9" w:rsidRPr="00A632E9" w:rsidRDefault="00A632E9" w:rsidP="00A632E9">
      <w:pPr>
        <w:autoSpaceDE w:val="0"/>
        <w:autoSpaceDN w:val="0"/>
        <w:adjustRightInd w:val="0"/>
        <w:spacing w:after="0" w:line="240" w:lineRule="auto"/>
        <w:jc w:val="both"/>
        <w:rPr>
          <w:rFonts w:ascii="Calibri" w:hAnsi="Calibri" w:cs="Calibri"/>
          <w:color w:val="FFC000"/>
          <w:kern w:val="0"/>
          <w14:ligatures w14:val="none"/>
        </w:rPr>
      </w:pPr>
      <w:r w:rsidRPr="00A632E9">
        <w:rPr>
          <w:rFonts w:ascii="Calibri" w:hAnsi="Calibri" w:cs="Calibri"/>
          <w:kern w:val="0"/>
          <w14:ligatures w14:val="none"/>
        </w:rPr>
        <w:t>The Applicant ascribes importance to the notion that health equity is tied to the affordability of the health care service being provided. A Kaiser Family Foundation survey</w:t>
      </w:r>
      <w:r w:rsidRPr="00A632E9">
        <w:rPr>
          <w:rFonts w:ascii="Calibri" w:hAnsi="Calibri" w:cs="Calibri"/>
          <w:kern w:val="0"/>
          <w:vertAlign w:val="superscript"/>
          <w14:ligatures w14:val="none"/>
        </w:rPr>
        <w:footnoteReference w:id="143"/>
      </w:r>
      <w:r w:rsidRPr="00A632E9">
        <w:rPr>
          <w:rFonts w:ascii="Calibri" w:hAnsi="Calibri" w:cs="Calibri"/>
          <w:kern w:val="0"/>
          <w14:ligatures w14:val="none"/>
        </w:rPr>
        <w:t xml:space="preserve"> found that half of U.S. adults say they or a family member put off or skipped health care or dental care or relied on an alternative treatment because of the cost. As a result, about one in eight said their medical condition </w:t>
      </w:r>
      <w:r w:rsidR="00F96FE6">
        <w:rPr>
          <w:rFonts w:ascii="Calibri" w:hAnsi="Calibri" w:cs="Calibri"/>
          <w:kern w:val="0"/>
          <w14:ligatures w14:val="none"/>
        </w:rPr>
        <w:t>worsened</w:t>
      </w:r>
      <w:r w:rsidRPr="00A632E9">
        <w:rPr>
          <w:rFonts w:ascii="Calibri" w:hAnsi="Calibri" w:cs="Calibri"/>
          <w:kern w:val="0"/>
          <w14:ligatures w14:val="none"/>
        </w:rPr>
        <w:t>. Health care costs top the list of expenses that people report difficulty affording.</w:t>
      </w:r>
      <w:r w:rsidRPr="00A632E9">
        <w:rPr>
          <w:rFonts w:ascii="Calibri" w:hAnsi="Calibri" w:cs="Calibri"/>
          <w:kern w:val="0"/>
          <w:vertAlign w:val="superscript"/>
          <w14:ligatures w14:val="none"/>
        </w:rPr>
        <w:footnoteReference w:id="144"/>
      </w:r>
      <w:r w:rsidRPr="00A632E9">
        <w:rPr>
          <w:rFonts w:ascii="Calibri" w:hAnsi="Calibri" w:cs="Calibri"/>
          <w:kern w:val="0"/>
          <w14:ligatures w14:val="none"/>
        </w:rPr>
        <w:t xml:space="preserve">  The Applicant is addressing this disparity by offering imaging services that are reimbursed at lower, IDTF rates – IDTF’s maintain costs by focusing on one service with much less overhead.</w:t>
      </w:r>
      <w:r w:rsidRPr="00A632E9">
        <w:rPr>
          <w:rFonts w:ascii="Calibri" w:hAnsi="Calibri" w:cs="Calibri"/>
          <w:kern w:val="0"/>
          <w:vertAlign w:val="superscript"/>
          <w14:ligatures w14:val="none"/>
        </w:rPr>
        <w:footnoteReference w:id="145"/>
      </w:r>
      <w:r w:rsidRPr="00A632E9">
        <w:rPr>
          <w:rFonts w:ascii="Calibri" w:hAnsi="Calibri" w:cs="Calibri"/>
          <w:kern w:val="0"/>
          <w14:ligatures w14:val="none"/>
        </w:rPr>
        <w:t xml:space="preserve">  </w:t>
      </w:r>
    </w:p>
    <w:p w14:paraId="4FA49977"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78A0523A" w14:textId="77777777" w:rsid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The Applicant will not discriminate based on the ability to pay or payer source following implementation of the Proposed Project. The Applicant accepts all forms of insurance. In addition, the Applicant will offer price transparency tools to ensure that all patients have access to current pricing information. By providing this information patients may determine if specific procedures are affordable. The Applicant will also provide financial counselors for assistance in understanding insurance benefits.</w:t>
      </w:r>
    </w:p>
    <w:p w14:paraId="65D0D138" w14:textId="77777777" w:rsidR="00AC2FF8" w:rsidRPr="00A632E9" w:rsidRDefault="00AC2FF8" w:rsidP="00A632E9">
      <w:pPr>
        <w:autoSpaceDE w:val="0"/>
        <w:autoSpaceDN w:val="0"/>
        <w:adjustRightInd w:val="0"/>
        <w:spacing w:after="0" w:line="240" w:lineRule="auto"/>
        <w:jc w:val="both"/>
        <w:rPr>
          <w:rFonts w:ascii="Calibri" w:hAnsi="Calibri" w:cs="Calibri"/>
          <w:kern w:val="0"/>
          <w14:ligatures w14:val="none"/>
        </w:rPr>
      </w:pPr>
    </w:p>
    <w:p w14:paraId="6B55766A" w14:textId="325B053F"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The Proposed Project will improve affordability for lower-income residents by offering imaging services at a lower cost than hospital-based imaging</w:t>
      </w:r>
      <w:r w:rsidR="000F460B">
        <w:rPr>
          <w:rFonts w:ascii="Calibri" w:hAnsi="Calibri" w:cs="Calibri"/>
          <w:kern w:val="0"/>
          <w14:ligatures w14:val="none"/>
        </w:rPr>
        <w:t>,</w:t>
      </w:r>
      <w:r w:rsidRPr="00A632E9">
        <w:rPr>
          <w:rFonts w:ascii="Calibri" w:hAnsi="Calibri" w:cs="Calibri"/>
          <w:kern w:val="0"/>
          <w14:ligatures w14:val="none"/>
        </w:rPr>
        <w:t xml:space="preserve"> which will reduce out-of-pocket expenses for patients with cost-sharing obligations for these services and it will help address inequities in access and cost of care.</w:t>
      </w:r>
    </w:p>
    <w:p w14:paraId="48ACB625"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24D48A2D" w14:textId="559777A8"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The population within the </w:t>
      </w:r>
      <w:r w:rsidR="007F7DC5">
        <w:rPr>
          <w:rFonts w:ascii="Calibri" w:hAnsi="Calibri" w:cs="Calibri"/>
          <w:kern w:val="0"/>
          <w14:ligatures w14:val="none"/>
        </w:rPr>
        <w:t xml:space="preserve">service area </w:t>
      </w:r>
      <w:r w:rsidRPr="00A632E9">
        <w:rPr>
          <w:rFonts w:ascii="Calibri" w:hAnsi="Calibri" w:cs="Calibri"/>
          <w:kern w:val="0"/>
          <w14:ligatures w14:val="none"/>
        </w:rPr>
        <w:t xml:space="preserve">of the Proposed Project reflects moderate diversity that necessitates the implementation of commensurate, culturally appropriate support services to ensure improved patient experience and higher-quality outcomes. Accordingly, the Applicant will employ culturally competent staff and </w:t>
      </w:r>
      <w:r w:rsidR="00557B0A">
        <w:rPr>
          <w:rFonts w:ascii="Calibri" w:hAnsi="Calibri" w:cs="Calibri"/>
          <w:kern w:val="0"/>
          <w14:ligatures w14:val="none"/>
        </w:rPr>
        <w:t>plan</w:t>
      </w:r>
      <w:r w:rsidRPr="00A632E9">
        <w:rPr>
          <w:rFonts w:ascii="Calibri" w:hAnsi="Calibri" w:cs="Calibri"/>
          <w:kern w:val="0"/>
          <w14:ligatures w14:val="none"/>
        </w:rPr>
        <w:t xml:space="preserve"> to implement a robust translation services program. </w:t>
      </w:r>
    </w:p>
    <w:p w14:paraId="08C5A6EF"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21A1D659" w14:textId="7EF52671"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The Applicant respects and honors the cultural differences among its patient panel and staff. The </w:t>
      </w:r>
      <w:r w:rsidR="009F799E">
        <w:rPr>
          <w:rFonts w:ascii="Calibri" w:hAnsi="Calibri" w:cs="Calibri"/>
          <w:kern w:val="0"/>
          <w14:ligatures w14:val="none"/>
        </w:rPr>
        <w:t>Atrius</w:t>
      </w:r>
      <w:r w:rsidR="00B0215B">
        <w:rPr>
          <w:rFonts w:ascii="Calibri" w:hAnsi="Calibri" w:cs="Calibri"/>
          <w:kern w:val="0"/>
          <w14:ligatures w14:val="none"/>
        </w:rPr>
        <w:t xml:space="preserve"> Health</w:t>
      </w:r>
      <w:r w:rsidRPr="00A632E9">
        <w:rPr>
          <w:rFonts w:ascii="Calibri" w:hAnsi="Calibri" w:cs="Calibri"/>
          <w:kern w:val="0"/>
          <w14:ligatures w14:val="none"/>
        </w:rPr>
        <w:t xml:space="preserve">, Health Equity Steering Committee is charged with monitoring health disparities and establishing plans to reduce inequities, improving equitable access to services for all </w:t>
      </w:r>
      <w:r w:rsidR="009F799E">
        <w:rPr>
          <w:rFonts w:ascii="Calibri" w:hAnsi="Calibri" w:cs="Calibri"/>
          <w:kern w:val="0"/>
          <w14:ligatures w14:val="none"/>
        </w:rPr>
        <w:t>Atrius</w:t>
      </w:r>
      <w:r w:rsidRPr="00A632E9">
        <w:rPr>
          <w:rFonts w:ascii="Calibri" w:hAnsi="Calibri" w:cs="Calibri"/>
          <w:kern w:val="0"/>
          <w14:ligatures w14:val="none"/>
        </w:rPr>
        <w:t xml:space="preserve"> </w:t>
      </w:r>
      <w:r w:rsidR="00B0215B">
        <w:rPr>
          <w:rFonts w:ascii="Calibri" w:hAnsi="Calibri" w:cs="Calibri"/>
          <w:kern w:val="0"/>
          <w14:ligatures w14:val="none"/>
        </w:rPr>
        <w:t xml:space="preserve">Health’s </w:t>
      </w:r>
      <w:r w:rsidRPr="00A632E9">
        <w:rPr>
          <w:rFonts w:ascii="Calibri" w:hAnsi="Calibri" w:cs="Calibri"/>
          <w:kern w:val="0"/>
          <w14:ligatures w14:val="none"/>
        </w:rPr>
        <w:t>patients. The scope of the Health Equity Steering Committee is broad and includes ancillary and imaging services, including those imaging services to be provided under the Proposed Project.</w:t>
      </w:r>
    </w:p>
    <w:p w14:paraId="58A8DEA9"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6172DA6D" w14:textId="77777777" w:rsid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The Applicant is sensitive to matters regarding diversity, equity, and inclusion (“DEI”) and offers ongoing education and training of staff in culturally and linguistically appropriate care, along with several tools to accommodate patients’ needs and preferences. The Applicant will offer multiple tools to address language barriers, including Language Line</w:t>
      </w:r>
      <w:r w:rsidRPr="00A632E9">
        <w:rPr>
          <w:rFonts w:ascii="Calibri" w:hAnsi="Calibri" w:cs="Calibri"/>
          <w:kern w:val="0"/>
          <w:vertAlign w:val="superscript"/>
          <w14:ligatures w14:val="none"/>
        </w:rPr>
        <w:footnoteReference w:id="146"/>
      </w:r>
      <w:r w:rsidRPr="00A632E9">
        <w:rPr>
          <w:rFonts w:ascii="Calibri" w:hAnsi="Calibri" w:cs="Calibri"/>
          <w:kern w:val="0"/>
          <w14:ligatures w14:val="none"/>
        </w:rPr>
        <w:t xml:space="preserve"> and </w:t>
      </w:r>
      <w:proofErr w:type="spellStart"/>
      <w:r w:rsidRPr="00A632E9">
        <w:rPr>
          <w:rFonts w:ascii="Calibri" w:hAnsi="Calibri" w:cs="Calibri"/>
          <w:kern w:val="0"/>
          <w14:ligatures w14:val="none"/>
        </w:rPr>
        <w:t>InDemand</w:t>
      </w:r>
      <w:proofErr w:type="spellEnd"/>
      <w:r w:rsidRPr="00A632E9">
        <w:rPr>
          <w:rFonts w:ascii="Calibri" w:hAnsi="Calibri" w:cs="Calibri"/>
          <w:kern w:val="0"/>
          <w14:ligatures w14:val="none"/>
        </w:rPr>
        <w:t xml:space="preserve"> interpreting to provide multiple options for translation services.</w:t>
      </w:r>
      <w:r w:rsidRPr="00A632E9">
        <w:rPr>
          <w:rFonts w:ascii="Calibri" w:hAnsi="Calibri" w:cs="Calibri"/>
          <w:kern w:val="0"/>
          <w:vertAlign w:val="superscript"/>
          <w14:ligatures w14:val="none"/>
        </w:rPr>
        <w:footnoteReference w:id="147"/>
      </w:r>
      <w:r w:rsidRPr="00A632E9">
        <w:rPr>
          <w:rFonts w:ascii="Calibri" w:hAnsi="Calibri" w:cs="Calibri"/>
          <w:kern w:val="0"/>
          <w14:ligatures w14:val="none"/>
        </w:rPr>
        <w:t xml:space="preserve"> Language Line provides quality phone and video interpretation services from highly trained professional linguists in more than 240 languages 24 hours a day, 7 days a week, facilitating more than 35 million interactions a year. </w:t>
      </w:r>
      <w:proofErr w:type="spellStart"/>
      <w:r w:rsidRPr="00A632E9">
        <w:rPr>
          <w:rFonts w:ascii="Calibri" w:hAnsi="Calibri" w:cs="Calibri"/>
          <w:kern w:val="0"/>
          <w14:ligatures w14:val="none"/>
        </w:rPr>
        <w:t>lnDemand</w:t>
      </w:r>
      <w:proofErr w:type="spellEnd"/>
      <w:r w:rsidRPr="00A632E9">
        <w:rPr>
          <w:rFonts w:ascii="Calibri" w:hAnsi="Calibri" w:cs="Calibri"/>
          <w:kern w:val="0"/>
          <w14:ligatures w14:val="none"/>
        </w:rPr>
        <w:t xml:space="preserve"> offers leading-edge medical interpreting solutions, which allow clinicians to provide their limited English proficient, deaf, and hard-of-hearing patients with access to the </w:t>
      </w:r>
      <w:r w:rsidRPr="00A632E9">
        <w:rPr>
          <w:rFonts w:ascii="Calibri" w:hAnsi="Calibri" w:cs="Calibri"/>
          <w:kern w:val="0"/>
          <w14:ligatures w14:val="none"/>
        </w:rPr>
        <w:lastRenderedPageBreak/>
        <w:t>highest quality health care. Together, these solutions will eliminate language barriers for patients and ensure culturally appropriate care.</w:t>
      </w:r>
    </w:p>
    <w:p w14:paraId="3F4EC042" w14:textId="77777777" w:rsidR="00057E14" w:rsidRPr="00A632E9" w:rsidRDefault="00057E14" w:rsidP="00A632E9">
      <w:pPr>
        <w:autoSpaceDE w:val="0"/>
        <w:autoSpaceDN w:val="0"/>
        <w:adjustRightInd w:val="0"/>
        <w:spacing w:after="0" w:line="240" w:lineRule="auto"/>
        <w:jc w:val="both"/>
        <w:rPr>
          <w:rFonts w:ascii="Calibri" w:hAnsi="Calibri" w:cs="Calibri"/>
          <w:kern w:val="0"/>
          <w14:ligatures w14:val="none"/>
        </w:rPr>
      </w:pPr>
    </w:p>
    <w:p w14:paraId="3F1B687D" w14:textId="03977736" w:rsidR="00A632E9" w:rsidRPr="00A632E9" w:rsidRDefault="00D2790D" w:rsidP="00A632E9">
      <w:pPr>
        <w:autoSpaceDE w:val="0"/>
        <w:autoSpaceDN w:val="0"/>
        <w:adjustRightInd w:val="0"/>
        <w:spacing w:after="0" w:line="240" w:lineRule="auto"/>
        <w:jc w:val="both"/>
        <w:rPr>
          <w:rFonts w:ascii="Calibri" w:hAnsi="Calibri" w:cs="Calibri"/>
          <w:kern w:val="0"/>
          <w14:ligatures w14:val="none"/>
        </w:rPr>
      </w:pPr>
      <w:r>
        <w:rPr>
          <w:rFonts w:ascii="Calibri" w:hAnsi="Calibri" w:cs="Calibri"/>
          <w:kern w:val="0"/>
          <w14:ligatures w14:val="none"/>
        </w:rPr>
        <w:t>I</w:t>
      </w:r>
      <w:r w:rsidRPr="00D2790D">
        <w:rPr>
          <w:rFonts w:ascii="Calibri" w:hAnsi="Calibri" w:cs="Calibri"/>
          <w:kern w:val="0"/>
          <w14:ligatures w14:val="none"/>
        </w:rPr>
        <w:t>maging services provided by the Applicant will be integrated with Atrius</w:t>
      </w:r>
      <w:r>
        <w:rPr>
          <w:rFonts w:ascii="Calibri" w:hAnsi="Calibri" w:cs="Calibri"/>
          <w:kern w:val="0"/>
          <w14:ligatures w14:val="none"/>
        </w:rPr>
        <w:t xml:space="preserve"> Health</w:t>
      </w:r>
      <w:r w:rsidRPr="00D2790D">
        <w:rPr>
          <w:rFonts w:ascii="Calibri" w:hAnsi="Calibri" w:cs="Calibri"/>
          <w:kern w:val="0"/>
          <w14:ligatures w14:val="none"/>
        </w:rPr>
        <w:t>’s</w:t>
      </w:r>
      <w:r>
        <w:rPr>
          <w:rFonts w:ascii="Calibri" w:hAnsi="Calibri" w:cs="Calibri"/>
          <w:kern w:val="0"/>
          <w14:ligatures w14:val="none"/>
        </w:rPr>
        <w:t xml:space="preserve"> EMR. </w:t>
      </w:r>
      <w:r w:rsidR="00A632E9" w:rsidRPr="00A632E9">
        <w:rPr>
          <w:rFonts w:ascii="Calibri" w:hAnsi="Calibri" w:cs="Calibri"/>
          <w:kern w:val="0"/>
          <w14:ligatures w14:val="none"/>
        </w:rPr>
        <w:t>Utilizing the patients’ medical records and appropriate, pertinent prior imaging, can, in some cases, enable patients to forgo incidental follow-up diagnostic imaging studies, which allows patients to avoid the incremental costs and the inconvenience associated with subsequent imaging.</w:t>
      </w:r>
      <w:r w:rsidR="00A632E9" w:rsidRPr="00A632E9">
        <w:rPr>
          <w:rFonts w:ascii="Calibri" w:hAnsi="Calibri" w:cs="Calibri"/>
          <w:kern w:val="0"/>
          <w:vertAlign w:val="superscript"/>
          <w14:ligatures w14:val="none"/>
        </w:rPr>
        <w:footnoteReference w:id="148"/>
      </w:r>
      <w:r w:rsidR="00A632E9" w:rsidRPr="00A632E9">
        <w:rPr>
          <w:rFonts w:ascii="Calibri" w:hAnsi="Calibri" w:cs="Calibri"/>
          <w:kern w:val="0"/>
        </w:rPr>
        <w:t xml:space="preserve"> According to research from Tine Health, many patients report that there are significant logistical challenges associated with any type of doctor’s appointment due to problems taking time off work, childcare, cost, and not having transportation to and from their appointments.</w:t>
      </w:r>
      <w:r w:rsidR="00A632E9" w:rsidRPr="00A632E9">
        <w:rPr>
          <w:rFonts w:ascii="Calibri" w:hAnsi="Calibri" w:cs="Calibri"/>
          <w:kern w:val="0"/>
          <w:vertAlign w:val="superscript"/>
        </w:rPr>
        <w:footnoteReference w:id="149"/>
      </w:r>
    </w:p>
    <w:p w14:paraId="19844F3E"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03E0AA1C" w14:textId="1FF20D64"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The Proposed Project will provide the opportunity for patients to receive the highest quality imaging at an existing location in Dedham that is nearby to public transportation services.</w:t>
      </w:r>
      <w:r w:rsidRPr="00A632E9">
        <w:rPr>
          <w:rFonts w:ascii="Calibri" w:hAnsi="Calibri" w:cs="Calibri"/>
          <w:kern w:val="0"/>
          <w:vertAlign w:val="superscript"/>
          <w14:ligatures w14:val="none"/>
        </w:rPr>
        <w:footnoteReference w:id="150"/>
      </w:r>
      <w:r w:rsidRPr="00A632E9">
        <w:rPr>
          <w:rFonts w:ascii="Calibri" w:hAnsi="Calibri" w:cs="Calibri"/>
          <w:kern w:val="0"/>
          <w14:ligatures w14:val="none"/>
        </w:rPr>
        <w:t xml:space="preserve"> Being located near public transportation helps prevent barriers to health care (and in this case, diagnostic imaging.)</w:t>
      </w:r>
      <w:r w:rsidRPr="00A632E9">
        <w:rPr>
          <w:rFonts w:ascii="Calibri" w:hAnsi="Calibri" w:cs="Calibri"/>
          <w:kern w:val="0"/>
          <w:vertAlign w:val="superscript"/>
          <w14:ligatures w14:val="none"/>
        </w:rPr>
        <w:footnoteReference w:id="151"/>
      </w:r>
      <w:r w:rsidRPr="00A632E9">
        <w:rPr>
          <w:rFonts w:ascii="Calibri" w:hAnsi="Calibri" w:cs="Calibri"/>
          <w:kern w:val="0"/>
          <w14:ligatures w14:val="none"/>
        </w:rPr>
        <w:t xml:space="preserve"> Transportation barriers are often cited as barriers to </w:t>
      </w:r>
      <w:r w:rsidR="00E14E1F">
        <w:rPr>
          <w:rFonts w:ascii="Calibri" w:hAnsi="Calibri" w:cs="Calibri"/>
          <w:kern w:val="0"/>
          <w14:ligatures w14:val="none"/>
        </w:rPr>
        <w:t>health care</w:t>
      </w:r>
      <w:r w:rsidRPr="00A632E9">
        <w:rPr>
          <w:rFonts w:ascii="Calibri" w:hAnsi="Calibri" w:cs="Calibri"/>
          <w:kern w:val="0"/>
          <w14:ligatures w14:val="none"/>
        </w:rPr>
        <w:t xml:space="preserve"> access, and they often lead to delayed care and missed or delayed medication use, among other things.</w:t>
      </w:r>
      <w:r w:rsidRPr="00A632E9">
        <w:rPr>
          <w:rFonts w:ascii="Calibri" w:hAnsi="Calibri" w:cs="Calibri"/>
          <w:kern w:val="0"/>
          <w:vertAlign w:val="superscript"/>
          <w14:ligatures w14:val="none"/>
        </w:rPr>
        <w:footnoteReference w:id="152"/>
      </w:r>
      <w:r w:rsidRPr="00A632E9">
        <w:rPr>
          <w:rFonts w:ascii="Calibri" w:hAnsi="Calibri" w:cs="Calibri"/>
          <w:kern w:val="0"/>
          <w14:ligatures w14:val="none"/>
        </w:rPr>
        <w:t xml:space="preserve"> These consequences may lead to poorer management of chronic illness and ultimately poorer health outcomes.</w:t>
      </w:r>
      <w:r w:rsidRPr="00A632E9">
        <w:rPr>
          <w:rFonts w:ascii="Calibri" w:hAnsi="Calibri" w:cs="Calibri"/>
          <w:kern w:val="0"/>
          <w:vertAlign w:val="superscript"/>
          <w14:ligatures w14:val="none"/>
        </w:rPr>
        <w:footnoteReference w:id="153"/>
      </w:r>
      <w:r w:rsidRPr="00A632E9">
        <w:rPr>
          <w:rFonts w:ascii="Calibri" w:hAnsi="Calibri" w:cs="Calibri"/>
          <w:kern w:val="0"/>
          <w14:ligatures w14:val="none"/>
        </w:rPr>
        <w:t xml:space="preserve">  In cases where a patient cannot use public transportation or a personal mode of transport, the Applicant provides transportation assistance via ride-share and cab vouchers.</w:t>
      </w:r>
    </w:p>
    <w:p w14:paraId="5CEAAA92" w14:textId="77777777" w:rsidR="00A632E9" w:rsidRDefault="00A632E9" w:rsidP="00A632E9">
      <w:pPr>
        <w:autoSpaceDE w:val="0"/>
        <w:autoSpaceDN w:val="0"/>
        <w:adjustRightInd w:val="0"/>
        <w:spacing w:after="0" w:line="240" w:lineRule="auto"/>
        <w:jc w:val="both"/>
        <w:rPr>
          <w:rFonts w:ascii="Calibri" w:hAnsi="Calibri" w:cs="Calibri"/>
          <w:kern w:val="0"/>
          <w14:ligatures w14:val="none"/>
        </w:rPr>
      </w:pPr>
    </w:p>
    <w:p w14:paraId="4E3D2A5A" w14:textId="77777777" w:rsidR="00E047AF" w:rsidRPr="00A632E9" w:rsidRDefault="00E047AF" w:rsidP="00A632E9">
      <w:pPr>
        <w:autoSpaceDE w:val="0"/>
        <w:autoSpaceDN w:val="0"/>
        <w:adjustRightInd w:val="0"/>
        <w:spacing w:after="0" w:line="240" w:lineRule="auto"/>
        <w:jc w:val="both"/>
        <w:rPr>
          <w:rFonts w:ascii="Calibri" w:hAnsi="Calibri" w:cs="Calibri"/>
          <w:kern w:val="0"/>
          <w14:ligatures w14:val="none"/>
        </w:rPr>
      </w:pPr>
    </w:p>
    <w:p w14:paraId="403DB733" w14:textId="77777777" w:rsidR="00A632E9" w:rsidRPr="00A632E9" w:rsidRDefault="00A632E9" w:rsidP="00A632E9">
      <w:pPr>
        <w:autoSpaceDE w:val="0"/>
        <w:autoSpaceDN w:val="0"/>
        <w:adjustRightInd w:val="0"/>
        <w:spacing w:after="0" w:line="240" w:lineRule="auto"/>
        <w:jc w:val="both"/>
        <w:rPr>
          <w:b/>
          <w:bCs/>
          <w:kern w:val="0"/>
          <w14:ligatures w14:val="none"/>
        </w:rPr>
      </w:pPr>
      <w:r w:rsidRPr="00A632E9">
        <w:rPr>
          <w:b/>
          <w:bCs/>
          <w:kern w:val="0"/>
          <w14:ligatures w14:val="none"/>
        </w:rPr>
        <w:t>F1.</w:t>
      </w:r>
      <w:proofErr w:type="gramStart"/>
      <w:r w:rsidRPr="00A632E9">
        <w:rPr>
          <w:b/>
          <w:bCs/>
          <w:kern w:val="0"/>
          <w14:ligatures w14:val="none"/>
        </w:rPr>
        <w:t>b.iv</w:t>
      </w:r>
      <w:proofErr w:type="gramEnd"/>
      <w:r w:rsidRPr="00A632E9">
        <w:rPr>
          <w:b/>
          <w:bCs/>
          <w:kern w:val="0"/>
          <w14:ligatures w14:val="none"/>
        </w:rPr>
        <w:tab/>
        <w:t xml:space="preserve">Provide additional information to demonstrate that the Proposed Project will result in improved health outcomes and quality of life of the Applicant's existing Patient Panel, while providing reasonable assurances of health equity. </w:t>
      </w:r>
    </w:p>
    <w:p w14:paraId="1AA9E54A" w14:textId="77777777" w:rsidR="00A632E9" w:rsidRPr="00A632E9" w:rsidRDefault="00A632E9" w:rsidP="00A632E9">
      <w:pPr>
        <w:autoSpaceDE w:val="0"/>
        <w:autoSpaceDN w:val="0"/>
        <w:adjustRightInd w:val="0"/>
        <w:spacing w:after="0" w:line="240" w:lineRule="auto"/>
        <w:jc w:val="both"/>
        <w:rPr>
          <w:b/>
          <w:bCs/>
          <w:kern w:val="0"/>
          <w14:ligatures w14:val="none"/>
        </w:rPr>
      </w:pPr>
    </w:p>
    <w:p w14:paraId="02CDFF7C" w14:textId="20476DE2"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The Proposed Project will allow for the expansion of high-value, low-cost, PET/CT services in the community setting. This delivery model is made possible through operational discipline and focus that cannot be achieved under traditional hospital oversight. Dedicated focus by the Shields management team offers insight into operational and scheduling efficiencies that increase capacity and improve patient and referring provider satisfaction.  The Applicant also plans to implement numerous amenities, including patient access tools, such as preregistration functionality and a cost transparency application, to improve patient experience and ensure patient satisfaction.  In addition, the interpretation of the PET/CT imaging is conducted internally by the </w:t>
      </w:r>
      <w:r w:rsidR="00682738">
        <w:rPr>
          <w:rFonts w:ascii="Calibri" w:hAnsi="Calibri" w:cs="Calibri"/>
          <w:kern w:val="0"/>
          <w14:ligatures w14:val="none"/>
        </w:rPr>
        <w:t>Applicant</w:t>
      </w:r>
      <w:r w:rsidR="004714F5">
        <w:rPr>
          <w:rFonts w:ascii="Calibri" w:hAnsi="Calibri" w:cs="Calibri"/>
          <w:kern w:val="0"/>
          <w14:ligatures w14:val="none"/>
        </w:rPr>
        <w:t xml:space="preserve">.  </w:t>
      </w:r>
      <w:r w:rsidR="00682738">
        <w:rPr>
          <w:rFonts w:ascii="Calibri" w:hAnsi="Calibri" w:cs="Calibri"/>
          <w:kern w:val="0"/>
          <w14:ligatures w14:val="none"/>
        </w:rPr>
        <w:t>Shields</w:t>
      </w:r>
      <w:r w:rsidRPr="00A632E9">
        <w:rPr>
          <w:rFonts w:ascii="Calibri" w:hAnsi="Calibri" w:cs="Calibri"/>
          <w:kern w:val="0"/>
          <w14:ligatures w14:val="none"/>
        </w:rPr>
        <w:t xml:space="preserve"> radiologists have access to </w:t>
      </w:r>
      <w:r w:rsidR="009F799E">
        <w:rPr>
          <w:rFonts w:ascii="Calibri" w:hAnsi="Calibri" w:cs="Calibri"/>
          <w:kern w:val="0"/>
          <w14:ligatures w14:val="none"/>
        </w:rPr>
        <w:t>Atrius</w:t>
      </w:r>
      <w:r w:rsidR="00736D02">
        <w:rPr>
          <w:rFonts w:ascii="Calibri" w:hAnsi="Calibri" w:cs="Calibri"/>
          <w:kern w:val="0"/>
          <w14:ligatures w14:val="none"/>
        </w:rPr>
        <w:t xml:space="preserve"> Health</w:t>
      </w:r>
      <w:r w:rsidRPr="00A632E9">
        <w:rPr>
          <w:rFonts w:ascii="Calibri" w:hAnsi="Calibri" w:cs="Calibri"/>
          <w:kern w:val="0"/>
          <w14:ligatures w14:val="none"/>
        </w:rPr>
        <w:t>’s EMR system</w:t>
      </w:r>
      <w:r w:rsidR="00682738">
        <w:rPr>
          <w:rFonts w:ascii="Calibri" w:hAnsi="Calibri" w:cs="Calibri"/>
          <w:kern w:val="0"/>
          <w14:ligatures w14:val="none"/>
        </w:rPr>
        <w:t xml:space="preserve"> thus enabling seamless, real-time documentation and continuity of care. </w:t>
      </w:r>
      <w:r w:rsidRPr="00A632E9">
        <w:rPr>
          <w:rFonts w:ascii="Calibri" w:hAnsi="Calibri" w:cs="Calibri"/>
          <w:kern w:val="0"/>
          <w14:ligatures w14:val="none"/>
        </w:rPr>
        <w:t xml:space="preserve"> </w:t>
      </w:r>
    </w:p>
    <w:p w14:paraId="33CEE2FB"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22E69419" w14:textId="04B74996"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The response to Factor F1.b.iii above describes the expected quality of life </w:t>
      </w:r>
      <w:r w:rsidR="008D5513">
        <w:rPr>
          <w:rFonts w:ascii="Calibri" w:hAnsi="Calibri" w:cs="Calibri"/>
          <w:kern w:val="0"/>
          <w14:ligatures w14:val="none"/>
        </w:rPr>
        <w:t xml:space="preserve">improvements </w:t>
      </w:r>
      <w:r w:rsidRPr="00A632E9">
        <w:rPr>
          <w:rFonts w:ascii="Calibri" w:hAnsi="Calibri" w:cs="Calibri"/>
          <w:kern w:val="0"/>
          <w14:ligatures w14:val="none"/>
        </w:rPr>
        <w:t xml:space="preserve">resulting from the Proposed Project. The response to F1.b.iii summarizes the Applicant’s approach to health equity, </w:t>
      </w:r>
      <w:r w:rsidR="008D5513">
        <w:rPr>
          <w:rFonts w:ascii="Calibri" w:hAnsi="Calibri" w:cs="Calibri"/>
          <w:kern w:val="0"/>
          <w14:ligatures w14:val="none"/>
        </w:rPr>
        <w:lastRenderedPageBreak/>
        <w:t>culturally and linguistically appropriate care, mitigation of cost, and reduction in wasteful incidental follow-up imagin</w:t>
      </w:r>
      <w:r w:rsidR="00D67D6D">
        <w:rPr>
          <w:rFonts w:ascii="Calibri" w:hAnsi="Calibri" w:cs="Calibri"/>
          <w:kern w:val="0"/>
          <w14:ligatures w14:val="none"/>
        </w:rPr>
        <w:t xml:space="preserve">g.  These factors contribute to the </w:t>
      </w:r>
      <w:r w:rsidR="00DA23FB">
        <w:rPr>
          <w:rFonts w:ascii="Calibri" w:hAnsi="Calibri" w:cs="Calibri"/>
          <w:kern w:val="0"/>
          <w14:ligatures w14:val="none"/>
        </w:rPr>
        <w:t xml:space="preserve">patient’s </w:t>
      </w:r>
      <w:r w:rsidR="00D67D6D">
        <w:rPr>
          <w:rFonts w:ascii="Calibri" w:hAnsi="Calibri" w:cs="Calibri"/>
          <w:kern w:val="0"/>
          <w14:ligatures w14:val="none"/>
        </w:rPr>
        <w:t xml:space="preserve">ability to take less time off from </w:t>
      </w:r>
      <w:r w:rsidR="00527E51">
        <w:rPr>
          <w:rFonts w:ascii="Calibri" w:hAnsi="Calibri" w:cs="Calibri"/>
          <w:kern w:val="0"/>
          <w14:ligatures w14:val="none"/>
        </w:rPr>
        <w:t xml:space="preserve">work, the opportunity to </w:t>
      </w:r>
      <w:r w:rsidR="00892117">
        <w:rPr>
          <w:rFonts w:ascii="Calibri" w:hAnsi="Calibri" w:cs="Calibri"/>
          <w:kern w:val="0"/>
          <w14:ligatures w14:val="none"/>
        </w:rPr>
        <w:t>conserve child and elder care expenses, and the capacity to either eliminate or mitigate travel time and expense</w:t>
      </w:r>
      <w:r w:rsidR="00D41BED">
        <w:rPr>
          <w:rFonts w:ascii="Calibri" w:hAnsi="Calibri" w:cs="Calibri"/>
          <w:kern w:val="0"/>
          <w14:ligatures w14:val="none"/>
        </w:rPr>
        <w:t>s – all of which a</w:t>
      </w:r>
      <w:r w:rsidR="00137C91">
        <w:rPr>
          <w:rFonts w:ascii="Calibri" w:hAnsi="Calibri" w:cs="Calibri"/>
          <w:kern w:val="0"/>
          <w14:ligatures w14:val="none"/>
        </w:rPr>
        <w:t>re</w:t>
      </w:r>
      <w:r w:rsidR="00D41BED">
        <w:rPr>
          <w:rFonts w:ascii="Calibri" w:hAnsi="Calibri" w:cs="Calibri"/>
          <w:kern w:val="0"/>
          <w14:ligatures w14:val="none"/>
        </w:rPr>
        <w:t xml:space="preserve"> benefits </w:t>
      </w:r>
      <w:r w:rsidR="00137C91">
        <w:rPr>
          <w:rFonts w:ascii="Calibri" w:hAnsi="Calibri" w:cs="Calibri"/>
          <w:kern w:val="0"/>
          <w14:ligatures w14:val="none"/>
        </w:rPr>
        <w:t xml:space="preserve">associated with the </w:t>
      </w:r>
      <w:r w:rsidR="00D41BED">
        <w:rPr>
          <w:rFonts w:ascii="Calibri" w:hAnsi="Calibri" w:cs="Calibri"/>
          <w:kern w:val="0"/>
          <w14:ligatures w14:val="none"/>
        </w:rPr>
        <w:t xml:space="preserve">fewer conducted studies. </w:t>
      </w:r>
      <w:r w:rsidRPr="00A632E9">
        <w:rPr>
          <w:rFonts w:ascii="Calibri" w:hAnsi="Calibri" w:cs="Calibri"/>
          <w:kern w:val="0"/>
          <w14:ligatures w14:val="none"/>
        </w:rPr>
        <w:t xml:space="preserve">Also, </w:t>
      </w:r>
      <w:r w:rsidR="009F799E">
        <w:rPr>
          <w:rFonts w:ascii="Calibri" w:hAnsi="Calibri" w:cs="Calibri"/>
          <w:kern w:val="0"/>
          <w14:ligatures w14:val="none"/>
        </w:rPr>
        <w:t>Atrius</w:t>
      </w:r>
      <w:r w:rsidR="00EA28AE">
        <w:rPr>
          <w:rFonts w:ascii="Calibri" w:hAnsi="Calibri" w:cs="Calibri"/>
          <w:kern w:val="0"/>
          <w14:ligatures w14:val="none"/>
        </w:rPr>
        <w:t xml:space="preserve"> </w:t>
      </w:r>
      <w:proofErr w:type="gramStart"/>
      <w:r w:rsidR="00EA28AE">
        <w:rPr>
          <w:rFonts w:ascii="Calibri" w:hAnsi="Calibri" w:cs="Calibri"/>
          <w:kern w:val="0"/>
          <w14:ligatures w14:val="none"/>
        </w:rPr>
        <w:t>Health</w:t>
      </w:r>
      <w:r w:rsidRPr="00A632E9">
        <w:rPr>
          <w:rFonts w:ascii="Calibri" w:hAnsi="Calibri" w:cs="Calibri"/>
          <w:kern w:val="0"/>
          <w14:ligatures w14:val="none"/>
        </w:rPr>
        <w:t>’s</w:t>
      </w:r>
      <w:r w:rsidR="009D77FD">
        <w:rPr>
          <w:rFonts w:ascii="Calibri" w:hAnsi="Calibri" w:cs="Calibri"/>
          <w:kern w:val="0"/>
          <w14:ligatures w14:val="none"/>
        </w:rPr>
        <w:t>,</w:t>
      </w:r>
      <w:proofErr w:type="gramEnd"/>
      <w:r w:rsidRPr="00A632E9">
        <w:rPr>
          <w:rFonts w:ascii="Calibri" w:hAnsi="Calibri" w:cs="Calibri"/>
          <w:kern w:val="0"/>
          <w14:ligatures w14:val="none"/>
        </w:rPr>
        <w:t xml:space="preserve"> Health Equity Steering Committee oversees </w:t>
      </w:r>
      <w:proofErr w:type="gramStart"/>
      <w:r w:rsidR="00AD0915" w:rsidRPr="00A632E9">
        <w:rPr>
          <w:rFonts w:ascii="Calibri" w:hAnsi="Calibri" w:cs="Calibri"/>
          <w:kern w:val="0"/>
          <w14:ligatures w14:val="none"/>
        </w:rPr>
        <w:t>all</w:t>
      </w:r>
      <w:r w:rsidR="00EA28AE">
        <w:rPr>
          <w:rFonts w:ascii="Calibri" w:hAnsi="Calibri" w:cs="Calibri"/>
          <w:kern w:val="0"/>
          <w14:ligatures w14:val="none"/>
        </w:rPr>
        <w:t xml:space="preserve"> </w:t>
      </w:r>
      <w:r w:rsidR="00AD0915">
        <w:rPr>
          <w:rFonts w:ascii="Calibri" w:hAnsi="Calibri" w:cs="Calibri"/>
          <w:kern w:val="0"/>
          <w14:ligatures w14:val="none"/>
        </w:rPr>
        <w:t>of</w:t>
      </w:r>
      <w:proofErr w:type="gramEnd"/>
      <w:r w:rsidR="00AD0915">
        <w:rPr>
          <w:rFonts w:ascii="Calibri" w:hAnsi="Calibri" w:cs="Calibri"/>
          <w:kern w:val="0"/>
          <w14:ligatures w14:val="none"/>
        </w:rPr>
        <w:t xml:space="preserve"> </w:t>
      </w:r>
      <w:r w:rsidR="009F799E">
        <w:rPr>
          <w:rFonts w:ascii="Calibri" w:hAnsi="Calibri" w:cs="Calibri"/>
          <w:kern w:val="0"/>
          <w14:ligatures w14:val="none"/>
        </w:rPr>
        <w:t>Atrius</w:t>
      </w:r>
      <w:r w:rsidRPr="00A632E9">
        <w:rPr>
          <w:rFonts w:ascii="Calibri" w:hAnsi="Calibri" w:cs="Calibri"/>
          <w:kern w:val="0"/>
          <w14:ligatures w14:val="none"/>
        </w:rPr>
        <w:t xml:space="preserve"> </w:t>
      </w:r>
      <w:r w:rsidR="00EA28AE">
        <w:rPr>
          <w:rFonts w:ascii="Calibri" w:hAnsi="Calibri" w:cs="Calibri"/>
          <w:kern w:val="0"/>
          <w14:ligatures w14:val="none"/>
        </w:rPr>
        <w:t xml:space="preserve">Health’s </w:t>
      </w:r>
      <w:r w:rsidRPr="00A632E9">
        <w:rPr>
          <w:rFonts w:ascii="Calibri" w:hAnsi="Calibri" w:cs="Calibri"/>
          <w:kern w:val="0"/>
          <w14:ligatures w14:val="none"/>
        </w:rPr>
        <w:t>services, including those imaging services to be provided under the Proposed Project.</w:t>
      </w:r>
    </w:p>
    <w:p w14:paraId="02CC568E" w14:textId="77777777" w:rsidR="00A632E9" w:rsidRDefault="00A632E9" w:rsidP="00A632E9">
      <w:pPr>
        <w:autoSpaceDE w:val="0"/>
        <w:autoSpaceDN w:val="0"/>
        <w:adjustRightInd w:val="0"/>
        <w:spacing w:after="0" w:line="240" w:lineRule="auto"/>
        <w:jc w:val="both"/>
        <w:rPr>
          <w:rFonts w:ascii="Calibri" w:hAnsi="Calibri" w:cs="Calibri"/>
          <w:kern w:val="0"/>
          <w14:ligatures w14:val="none"/>
        </w:rPr>
      </w:pPr>
    </w:p>
    <w:p w14:paraId="4A981942" w14:textId="77777777" w:rsidR="00E047AF" w:rsidRPr="00A632E9" w:rsidRDefault="00E047AF" w:rsidP="00A632E9">
      <w:pPr>
        <w:autoSpaceDE w:val="0"/>
        <w:autoSpaceDN w:val="0"/>
        <w:adjustRightInd w:val="0"/>
        <w:spacing w:after="0" w:line="240" w:lineRule="auto"/>
        <w:jc w:val="both"/>
        <w:rPr>
          <w:rFonts w:ascii="Calibri" w:hAnsi="Calibri" w:cs="Calibri"/>
          <w:kern w:val="0"/>
          <w14:ligatures w14:val="none"/>
        </w:rPr>
      </w:pPr>
    </w:p>
    <w:p w14:paraId="74214665" w14:textId="77777777" w:rsidR="00A632E9" w:rsidRPr="00A632E9" w:rsidRDefault="00A632E9" w:rsidP="00A632E9">
      <w:pPr>
        <w:jc w:val="both"/>
        <w:rPr>
          <w:b/>
          <w:bCs/>
          <w:kern w:val="0"/>
          <w14:ligatures w14:val="none"/>
        </w:rPr>
      </w:pPr>
      <w:r w:rsidRPr="00A632E9">
        <w:rPr>
          <w:b/>
          <w:bCs/>
          <w:kern w:val="0"/>
          <w14:ligatures w14:val="none"/>
        </w:rPr>
        <w:t>F1.c</w:t>
      </w:r>
      <w:r w:rsidRPr="00A632E9">
        <w:rPr>
          <w:b/>
          <w:bCs/>
          <w:kern w:val="0"/>
          <w14:ligatures w14:val="none"/>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3B969578" w14:textId="6792D2E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Through the Proposed Project, the Applicant will combine physician engagement with strong technology infrastructure to ensure continuity of care, improved health outcomes, and care efficiencies. The technology infrastructure for the Proposed Project encompasses streamlined patient access tools that offer pre-registration functionality. These tools interface with </w:t>
      </w:r>
      <w:r w:rsidR="009F799E">
        <w:rPr>
          <w:rFonts w:ascii="Calibri" w:hAnsi="Calibri" w:cs="Calibri"/>
          <w:kern w:val="0"/>
          <w14:ligatures w14:val="none"/>
        </w:rPr>
        <w:t>Atrius</w:t>
      </w:r>
      <w:r w:rsidR="00736D02">
        <w:rPr>
          <w:rFonts w:ascii="Calibri" w:hAnsi="Calibri" w:cs="Calibri"/>
          <w:kern w:val="0"/>
          <w14:ligatures w14:val="none"/>
        </w:rPr>
        <w:t xml:space="preserve"> Health</w:t>
      </w:r>
      <w:r w:rsidRPr="00A632E9">
        <w:rPr>
          <w:rFonts w:ascii="Calibri" w:hAnsi="Calibri" w:cs="Calibri"/>
          <w:kern w:val="0"/>
          <w14:ligatures w14:val="none"/>
        </w:rPr>
        <w:t>’s EMR system to amalgamate necessary patient health information, such as medical history, allergies, and medications. EMR functionality also allows radiologists to share pertinent diagnostic information with PCPs, so both physicians may track a patient's treatment progress.</w:t>
      </w:r>
    </w:p>
    <w:p w14:paraId="1AF0E20E"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6DD08C9D" w14:textId="61A8CCB1"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According to an article published in </w:t>
      </w:r>
      <w:proofErr w:type="spellStart"/>
      <w:r w:rsidRPr="00A632E9">
        <w:rPr>
          <w:rFonts w:ascii="Calibri" w:hAnsi="Calibri" w:cs="Calibri"/>
          <w:kern w:val="0"/>
          <w14:ligatures w14:val="none"/>
        </w:rPr>
        <w:t>Cureus</w:t>
      </w:r>
      <w:proofErr w:type="spellEnd"/>
      <w:r w:rsidRPr="00A632E9">
        <w:rPr>
          <w:rFonts w:ascii="Calibri" w:hAnsi="Calibri" w:cs="Calibri"/>
          <w:kern w:val="0"/>
          <w:vertAlign w:val="superscript"/>
          <w14:ligatures w14:val="none"/>
        </w:rPr>
        <w:footnoteReference w:id="154"/>
      </w:r>
      <w:r w:rsidRPr="00A632E9">
        <w:rPr>
          <w:rFonts w:ascii="Calibri" w:hAnsi="Calibri" w:cs="Calibri"/>
          <w:kern w:val="0"/>
          <w14:ligatures w14:val="none"/>
        </w:rPr>
        <w:t xml:space="preserve"> last year regarding the role of Social Determinants of Health</w:t>
      </w:r>
      <w:r w:rsidRPr="00A632E9">
        <w:rPr>
          <w:rFonts w:ascii="Calibri" w:hAnsi="Calibri" w:cs="Calibri"/>
          <w:kern w:val="0"/>
          <w:vertAlign w:val="superscript"/>
          <w14:ligatures w14:val="none"/>
        </w:rPr>
        <w:footnoteReference w:id="155"/>
      </w:r>
      <w:r w:rsidRPr="00A632E9">
        <w:rPr>
          <w:rFonts w:ascii="Calibri" w:hAnsi="Calibri" w:cs="Calibri"/>
          <w:kern w:val="0"/>
          <w14:ligatures w14:val="none"/>
        </w:rPr>
        <w:t xml:space="preserve"> (“</w:t>
      </w:r>
      <w:proofErr w:type="spellStart"/>
      <w:r w:rsidRPr="00A632E9">
        <w:rPr>
          <w:rFonts w:ascii="Calibri" w:hAnsi="Calibri" w:cs="Calibri"/>
          <w:kern w:val="0"/>
          <w14:ligatures w14:val="none"/>
        </w:rPr>
        <w:t>SDoH</w:t>
      </w:r>
      <w:proofErr w:type="spellEnd"/>
      <w:r w:rsidRPr="00A632E9">
        <w:rPr>
          <w:rFonts w:ascii="Calibri" w:hAnsi="Calibri" w:cs="Calibri"/>
          <w:kern w:val="0"/>
          <w14:ligatures w14:val="none"/>
        </w:rPr>
        <w:t xml:space="preserve">”) in promoting health equity, most reports show that </w:t>
      </w:r>
      <w:proofErr w:type="spellStart"/>
      <w:r w:rsidRPr="00A632E9">
        <w:rPr>
          <w:rFonts w:ascii="Calibri" w:hAnsi="Calibri" w:cs="Calibri"/>
          <w:kern w:val="0"/>
          <w14:ligatures w14:val="none"/>
        </w:rPr>
        <w:t>SDoH</w:t>
      </w:r>
      <w:proofErr w:type="spellEnd"/>
      <w:r w:rsidRPr="00A632E9">
        <w:rPr>
          <w:rFonts w:ascii="Calibri" w:hAnsi="Calibri" w:cs="Calibri"/>
          <w:kern w:val="0"/>
          <w14:ligatures w14:val="none"/>
        </w:rPr>
        <w:t xml:space="preserve"> has a more impactful effect on health than other factors.</w:t>
      </w:r>
      <w:r w:rsidRPr="00A632E9">
        <w:rPr>
          <w:rFonts w:ascii="Calibri" w:hAnsi="Calibri" w:cs="Calibri"/>
          <w:kern w:val="0"/>
          <w:vertAlign w:val="superscript"/>
          <w14:ligatures w14:val="none"/>
        </w:rPr>
        <w:footnoteReference w:id="156"/>
      </w:r>
      <w:r w:rsidRPr="00A632E9">
        <w:rPr>
          <w:rFonts w:ascii="Calibri" w:hAnsi="Calibri" w:cs="Calibri"/>
          <w:kern w:val="0"/>
          <w14:ligatures w14:val="none"/>
        </w:rPr>
        <w:t xml:space="preserve">  The Applicant plans to conduct a pre-screening process for all scheduled patients. Certain questions in the pre-screen relate to certain </w:t>
      </w:r>
      <w:proofErr w:type="spellStart"/>
      <w:r w:rsidRPr="00A632E9">
        <w:rPr>
          <w:rFonts w:ascii="Calibri" w:hAnsi="Calibri" w:cs="Calibri"/>
          <w:kern w:val="0"/>
          <w14:ligatures w14:val="none"/>
        </w:rPr>
        <w:t>SDoH</w:t>
      </w:r>
      <w:proofErr w:type="spellEnd"/>
      <w:r w:rsidRPr="00A632E9">
        <w:rPr>
          <w:rFonts w:ascii="Calibri" w:hAnsi="Calibri" w:cs="Calibri"/>
          <w:kern w:val="0"/>
          <w14:ligatures w14:val="none"/>
        </w:rPr>
        <w:t xml:space="preserve"> issues, namely those issues that are relevant to an imaging appointment such as transportation.</w:t>
      </w:r>
      <w:r w:rsidRPr="00A632E9">
        <w:rPr>
          <w:rFonts w:ascii="Calibri" w:hAnsi="Calibri" w:cs="Calibri"/>
          <w:kern w:val="0"/>
          <w:vertAlign w:val="superscript"/>
          <w14:ligatures w14:val="none"/>
        </w:rPr>
        <w:footnoteReference w:id="157"/>
      </w:r>
      <w:r w:rsidRPr="00A632E9">
        <w:rPr>
          <w:rFonts w:ascii="Calibri" w:hAnsi="Calibri" w:cs="Calibri"/>
          <w:kern w:val="0"/>
          <w14:ligatures w14:val="none"/>
        </w:rPr>
        <w:t xml:space="preserve"> If, during this pre-screen process or at any time during a patient’s PET/CT appointment, the Applicant’s staff is made aware of an </w:t>
      </w:r>
      <w:proofErr w:type="spellStart"/>
      <w:r w:rsidRPr="00A632E9">
        <w:rPr>
          <w:rFonts w:ascii="Calibri" w:hAnsi="Calibri" w:cs="Calibri"/>
          <w:kern w:val="0"/>
          <w14:ligatures w14:val="none"/>
        </w:rPr>
        <w:t>SDoH</w:t>
      </w:r>
      <w:proofErr w:type="spellEnd"/>
      <w:r w:rsidRPr="00A632E9">
        <w:rPr>
          <w:rFonts w:ascii="Calibri" w:hAnsi="Calibri" w:cs="Calibri"/>
          <w:kern w:val="0"/>
          <w14:ligatures w14:val="none"/>
        </w:rPr>
        <w:t xml:space="preserve"> issue, staff will confirm that a request for assistance is needed and either assist the patient directly (e.g., in the case of transportation) or refer the patient back to his/her primary care physician (“PCP”) for linkage to community-based support (e.g., in the case of hunger and access to food). The Applicant also provides transportation assistance via ride-share and cab vouchers when needed by a patient.</w:t>
      </w:r>
    </w:p>
    <w:p w14:paraId="74AF53F3" w14:textId="77777777" w:rsidR="00A632E9" w:rsidRDefault="00A632E9" w:rsidP="00A632E9">
      <w:pPr>
        <w:autoSpaceDE w:val="0"/>
        <w:autoSpaceDN w:val="0"/>
        <w:adjustRightInd w:val="0"/>
        <w:spacing w:after="0" w:line="240" w:lineRule="auto"/>
        <w:jc w:val="both"/>
        <w:rPr>
          <w:b/>
          <w:bCs/>
          <w:kern w:val="0"/>
          <w14:ligatures w14:val="none"/>
        </w:rPr>
      </w:pPr>
    </w:p>
    <w:p w14:paraId="54CAD431" w14:textId="77777777" w:rsidR="00E047AF" w:rsidRPr="00A632E9" w:rsidRDefault="00E047AF" w:rsidP="00A632E9">
      <w:pPr>
        <w:autoSpaceDE w:val="0"/>
        <w:autoSpaceDN w:val="0"/>
        <w:adjustRightInd w:val="0"/>
        <w:spacing w:after="0" w:line="240" w:lineRule="auto"/>
        <w:jc w:val="both"/>
        <w:rPr>
          <w:b/>
          <w:bCs/>
          <w:kern w:val="0"/>
          <w14:ligatures w14:val="none"/>
        </w:rPr>
      </w:pPr>
    </w:p>
    <w:p w14:paraId="0534874B" w14:textId="77777777" w:rsidR="00A632E9" w:rsidRPr="00A632E9" w:rsidRDefault="00A632E9" w:rsidP="00A632E9">
      <w:pPr>
        <w:rPr>
          <w:b/>
          <w:bCs/>
          <w:kern w:val="0"/>
          <w14:ligatures w14:val="none"/>
        </w:rPr>
      </w:pPr>
      <w:r w:rsidRPr="00A632E9">
        <w:rPr>
          <w:b/>
          <w:bCs/>
          <w:kern w:val="0"/>
          <w14:ligatures w14:val="none"/>
        </w:rPr>
        <w:t>F</w:t>
      </w:r>
      <w:proofErr w:type="gramStart"/>
      <w:r w:rsidRPr="00A632E9">
        <w:rPr>
          <w:b/>
          <w:bCs/>
          <w:kern w:val="0"/>
          <w14:ligatures w14:val="none"/>
        </w:rPr>
        <w:t>1.d</w:t>
      </w:r>
      <w:proofErr w:type="gramEnd"/>
      <w:r w:rsidRPr="00A632E9">
        <w:rPr>
          <w:b/>
          <w:bCs/>
          <w:kern w:val="0"/>
          <w14:ligatures w14:val="none"/>
        </w:rPr>
        <w:tab/>
        <w:t>Provide evidence of consultation, both prior to and after the Filing Date, with all Government Agencies with relevant licensure, certification, or other regulatory oversight of the Applicant or the Proposed Project.</w:t>
      </w:r>
    </w:p>
    <w:p w14:paraId="4B36FF05" w14:textId="77777777" w:rsidR="00A632E9" w:rsidRPr="00A632E9" w:rsidRDefault="00A632E9" w:rsidP="00A632E9">
      <w:pPr>
        <w:jc w:val="both"/>
        <w:rPr>
          <w:bCs/>
          <w:kern w:val="0"/>
          <w14:ligatures w14:val="none"/>
        </w:rPr>
      </w:pPr>
      <w:r w:rsidRPr="00A632E9">
        <w:rPr>
          <w:bCs/>
          <w:kern w:val="0"/>
          <w14:ligatures w14:val="none"/>
        </w:rPr>
        <w:t>The Applicant sought input from a variety of stakeholders in planning the Proposed Project. The Applicant conducted a formal consultative process with individuals at various regulatory agencies regarding the Proposed Project. The following individuals are some of those consulted about the Proposed Project:</w:t>
      </w:r>
    </w:p>
    <w:p w14:paraId="17E23431" w14:textId="77777777" w:rsidR="00A632E9" w:rsidRPr="00A632E9" w:rsidRDefault="00A632E9" w:rsidP="00A632E9">
      <w:pPr>
        <w:numPr>
          <w:ilvl w:val="0"/>
          <w:numId w:val="5"/>
        </w:numPr>
        <w:spacing w:line="256" w:lineRule="auto"/>
        <w:contextualSpacing/>
        <w:rPr>
          <w:bCs/>
          <w:kern w:val="0"/>
          <w14:ligatures w14:val="none"/>
        </w:rPr>
      </w:pPr>
      <w:r w:rsidRPr="00A632E9">
        <w:rPr>
          <w:bCs/>
          <w:kern w:val="0"/>
          <w14:ligatures w14:val="none"/>
        </w:rPr>
        <w:t>Dennis Renaud, Program Director Determination of Need Program</w:t>
      </w:r>
    </w:p>
    <w:p w14:paraId="5BF8F951" w14:textId="77777777" w:rsidR="00A632E9" w:rsidRPr="00A632E9" w:rsidRDefault="00A632E9" w:rsidP="00A632E9">
      <w:pPr>
        <w:numPr>
          <w:ilvl w:val="0"/>
          <w:numId w:val="5"/>
        </w:numPr>
        <w:spacing w:line="256" w:lineRule="auto"/>
        <w:contextualSpacing/>
        <w:rPr>
          <w:bCs/>
          <w:kern w:val="0"/>
          <w14:ligatures w14:val="none"/>
        </w:rPr>
      </w:pPr>
      <w:r w:rsidRPr="00A632E9">
        <w:rPr>
          <w:bCs/>
          <w:kern w:val="0"/>
          <w14:ligatures w14:val="none"/>
        </w:rPr>
        <w:lastRenderedPageBreak/>
        <w:t>Rebecca Kaye, Esq., Senior Deputy General Counsel</w:t>
      </w:r>
    </w:p>
    <w:p w14:paraId="79817722" w14:textId="77777777" w:rsidR="00A632E9" w:rsidRPr="00A632E9" w:rsidRDefault="00A632E9" w:rsidP="00A632E9">
      <w:pPr>
        <w:numPr>
          <w:ilvl w:val="0"/>
          <w:numId w:val="5"/>
        </w:numPr>
        <w:spacing w:line="256" w:lineRule="auto"/>
        <w:contextualSpacing/>
        <w:rPr>
          <w:bCs/>
          <w:kern w:val="0"/>
          <w14:ligatures w14:val="none"/>
        </w:rPr>
      </w:pPr>
      <w:r w:rsidRPr="00A632E9">
        <w:rPr>
          <w:bCs/>
          <w:kern w:val="0"/>
          <w14:ligatures w14:val="none"/>
        </w:rPr>
        <w:t>Jennica F. Allen Community Health Planning and Engagement Specialist, Department of Public Health</w:t>
      </w:r>
    </w:p>
    <w:p w14:paraId="76C443F7" w14:textId="77777777" w:rsidR="00A632E9" w:rsidRPr="00A632E9" w:rsidRDefault="00A632E9" w:rsidP="00A632E9">
      <w:pPr>
        <w:numPr>
          <w:ilvl w:val="0"/>
          <w:numId w:val="5"/>
        </w:numPr>
        <w:spacing w:line="256" w:lineRule="auto"/>
        <w:contextualSpacing/>
        <w:rPr>
          <w:bCs/>
          <w:kern w:val="0"/>
          <w14:ligatures w14:val="none"/>
        </w:rPr>
      </w:pPr>
      <w:r w:rsidRPr="00A632E9">
        <w:rPr>
          <w:bCs/>
          <w:kern w:val="0"/>
          <w14:ligatures w14:val="none"/>
        </w:rPr>
        <w:t xml:space="preserve">Katelyn Teague, Community Health Planning and Engagement Specialist, Bureau of Community </w:t>
      </w:r>
      <w:proofErr w:type="gramStart"/>
      <w:r w:rsidRPr="00A632E9">
        <w:rPr>
          <w:bCs/>
          <w:kern w:val="0"/>
          <w14:ligatures w14:val="none"/>
        </w:rPr>
        <w:t>Health</w:t>
      </w:r>
      <w:proofErr w:type="gramEnd"/>
      <w:r w:rsidRPr="00A632E9">
        <w:rPr>
          <w:bCs/>
          <w:kern w:val="0"/>
          <w14:ligatures w14:val="none"/>
        </w:rPr>
        <w:t xml:space="preserve"> and Prevention</w:t>
      </w:r>
    </w:p>
    <w:p w14:paraId="55C64912" w14:textId="77777777" w:rsidR="00654CFE" w:rsidRDefault="00654CFE" w:rsidP="00A632E9">
      <w:pPr>
        <w:jc w:val="both"/>
        <w:rPr>
          <w:b/>
          <w:bCs/>
          <w:kern w:val="0"/>
          <w14:ligatures w14:val="none"/>
        </w:rPr>
      </w:pPr>
    </w:p>
    <w:p w14:paraId="00651DEE" w14:textId="23C19D8F" w:rsidR="00A632E9" w:rsidRPr="00A632E9" w:rsidRDefault="00A632E9" w:rsidP="00A632E9">
      <w:pPr>
        <w:jc w:val="both"/>
        <w:rPr>
          <w:b/>
          <w:bCs/>
          <w:kern w:val="0"/>
          <w14:ligatures w14:val="none"/>
        </w:rPr>
      </w:pPr>
      <w:r w:rsidRPr="00A632E9">
        <w:rPr>
          <w:b/>
          <w:bCs/>
          <w:kern w:val="0"/>
          <w14:ligatures w14:val="none"/>
        </w:rPr>
        <w:t>F1.</w:t>
      </w:r>
      <w:proofErr w:type="gramStart"/>
      <w:r w:rsidRPr="00A632E9">
        <w:rPr>
          <w:b/>
          <w:bCs/>
          <w:kern w:val="0"/>
          <w14:ligatures w14:val="none"/>
        </w:rPr>
        <w:t>e.i</w:t>
      </w:r>
      <w:proofErr w:type="gramEnd"/>
      <w:r w:rsidRPr="00A632E9">
        <w:rPr>
          <w:b/>
          <w:bCs/>
          <w:kern w:val="0"/>
          <w14:ligatures w14:val="none"/>
        </w:rPr>
        <w:tab/>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w:t>
      </w:r>
      <w:proofErr w:type="gramStart"/>
      <w:r w:rsidRPr="00A632E9">
        <w:rPr>
          <w:b/>
          <w:bCs/>
          <w:kern w:val="0"/>
          <w14:ligatures w14:val="none"/>
        </w:rPr>
        <w:t>Applicant</w:t>
      </w:r>
      <w:proofErr w:type="gramEnd"/>
      <w:r w:rsidRPr="00A632E9">
        <w:rPr>
          <w:b/>
          <w:bCs/>
          <w:kern w:val="0"/>
          <w14:ligatures w14:val="none"/>
        </w:rPr>
        <w:t xml:space="preserve"> determined the need for the Proposed Project.</w:t>
      </w:r>
    </w:p>
    <w:p w14:paraId="4239F5B3" w14:textId="158FA105"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The Applicant identified the need to provide high-quality, cost-effective PET/CT services for the Applicant’s patients</w:t>
      </w:r>
      <w:r w:rsidR="00654CFE">
        <w:rPr>
          <w:rFonts w:ascii="Calibri" w:hAnsi="Calibri" w:cs="Calibri"/>
          <w:kern w:val="0"/>
          <w14:ligatures w14:val="none"/>
        </w:rPr>
        <w:t xml:space="preserve"> within the service area</w:t>
      </w:r>
      <w:r w:rsidRPr="00A632E9">
        <w:rPr>
          <w:rFonts w:ascii="Calibri" w:hAnsi="Calibri" w:cs="Calibri"/>
          <w:kern w:val="0"/>
          <w14:ligatures w14:val="none"/>
        </w:rPr>
        <w:t xml:space="preserve">. The Applicant’s data for these services demonstrates the demand. Additionally, demand for local PET/CT services is likely to increase as the region’s population ages. The Applicant engaged the community to involve patients and families more fully regarding the proposed transition. </w:t>
      </w:r>
    </w:p>
    <w:p w14:paraId="44939D62"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597AEE4E" w14:textId="51231873" w:rsidR="001123F1"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The Proposed Project was presented at </w:t>
      </w:r>
      <w:r w:rsidR="009F799E">
        <w:rPr>
          <w:rFonts w:ascii="Calibri" w:hAnsi="Calibri" w:cs="Calibri"/>
          <w:kern w:val="0"/>
          <w14:ligatures w14:val="none"/>
        </w:rPr>
        <w:t>Atrius</w:t>
      </w:r>
      <w:r w:rsidR="001123F1">
        <w:rPr>
          <w:rFonts w:ascii="Calibri" w:hAnsi="Calibri" w:cs="Calibri"/>
          <w:kern w:val="0"/>
          <w14:ligatures w14:val="none"/>
        </w:rPr>
        <w:t xml:space="preserve"> Health</w:t>
      </w:r>
      <w:r w:rsidRPr="00A632E9">
        <w:rPr>
          <w:rFonts w:ascii="Calibri" w:hAnsi="Calibri" w:cs="Calibri"/>
          <w:kern w:val="0"/>
          <w14:ligatures w14:val="none"/>
        </w:rPr>
        <w:t xml:space="preserve">’s Patient Family Advisory Committee (“PFAC”) on February 5, 2024. The PFAC is comprised of current and former patients of the hospital and their family members as well as caregivers and staff of the hospital. Because patients of the proposed service will continue to be </w:t>
      </w:r>
      <w:r w:rsidR="009F799E">
        <w:rPr>
          <w:rFonts w:ascii="Calibri" w:hAnsi="Calibri" w:cs="Calibri"/>
          <w:kern w:val="0"/>
          <w14:ligatures w14:val="none"/>
        </w:rPr>
        <w:t>Atrius</w:t>
      </w:r>
      <w:r w:rsidR="006B47DD">
        <w:rPr>
          <w:rFonts w:ascii="Calibri" w:hAnsi="Calibri" w:cs="Calibri"/>
          <w:kern w:val="0"/>
          <w14:ligatures w14:val="none"/>
        </w:rPr>
        <w:t xml:space="preserve"> Health</w:t>
      </w:r>
      <w:r w:rsidRPr="00A632E9">
        <w:rPr>
          <w:rFonts w:ascii="Calibri" w:hAnsi="Calibri" w:cs="Calibri"/>
          <w:kern w:val="0"/>
          <w14:ligatures w14:val="none"/>
        </w:rPr>
        <w:t xml:space="preserve"> patients, it was decided that the PFAC would best represent patients from the proposed service area. </w:t>
      </w:r>
    </w:p>
    <w:p w14:paraId="2C3BD574" w14:textId="77777777" w:rsidR="001123F1" w:rsidRDefault="001123F1" w:rsidP="00A632E9">
      <w:pPr>
        <w:autoSpaceDE w:val="0"/>
        <w:autoSpaceDN w:val="0"/>
        <w:adjustRightInd w:val="0"/>
        <w:spacing w:after="0" w:line="240" w:lineRule="auto"/>
        <w:jc w:val="both"/>
        <w:rPr>
          <w:rFonts w:ascii="Calibri" w:hAnsi="Calibri" w:cs="Calibri"/>
          <w:kern w:val="0"/>
          <w14:ligatures w14:val="none"/>
        </w:rPr>
      </w:pPr>
    </w:p>
    <w:p w14:paraId="22198F69" w14:textId="03F877B1"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The presentation sought to inform PFAC members about the purpose of the Proposed Project and </w:t>
      </w:r>
      <w:r w:rsidR="001123F1">
        <w:rPr>
          <w:rFonts w:ascii="Calibri" w:hAnsi="Calibri" w:cs="Calibri"/>
          <w:kern w:val="0"/>
          <w14:ligatures w14:val="none"/>
        </w:rPr>
        <w:t>the implications for patients. The presenter explained that t</w:t>
      </w:r>
      <w:r w:rsidRPr="00A632E9">
        <w:rPr>
          <w:rFonts w:ascii="Calibri" w:hAnsi="Calibri" w:cs="Calibri"/>
          <w:kern w:val="0"/>
          <w14:ligatures w14:val="none"/>
        </w:rPr>
        <w:t xml:space="preserve">his project will use a combination of inside space and a mobile PET/CT unit aligned with the building one day per week.  PET/CT services will complement </w:t>
      </w:r>
      <w:r w:rsidR="009F799E">
        <w:rPr>
          <w:rFonts w:ascii="Calibri" w:hAnsi="Calibri" w:cs="Calibri"/>
          <w:kern w:val="0"/>
          <w14:ligatures w14:val="none"/>
        </w:rPr>
        <w:t>Atrius</w:t>
      </w:r>
      <w:r w:rsidR="00ED0D62">
        <w:rPr>
          <w:rFonts w:ascii="Calibri" w:hAnsi="Calibri" w:cs="Calibri"/>
          <w:kern w:val="0"/>
          <w14:ligatures w14:val="none"/>
        </w:rPr>
        <w:t xml:space="preserve"> Health</w:t>
      </w:r>
      <w:r w:rsidRPr="00A632E9">
        <w:rPr>
          <w:rFonts w:ascii="Calibri" w:hAnsi="Calibri" w:cs="Calibri"/>
          <w:kern w:val="0"/>
          <w14:ligatures w14:val="none"/>
        </w:rPr>
        <w:t>’s oncology program offered at its Dedham location.</w:t>
      </w:r>
      <w:r w:rsidRPr="00A632E9">
        <w:rPr>
          <w:rFonts w:ascii="Calibri" w:hAnsi="Calibri" w:cs="Calibri"/>
          <w:kern w:val="0"/>
          <w:vertAlign w:val="superscript"/>
          <w14:ligatures w14:val="none"/>
        </w:rPr>
        <w:footnoteReference w:id="158"/>
      </w:r>
      <w:r w:rsidRPr="00A632E9">
        <w:rPr>
          <w:rFonts w:ascii="Calibri" w:hAnsi="Calibri" w:cs="Calibri"/>
          <w:kern w:val="0"/>
          <w14:ligatures w14:val="none"/>
        </w:rPr>
        <w:t xml:space="preserve"> The service will operate on an outpatient, IDTF fee schedule which will lower the cost of services</w:t>
      </w:r>
      <w:r w:rsidR="007A1912">
        <w:rPr>
          <w:rFonts w:ascii="Calibri" w:hAnsi="Calibri" w:cs="Calibri"/>
          <w:kern w:val="0"/>
          <w14:ligatures w14:val="none"/>
        </w:rPr>
        <w:t>.</w:t>
      </w:r>
    </w:p>
    <w:p w14:paraId="499F8490"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07AD705B" w14:textId="28D71F9D"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The PFAC members had </w:t>
      </w:r>
      <w:r w:rsidR="00283B83">
        <w:rPr>
          <w:rFonts w:ascii="Calibri" w:hAnsi="Calibri" w:cs="Calibri"/>
          <w:kern w:val="0"/>
          <w14:ligatures w14:val="none"/>
        </w:rPr>
        <w:t>generally positive</w:t>
      </w:r>
      <w:r w:rsidRPr="00A632E9">
        <w:rPr>
          <w:rFonts w:ascii="Calibri" w:hAnsi="Calibri" w:cs="Calibri"/>
          <w:kern w:val="0"/>
          <w14:ligatures w14:val="none"/>
        </w:rPr>
        <w:t xml:space="preserve"> reactions to the presentation of the Proposed Project and did not voice any s</w:t>
      </w:r>
      <w:r w:rsidR="00283B83">
        <w:rPr>
          <w:rFonts w:ascii="Calibri" w:hAnsi="Calibri" w:cs="Calibri"/>
          <w:kern w:val="0"/>
          <w14:ligatures w14:val="none"/>
        </w:rPr>
        <w:t>ignificant</w:t>
      </w:r>
      <w:r w:rsidRPr="00A632E9">
        <w:rPr>
          <w:rFonts w:ascii="Calibri" w:hAnsi="Calibri" w:cs="Calibri"/>
          <w:kern w:val="0"/>
          <w14:ligatures w14:val="none"/>
        </w:rPr>
        <w:t xml:space="preserve"> concerns. Participants were engaged throughout the presentation and made several comments that generally focused </w:t>
      </w:r>
      <w:r w:rsidR="00CE6C08">
        <w:rPr>
          <w:rFonts w:ascii="Calibri" w:hAnsi="Calibri" w:cs="Calibri"/>
          <w:kern w:val="0"/>
          <w14:ligatures w14:val="none"/>
        </w:rPr>
        <w:t>on</w:t>
      </w:r>
      <w:r w:rsidRPr="00A632E9">
        <w:rPr>
          <w:rFonts w:ascii="Calibri" w:hAnsi="Calibri" w:cs="Calibri"/>
          <w:kern w:val="0"/>
          <w14:ligatures w14:val="none"/>
        </w:rPr>
        <w:t xml:space="preserve"> </w:t>
      </w:r>
      <w:r w:rsidR="00636F06">
        <w:rPr>
          <w:rFonts w:ascii="Calibri" w:hAnsi="Calibri" w:cs="Calibri"/>
          <w:kern w:val="0"/>
          <w14:ligatures w14:val="none"/>
        </w:rPr>
        <w:t xml:space="preserve">the benefit of increased </w:t>
      </w:r>
      <w:r w:rsidR="004C79D2">
        <w:rPr>
          <w:rFonts w:ascii="Calibri" w:hAnsi="Calibri" w:cs="Calibri"/>
          <w:kern w:val="0"/>
          <w14:ligatures w14:val="none"/>
        </w:rPr>
        <w:t xml:space="preserve">access, cost clarification </w:t>
      </w:r>
      <w:r w:rsidR="00DC62D4">
        <w:rPr>
          <w:rFonts w:ascii="Calibri" w:hAnsi="Calibri" w:cs="Calibri"/>
          <w:kern w:val="0"/>
          <w14:ligatures w14:val="none"/>
        </w:rPr>
        <w:t xml:space="preserve">with respect to </w:t>
      </w:r>
      <w:r w:rsidR="004C79D2">
        <w:rPr>
          <w:rFonts w:ascii="Calibri" w:hAnsi="Calibri" w:cs="Calibri"/>
          <w:kern w:val="0"/>
          <w14:ligatures w14:val="none"/>
        </w:rPr>
        <w:t xml:space="preserve">the </w:t>
      </w:r>
      <w:r w:rsidR="00DE37F9">
        <w:rPr>
          <w:rFonts w:ascii="Calibri" w:hAnsi="Calibri" w:cs="Calibri"/>
          <w:kern w:val="0"/>
          <w14:ligatures w14:val="none"/>
        </w:rPr>
        <w:t xml:space="preserve">fee schedule, and the comfort and aesthetics of the </w:t>
      </w:r>
      <w:r w:rsidR="00CE6C08">
        <w:rPr>
          <w:rFonts w:ascii="Calibri" w:hAnsi="Calibri" w:cs="Calibri"/>
          <w:kern w:val="0"/>
          <w14:ligatures w14:val="none"/>
        </w:rPr>
        <w:t>physical space inside the mobile unit</w:t>
      </w:r>
      <w:r w:rsidRPr="00A632E9">
        <w:rPr>
          <w:rFonts w:ascii="Calibri" w:hAnsi="Calibri" w:cs="Calibri"/>
          <w:kern w:val="0"/>
          <w14:ligatures w14:val="none"/>
        </w:rPr>
        <w:t xml:space="preserve">. </w:t>
      </w:r>
      <w:r w:rsidR="00CE6C08">
        <w:rPr>
          <w:rFonts w:ascii="Calibri" w:hAnsi="Calibri" w:cs="Calibri"/>
          <w:kern w:val="0"/>
          <w14:ligatures w14:val="none"/>
        </w:rPr>
        <w:t xml:space="preserve">Participants </w:t>
      </w:r>
      <w:r w:rsidR="008D57D4">
        <w:rPr>
          <w:rFonts w:ascii="Calibri" w:hAnsi="Calibri" w:cs="Calibri"/>
          <w:kern w:val="0"/>
          <w14:ligatures w14:val="none"/>
        </w:rPr>
        <w:t xml:space="preserve">inquired about the possibility of expanding the </w:t>
      </w:r>
      <w:r w:rsidR="002C3646">
        <w:rPr>
          <w:rFonts w:ascii="Calibri" w:hAnsi="Calibri" w:cs="Calibri"/>
          <w:kern w:val="0"/>
          <w14:ligatures w14:val="none"/>
        </w:rPr>
        <w:t>number</w:t>
      </w:r>
      <w:r w:rsidR="008D57D4">
        <w:rPr>
          <w:rFonts w:ascii="Calibri" w:hAnsi="Calibri" w:cs="Calibri"/>
          <w:kern w:val="0"/>
          <w14:ligatures w14:val="none"/>
        </w:rPr>
        <w:t xml:space="preserve"> of days per week that the PET/CT would be available and </w:t>
      </w:r>
      <w:r w:rsidR="00C568A8">
        <w:rPr>
          <w:rFonts w:ascii="Calibri" w:hAnsi="Calibri" w:cs="Calibri"/>
          <w:kern w:val="0"/>
          <w14:ligatures w14:val="none"/>
        </w:rPr>
        <w:t>remarked tha</w:t>
      </w:r>
      <w:r w:rsidR="00DF0477">
        <w:rPr>
          <w:rFonts w:ascii="Calibri" w:hAnsi="Calibri" w:cs="Calibri"/>
          <w:kern w:val="0"/>
          <w14:ligatures w14:val="none"/>
        </w:rPr>
        <w:t xml:space="preserve">t they would support additional PET/CT </w:t>
      </w:r>
      <w:r w:rsidR="00164516">
        <w:rPr>
          <w:rFonts w:ascii="Calibri" w:hAnsi="Calibri" w:cs="Calibri"/>
          <w:kern w:val="0"/>
          <w14:ligatures w14:val="none"/>
        </w:rPr>
        <w:t>projects</w:t>
      </w:r>
      <w:r w:rsidR="004E38D3">
        <w:rPr>
          <w:rFonts w:ascii="Calibri" w:hAnsi="Calibri" w:cs="Calibri"/>
          <w:kern w:val="0"/>
          <w14:ligatures w14:val="none"/>
        </w:rPr>
        <w:t>, given the benefits of the technology.</w:t>
      </w:r>
      <w:r w:rsidR="00DF0477">
        <w:rPr>
          <w:rFonts w:ascii="Calibri" w:hAnsi="Calibri" w:cs="Calibri"/>
          <w:kern w:val="0"/>
          <w14:ligatures w14:val="none"/>
        </w:rPr>
        <w:t xml:space="preserve"> </w:t>
      </w:r>
      <w:r w:rsidR="007F5E0E">
        <w:rPr>
          <w:rFonts w:ascii="Calibri" w:hAnsi="Calibri" w:cs="Calibri"/>
          <w:kern w:val="0"/>
          <w14:ligatures w14:val="none"/>
        </w:rPr>
        <w:t xml:space="preserve"> </w:t>
      </w:r>
      <w:r w:rsidR="00035983">
        <w:rPr>
          <w:rFonts w:ascii="Calibri" w:hAnsi="Calibri" w:cs="Calibri"/>
          <w:kern w:val="0"/>
          <w14:ligatures w14:val="none"/>
        </w:rPr>
        <w:t xml:space="preserve">The PFAC members unanimously agreed that </w:t>
      </w:r>
      <w:r w:rsidR="00014463">
        <w:rPr>
          <w:rFonts w:ascii="Calibri" w:hAnsi="Calibri" w:cs="Calibri"/>
          <w:kern w:val="0"/>
          <w14:ligatures w14:val="none"/>
        </w:rPr>
        <w:t xml:space="preserve">the </w:t>
      </w:r>
      <w:r w:rsidR="000551AE">
        <w:rPr>
          <w:rFonts w:ascii="Calibri" w:hAnsi="Calibri" w:cs="Calibri"/>
          <w:kern w:val="0"/>
          <w14:ligatures w14:val="none"/>
        </w:rPr>
        <w:t xml:space="preserve">proposed location of the PET/CT </w:t>
      </w:r>
      <w:r w:rsidR="00402A12">
        <w:rPr>
          <w:rFonts w:ascii="Calibri" w:hAnsi="Calibri" w:cs="Calibri"/>
          <w:kern w:val="0"/>
          <w14:ligatures w14:val="none"/>
        </w:rPr>
        <w:t>would be</w:t>
      </w:r>
      <w:r w:rsidR="00014463">
        <w:rPr>
          <w:rFonts w:ascii="Calibri" w:hAnsi="Calibri" w:cs="Calibri"/>
          <w:kern w:val="0"/>
          <w14:ligatures w14:val="none"/>
        </w:rPr>
        <w:t xml:space="preserve"> conveniently located</w:t>
      </w:r>
      <w:r w:rsidR="00275BA2">
        <w:rPr>
          <w:rFonts w:ascii="Calibri" w:hAnsi="Calibri" w:cs="Calibri"/>
          <w:kern w:val="0"/>
          <w14:ligatures w14:val="none"/>
        </w:rPr>
        <w:t xml:space="preserve"> </w:t>
      </w:r>
      <w:r w:rsidR="00402A12">
        <w:rPr>
          <w:rFonts w:ascii="Calibri" w:hAnsi="Calibri" w:cs="Calibri"/>
          <w:kern w:val="0"/>
          <w14:ligatures w14:val="none"/>
        </w:rPr>
        <w:t xml:space="preserve">and easy to access </w:t>
      </w:r>
      <w:r w:rsidR="00B91884">
        <w:rPr>
          <w:rFonts w:ascii="Calibri" w:hAnsi="Calibri" w:cs="Calibri"/>
          <w:kern w:val="0"/>
          <w14:ligatures w14:val="none"/>
        </w:rPr>
        <w:t xml:space="preserve">via the highway and </w:t>
      </w:r>
      <w:r w:rsidR="00B91884" w:rsidRPr="00B91884">
        <w:rPr>
          <w:rFonts w:ascii="Calibri" w:hAnsi="Calibri" w:cs="Calibri"/>
          <w:kern w:val="0"/>
          <w14:ligatures w14:val="none"/>
        </w:rPr>
        <w:t>public transportation</w:t>
      </w:r>
      <w:r w:rsidR="00B011B8">
        <w:rPr>
          <w:rFonts w:ascii="Calibri" w:hAnsi="Calibri" w:cs="Calibri"/>
          <w:kern w:val="0"/>
          <w14:ligatures w14:val="none"/>
        </w:rPr>
        <w:t>.</w:t>
      </w:r>
    </w:p>
    <w:p w14:paraId="23BBFB5F"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7DA73AB5" w14:textId="3EBC04E4" w:rsidR="00A632E9" w:rsidRPr="00A632E9" w:rsidRDefault="00E20ABB" w:rsidP="00A632E9">
      <w:pPr>
        <w:jc w:val="both"/>
        <w:rPr>
          <w:rFonts w:eastAsia="Times New Roman"/>
          <w:kern w:val="0"/>
          <w14:ligatures w14:val="none"/>
        </w:rPr>
      </w:pPr>
      <w:r>
        <w:rPr>
          <w:rFonts w:eastAsia="Times New Roman"/>
          <w:kern w:val="0"/>
          <w14:ligatures w14:val="none"/>
        </w:rPr>
        <w:t>Additionally, a</w:t>
      </w:r>
      <w:r w:rsidR="00A632E9" w:rsidRPr="00A632E9">
        <w:rPr>
          <w:rFonts w:eastAsia="Times New Roman"/>
          <w:kern w:val="0"/>
          <w14:ligatures w14:val="none"/>
        </w:rPr>
        <w:t xml:space="preserve"> virtual Zoom community meeting </w:t>
      </w:r>
      <w:r w:rsidR="009C36BC">
        <w:rPr>
          <w:rFonts w:eastAsia="Times New Roman"/>
          <w:kern w:val="0"/>
          <w14:ligatures w14:val="none"/>
        </w:rPr>
        <w:t xml:space="preserve">was advertised </w:t>
      </w:r>
      <w:r w:rsidR="009C36BC" w:rsidRPr="00A632E9">
        <w:rPr>
          <w:rFonts w:eastAsia="Times New Roman"/>
          <w:kern w:val="0"/>
          <w14:ligatures w14:val="none"/>
        </w:rPr>
        <w:t>for</w:t>
      </w:r>
      <w:r w:rsidR="00A632E9" w:rsidRPr="00A632E9">
        <w:rPr>
          <w:rFonts w:eastAsia="Times New Roman"/>
          <w:kern w:val="0"/>
          <w14:ligatures w14:val="none"/>
        </w:rPr>
        <w:t xml:space="preserve"> January 24, 2024.  Community event flyers were sent to one hundred </w:t>
      </w:r>
      <w:r w:rsidR="00B57709">
        <w:rPr>
          <w:rFonts w:eastAsia="Times New Roman"/>
          <w:kern w:val="0"/>
          <w14:ligatures w14:val="none"/>
        </w:rPr>
        <w:t xml:space="preserve">(100) </w:t>
      </w:r>
      <w:r w:rsidR="00A632E9" w:rsidRPr="00A632E9">
        <w:rPr>
          <w:rFonts w:eastAsia="Times New Roman"/>
          <w:kern w:val="0"/>
          <w14:ligatures w14:val="none"/>
        </w:rPr>
        <w:t xml:space="preserve">randomly selected </w:t>
      </w:r>
      <w:r w:rsidR="009F799E">
        <w:rPr>
          <w:rFonts w:eastAsia="Times New Roman"/>
          <w:kern w:val="0"/>
          <w14:ligatures w14:val="none"/>
        </w:rPr>
        <w:t>Atrius</w:t>
      </w:r>
      <w:r w:rsidR="00A632E9" w:rsidRPr="00A632E9">
        <w:rPr>
          <w:rFonts w:eastAsia="Times New Roman"/>
          <w:kern w:val="0"/>
          <w14:ligatures w14:val="none"/>
        </w:rPr>
        <w:t xml:space="preserve"> </w:t>
      </w:r>
      <w:r w:rsidR="001A2AEB">
        <w:rPr>
          <w:rFonts w:eastAsia="Times New Roman"/>
          <w:kern w:val="0"/>
          <w14:ligatures w14:val="none"/>
        </w:rPr>
        <w:t xml:space="preserve">Health </w:t>
      </w:r>
      <w:r w:rsidR="00A632E9" w:rsidRPr="00A632E9">
        <w:rPr>
          <w:rFonts w:eastAsia="Times New Roman"/>
          <w:kern w:val="0"/>
          <w14:ligatures w14:val="none"/>
        </w:rPr>
        <w:t>adult patients who have a PCP in a Dedham or a Norwood practice</w:t>
      </w:r>
      <w:r w:rsidR="00A632E9" w:rsidRPr="00A632E9">
        <w:rPr>
          <w:rFonts w:eastAsia="Times New Roman"/>
          <w:kern w:val="0"/>
          <w:vertAlign w:val="superscript"/>
          <w14:ligatures w14:val="none"/>
        </w:rPr>
        <w:footnoteReference w:id="159"/>
      </w:r>
      <w:r w:rsidR="007A1912">
        <w:rPr>
          <w:rFonts w:eastAsia="Times New Roman"/>
          <w:kern w:val="0"/>
          <w14:ligatures w14:val="none"/>
        </w:rPr>
        <w:t xml:space="preserve"> and</w:t>
      </w:r>
      <w:r w:rsidR="00A632E9" w:rsidRPr="00A632E9">
        <w:rPr>
          <w:rFonts w:eastAsia="Times New Roman"/>
          <w:kern w:val="0"/>
          <w14:ligatures w14:val="none"/>
        </w:rPr>
        <w:t xml:space="preserve"> </w:t>
      </w:r>
      <w:r w:rsidR="00CA789A">
        <w:rPr>
          <w:rFonts w:eastAsia="Times New Roman"/>
          <w:kern w:val="0"/>
          <w14:ligatures w14:val="none"/>
        </w:rPr>
        <w:t xml:space="preserve">Shields emailed event flyers to fifty (50) randomly selected </w:t>
      </w:r>
      <w:r w:rsidR="00CA789A">
        <w:rPr>
          <w:rFonts w:eastAsia="Times New Roman"/>
          <w:kern w:val="0"/>
          <w14:ligatures w14:val="none"/>
        </w:rPr>
        <w:lastRenderedPageBreak/>
        <w:t xml:space="preserve">patients </w:t>
      </w:r>
      <w:r w:rsidR="00636F06">
        <w:rPr>
          <w:rFonts w:eastAsia="Times New Roman"/>
          <w:kern w:val="0"/>
          <w14:ligatures w14:val="none"/>
        </w:rPr>
        <w:t>who</w:t>
      </w:r>
      <w:r w:rsidR="00CA789A">
        <w:rPr>
          <w:rFonts w:eastAsia="Times New Roman"/>
          <w:kern w:val="0"/>
          <w14:ligatures w14:val="none"/>
        </w:rPr>
        <w:t xml:space="preserve"> previously received care at its Dedham location. </w:t>
      </w:r>
      <w:r w:rsidR="00A632E9" w:rsidRPr="00A632E9">
        <w:rPr>
          <w:rFonts w:eastAsia="Times New Roman"/>
          <w:kern w:val="0"/>
          <w14:ligatures w14:val="none"/>
        </w:rPr>
        <w:t xml:space="preserve">There were </w:t>
      </w:r>
      <w:r w:rsidR="001A2AEB">
        <w:rPr>
          <w:rFonts w:eastAsia="Times New Roman"/>
          <w:kern w:val="0"/>
          <w14:ligatures w14:val="none"/>
        </w:rPr>
        <w:t>no</w:t>
      </w:r>
      <w:r w:rsidR="006C7E50">
        <w:rPr>
          <w:rFonts w:eastAsia="Times New Roman"/>
          <w:kern w:val="0"/>
          <w14:ligatures w14:val="none"/>
        </w:rPr>
        <w:t xml:space="preserve"> </w:t>
      </w:r>
      <w:r w:rsidR="00A632E9" w:rsidRPr="00A632E9">
        <w:rPr>
          <w:rFonts w:eastAsia="Times New Roman"/>
          <w:kern w:val="0"/>
          <w14:ligatures w14:val="none"/>
        </w:rPr>
        <w:t>individuals in attendance</w:t>
      </w:r>
      <w:r w:rsidR="001A2AEB">
        <w:rPr>
          <w:rFonts w:eastAsia="Times New Roman"/>
          <w:kern w:val="0"/>
          <w14:ligatures w14:val="none"/>
        </w:rPr>
        <w:t xml:space="preserve"> on the evening of the event</w:t>
      </w:r>
      <w:r w:rsidR="00A632E9" w:rsidRPr="00A632E9">
        <w:rPr>
          <w:rFonts w:eastAsia="Times New Roman"/>
          <w:kern w:val="0"/>
          <w14:ligatures w14:val="none"/>
        </w:rPr>
        <w:t xml:space="preserve">. </w:t>
      </w:r>
    </w:p>
    <w:p w14:paraId="5174B610" w14:textId="7D338730" w:rsidR="00A632E9" w:rsidRPr="00A632E9" w:rsidRDefault="00A632E9" w:rsidP="00A632E9">
      <w:pPr>
        <w:jc w:val="both"/>
        <w:rPr>
          <w:kern w:val="0"/>
          <w14:ligatures w14:val="none"/>
        </w:rPr>
      </w:pPr>
      <w:r w:rsidRPr="00A632E9">
        <w:rPr>
          <w:kern w:val="0"/>
          <w14:ligatures w14:val="none"/>
        </w:rPr>
        <w:t xml:space="preserve">To ensure appropriate awareness within the community about the Proposed Project, </w:t>
      </w:r>
      <w:r w:rsidR="00B57709">
        <w:rPr>
          <w:kern w:val="0"/>
          <w14:ligatures w14:val="none"/>
        </w:rPr>
        <w:t xml:space="preserve">both the </w:t>
      </w:r>
      <w:r w:rsidR="00800BAB">
        <w:rPr>
          <w:kern w:val="0"/>
          <w14:ligatures w14:val="none"/>
        </w:rPr>
        <w:t>community Zoom meeting invitation</w:t>
      </w:r>
      <w:r w:rsidR="007C7E4C">
        <w:rPr>
          <w:rStyle w:val="FootnoteReference"/>
          <w:kern w:val="0"/>
          <w14:ligatures w14:val="none"/>
        </w:rPr>
        <w:footnoteReference w:id="160"/>
      </w:r>
      <w:r w:rsidR="00800BAB">
        <w:rPr>
          <w:kern w:val="0"/>
          <w14:ligatures w14:val="none"/>
        </w:rPr>
        <w:t xml:space="preserve"> and </w:t>
      </w:r>
      <w:r w:rsidRPr="00A632E9">
        <w:rPr>
          <w:kern w:val="0"/>
          <w14:ligatures w14:val="none"/>
        </w:rPr>
        <w:t xml:space="preserve">the legal notice associated with the Proposed Project </w:t>
      </w:r>
      <w:r w:rsidR="00800BAB">
        <w:rPr>
          <w:kern w:val="0"/>
          <w14:ligatures w14:val="none"/>
        </w:rPr>
        <w:t>were</w:t>
      </w:r>
      <w:r w:rsidRPr="00A632E9">
        <w:rPr>
          <w:kern w:val="0"/>
          <w14:ligatures w14:val="none"/>
        </w:rPr>
        <w:t xml:space="preserve"> published on the Shields website.</w:t>
      </w:r>
      <w:r w:rsidRPr="00A632E9">
        <w:rPr>
          <w:kern w:val="0"/>
          <w:vertAlign w:val="superscript"/>
          <w14:ligatures w14:val="none"/>
        </w:rPr>
        <w:footnoteReference w:id="161"/>
      </w:r>
      <w:r w:rsidRPr="00A632E9">
        <w:rPr>
          <w:kern w:val="0"/>
          <w14:ligatures w14:val="none"/>
        </w:rPr>
        <w:t xml:space="preserve"> This was done to bring awareness of the Proposed Project to all patients, family members, residents, and resident groups. It also provides an opportunity for public comment on the Proposed Project.</w:t>
      </w:r>
    </w:p>
    <w:p w14:paraId="68EA9F7E" w14:textId="77777777" w:rsidR="0063226A" w:rsidRDefault="0063226A" w:rsidP="00A632E9">
      <w:pPr>
        <w:jc w:val="both"/>
        <w:rPr>
          <w:b/>
          <w:bCs/>
          <w:kern w:val="0"/>
          <w14:ligatures w14:val="none"/>
        </w:rPr>
      </w:pPr>
    </w:p>
    <w:p w14:paraId="1DD3ACC8" w14:textId="367606AB" w:rsidR="00A632E9" w:rsidRPr="00A632E9" w:rsidRDefault="00A632E9" w:rsidP="00A632E9">
      <w:pPr>
        <w:jc w:val="both"/>
        <w:rPr>
          <w:b/>
          <w:bCs/>
          <w:kern w:val="0"/>
          <w14:ligatures w14:val="none"/>
        </w:rPr>
      </w:pPr>
      <w:r w:rsidRPr="00A632E9">
        <w:rPr>
          <w:b/>
          <w:bCs/>
          <w:kern w:val="0"/>
          <w14:ligatures w14:val="none"/>
        </w:rPr>
        <w:t>F1.</w:t>
      </w:r>
      <w:proofErr w:type="gramStart"/>
      <w:r w:rsidRPr="00A632E9">
        <w:rPr>
          <w:b/>
          <w:bCs/>
          <w:kern w:val="0"/>
          <w14:ligatures w14:val="none"/>
        </w:rPr>
        <w:t>e.ii</w:t>
      </w:r>
      <w:proofErr w:type="gramEnd"/>
      <w:r w:rsidRPr="00A632E9">
        <w:rPr>
          <w:b/>
          <w:bCs/>
          <w:kern w:val="0"/>
          <w14:ligatures w14:val="none"/>
        </w:rPr>
        <w:tab/>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5C98249C"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To ensure sound community engagement throughout the development of the Proposed Project, the following actions were taken:</w:t>
      </w:r>
    </w:p>
    <w:p w14:paraId="53C1581A"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1583DABD" w14:textId="528539E2" w:rsidR="00A632E9" w:rsidRPr="00A632E9" w:rsidRDefault="006C7E50" w:rsidP="00A632E9">
      <w:pPr>
        <w:numPr>
          <w:ilvl w:val="0"/>
          <w:numId w:val="6"/>
        </w:numPr>
        <w:autoSpaceDE w:val="0"/>
        <w:autoSpaceDN w:val="0"/>
        <w:adjustRightInd w:val="0"/>
        <w:spacing w:after="0" w:line="240" w:lineRule="auto"/>
        <w:contextualSpacing/>
        <w:jc w:val="both"/>
        <w:rPr>
          <w:rFonts w:ascii="Calibri" w:hAnsi="Calibri" w:cs="Calibri"/>
          <w:kern w:val="0"/>
          <w14:ligatures w14:val="none"/>
        </w:rPr>
      </w:pPr>
      <w:r>
        <w:rPr>
          <w:rFonts w:ascii="Calibri" w:hAnsi="Calibri" w:cs="Calibri"/>
          <w:kern w:val="0"/>
          <w14:ligatures w14:val="none"/>
        </w:rPr>
        <w:t xml:space="preserve">Invitation to a </w:t>
      </w:r>
      <w:r w:rsidR="00A632E9" w:rsidRPr="00A632E9">
        <w:rPr>
          <w:rFonts w:ascii="Calibri" w:hAnsi="Calibri" w:cs="Calibri"/>
          <w:kern w:val="0"/>
          <w14:ligatures w14:val="none"/>
        </w:rPr>
        <w:t>Virtual Community</w:t>
      </w:r>
      <w:r w:rsidR="00482091">
        <w:rPr>
          <w:rFonts w:ascii="Calibri" w:hAnsi="Calibri" w:cs="Calibri"/>
          <w:kern w:val="0"/>
          <w14:ligatures w14:val="none"/>
        </w:rPr>
        <w:t xml:space="preserve"> Zoom</w:t>
      </w:r>
      <w:r w:rsidR="00A632E9" w:rsidRPr="00A632E9">
        <w:rPr>
          <w:rFonts w:ascii="Calibri" w:hAnsi="Calibri" w:cs="Calibri"/>
          <w:kern w:val="0"/>
          <w14:ligatures w14:val="none"/>
        </w:rPr>
        <w:t xml:space="preserve"> meeting on January 24, 2024</w:t>
      </w:r>
      <w:r w:rsidR="00A632E9" w:rsidRPr="00A632E9">
        <w:rPr>
          <w:rFonts w:ascii="Calibri" w:hAnsi="Calibri" w:cs="Calibri"/>
          <w:kern w:val="0"/>
          <w:vertAlign w:val="superscript"/>
          <w14:ligatures w14:val="none"/>
        </w:rPr>
        <w:footnoteReference w:id="162"/>
      </w:r>
    </w:p>
    <w:p w14:paraId="72AEB85C" w14:textId="4D51B478" w:rsidR="00D402CF" w:rsidRPr="00A632E9" w:rsidRDefault="00D402CF" w:rsidP="00D402CF">
      <w:pPr>
        <w:numPr>
          <w:ilvl w:val="0"/>
          <w:numId w:val="6"/>
        </w:numPr>
        <w:autoSpaceDE w:val="0"/>
        <w:autoSpaceDN w:val="0"/>
        <w:adjustRightInd w:val="0"/>
        <w:spacing w:after="0" w:line="240" w:lineRule="auto"/>
        <w:contextualSpacing/>
        <w:jc w:val="both"/>
        <w:rPr>
          <w:rFonts w:ascii="Calibri" w:hAnsi="Calibri" w:cs="Calibri"/>
          <w:kern w:val="0"/>
          <w14:ligatures w14:val="none"/>
        </w:rPr>
      </w:pPr>
      <w:r w:rsidRPr="00A632E9">
        <w:rPr>
          <w:rFonts w:ascii="Calibri" w:hAnsi="Calibri" w:cs="Calibri"/>
          <w:kern w:val="0"/>
          <w14:ligatures w14:val="none"/>
        </w:rPr>
        <w:t xml:space="preserve">Presentation to </w:t>
      </w:r>
      <w:r>
        <w:rPr>
          <w:rFonts w:ascii="Calibri" w:hAnsi="Calibri" w:cs="Calibri"/>
          <w:kern w:val="0"/>
          <w14:ligatures w14:val="none"/>
        </w:rPr>
        <w:t>Atrius Health</w:t>
      </w:r>
      <w:r w:rsidRPr="00A632E9">
        <w:rPr>
          <w:rFonts w:ascii="Calibri" w:hAnsi="Calibri" w:cs="Calibri"/>
          <w:kern w:val="0"/>
          <w14:ligatures w14:val="none"/>
        </w:rPr>
        <w:t>’s PFAC on February 5, 2024</w:t>
      </w:r>
    </w:p>
    <w:p w14:paraId="7E6B361C" w14:textId="77777777" w:rsidR="00A632E9" w:rsidRDefault="00A632E9" w:rsidP="00A632E9">
      <w:pPr>
        <w:autoSpaceDE w:val="0"/>
        <w:autoSpaceDN w:val="0"/>
        <w:adjustRightInd w:val="0"/>
        <w:spacing w:after="0" w:line="240" w:lineRule="auto"/>
        <w:ind w:left="720"/>
        <w:contextualSpacing/>
        <w:jc w:val="both"/>
        <w:rPr>
          <w:rFonts w:ascii="Calibri" w:hAnsi="Calibri" w:cs="Calibri"/>
          <w:kern w:val="0"/>
          <w14:ligatures w14:val="none"/>
        </w:rPr>
      </w:pPr>
    </w:p>
    <w:p w14:paraId="676ED758" w14:textId="77777777" w:rsidR="004304F0" w:rsidRDefault="004304F0" w:rsidP="00A632E9">
      <w:pPr>
        <w:autoSpaceDE w:val="0"/>
        <w:autoSpaceDN w:val="0"/>
        <w:adjustRightInd w:val="0"/>
        <w:spacing w:after="0" w:line="240" w:lineRule="auto"/>
        <w:ind w:left="720"/>
        <w:contextualSpacing/>
        <w:jc w:val="both"/>
        <w:rPr>
          <w:rFonts w:ascii="Calibri" w:hAnsi="Calibri" w:cs="Calibri"/>
          <w:kern w:val="0"/>
          <w14:ligatures w14:val="none"/>
        </w:rPr>
      </w:pPr>
    </w:p>
    <w:p w14:paraId="17110D01" w14:textId="77777777" w:rsidR="00A632E9" w:rsidRPr="00A632E9" w:rsidRDefault="00A632E9" w:rsidP="00A632E9">
      <w:pPr>
        <w:rPr>
          <w:b/>
          <w:bCs/>
          <w:color w:val="0070C0"/>
          <w:kern w:val="0"/>
          <w14:ligatures w14:val="none"/>
        </w:rPr>
      </w:pPr>
      <w:r w:rsidRPr="00A632E9">
        <w:rPr>
          <w:b/>
          <w:bCs/>
          <w:color w:val="0070C0"/>
          <w:kern w:val="0"/>
          <w14:ligatures w14:val="none"/>
        </w:rPr>
        <w:t>Factor 2: Health Priorities</w:t>
      </w:r>
    </w:p>
    <w:p w14:paraId="042CA487" w14:textId="77777777" w:rsidR="00A632E9" w:rsidRDefault="00A632E9" w:rsidP="00A632E9">
      <w:pPr>
        <w:jc w:val="both"/>
        <w:rPr>
          <w:b/>
          <w:bCs/>
          <w:kern w:val="0"/>
          <w14:ligatures w14:val="none"/>
        </w:rPr>
      </w:pPr>
      <w:r w:rsidRPr="00A632E9">
        <w:rPr>
          <w:b/>
          <w:bCs/>
          <w:kern w:val="0"/>
          <w14:ligatures w14:val="none"/>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3FB07542" w14:textId="77777777" w:rsidR="00A632E9" w:rsidRPr="00A632E9" w:rsidRDefault="00A632E9" w:rsidP="00A632E9">
      <w:pPr>
        <w:rPr>
          <w:b/>
          <w:bCs/>
          <w:kern w:val="0"/>
          <w14:ligatures w14:val="none"/>
        </w:rPr>
      </w:pPr>
      <w:r w:rsidRPr="00A632E9">
        <w:rPr>
          <w:b/>
          <w:bCs/>
          <w:kern w:val="0"/>
          <w14:ligatures w14:val="none"/>
        </w:rPr>
        <w:t>F2.a.</w:t>
      </w:r>
      <w:r w:rsidRPr="00A632E9">
        <w:rPr>
          <w:b/>
          <w:bCs/>
          <w:kern w:val="0"/>
          <w14:ligatures w14:val="none"/>
        </w:rPr>
        <w:tab/>
      </w:r>
      <w:r w:rsidRPr="00A632E9">
        <w:rPr>
          <w:b/>
          <w:bCs/>
          <w:kern w:val="0"/>
          <w:u w:val="single"/>
          <w14:ligatures w14:val="none"/>
        </w:rPr>
        <w:t>Cost Containment</w:t>
      </w:r>
      <w:r w:rsidRPr="00A632E9">
        <w:rPr>
          <w:b/>
          <w:bCs/>
          <w:kern w:val="0"/>
          <w14:ligatures w14:val="none"/>
        </w:rPr>
        <w:t>:</w:t>
      </w:r>
    </w:p>
    <w:p w14:paraId="6F8F30E0" w14:textId="77777777" w:rsidR="00A632E9" w:rsidRPr="00A632E9" w:rsidRDefault="00A632E9" w:rsidP="00A632E9">
      <w:pPr>
        <w:jc w:val="both"/>
        <w:rPr>
          <w:b/>
          <w:bCs/>
          <w:kern w:val="0"/>
          <w14:ligatures w14:val="none"/>
        </w:rPr>
      </w:pPr>
      <w:r w:rsidRPr="00A632E9">
        <w:rPr>
          <w:b/>
          <w:bCs/>
          <w:kern w:val="0"/>
          <w14:ligatures w14:val="none"/>
        </w:rPr>
        <w:t>Using objective data, please describe, for each new or expanded service, how the Proposed Project will meaningfully contribute to the Commonwealth's goals for cost containment.</w:t>
      </w:r>
    </w:p>
    <w:p w14:paraId="635301A7" w14:textId="343BF29F"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The goals for cost containment in Massachusetts center around providing low-cost care alternatives without sacrificing high quality. The Proposed Project seeks to align with these goals by providing a </w:t>
      </w:r>
      <w:r w:rsidR="00316A2B">
        <w:rPr>
          <w:rFonts w:ascii="Calibri" w:hAnsi="Calibri" w:cs="Calibri"/>
          <w:kern w:val="0"/>
          <w14:ligatures w14:val="none"/>
        </w:rPr>
        <w:t>lower-cost</w:t>
      </w:r>
      <w:r w:rsidR="00263157">
        <w:rPr>
          <w:rFonts w:ascii="Calibri" w:hAnsi="Calibri" w:cs="Calibri"/>
          <w:kern w:val="0"/>
          <w14:ligatures w14:val="none"/>
        </w:rPr>
        <w:t>, yet high-quality diagnostic imaging</w:t>
      </w:r>
      <w:r w:rsidRPr="00A632E9">
        <w:rPr>
          <w:rFonts w:ascii="Calibri" w:hAnsi="Calibri" w:cs="Calibri"/>
          <w:kern w:val="0"/>
          <w14:ligatures w14:val="none"/>
        </w:rPr>
        <w:t xml:space="preserve"> option for patients in </w:t>
      </w:r>
      <w:r w:rsidR="00A36157">
        <w:rPr>
          <w:rFonts w:ascii="Calibri" w:hAnsi="Calibri" w:cs="Calibri"/>
          <w:kern w:val="0"/>
          <w14:ligatures w14:val="none"/>
        </w:rPr>
        <w:t>the</w:t>
      </w:r>
      <w:r w:rsidRPr="00A632E9">
        <w:rPr>
          <w:rFonts w:ascii="Calibri" w:hAnsi="Calibri" w:cs="Calibri"/>
          <w:kern w:val="0"/>
          <w14:ligatures w14:val="none"/>
        </w:rPr>
        <w:t xml:space="preserve"> service area</w:t>
      </w:r>
      <w:r w:rsidR="00263157">
        <w:rPr>
          <w:rFonts w:ascii="Calibri" w:hAnsi="Calibri" w:cs="Calibri"/>
          <w:kern w:val="0"/>
          <w14:ligatures w14:val="none"/>
        </w:rPr>
        <w:t xml:space="preserve">. </w:t>
      </w:r>
    </w:p>
    <w:p w14:paraId="02733C50"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19DD77F8" w14:textId="3F094B51" w:rsidR="00A632E9" w:rsidRPr="00A632E9" w:rsidRDefault="00672A6D" w:rsidP="00A632E9">
      <w:pPr>
        <w:autoSpaceDE w:val="0"/>
        <w:autoSpaceDN w:val="0"/>
        <w:adjustRightInd w:val="0"/>
        <w:spacing w:after="0" w:line="240" w:lineRule="auto"/>
        <w:jc w:val="both"/>
        <w:rPr>
          <w:rFonts w:ascii="Calibri" w:hAnsi="Calibri" w:cs="Calibri"/>
          <w:kern w:val="0"/>
          <w14:ligatures w14:val="none"/>
        </w:rPr>
      </w:pPr>
      <w:r>
        <w:rPr>
          <w:rFonts w:ascii="Calibri" w:hAnsi="Calibri" w:cs="Calibri"/>
          <w:kern w:val="0"/>
          <w14:ligatures w14:val="none"/>
        </w:rPr>
        <w:t>Potential</w:t>
      </w:r>
      <w:r w:rsidR="00A632E9" w:rsidRPr="00A632E9">
        <w:rPr>
          <w:rFonts w:ascii="Calibri" w:hAnsi="Calibri" w:cs="Calibri"/>
          <w:kern w:val="0"/>
          <w14:ligatures w14:val="none"/>
        </w:rPr>
        <w:t xml:space="preserve"> savings are associated with PET/CT </w:t>
      </w:r>
      <w:proofErr w:type="gramStart"/>
      <w:r w:rsidR="00A632E9" w:rsidRPr="00A632E9">
        <w:rPr>
          <w:rFonts w:ascii="Calibri" w:hAnsi="Calibri" w:cs="Calibri"/>
          <w:kern w:val="0"/>
          <w14:ligatures w14:val="none"/>
        </w:rPr>
        <w:t>as a result of</w:t>
      </w:r>
      <w:proofErr w:type="gramEnd"/>
      <w:r w:rsidR="00A632E9" w:rsidRPr="00A632E9">
        <w:rPr>
          <w:rFonts w:ascii="Calibri" w:hAnsi="Calibri" w:cs="Calibri"/>
          <w:kern w:val="0"/>
          <w14:ligatures w14:val="none"/>
        </w:rPr>
        <w:t xml:space="preserve"> avoiding additional imaging examinations or invasive procedures and by helping clinicians make the optimum treatment decisions.</w:t>
      </w:r>
      <w:r w:rsidR="00A632E9" w:rsidRPr="00A632E9">
        <w:rPr>
          <w:rFonts w:ascii="Calibri" w:hAnsi="Calibri" w:cs="Calibri"/>
          <w:kern w:val="0"/>
          <w:vertAlign w:val="superscript"/>
          <w14:ligatures w14:val="none"/>
        </w:rPr>
        <w:footnoteReference w:id="163"/>
      </w:r>
      <w:r w:rsidR="00A632E9" w:rsidRPr="00A632E9">
        <w:rPr>
          <w:rFonts w:ascii="Calibri" w:hAnsi="Calibri" w:cs="Calibri"/>
          <w:kern w:val="0"/>
          <w14:ligatures w14:val="none"/>
        </w:rPr>
        <w:t xml:space="preserve"> The Proposed Project meets the goal of providing a lower-cost alternative for PET/CT imaging services, as services will </w:t>
      </w:r>
      <w:r w:rsidR="00A632E9" w:rsidRPr="00A632E9">
        <w:rPr>
          <w:rFonts w:ascii="Calibri" w:hAnsi="Calibri" w:cs="Calibri"/>
          <w:kern w:val="0"/>
          <w14:ligatures w14:val="none"/>
        </w:rPr>
        <w:lastRenderedPageBreak/>
        <w:t>be provided by an IDTF, rather than a hospital-based outpatient clinic.  IDTFs are a more cost-effective option as the administrative costs for these types of providers are lower.</w:t>
      </w:r>
      <w:r w:rsidR="00A632E9" w:rsidRPr="00A632E9">
        <w:rPr>
          <w:rFonts w:ascii="Calibri" w:hAnsi="Calibri" w:cs="Calibri"/>
          <w:kern w:val="0"/>
          <w:vertAlign w:val="superscript"/>
          <w14:ligatures w14:val="none"/>
        </w:rPr>
        <w:footnoteReference w:id="164"/>
      </w:r>
      <w:r w:rsidR="00A632E9" w:rsidRPr="00A632E9">
        <w:rPr>
          <w:rFonts w:ascii="Calibri" w:hAnsi="Calibri" w:cs="Calibri"/>
          <w:kern w:val="0"/>
          <w14:ligatures w14:val="none"/>
        </w:rPr>
        <w:t xml:space="preserve"> This difference will allow the Applicant to provide cost-effective, </w:t>
      </w:r>
      <w:r>
        <w:rPr>
          <w:rFonts w:ascii="Calibri" w:hAnsi="Calibri" w:cs="Calibri"/>
          <w:kern w:val="0"/>
          <w14:ligatures w14:val="none"/>
        </w:rPr>
        <w:t>high-</w:t>
      </w:r>
      <w:r w:rsidR="00A632E9" w:rsidRPr="00A632E9">
        <w:rPr>
          <w:rFonts w:ascii="Calibri" w:hAnsi="Calibri" w:cs="Calibri"/>
          <w:kern w:val="0"/>
          <w14:ligatures w14:val="none"/>
        </w:rPr>
        <w:t>quality imaging services to the Applicant’s patients while having a negligible impact on the overall health care market.</w:t>
      </w:r>
    </w:p>
    <w:p w14:paraId="605033B2"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7FDC12E5"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According to a study in the Yale Journal of Biology and Medicine, there are savings from the integration of PET and CT in one system. There are several occasions in which PET leads to equivocal findings, and follow-up imaging studies (usually CT scans) are required.</w:t>
      </w:r>
      <w:r w:rsidRPr="00A632E9">
        <w:rPr>
          <w:rFonts w:ascii="Calibri" w:hAnsi="Calibri" w:cs="Calibri"/>
          <w:kern w:val="0"/>
          <w:vertAlign w:val="superscript"/>
          <w14:ligatures w14:val="none"/>
        </w:rPr>
        <w:footnoteReference w:id="165"/>
      </w:r>
      <w:r w:rsidRPr="00A632E9">
        <w:rPr>
          <w:rFonts w:ascii="Calibri" w:hAnsi="Calibri" w:cs="Calibri"/>
          <w:kern w:val="0"/>
          <w14:ligatures w14:val="none"/>
        </w:rPr>
        <w:t xml:space="preserve"> If patients undergo both examinations in one session, in addition to having more accurate results, costs will be lower.</w:t>
      </w:r>
      <w:r w:rsidRPr="00A632E9">
        <w:rPr>
          <w:rFonts w:ascii="Calibri" w:hAnsi="Calibri" w:cs="Calibri"/>
          <w:kern w:val="0"/>
          <w:vertAlign w:val="superscript"/>
          <w14:ligatures w14:val="none"/>
        </w:rPr>
        <w:footnoteReference w:id="166"/>
      </w:r>
    </w:p>
    <w:p w14:paraId="38CDD639"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5AD59575" w14:textId="57EBBD7B" w:rsid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Providing patients with accessible, low-cost, high-quality PET/CT imaging services and helping ensure that all patients receive essential care </w:t>
      </w:r>
      <w:r w:rsidR="0013320D">
        <w:rPr>
          <w:rFonts w:ascii="Calibri" w:hAnsi="Calibri" w:cs="Calibri"/>
          <w:kern w:val="0"/>
          <w14:ligatures w14:val="none"/>
        </w:rPr>
        <w:t>promptly</w:t>
      </w:r>
      <w:r w:rsidRPr="00A632E9">
        <w:rPr>
          <w:rFonts w:ascii="Calibri" w:hAnsi="Calibri" w:cs="Calibri"/>
          <w:kern w:val="0"/>
          <w14:ligatures w14:val="none"/>
        </w:rPr>
        <w:t>, is another way to promote cost containment goals.  Reducing diagnostic and treatment delays limits the deterioration of health and lowers costs by reducing the resources required for care.</w:t>
      </w:r>
      <w:r w:rsidRPr="00A632E9">
        <w:rPr>
          <w:rFonts w:ascii="Calibri" w:hAnsi="Calibri" w:cs="Calibri"/>
          <w:kern w:val="0"/>
          <w:vertAlign w:val="superscript"/>
          <w14:ligatures w14:val="none"/>
        </w:rPr>
        <w:footnoteReference w:id="167"/>
      </w:r>
      <w:r w:rsidRPr="00A632E9">
        <w:rPr>
          <w:rFonts w:ascii="Calibri" w:hAnsi="Calibri" w:cs="Calibri"/>
          <w:kern w:val="0"/>
          <w14:ligatures w14:val="none"/>
        </w:rPr>
        <w:t xml:space="preserve"> Offering PET/CT imaging services in a location that is proximate to </w:t>
      </w:r>
      <w:r w:rsidR="009F799E">
        <w:rPr>
          <w:rFonts w:ascii="Calibri" w:hAnsi="Calibri" w:cs="Calibri"/>
          <w:kern w:val="0"/>
          <w14:ligatures w14:val="none"/>
        </w:rPr>
        <w:t>Atrius</w:t>
      </w:r>
      <w:r w:rsidR="00672A6D">
        <w:rPr>
          <w:rFonts w:ascii="Calibri" w:hAnsi="Calibri" w:cs="Calibri"/>
          <w:kern w:val="0"/>
          <w14:ligatures w14:val="none"/>
        </w:rPr>
        <w:t xml:space="preserve"> Health</w:t>
      </w:r>
      <w:r w:rsidRPr="00A632E9">
        <w:rPr>
          <w:rFonts w:ascii="Calibri" w:hAnsi="Calibri" w:cs="Calibri"/>
          <w:kern w:val="0"/>
          <w14:ligatures w14:val="none"/>
        </w:rPr>
        <w:t>’s Dedham site,</w:t>
      </w:r>
      <w:r w:rsidRPr="00A632E9">
        <w:rPr>
          <w:rFonts w:ascii="Calibri" w:hAnsi="Calibri" w:cs="Calibri"/>
          <w:kern w:val="0"/>
          <w:vertAlign w:val="superscript"/>
          <w14:ligatures w14:val="none"/>
        </w:rPr>
        <w:footnoteReference w:id="168"/>
      </w:r>
      <w:r w:rsidRPr="00A632E9">
        <w:rPr>
          <w:rFonts w:ascii="Calibri" w:hAnsi="Calibri" w:cs="Calibri"/>
          <w:kern w:val="0"/>
          <w14:ligatures w14:val="none"/>
        </w:rPr>
        <w:t xml:space="preserve"> helps promote faster diagnosis, intervention, and treatment and can contribute to improving health care quality, thereby reducing the overall costs of health care.</w:t>
      </w:r>
    </w:p>
    <w:p w14:paraId="2DFB8319" w14:textId="77777777" w:rsidR="00482091" w:rsidRDefault="00482091" w:rsidP="00A632E9">
      <w:pPr>
        <w:autoSpaceDE w:val="0"/>
        <w:autoSpaceDN w:val="0"/>
        <w:adjustRightInd w:val="0"/>
        <w:spacing w:after="0" w:line="240" w:lineRule="auto"/>
        <w:jc w:val="both"/>
        <w:rPr>
          <w:rFonts w:ascii="Calibri" w:hAnsi="Calibri" w:cs="Calibri"/>
          <w:kern w:val="0"/>
          <w14:ligatures w14:val="none"/>
        </w:rPr>
      </w:pPr>
    </w:p>
    <w:p w14:paraId="53347F5F" w14:textId="125DF75C" w:rsidR="00BA086C" w:rsidRDefault="00BA086C" w:rsidP="00A632E9">
      <w:pPr>
        <w:autoSpaceDE w:val="0"/>
        <w:autoSpaceDN w:val="0"/>
        <w:adjustRightInd w:val="0"/>
        <w:spacing w:after="0" w:line="240" w:lineRule="auto"/>
        <w:jc w:val="both"/>
        <w:rPr>
          <w:rFonts w:ascii="Calibri" w:hAnsi="Calibri" w:cs="Calibri"/>
          <w:kern w:val="0"/>
          <w14:ligatures w14:val="none"/>
        </w:rPr>
      </w:pPr>
      <w:r>
        <w:rPr>
          <w:rFonts w:ascii="Calibri" w:hAnsi="Calibri" w:cs="Calibri"/>
          <w:kern w:val="0"/>
          <w:lang w:bidi="en-US"/>
          <w14:ligatures w14:val="none"/>
        </w:rPr>
        <w:t>R</w:t>
      </w:r>
      <w:r w:rsidRPr="00BA086C">
        <w:rPr>
          <w:rFonts w:ascii="Calibri" w:hAnsi="Calibri" w:cs="Calibri"/>
          <w:kern w:val="0"/>
          <w:lang w:bidi="en-US"/>
          <w14:ligatures w14:val="none"/>
        </w:rPr>
        <w:t xml:space="preserve">esearch can </w:t>
      </w:r>
      <w:r>
        <w:rPr>
          <w:rFonts w:ascii="Calibri" w:hAnsi="Calibri" w:cs="Calibri"/>
          <w:kern w:val="0"/>
          <w:lang w:bidi="en-US"/>
          <w14:ligatures w14:val="none"/>
        </w:rPr>
        <w:t xml:space="preserve">also </w:t>
      </w:r>
      <w:r w:rsidRPr="00BA086C">
        <w:rPr>
          <w:rFonts w:ascii="Calibri" w:hAnsi="Calibri" w:cs="Calibri"/>
          <w:kern w:val="0"/>
          <w:lang w:bidi="en-US"/>
          <w14:ligatures w14:val="none"/>
        </w:rPr>
        <w:t>help cut the cost of medical care.</w:t>
      </w:r>
      <w:r w:rsidRPr="00BA086C">
        <w:rPr>
          <w:rFonts w:ascii="Calibri" w:hAnsi="Calibri" w:cs="Calibri"/>
          <w:kern w:val="0"/>
          <w:vertAlign w:val="superscript"/>
          <w:lang w:bidi="en-US"/>
          <w14:ligatures w14:val="none"/>
        </w:rPr>
        <w:footnoteReference w:id="169"/>
      </w:r>
      <w:r w:rsidRPr="00BA086C">
        <w:rPr>
          <w:rFonts w:ascii="Calibri" w:hAnsi="Calibri" w:cs="Calibri"/>
          <w:kern w:val="0"/>
          <w:lang w:bidi="en-US"/>
          <w14:ligatures w14:val="none"/>
        </w:rPr>
        <w:t xml:space="preserve"> PET/CT has shown important promise for reducing the cost of cancer management by improving the accuracy of both diagnosis and staging, thereby helping to avoid expensive, futile treatments</w:t>
      </w:r>
      <w:r w:rsidRPr="00BA086C">
        <w:rPr>
          <w:rFonts w:ascii="Calibri" w:hAnsi="Calibri" w:cs="Calibri"/>
          <w:kern w:val="0"/>
          <w:vertAlign w:val="superscript"/>
          <w:lang w:bidi="en-US"/>
          <w14:ligatures w14:val="none"/>
        </w:rPr>
        <w:footnoteReference w:id="170"/>
      </w:r>
      <w:r w:rsidRPr="00BA086C">
        <w:rPr>
          <w:rFonts w:ascii="Calibri" w:hAnsi="Calibri" w:cs="Calibri"/>
          <w:kern w:val="0"/>
          <w:lang w:bidi="en-US"/>
          <w14:ligatures w14:val="none"/>
        </w:rPr>
        <w:t xml:space="preserve"> and associated side effects.</w:t>
      </w:r>
      <w:r w:rsidRPr="00BA086C">
        <w:rPr>
          <w:rFonts w:ascii="Calibri" w:hAnsi="Calibri" w:cs="Calibri"/>
          <w:kern w:val="0"/>
          <w:vertAlign w:val="superscript"/>
          <w:lang w:bidi="en-US"/>
          <w14:ligatures w14:val="none"/>
        </w:rPr>
        <w:footnoteReference w:id="171"/>
      </w:r>
      <w:r w:rsidRPr="00BA086C">
        <w:rPr>
          <w:rFonts w:ascii="Calibri" w:hAnsi="Calibri" w:cs="Calibri"/>
          <w:kern w:val="0"/>
          <w:lang w:bidi="en-US"/>
          <w14:ligatures w14:val="none"/>
        </w:rPr>
        <w:t xml:space="preserve"> PET/CT also has the potential to reduce the cost burden over time to the health care system by identifying the most appropriate treatment,</w:t>
      </w:r>
      <w:r w:rsidRPr="00BA086C">
        <w:rPr>
          <w:rFonts w:ascii="Calibri" w:hAnsi="Calibri" w:cs="Calibri"/>
          <w:kern w:val="0"/>
          <w:vertAlign w:val="superscript"/>
          <w:lang w:bidi="en-US"/>
          <w14:ligatures w14:val="none"/>
        </w:rPr>
        <w:footnoteReference w:id="172"/>
      </w:r>
      <w:r w:rsidRPr="00BA086C">
        <w:rPr>
          <w:rFonts w:ascii="Calibri" w:hAnsi="Calibri" w:cs="Calibri"/>
          <w:kern w:val="0"/>
          <w:lang w:bidi="en-US"/>
          <w14:ligatures w14:val="none"/>
        </w:rPr>
        <w:t xml:space="preserve"> earlier in the disease process.</w:t>
      </w:r>
    </w:p>
    <w:p w14:paraId="3B460984" w14:textId="77777777" w:rsidR="00FE4EAD" w:rsidRDefault="00FE4EAD" w:rsidP="00A632E9">
      <w:pPr>
        <w:rPr>
          <w:b/>
          <w:bCs/>
          <w:kern w:val="0"/>
          <w14:ligatures w14:val="none"/>
        </w:rPr>
      </w:pPr>
    </w:p>
    <w:p w14:paraId="4ED3A25D" w14:textId="05EB9F2C" w:rsidR="00A632E9" w:rsidRPr="00A632E9" w:rsidRDefault="00A632E9" w:rsidP="00A632E9">
      <w:pPr>
        <w:rPr>
          <w:b/>
          <w:bCs/>
          <w:kern w:val="0"/>
          <w14:ligatures w14:val="none"/>
        </w:rPr>
      </w:pPr>
      <w:r w:rsidRPr="00A632E9">
        <w:rPr>
          <w:b/>
          <w:bCs/>
          <w:kern w:val="0"/>
          <w14:ligatures w14:val="none"/>
        </w:rPr>
        <w:t>F</w:t>
      </w:r>
      <w:proofErr w:type="gramStart"/>
      <w:r w:rsidRPr="00A632E9">
        <w:rPr>
          <w:b/>
          <w:bCs/>
          <w:kern w:val="0"/>
          <w14:ligatures w14:val="none"/>
        </w:rPr>
        <w:t>2.b</w:t>
      </w:r>
      <w:proofErr w:type="gramEnd"/>
      <w:r w:rsidRPr="00A632E9">
        <w:rPr>
          <w:b/>
          <w:bCs/>
          <w:kern w:val="0"/>
          <w14:ligatures w14:val="none"/>
        </w:rPr>
        <w:tab/>
      </w:r>
      <w:r w:rsidRPr="00A632E9">
        <w:rPr>
          <w:b/>
          <w:bCs/>
          <w:kern w:val="0"/>
          <w:u w:val="single"/>
          <w14:ligatures w14:val="none"/>
        </w:rPr>
        <w:t>Public Health Outcomes</w:t>
      </w:r>
      <w:r w:rsidRPr="00A632E9">
        <w:rPr>
          <w:b/>
          <w:bCs/>
          <w:kern w:val="0"/>
          <w14:ligatures w14:val="none"/>
        </w:rPr>
        <w:t>:</w:t>
      </w:r>
    </w:p>
    <w:p w14:paraId="2808A31A" w14:textId="77777777" w:rsidR="00A632E9" w:rsidRPr="00A632E9" w:rsidRDefault="00A632E9" w:rsidP="00A632E9">
      <w:pPr>
        <w:jc w:val="both"/>
        <w:rPr>
          <w:b/>
          <w:bCs/>
          <w:kern w:val="0"/>
          <w14:ligatures w14:val="none"/>
        </w:rPr>
      </w:pPr>
      <w:r w:rsidRPr="00A632E9">
        <w:rPr>
          <w:b/>
          <w:bCs/>
          <w:kern w:val="0"/>
          <w14:ligatures w14:val="none"/>
        </w:rPr>
        <w:t>Describe, as relevant, for each new or expanded service, how the Proposed Project will improve public health outcomes.</w:t>
      </w:r>
    </w:p>
    <w:p w14:paraId="6E65E3B3" w14:textId="38FBB033"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Providing needed care </w:t>
      </w:r>
      <w:r w:rsidR="00791B19">
        <w:rPr>
          <w:rFonts w:ascii="Calibri" w:hAnsi="Calibri" w:cs="Calibri"/>
          <w:kern w:val="0"/>
          <w14:ligatures w14:val="none"/>
        </w:rPr>
        <w:t>more efficiently and effectively</w:t>
      </w:r>
      <w:r w:rsidRPr="00A632E9">
        <w:rPr>
          <w:rFonts w:ascii="Calibri" w:hAnsi="Calibri" w:cs="Calibri"/>
          <w:kern w:val="0"/>
          <w14:ligatures w14:val="none"/>
        </w:rPr>
        <w:t xml:space="preserve"> will improve public health outcomes and patient experience. As is outlined in detail throughout this narrative, PET/CT imaging</w:t>
      </w:r>
      <w:r w:rsidRPr="00A632E9">
        <w:rPr>
          <w:kern w:val="0"/>
          <w14:ligatures w14:val="none"/>
        </w:rPr>
        <w:t xml:space="preserve"> is a powerful modality that allows clinicians to better understand the disease process and make treatment decisions. If the Proposed Project is approved, the patient panel will enjoy access to PET/CT imaging services at a low cost, and community clinicians will have the necessary tools to appropriately diagnose and treat patients, thereby improving health outcomes for the patient panel.</w:t>
      </w:r>
    </w:p>
    <w:p w14:paraId="361C4DC1" w14:textId="77777777" w:rsidR="004B083F" w:rsidRDefault="004B083F" w:rsidP="00A632E9">
      <w:pPr>
        <w:autoSpaceDE w:val="0"/>
        <w:autoSpaceDN w:val="0"/>
        <w:adjustRightInd w:val="0"/>
        <w:spacing w:after="0" w:line="240" w:lineRule="auto"/>
        <w:jc w:val="both"/>
        <w:rPr>
          <w:rFonts w:ascii="Calibri" w:hAnsi="Calibri" w:cs="Calibri"/>
          <w:kern w:val="0"/>
          <w14:ligatures w14:val="none"/>
        </w:rPr>
      </w:pPr>
    </w:p>
    <w:p w14:paraId="23F73C75" w14:textId="2F965A8B"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As the patient population ages, the demand for imaging services will likely grow.  An aging population will have an increased need for high-quality imaging services to diagnose and treat age-related conditions. In fact, on average, geriatric patients use 50 percent more lab/imaging services than younger populations.</w:t>
      </w:r>
      <w:r w:rsidRPr="00A632E9">
        <w:rPr>
          <w:rFonts w:ascii="Calibri" w:hAnsi="Calibri" w:cs="Calibri"/>
          <w:kern w:val="0"/>
          <w:vertAlign w:val="superscript"/>
          <w14:ligatures w14:val="none"/>
        </w:rPr>
        <w:footnoteReference w:id="173"/>
      </w:r>
      <w:r w:rsidRPr="00A632E9">
        <w:rPr>
          <w:rFonts w:ascii="Calibri" w:hAnsi="Calibri" w:cs="Calibri"/>
          <w:kern w:val="0"/>
          <w14:ligatures w14:val="none"/>
        </w:rPr>
        <w:t xml:space="preserve"> </w:t>
      </w:r>
    </w:p>
    <w:p w14:paraId="5ED7207B"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7E05EF90" w14:textId="33AB46DD"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PET/CT services managed under the Shields operating platform, supported by </w:t>
      </w:r>
      <w:r w:rsidR="009F799E">
        <w:rPr>
          <w:rFonts w:ascii="Calibri" w:hAnsi="Calibri" w:cs="Calibri"/>
          <w:kern w:val="0"/>
          <w14:ligatures w14:val="none"/>
        </w:rPr>
        <w:t>Atrius</w:t>
      </w:r>
      <w:r w:rsidR="009A5975">
        <w:rPr>
          <w:rFonts w:ascii="Calibri" w:hAnsi="Calibri" w:cs="Calibri"/>
          <w:kern w:val="0"/>
          <w14:ligatures w14:val="none"/>
        </w:rPr>
        <w:t xml:space="preserve"> Health</w:t>
      </w:r>
      <w:r w:rsidRPr="00A632E9">
        <w:rPr>
          <w:rFonts w:ascii="Calibri" w:hAnsi="Calibri" w:cs="Calibri"/>
          <w:kern w:val="0"/>
          <w14:ligatures w14:val="none"/>
        </w:rPr>
        <w:t xml:space="preserve">’s EMR system will provide access to patients residing within the </w:t>
      </w:r>
      <w:r w:rsidR="00767AC4">
        <w:rPr>
          <w:rFonts w:ascii="Calibri" w:hAnsi="Calibri" w:cs="Calibri"/>
          <w:kern w:val="0"/>
          <w14:ligatures w14:val="none"/>
        </w:rPr>
        <w:t>service area</w:t>
      </w:r>
      <w:r w:rsidRPr="00A632E9">
        <w:rPr>
          <w:rFonts w:ascii="Calibri" w:hAnsi="Calibri" w:cs="Calibri"/>
          <w:kern w:val="0"/>
          <w14:ligatures w14:val="none"/>
        </w:rPr>
        <w:t>. Increasing demand as outlined in Factor 1 will be met with greater access to the highest quality diagnostic imaging. Creating streamlined pathways for access to high-value care will improve overall public health outcomes</w:t>
      </w:r>
      <w:r w:rsidR="0013320D">
        <w:rPr>
          <w:rFonts w:ascii="Calibri" w:hAnsi="Calibri" w:cs="Calibri"/>
          <w:kern w:val="0"/>
          <w14:ligatures w14:val="none"/>
        </w:rPr>
        <w:t>.</w:t>
      </w:r>
    </w:p>
    <w:p w14:paraId="44C46232" w14:textId="77777777" w:rsidR="00A632E9" w:rsidRDefault="00A632E9" w:rsidP="00A632E9">
      <w:pPr>
        <w:autoSpaceDE w:val="0"/>
        <w:autoSpaceDN w:val="0"/>
        <w:adjustRightInd w:val="0"/>
        <w:spacing w:after="0" w:line="240" w:lineRule="auto"/>
        <w:jc w:val="both"/>
        <w:rPr>
          <w:rFonts w:ascii="Calibri" w:hAnsi="Calibri" w:cs="Calibri"/>
          <w:kern w:val="0"/>
          <w14:ligatures w14:val="none"/>
        </w:rPr>
      </w:pPr>
    </w:p>
    <w:p w14:paraId="21FE806E" w14:textId="77777777" w:rsidR="00E047AF" w:rsidRPr="00A632E9" w:rsidRDefault="00E047AF" w:rsidP="00A632E9">
      <w:pPr>
        <w:autoSpaceDE w:val="0"/>
        <w:autoSpaceDN w:val="0"/>
        <w:adjustRightInd w:val="0"/>
        <w:spacing w:after="0" w:line="240" w:lineRule="auto"/>
        <w:jc w:val="both"/>
        <w:rPr>
          <w:rFonts w:ascii="Calibri" w:hAnsi="Calibri" w:cs="Calibri"/>
          <w:kern w:val="0"/>
          <w14:ligatures w14:val="none"/>
        </w:rPr>
      </w:pPr>
    </w:p>
    <w:p w14:paraId="3CF7EDCF" w14:textId="77777777" w:rsidR="00A632E9" w:rsidRPr="00A632E9" w:rsidRDefault="00A632E9" w:rsidP="00A632E9">
      <w:pPr>
        <w:rPr>
          <w:b/>
          <w:bCs/>
          <w:kern w:val="0"/>
          <w14:ligatures w14:val="none"/>
        </w:rPr>
      </w:pPr>
      <w:r w:rsidRPr="00A632E9">
        <w:rPr>
          <w:b/>
          <w:bCs/>
          <w:kern w:val="0"/>
          <w14:ligatures w14:val="none"/>
        </w:rPr>
        <w:t>F2.c</w:t>
      </w:r>
      <w:r w:rsidRPr="00A632E9">
        <w:rPr>
          <w:b/>
          <w:bCs/>
          <w:kern w:val="0"/>
          <w14:ligatures w14:val="none"/>
        </w:rPr>
        <w:tab/>
      </w:r>
      <w:r w:rsidRPr="00A632E9">
        <w:rPr>
          <w:b/>
          <w:bCs/>
          <w:kern w:val="0"/>
          <w:u w:val="single"/>
          <w14:ligatures w14:val="none"/>
        </w:rPr>
        <w:t>Delivery System Transformation</w:t>
      </w:r>
      <w:r w:rsidRPr="00A632E9">
        <w:rPr>
          <w:b/>
          <w:bCs/>
          <w:kern w:val="0"/>
          <w14:ligatures w14:val="none"/>
        </w:rPr>
        <w:t>:</w:t>
      </w:r>
    </w:p>
    <w:p w14:paraId="0E6AE948" w14:textId="77777777" w:rsidR="00A632E9" w:rsidRPr="00A632E9" w:rsidRDefault="00A632E9" w:rsidP="00A632E9">
      <w:pPr>
        <w:jc w:val="both"/>
        <w:rPr>
          <w:b/>
          <w:bCs/>
          <w:kern w:val="0"/>
          <w14:ligatures w14:val="none"/>
        </w:rPr>
      </w:pPr>
      <w:r w:rsidRPr="00A632E9">
        <w:rPr>
          <w:b/>
          <w:bCs/>
          <w:kern w:val="0"/>
          <w14:ligatures w14:val="none"/>
        </w:rPr>
        <w:t xml:space="preserve">Because the </w:t>
      </w:r>
      <w:bookmarkStart w:id="27" w:name="_Hlk112921710"/>
      <w:r w:rsidRPr="00A632E9">
        <w:rPr>
          <w:b/>
          <w:bCs/>
          <w:kern w:val="0"/>
          <w14:ligatures w14:val="none"/>
        </w:rPr>
        <w:t xml:space="preserve">integration of social services and community-based expertise </w:t>
      </w:r>
      <w:bookmarkEnd w:id="27"/>
      <w:r w:rsidRPr="00A632E9">
        <w:rPr>
          <w:b/>
          <w:bCs/>
          <w:kern w:val="0"/>
          <w14:ligatures w14:val="none"/>
        </w:rPr>
        <w:t>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368422C8" w14:textId="1D4034CF"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The Proposed Project will provide access to high-value, low-cost PET/CT imaging services to the community served within the Applicant’s </w:t>
      </w:r>
      <w:r w:rsidR="00C40D63">
        <w:rPr>
          <w:rFonts w:ascii="Calibri" w:hAnsi="Calibri" w:cs="Calibri"/>
          <w:kern w:val="0"/>
          <w14:ligatures w14:val="none"/>
        </w:rPr>
        <w:t>service area</w:t>
      </w:r>
      <w:r w:rsidRPr="00A632E9">
        <w:rPr>
          <w:rFonts w:ascii="Calibri" w:hAnsi="Calibri" w:cs="Calibri"/>
          <w:kern w:val="0"/>
          <w14:ligatures w14:val="none"/>
        </w:rPr>
        <w:t xml:space="preserve">. In instances where patients need support to address </w:t>
      </w:r>
      <w:proofErr w:type="spellStart"/>
      <w:r w:rsidRPr="00A632E9">
        <w:rPr>
          <w:rFonts w:ascii="Calibri" w:hAnsi="Calibri" w:cs="Calibri"/>
          <w:kern w:val="0"/>
          <w14:ligatures w14:val="none"/>
        </w:rPr>
        <w:t>SDoH</w:t>
      </w:r>
      <w:proofErr w:type="spellEnd"/>
      <w:r w:rsidRPr="00A632E9">
        <w:rPr>
          <w:rFonts w:ascii="Calibri" w:hAnsi="Calibri" w:cs="Calibri"/>
          <w:kern w:val="0"/>
          <w14:ligatures w14:val="none"/>
        </w:rPr>
        <w:t>,</w:t>
      </w:r>
      <w:r w:rsidRPr="00A632E9">
        <w:rPr>
          <w:rFonts w:ascii="Calibri" w:hAnsi="Calibri" w:cs="Calibri"/>
          <w:kern w:val="0"/>
          <w:vertAlign w:val="superscript"/>
          <w14:ligatures w14:val="none"/>
        </w:rPr>
        <w:footnoteReference w:id="174"/>
      </w:r>
      <w:r w:rsidRPr="00A632E9">
        <w:rPr>
          <w:rFonts w:ascii="Calibri" w:hAnsi="Calibri" w:cs="Calibri"/>
          <w:kern w:val="0"/>
          <w14:ligatures w14:val="none"/>
        </w:rPr>
        <w:t xml:space="preserve"> the Applicant offers enhanced access to services designed to facilitate improved care pathways influenced by social determinants of health. Specifically, the Applicant plans to implement numerous amenities, including patient access tools, such as preregistration functionality, a cost transparency application, linkages to financial counselors, culturally competent staff, and a robust translation services program. These amenities facilitate easier to access care for vulnerable and at-risk populations.</w:t>
      </w:r>
    </w:p>
    <w:p w14:paraId="06373245"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0E902BDB" w14:textId="01A7A744"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r w:rsidRPr="00A632E9">
        <w:rPr>
          <w:rFonts w:ascii="Calibri" w:hAnsi="Calibri" w:cs="Calibri"/>
          <w:kern w:val="0"/>
          <w14:ligatures w14:val="none"/>
        </w:rPr>
        <w:t xml:space="preserve">The Applicant’s enhanced service offerings are not limited to staffing and programmatic functionality – care has also been taken </w:t>
      </w:r>
      <w:r w:rsidR="00C40D63">
        <w:rPr>
          <w:rFonts w:ascii="Calibri" w:hAnsi="Calibri" w:cs="Calibri"/>
          <w:kern w:val="0"/>
          <w14:ligatures w14:val="none"/>
        </w:rPr>
        <w:t xml:space="preserve">concerning </w:t>
      </w:r>
      <w:r w:rsidRPr="00A632E9">
        <w:rPr>
          <w:rFonts w:ascii="Calibri" w:hAnsi="Calibri" w:cs="Calibri"/>
          <w:kern w:val="0"/>
          <w14:ligatures w14:val="none"/>
        </w:rPr>
        <w:t>the physical space where the PET/CT services will be offered. Research shows that a safe and well-designed clinical space helps to improve patient outcomes.</w:t>
      </w:r>
      <w:r w:rsidRPr="00A632E9">
        <w:rPr>
          <w:rFonts w:ascii="Calibri" w:hAnsi="Calibri" w:cs="Calibri"/>
          <w:kern w:val="0"/>
          <w:vertAlign w:val="superscript"/>
          <w14:ligatures w14:val="none"/>
        </w:rPr>
        <w:footnoteReference w:id="175"/>
      </w:r>
      <w:r w:rsidRPr="00A632E9">
        <w:rPr>
          <w:rFonts w:ascii="Calibri" w:hAnsi="Calibri" w:cs="Calibri"/>
          <w:kern w:val="0"/>
          <w14:ligatures w14:val="none"/>
        </w:rPr>
        <w:t xml:space="preserve">  The </w:t>
      </w:r>
      <w:r w:rsidRPr="00A632E9">
        <w:rPr>
          <w:kern w:val="0"/>
          <w14:ligatures w14:val="none"/>
        </w:rPr>
        <w:t xml:space="preserve">Shields Dedham site complies with the Americans with Disabilities Act (“ADA”) design standards.  The building offers a patient-centered design, ample free parking, walking distance to both commuter rail as well as a bus stop, and extended hours.  The PET/CT area will optimize a combination of inside space and a mobile PET/CT unit aligned with the building. To access diagnostic imaging, patients will enter the mobile environment that is temporarily attached to the building, enclosed from the outside elements. </w:t>
      </w:r>
    </w:p>
    <w:p w14:paraId="4BEF192B" w14:textId="77777777" w:rsidR="00A632E9" w:rsidRPr="00A632E9" w:rsidRDefault="00A632E9" w:rsidP="00A632E9">
      <w:pPr>
        <w:autoSpaceDE w:val="0"/>
        <w:autoSpaceDN w:val="0"/>
        <w:adjustRightInd w:val="0"/>
        <w:spacing w:after="0" w:line="240" w:lineRule="auto"/>
        <w:jc w:val="both"/>
        <w:rPr>
          <w:rFonts w:ascii="Calibri" w:hAnsi="Calibri" w:cs="Calibri"/>
          <w:kern w:val="0"/>
          <w14:ligatures w14:val="none"/>
        </w:rPr>
      </w:pPr>
    </w:p>
    <w:p w14:paraId="2EA571B2" w14:textId="77777777" w:rsidR="00A632E9" w:rsidRPr="00A632E9" w:rsidRDefault="00A632E9" w:rsidP="00A632E9">
      <w:pPr>
        <w:rPr>
          <w:kern w:val="0"/>
          <w14:ligatures w14:val="none"/>
        </w:rPr>
      </w:pPr>
      <w:r w:rsidRPr="00A632E9">
        <w:rPr>
          <w:kern w:val="0"/>
          <w14:ligatures w14:val="none"/>
        </w:rPr>
        <w:lastRenderedPageBreak/>
        <w:t>The needs of the Applicant’s patient panel have been thoughtfully assessed in contemplation of the Proposed Project and as a result, the Applicant is confident that integration of social services and community-based needs will be enhanced, should this project be approved.</w:t>
      </w:r>
    </w:p>
    <w:p w14:paraId="2FF10440" w14:textId="77777777" w:rsidR="00593DA1" w:rsidRDefault="00593DA1" w:rsidP="00A632E9">
      <w:pPr>
        <w:autoSpaceDE w:val="0"/>
        <w:autoSpaceDN w:val="0"/>
        <w:adjustRightInd w:val="0"/>
        <w:spacing w:after="0" w:line="240" w:lineRule="auto"/>
        <w:jc w:val="both"/>
        <w:rPr>
          <w:rFonts w:ascii="Calibri" w:hAnsi="Calibri" w:cs="Calibri"/>
          <w:kern w:val="0"/>
          <w14:ligatures w14:val="none"/>
        </w:rPr>
      </w:pPr>
    </w:p>
    <w:p w14:paraId="5FB38578" w14:textId="77777777" w:rsidR="00E047AF" w:rsidRPr="00A632E9" w:rsidRDefault="00E047AF" w:rsidP="00A632E9">
      <w:pPr>
        <w:autoSpaceDE w:val="0"/>
        <w:autoSpaceDN w:val="0"/>
        <w:adjustRightInd w:val="0"/>
        <w:spacing w:after="0" w:line="240" w:lineRule="auto"/>
        <w:jc w:val="both"/>
        <w:rPr>
          <w:rFonts w:ascii="Calibri" w:hAnsi="Calibri" w:cs="Calibri"/>
          <w:kern w:val="0"/>
          <w14:ligatures w14:val="none"/>
        </w:rPr>
      </w:pPr>
    </w:p>
    <w:p w14:paraId="5AE1CD5E" w14:textId="77777777" w:rsidR="00A632E9" w:rsidRPr="00A632E9" w:rsidRDefault="00A632E9" w:rsidP="00A632E9">
      <w:pPr>
        <w:rPr>
          <w:b/>
          <w:color w:val="0070C0"/>
          <w:kern w:val="0"/>
          <w14:ligatures w14:val="none"/>
        </w:rPr>
      </w:pPr>
      <w:r w:rsidRPr="00A632E9">
        <w:rPr>
          <w:b/>
          <w:color w:val="0070C0"/>
          <w:kern w:val="0"/>
          <w14:ligatures w14:val="none"/>
        </w:rPr>
        <w:t xml:space="preserve">Factor 5: Relative Merit </w:t>
      </w:r>
    </w:p>
    <w:p w14:paraId="239064DE" w14:textId="77777777" w:rsidR="00A632E9" w:rsidRPr="00A632E9" w:rsidRDefault="00A632E9" w:rsidP="00A632E9">
      <w:pPr>
        <w:jc w:val="both"/>
        <w:rPr>
          <w:b/>
          <w:bCs/>
          <w:kern w:val="0"/>
          <w14:ligatures w14:val="none"/>
        </w:rPr>
      </w:pPr>
      <w:r w:rsidRPr="00A632E9">
        <w:rPr>
          <w:b/>
          <w:bCs/>
          <w:kern w:val="0"/>
          <w14:ligatures w14:val="none"/>
        </w:rPr>
        <w:t>F5.</w:t>
      </w:r>
      <w:proofErr w:type="gramStart"/>
      <w:r w:rsidRPr="00A632E9">
        <w:rPr>
          <w:b/>
          <w:bCs/>
          <w:kern w:val="0"/>
          <w14:ligatures w14:val="none"/>
        </w:rPr>
        <w:t>a.i</w:t>
      </w:r>
      <w:proofErr w:type="gramEnd"/>
      <w:r w:rsidRPr="00A632E9">
        <w:rPr>
          <w:b/>
          <w:bCs/>
          <w:kern w:val="0"/>
          <w14:ligatures w14:val="none"/>
        </w:rPr>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A632E9">
        <w:rPr>
          <w:b/>
          <w:bCs/>
          <w:kern w:val="0"/>
          <w14:ligatures w14:val="none"/>
        </w:rPr>
        <w:t>take into account</w:t>
      </w:r>
      <w:proofErr w:type="gramEnd"/>
      <w:r w:rsidRPr="00A632E9">
        <w:rPr>
          <w:b/>
          <w:bCs/>
          <w:kern w:val="0"/>
          <w14:ligatures w14:val="none"/>
        </w:rPr>
        <w:t>, at a minimum, the quality, efficiency, and capital and operating costs of the Proposed Project relative to potential alternatives or substitutes, including alternative evidence-based strategies and public health interventions.</w:t>
      </w:r>
    </w:p>
    <w:p w14:paraId="757A6AB1" w14:textId="77777777" w:rsidR="00A632E9" w:rsidRPr="00A632E9" w:rsidRDefault="00A632E9" w:rsidP="00A632E9">
      <w:pPr>
        <w:numPr>
          <w:ilvl w:val="0"/>
          <w:numId w:val="7"/>
        </w:numPr>
        <w:contextualSpacing/>
        <w:rPr>
          <w:b/>
          <w:kern w:val="0"/>
          <w14:ligatures w14:val="none"/>
        </w:rPr>
      </w:pPr>
      <w:r w:rsidRPr="00A632E9">
        <w:rPr>
          <w:b/>
          <w:kern w:val="0"/>
          <w14:ligatures w14:val="none"/>
        </w:rPr>
        <w:t>Proposal</w:t>
      </w:r>
    </w:p>
    <w:p w14:paraId="745C0487" w14:textId="09638BFE" w:rsidR="00A632E9" w:rsidRPr="00A632E9" w:rsidRDefault="00A632E9" w:rsidP="00A632E9">
      <w:pPr>
        <w:ind w:left="360"/>
        <w:jc w:val="both"/>
        <w:rPr>
          <w:bCs/>
          <w:kern w:val="0"/>
          <w14:ligatures w14:val="none"/>
        </w:rPr>
      </w:pPr>
      <w:r w:rsidRPr="00A632E9">
        <w:rPr>
          <w:bCs/>
          <w:kern w:val="0"/>
          <w14:ligatures w14:val="none"/>
        </w:rPr>
        <w:t xml:space="preserve">The Applicant seeks to offer PET/CT diagnostic imaging through a new joint venture partnership established between </w:t>
      </w:r>
      <w:r w:rsidR="009F799E">
        <w:rPr>
          <w:bCs/>
          <w:kern w:val="0"/>
          <w14:ligatures w14:val="none"/>
        </w:rPr>
        <w:t>Atrius</w:t>
      </w:r>
      <w:r w:rsidRPr="00A632E9">
        <w:rPr>
          <w:bCs/>
          <w:kern w:val="0"/>
          <w14:ligatures w14:val="none"/>
        </w:rPr>
        <w:t xml:space="preserve"> </w:t>
      </w:r>
      <w:r w:rsidR="00764B19">
        <w:rPr>
          <w:bCs/>
          <w:kern w:val="0"/>
          <w14:ligatures w14:val="none"/>
        </w:rPr>
        <w:t xml:space="preserve">MSO </w:t>
      </w:r>
      <w:r w:rsidRPr="00A632E9">
        <w:rPr>
          <w:bCs/>
          <w:kern w:val="0"/>
          <w14:ligatures w14:val="none"/>
        </w:rPr>
        <w:t xml:space="preserve">and Shields. </w:t>
      </w:r>
      <w:r w:rsidR="0035235E" w:rsidRPr="0035235E">
        <w:rPr>
          <w:bCs/>
          <w:kern w:val="0"/>
          <w14:ligatures w14:val="none"/>
        </w:rPr>
        <w:t>This project will use a combination of inside space and a mobile PET/CT unit aligned with</w:t>
      </w:r>
      <w:r w:rsidR="00D66A34">
        <w:rPr>
          <w:bCs/>
          <w:kern w:val="0"/>
          <w14:ligatures w14:val="none"/>
        </w:rPr>
        <w:t xml:space="preserve"> </w:t>
      </w:r>
      <w:r w:rsidR="0035235E" w:rsidRPr="0035235E">
        <w:rPr>
          <w:bCs/>
          <w:kern w:val="0"/>
          <w14:ligatures w14:val="none"/>
        </w:rPr>
        <w:t>the existing building one day per week</w:t>
      </w:r>
      <w:r w:rsidR="0035235E">
        <w:rPr>
          <w:bCs/>
          <w:kern w:val="0"/>
          <w14:ligatures w14:val="none"/>
        </w:rPr>
        <w:t xml:space="preserve">. </w:t>
      </w:r>
      <w:r w:rsidR="00902741" w:rsidRPr="00902741">
        <w:rPr>
          <w:bCs/>
          <w:kern w:val="0"/>
          <w14:ligatures w14:val="none"/>
        </w:rPr>
        <w:t xml:space="preserve">The </w:t>
      </w:r>
      <w:r w:rsidR="00902741">
        <w:rPr>
          <w:bCs/>
          <w:kern w:val="0"/>
          <w14:ligatures w14:val="none"/>
        </w:rPr>
        <w:t>Proposed Project would</w:t>
      </w:r>
      <w:r w:rsidR="00902741" w:rsidRPr="00902741">
        <w:rPr>
          <w:bCs/>
          <w:kern w:val="0"/>
          <w14:ligatures w14:val="none"/>
        </w:rPr>
        <w:t xml:space="preserve"> address the need for </w:t>
      </w:r>
      <w:r w:rsidR="00426114">
        <w:rPr>
          <w:bCs/>
          <w:kern w:val="0"/>
          <w14:ligatures w14:val="none"/>
        </w:rPr>
        <w:t>access to</w:t>
      </w:r>
      <w:r w:rsidR="00902741" w:rsidRPr="00902741">
        <w:rPr>
          <w:bCs/>
          <w:kern w:val="0"/>
          <w14:ligatures w14:val="none"/>
        </w:rPr>
        <w:t xml:space="preserve"> PET/CT diagnostic </w:t>
      </w:r>
      <w:r w:rsidR="00426114" w:rsidRPr="00902741">
        <w:rPr>
          <w:bCs/>
          <w:kern w:val="0"/>
          <w14:ligatures w14:val="none"/>
        </w:rPr>
        <w:t>imaging</w:t>
      </w:r>
      <w:r w:rsidR="00426114">
        <w:rPr>
          <w:bCs/>
          <w:kern w:val="0"/>
          <w14:ligatures w14:val="none"/>
        </w:rPr>
        <w:t xml:space="preserve"> and</w:t>
      </w:r>
      <w:r w:rsidR="00902741" w:rsidRPr="00902741">
        <w:rPr>
          <w:bCs/>
          <w:kern w:val="0"/>
          <w14:ligatures w14:val="none"/>
        </w:rPr>
        <w:t xml:space="preserve"> facilitate imaging to support Alzheimer’s clinical trial research.  </w:t>
      </w:r>
      <w:r w:rsidR="00902741">
        <w:rPr>
          <w:bCs/>
          <w:kern w:val="0"/>
          <w14:ligatures w14:val="none"/>
        </w:rPr>
        <w:t>Diagnostic s</w:t>
      </w:r>
      <w:r w:rsidRPr="00A632E9">
        <w:rPr>
          <w:bCs/>
          <w:kern w:val="0"/>
          <w14:ligatures w14:val="none"/>
        </w:rPr>
        <w:t xml:space="preserve">ervices will be reimbursed as an IDTF to enhance the efficiency and effectiveness of care delivery. </w:t>
      </w:r>
    </w:p>
    <w:p w14:paraId="0926B58B" w14:textId="77777777" w:rsidR="00A632E9" w:rsidRPr="00A632E9" w:rsidRDefault="00A632E9" w:rsidP="00A632E9">
      <w:pPr>
        <w:numPr>
          <w:ilvl w:val="0"/>
          <w:numId w:val="7"/>
        </w:numPr>
        <w:contextualSpacing/>
        <w:rPr>
          <w:b/>
          <w:kern w:val="0"/>
          <w14:ligatures w14:val="none"/>
        </w:rPr>
      </w:pPr>
      <w:r w:rsidRPr="00A632E9">
        <w:rPr>
          <w:b/>
          <w:kern w:val="0"/>
          <w14:ligatures w14:val="none"/>
        </w:rPr>
        <w:t>Quality</w:t>
      </w:r>
    </w:p>
    <w:p w14:paraId="2D0F4AC6" w14:textId="4B4764AA" w:rsidR="00A632E9" w:rsidRPr="00A632E9" w:rsidRDefault="00426114" w:rsidP="00A632E9">
      <w:pPr>
        <w:ind w:left="360"/>
        <w:jc w:val="both"/>
        <w:rPr>
          <w:bCs/>
          <w:kern w:val="0"/>
          <w14:ligatures w14:val="none"/>
        </w:rPr>
      </w:pPr>
      <w:r>
        <w:rPr>
          <w:bCs/>
          <w:kern w:val="0"/>
          <w14:ligatures w14:val="none"/>
        </w:rPr>
        <w:t xml:space="preserve">Providing </w:t>
      </w:r>
      <w:r w:rsidR="00A632E9" w:rsidRPr="00A632E9">
        <w:rPr>
          <w:bCs/>
          <w:kern w:val="0"/>
          <w14:ligatures w14:val="none"/>
        </w:rPr>
        <w:t xml:space="preserve">PET/CT imaging capability for cancer </w:t>
      </w:r>
      <w:r w:rsidR="00F250EE" w:rsidRPr="00A632E9">
        <w:rPr>
          <w:bCs/>
          <w:kern w:val="0"/>
          <w14:ligatures w14:val="none"/>
        </w:rPr>
        <w:t>staging, cardiac</w:t>
      </w:r>
      <w:r w:rsidR="00A632E9" w:rsidRPr="00A632E9">
        <w:rPr>
          <w:bCs/>
          <w:kern w:val="0"/>
          <w14:ligatures w14:val="none"/>
        </w:rPr>
        <w:t xml:space="preserve"> applications</w:t>
      </w:r>
      <w:r>
        <w:rPr>
          <w:bCs/>
          <w:kern w:val="0"/>
          <w14:ligatures w14:val="none"/>
        </w:rPr>
        <w:t xml:space="preserve">, and </w:t>
      </w:r>
      <w:r w:rsidRPr="00426114">
        <w:rPr>
          <w:bCs/>
          <w:kern w:val="0"/>
          <w14:ligatures w14:val="none"/>
        </w:rPr>
        <w:t>Alzheimer’s disease evaluation</w:t>
      </w:r>
      <w:r w:rsidR="00A632E9" w:rsidRPr="00A632E9">
        <w:rPr>
          <w:bCs/>
          <w:kern w:val="0"/>
          <w14:ligatures w14:val="none"/>
        </w:rPr>
        <w:t xml:space="preserve"> (amongst other things) to the </w:t>
      </w:r>
      <w:r>
        <w:rPr>
          <w:bCs/>
          <w:kern w:val="0"/>
          <w14:ligatures w14:val="none"/>
        </w:rPr>
        <w:t xml:space="preserve">Applicant’s </w:t>
      </w:r>
      <w:r w:rsidR="00A632E9" w:rsidRPr="00A632E9">
        <w:rPr>
          <w:bCs/>
          <w:kern w:val="0"/>
          <w14:ligatures w14:val="none"/>
        </w:rPr>
        <w:t xml:space="preserve">patient panel </w:t>
      </w:r>
      <w:r>
        <w:rPr>
          <w:bCs/>
          <w:kern w:val="0"/>
          <w14:ligatures w14:val="none"/>
        </w:rPr>
        <w:t>w</w:t>
      </w:r>
      <w:r w:rsidR="00A632E9" w:rsidRPr="00A632E9">
        <w:rPr>
          <w:bCs/>
          <w:kern w:val="0"/>
          <w14:ligatures w14:val="none"/>
        </w:rPr>
        <w:t xml:space="preserve">ill allow for </w:t>
      </w:r>
      <w:r>
        <w:rPr>
          <w:bCs/>
          <w:kern w:val="0"/>
          <w14:ligatures w14:val="none"/>
        </w:rPr>
        <w:t>additional</w:t>
      </w:r>
      <w:r w:rsidR="00A632E9" w:rsidRPr="00A632E9">
        <w:rPr>
          <w:bCs/>
          <w:kern w:val="0"/>
          <w14:ligatures w14:val="none"/>
        </w:rPr>
        <w:t xml:space="preserve"> access to the highest quality diagnostic imaging services with the added benefit that patients will be receiving care at </w:t>
      </w:r>
      <w:r>
        <w:rPr>
          <w:bCs/>
          <w:kern w:val="0"/>
          <w14:ligatures w14:val="none"/>
        </w:rPr>
        <w:t>a</w:t>
      </w:r>
      <w:r w:rsidR="00A632E9" w:rsidRPr="00A632E9">
        <w:rPr>
          <w:bCs/>
          <w:kern w:val="0"/>
          <w14:ligatures w14:val="none"/>
        </w:rPr>
        <w:t xml:space="preserve"> convenient</w:t>
      </w:r>
      <w:r>
        <w:rPr>
          <w:bCs/>
          <w:kern w:val="0"/>
          <w14:ligatures w14:val="none"/>
        </w:rPr>
        <w:t>, existing</w:t>
      </w:r>
      <w:r w:rsidR="00A632E9" w:rsidRPr="00A632E9">
        <w:rPr>
          <w:bCs/>
          <w:kern w:val="0"/>
          <w14:ligatures w14:val="none"/>
        </w:rPr>
        <w:t xml:space="preserve"> location, and </w:t>
      </w:r>
      <w:r>
        <w:rPr>
          <w:bCs/>
          <w:kern w:val="0"/>
          <w14:ligatures w14:val="none"/>
        </w:rPr>
        <w:t xml:space="preserve">services will be rendered </w:t>
      </w:r>
      <w:r w:rsidR="00A632E9" w:rsidRPr="00A632E9">
        <w:rPr>
          <w:bCs/>
          <w:kern w:val="0"/>
          <w14:ligatures w14:val="none"/>
        </w:rPr>
        <w:t xml:space="preserve">at a competitive IDTF price point. </w:t>
      </w:r>
    </w:p>
    <w:p w14:paraId="3EB44707" w14:textId="48722DDE" w:rsidR="00A632E9" w:rsidRDefault="00A632E9" w:rsidP="00E047AF">
      <w:pPr>
        <w:spacing w:after="0" w:line="240" w:lineRule="auto"/>
        <w:ind w:left="360"/>
        <w:jc w:val="both"/>
        <w:rPr>
          <w:bCs/>
          <w:kern w:val="0"/>
          <w14:ligatures w14:val="none"/>
        </w:rPr>
      </w:pPr>
      <w:r w:rsidRPr="00A632E9">
        <w:rPr>
          <w:bCs/>
          <w:kern w:val="0"/>
          <w14:ligatures w14:val="none"/>
        </w:rPr>
        <w:t xml:space="preserve">Care provided at Shields’ operated imaging centers </w:t>
      </w:r>
      <w:r w:rsidR="00F250EE">
        <w:rPr>
          <w:bCs/>
          <w:kern w:val="0"/>
          <w14:ligatures w14:val="none"/>
        </w:rPr>
        <w:t>is</w:t>
      </w:r>
      <w:r w:rsidRPr="00A632E9">
        <w:rPr>
          <w:bCs/>
          <w:kern w:val="0"/>
          <w14:ligatures w14:val="none"/>
        </w:rPr>
        <w:t xml:space="preserve"> high-quality, with clinical outcomes that are equal to or better than hospital-based services for the same procedures.</w:t>
      </w:r>
    </w:p>
    <w:p w14:paraId="73944527" w14:textId="77777777" w:rsidR="00E047AF" w:rsidRDefault="00E047AF" w:rsidP="00E047AF">
      <w:pPr>
        <w:spacing w:after="0" w:line="240" w:lineRule="auto"/>
        <w:ind w:left="360"/>
        <w:jc w:val="both"/>
        <w:rPr>
          <w:bCs/>
          <w:kern w:val="0"/>
          <w14:ligatures w14:val="none"/>
        </w:rPr>
      </w:pPr>
    </w:p>
    <w:p w14:paraId="25159AC1" w14:textId="77777777" w:rsidR="00A632E9" w:rsidRPr="00A632E9" w:rsidRDefault="00A632E9" w:rsidP="00A632E9">
      <w:pPr>
        <w:numPr>
          <w:ilvl w:val="0"/>
          <w:numId w:val="7"/>
        </w:numPr>
        <w:contextualSpacing/>
        <w:rPr>
          <w:b/>
          <w:kern w:val="0"/>
          <w14:ligatures w14:val="none"/>
        </w:rPr>
      </w:pPr>
      <w:r w:rsidRPr="00A632E9">
        <w:rPr>
          <w:b/>
          <w:kern w:val="0"/>
          <w14:ligatures w14:val="none"/>
        </w:rPr>
        <w:t>Efficiency</w:t>
      </w:r>
    </w:p>
    <w:p w14:paraId="48DEB554" w14:textId="77777777"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r w:rsidRPr="00A632E9">
        <w:rPr>
          <w:rFonts w:ascii="Calibri" w:hAnsi="Calibri" w:cs="Calibri"/>
          <w:kern w:val="0"/>
          <w14:ligatures w14:val="none"/>
        </w:rPr>
        <w:t>Care provided in an IDTF setting allows for greater focus on a specialized service. Highly trained staff and the ability to maintain a uniform schedule due to the PET/CT’s ambulatory location allows for greater efficiencies and lower costs.</w:t>
      </w:r>
    </w:p>
    <w:p w14:paraId="22DF41D7" w14:textId="77777777"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p>
    <w:p w14:paraId="69EDA547" w14:textId="77777777" w:rsidR="00A632E9" w:rsidRPr="00A632E9" w:rsidRDefault="00A632E9" w:rsidP="00A632E9">
      <w:pPr>
        <w:numPr>
          <w:ilvl w:val="0"/>
          <w:numId w:val="7"/>
        </w:numPr>
        <w:contextualSpacing/>
        <w:jc w:val="both"/>
        <w:rPr>
          <w:b/>
          <w:kern w:val="0"/>
          <w14:ligatures w14:val="none"/>
        </w:rPr>
      </w:pPr>
      <w:r w:rsidRPr="00A632E9">
        <w:rPr>
          <w:b/>
          <w:kern w:val="0"/>
          <w14:ligatures w14:val="none"/>
        </w:rPr>
        <w:t>Capital Expense</w:t>
      </w:r>
    </w:p>
    <w:p w14:paraId="5CEA7C44" w14:textId="5E721BB8" w:rsidR="00A632E9" w:rsidRPr="00A632E9" w:rsidRDefault="00A632E9" w:rsidP="00A632E9">
      <w:pPr>
        <w:autoSpaceDE w:val="0"/>
        <w:autoSpaceDN w:val="0"/>
        <w:adjustRightInd w:val="0"/>
        <w:spacing w:after="0" w:line="240" w:lineRule="auto"/>
        <w:ind w:left="360"/>
        <w:jc w:val="both"/>
        <w:rPr>
          <w:rFonts w:ascii="Calibri" w:hAnsi="Calibri" w:cs="Calibri"/>
          <w:kern w:val="0"/>
          <w14:ligatures w14:val="none"/>
        </w:rPr>
      </w:pPr>
      <w:r w:rsidRPr="00A632E9">
        <w:rPr>
          <w:rFonts w:ascii="Calibri" w:hAnsi="Calibri" w:cs="Calibri"/>
          <w:kern w:val="0"/>
          <w14:ligatures w14:val="none"/>
        </w:rPr>
        <w:t xml:space="preserve">Establishing a new diagnostic imaging vendor partnership that leverages an IDTF fee schedule will result in minimal capital expense. There are only minimal expenses attributable to facility </w:t>
      </w:r>
      <w:r w:rsidR="00ED3E85">
        <w:rPr>
          <w:rFonts w:ascii="Calibri" w:hAnsi="Calibri" w:cs="Calibri"/>
          <w:kern w:val="0"/>
          <w14:ligatures w14:val="none"/>
        </w:rPr>
        <w:t>build-out</w:t>
      </w:r>
      <w:r w:rsidRPr="00A632E9">
        <w:rPr>
          <w:rFonts w:ascii="Calibri" w:hAnsi="Calibri" w:cs="Calibri"/>
          <w:kern w:val="0"/>
          <w14:ligatures w14:val="none"/>
        </w:rPr>
        <w:t xml:space="preserve">, as the </w:t>
      </w:r>
      <w:r w:rsidR="00ED3E85">
        <w:rPr>
          <w:rFonts w:ascii="Calibri" w:hAnsi="Calibri" w:cs="Calibri"/>
          <w:kern w:val="0"/>
          <w14:ligatures w14:val="none"/>
        </w:rPr>
        <w:t xml:space="preserve">Proposed Project will use a </w:t>
      </w:r>
      <w:r w:rsidR="00ED3E85" w:rsidRPr="00ED3E85">
        <w:rPr>
          <w:rFonts w:ascii="Calibri" w:hAnsi="Calibri" w:cs="Calibri"/>
          <w:kern w:val="0"/>
          <w14:ligatures w14:val="none"/>
        </w:rPr>
        <w:t xml:space="preserve">combination of inside space and a mobile PET/CT unit aligned within the existing building </w:t>
      </w:r>
      <w:r w:rsidRPr="00A632E9">
        <w:rPr>
          <w:rFonts w:ascii="Calibri" w:hAnsi="Calibri" w:cs="Calibri"/>
          <w:kern w:val="0"/>
          <w14:ligatures w14:val="none"/>
        </w:rPr>
        <w:t xml:space="preserve">located </w:t>
      </w:r>
      <w:r w:rsidR="00AF5748">
        <w:rPr>
          <w:rFonts w:ascii="Calibri" w:hAnsi="Calibri" w:cs="Calibri"/>
          <w:kern w:val="0"/>
          <w14:ligatures w14:val="none"/>
        </w:rPr>
        <w:t>at Shields MRI Dedham</w:t>
      </w:r>
      <w:r w:rsidRPr="00A632E9">
        <w:rPr>
          <w:rFonts w:ascii="Calibri" w:hAnsi="Calibri" w:cs="Calibri"/>
          <w:kern w:val="0"/>
          <w14:ligatures w14:val="none"/>
        </w:rPr>
        <w:t>. There are only $25,000 capital asset acquisitions</w:t>
      </w:r>
      <w:r w:rsidR="00BC2205">
        <w:rPr>
          <w:rFonts w:ascii="Calibri" w:hAnsi="Calibri" w:cs="Calibri"/>
          <w:kern w:val="0"/>
          <w14:ligatures w14:val="none"/>
        </w:rPr>
        <w:t xml:space="preserve"> at the commencement of the project</w:t>
      </w:r>
      <w:r w:rsidRPr="00A632E9">
        <w:rPr>
          <w:rFonts w:ascii="Calibri" w:hAnsi="Calibri" w:cs="Calibri"/>
          <w:kern w:val="0"/>
          <w14:ligatures w14:val="none"/>
        </w:rPr>
        <w:t>.</w:t>
      </w:r>
      <w:r w:rsidRPr="00A632E9">
        <w:rPr>
          <w:rFonts w:ascii="Calibri" w:hAnsi="Calibri" w:cs="Calibri"/>
          <w:kern w:val="0"/>
          <w:vertAlign w:val="superscript"/>
          <w14:ligatures w14:val="none"/>
        </w:rPr>
        <w:footnoteReference w:id="176"/>
      </w:r>
      <w:r w:rsidRPr="00A632E9">
        <w:rPr>
          <w:rFonts w:ascii="Calibri" w:hAnsi="Calibri" w:cs="Calibri"/>
          <w:kern w:val="0"/>
          <w14:ligatures w14:val="none"/>
        </w:rPr>
        <w:t xml:space="preserve"> There are no capital expenditures expected</w:t>
      </w:r>
      <w:r w:rsidR="00BC2205">
        <w:rPr>
          <w:rFonts w:ascii="Calibri" w:hAnsi="Calibri" w:cs="Calibri"/>
          <w:kern w:val="0"/>
          <w14:ligatures w14:val="none"/>
        </w:rPr>
        <w:t xml:space="preserve"> in the out years</w:t>
      </w:r>
      <w:r w:rsidRPr="00A632E9">
        <w:rPr>
          <w:rFonts w:ascii="Calibri" w:hAnsi="Calibri" w:cs="Calibri"/>
          <w:kern w:val="0"/>
          <w14:ligatures w14:val="none"/>
        </w:rPr>
        <w:t>.</w:t>
      </w:r>
      <w:r w:rsidRPr="00A632E9">
        <w:rPr>
          <w:rFonts w:ascii="Calibri" w:hAnsi="Calibri" w:cs="Calibri"/>
          <w:kern w:val="0"/>
          <w:vertAlign w:val="superscript"/>
          <w14:ligatures w14:val="none"/>
        </w:rPr>
        <w:footnoteReference w:id="177"/>
      </w:r>
      <w:r w:rsidRPr="00A632E9">
        <w:rPr>
          <w:kern w:val="0"/>
          <w:vertAlign w:val="superscript"/>
          <w14:ligatures w14:val="none"/>
        </w:rPr>
        <w:t xml:space="preserve"> </w:t>
      </w:r>
    </w:p>
    <w:p w14:paraId="5878A9C5" w14:textId="161A9535" w:rsidR="00A632E9" w:rsidRPr="00A632E9" w:rsidRDefault="00A632E9" w:rsidP="00A632E9">
      <w:pPr>
        <w:numPr>
          <w:ilvl w:val="0"/>
          <w:numId w:val="7"/>
        </w:numPr>
        <w:contextualSpacing/>
        <w:jc w:val="both"/>
        <w:rPr>
          <w:b/>
          <w:kern w:val="0"/>
          <w14:ligatures w14:val="none"/>
        </w:rPr>
      </w:pPr>
      <w:r w:rsidRPr="00A632E9">
        <w:rPr>
          <w:b/>
          <w:kern w:val="0"/>
          <w14:ligatures w14:val="none"/>
        </w:rPr>
        <w:lastRenderedPageBreak/>
        <w:t>Operating Costs</w:t>
      </w:r>
    </w:p>
    <w:p w14:paraId="2815C5D5" w14:textId="77777777" w:rsidR="00A632E9" w:rsidRPr="00A632E9" w:rsidRDefault="00A632E9" w:rsidP="00A632E9">
      <w:pPr>
        <w:spacing w:after="0" w:line="240" w:lineRule="auto"/>
        <w:ind w:left="360"/>
        <w:jc w:val="both"/>
        <w:rPr>
          <w:rFonts w:ascii="Calibri" w:hAnsi="Calibri" w:cs="Calibri"/>
          <w:kern w:val="0"/>
          <w14:ligatures w14:val="none"/>
        </w:rPr>
      </w:pPr>
      <w:r w:rsidRPr="00A632E9">
        <w:rPr>
          <w:rFonts w:ascii="Calibri" w:hAnsi="Calibri" w:cs="Calibri"/>
          <w:kern w:val="0"/>
          <w14:ligatures w14:val="none"/>
        </w:rPr>
        <w:t>As noted above, greater efficiencies will be identified, thus reducing operating costs, savings from which should be passed along to patients through lower premiums and deductibles, subject to third-party payer adjustments to new market conditions.</w:t>
      </w:r>
    </w:p>
    <w:p w14:paraId="665338FE" w14:textId="77777777" w:rsidR="00A632E9" w:rsidRPr="00A632E9" w:rsidRDefault="00A632E9" w:rsidP="00A632E9">
      <w:pPr>
        <w:spacing w:after="0" w:line="240" w:lineRule="auto"/>
        <w:ind w:left="360"/>
        <w:jc w:val="both"/>
        <w:rPr>
          <w:rFonts w:ascii="Calibri" w:hAnsi="Calibri" w:cs="Calibri"/>
          <w:kern w:val="0"/>
          <w14:ligatures w14:val="none"/>
        </w:rPr>
      </w:pPr>
    </w:p>
    <w:p w14:paraId="21BE6674" w14:textId="40AF3B35" w:rsidR="00A632E9" w:rsidRPr="00A632E9" w:rsidRDefault="00A632E9" w:rsidP="00A632E9">
      <w:pPr>
        <w:spacing w:after="0" w:line="240" w:lineRule="auto"/>
        <w:ind w:left="360"/>
        <w:jc w:val="both"/>
        <w:rPr>
          <w:rFonts w:ascii="Calibri" w:hAnsi="Calibri" w:cs="Calibri"/>
          <w:kern w:val="0"/>
          <w14:ligatures w14:val="none"/>
        </w:rPr>
      </w:pPr>
      <w:r w:rsidRPr="00A632E9">
        <w:rPr>
          <w:rFonts w:ascii="Calibri" w:hAnsi="Calibri" w:cs="Calibri"/>
          <w:kern w:val="0"/>
          <w14:ligatures w14:val="none"/>
        </w:rPr>
        <w:t>The calculated operating expenses (including support services, billing, and bad debt expense) CAGR</w:t>
      </w:r>
      <w:r w:rsidRPr="00A632E9">
        <w:rPr>
          <w:rFonts w:ascii="Calibri" w:hAnsi="Calibri" w:cs="Calibri"/>
          <w:kern w:val="0"/>
          <w:vertAlign w:val="superscript"/>
          <w14:ligatures w14:val="none"/>
        </w:rPr>
        <w:footnoteReference w:id="178"/>
      </w:r>
      <w:r w:rsidRPr="00A632E9">
        <w:rPr>
          <w:rFonts w:ascii="Calibri" w:hAnsi="Calibri" w:cs="Calibri"/>
          <w:kern w:val="0"/>
          <w14:ligatures w14:val="none"/>
        </w:rPr>
        <w:t xml:space="preserve"> for Years 2 through 6 is </w:t>
      </w:r>
      <w:r w:rsidR="006C1233">
        <w:rPr>
          <w:rFonts w:ascii="Calibri" w:hAnsi="Calibri" w:cs="Calibri"/>
          <w:kern w:val="0"/>
          <w14:ligatures w14:val="none"/>
        </w:rPr>
        <w:t>8.7</w:t>
      </w:r>
      <w:r w:rsidRPr="00A632E9">
        <w:rPr>
          <w:rFonts w:ascii="Calibri" w:hAnsi="Calibri" w:cs="Calibri"/>
          <w:kern w:val="0"/>
          <w14:ligatures w14:val="none"/>
        </w:rPr>
        <w:t>%. Year 1 was not included in the CAGR calculation.</w:t>
      </w:r>
      <w:r w:rsidRPr="00A632E9">
        <w:rPr>
          <w:rFonts w:ascii="Calibri" w:hAnsi="Calibri" w:cs="Calibri"/>
          <w:kern w:val="0"/>
          <w:vertAlign w:val="superscript"/>
          <w14:ligatures w14:val="none"/>
        </w:rPr>
        <w:footnoteReference w:id="179"/>
      </w:r>
      <w:r w:rsidRPr="00A632E9">
        <w:rPr>
          <w:rFonts w:ascii="Calibri" w:hAnsi="Calibri" w:cs="Calibri"/>
          <w:kern w:val="0"/>
          <w14:ligatures w14:val="none"/>
        </w:rPr>
        <w:t xml:space="preserve"> These expenses for the Proposed Project in Year 6 are projected to be $</w:t>
      </w:r>
      <w:r w:rsidR="008E0B33" w:rsidRPr="008E0B33">
        <w:rPr>
          <w:rFonts w:ascii="Calibri" w:hAnsi="Calibri" w:cs="Calibri"/>
          <w:kern w:val="0"/>
          <w14:ligatures w14:val="none"/>
        </w:rPr>
        <w:t>106,746</w:t>
      </w:r>
      <w:r w:rsidRPr="00A632E9">
        <w:rPr>
          <w:rFonts w:ascii="Calibri" w:hAnsi="Calibri" w:cs="Calibri"/>
          <w:kern w:val="0"/>
          <w14:ligatures w14:val="none"/>
        </w:rPr>
        <w:t>.</w:t>
      </w:r>
      <w:r w:rsidRPr="00A632E9">
        <w:rPr>
          <w:rFonts w:ascii="Calibri" w:hAnsi="Calibri" w:cs="Calibri"/>
          <w:kern w:val="0"/>
          <w:vertAlign w:val="superscript"/>
          <w14:ligatures w14:val="none"/>
        </w:rPr>
        <w:footnoteReference w:id="180"/>
      </w:r>
    </w:p>
    <w:p w14:paraId="206D457C" w14:textId="77777777" w:rsidR="00A632E9" w:rsidRDefault="00A632E9" w:rsidP="00A632E9">
      <w:pPr>
        <w:spacing w:after="0" w:line="240" w:lineRule="auto"/>
        <w:ind w:left="360"/>
        <w:jc w:val="both"/>
        <w:rPr>
          <w:rFonts w:ascii="Calibri" w:hAnsi="Calibri" w:cs="Calibri"/>
          <w:kern w:val="0"/>
          <w14:ligatures w14:val="none"/>
        </w:rPr>
      </w:pPr>
    </w:p>
    <w:p w14:paraId="1B0F7B9E" w14:textId="77777777" w:rsidR="00A632E9" w:rsidRPr="00A632E9" w:rsidRDefault="00A632E9" w:rsidP="00A632E9">
      <w:pPr>
        <w:numPr>
          <w:ilvl w:val="0"/>
          <w:numId w:val="7"/>
        </w:numPr>
        <w:contextualSpacing/>
        <w:jc w:val="both"/>
        <w:rPr>
          <w:b/>
          <w:kern w:val="0"/>
          <w14:ligatures w14:val="none"/>
        </w:rPr>
      </w:pPr>
      <w:r w:rsidRPr="00A632E9">
        <w:rPr>
          <w:b/>
          <w:kern w:val="0"/>
          <w14:ligatures w14:val="none"/>
        </w:rPr>
        <w:t>Alternative Option for the Project</w:t>
      </w:r>
    </w:p>
    <w:p w14:paraId="3C062082" w14:textId="77777777" w:rsidR="00A632E9" w:rsidRPr="00A632E9" w:rsidRDefault="00A632E9" w:rsidP="00A632E9">
      <w:pPr>
        <w:numPr>
          <w:ilvl w:val="1"/>
          <w:numId w:val="7"/>
        </w:numPr>
        <w:contextualSpacing/>
        <w:jc w:val="both"/>
        <w:rPr>
          <w:b/>
          <w:kern w:val="0"/>
          <w14:ligatures w14:val="none"/>
        </w:rPr>
      </w:pPr>
      <w:r w:rsidRPr="00A632E9">
        <w:rPr>
          <w:b/>
          <w:kern w:val="0"/>
          <w14:ligatures w14:val="none"/>
        </w:rPr>
        <w:t>Option 1</w:t>
      </w:r>
    </w:p>
    <w:p w14:paraId="5219F956" w14:textId="77777777" w:rsidR="00A632E9" w:rsidRPr="00A632E9" w:rsidRDefault="00A632E9" w:rsidP="00A632E9">
      <w:pPr>
        <w:numPr>
          <w:ilvl w:val="2"/>
          <w:numId w:val="7"/>
        </w:numPr>
        <w:contextualSpacing/>
        <w:jc w:val="both"/>
        <w:rPr>
          <w:b/>
          <w:kern w:val="0"/>
          <w14:ligatures w14:val="none"/>
        </w:rPr>
      </w:pPr>
      <w:r w:rsidRPr="00A632E9">
        <w:rPr>
          <w:b/>
          <w:kern w:val="0"/>
          <w14:ligatures w14:val="none"/>
        </w:rPr>
        <w:t>Alternative Proposal</w:t>
      </w:r>
    </w:p>
    <w:p w14:paraId="497F377A" w14:textId="362F4C2C" w:rsidR="00A632E9" w:rsidRPr="00A632E9" w:rsidRDefault="00A632E9" w:rsidP="00A632E9">
      <w:pPr>
        <w:ind w:left="2160"/>
        <w:contextualSpacing/>
        <w:jc w:val="both"/>
        <w:rPr>
          <w:bCs/>
          <w:kern w:val="0"/>
          <w14:ligatures w14:val="none"/>
        </w:rPr>
      </w:pPr>
      <w:r w:rsidRPr="00A632E9">
        <w:rPr>
          <w:bCs/>
          <w:kern w:val="0"/>
          <w14:ligatures w14:val="none"/>
        </w:rPr>
        <w:t xml:space="preserve">The Applicant considered not establishing a vendor partnership to </w:t>
      </w:r>
      <w:r w:rsidR="00082F4C">
        <w:rPr>
          <w:bCs/>
          <w:kern w:val="0"/>
          <w14:ligatures w14:val="none"/>
        </w:rPr>
        <w:t>create a new</w:t>
      </w:r>
      <w:r w:rsidRPr="00A632E9">
        <w:rPr>
          <w:bCs/>
          <w:kern w:val="0"/>
          <w14:ligatures w14:val="none"/>
        </w:rPr>
        <w:t xml:space="preserve"> PET/CT imaging</w:t>
      </w:r>
      <w:r w:rsidR="00546577">
        <w:rPr>
          <w:bCs/>
          <w:kern w:val="0"/>
          <w14:ligatures w14:val="none"/>
        </w:rPr>
        <w:t xml:space="preserve"> option in the service area</w:t>
      </w:r>
      <w:r w:rsidRPr="00A632E9">
        <w:rPr>
          <w:bCs/>
          <w:kern w:val="0"/>
          <w14:ligatures w14:val="none"/>
        </w:rPr>
        <w:t xml:space="preserve">.  In this scenario, patients would not </w:t>
      </w:r>
      <w:r w:rsidR="00B12FED">
        <w:rPr>
          <w:bCs/>
          <w:kern w:val="0"/>
          <w14:ligatures w14:val="none"/>
        </w:rPr>
        <w:t xml:space="preserve">be able to access </w:t>
      </w:r>
      <w:r w:rsidR="009C001C">
        <w:rPr>
          <w:bCs/>
          <w:kern w:val="0"/>
          <w14:ligatures w14:val="none"/>
        </w:rPr>
        <w:t xml:space="preserve">the benefits of </w:t>
      </w:r>
      <w:r w:rsidRPr="00A632E9">
        <w:rPr>
          <w:bCs/>
          <w:kern w:val="0"/>
          <w14:ligatures w14:val="none"/>
        </w:rPr>
        <w:t xml:space="preserve">access to </w:t>
      </w:r>
      <w:r w:rsidR="00C41DAA">
        <w:rPr>
          <w:bCs/>
          <w:kern w:val="0"/>
          <w14:ligatures w14:val="none"/>
        </w:rPr>
        <w:t xml:space="preserve">PET/CT </w:t>
      </w:r>
      <w:r w:rsidRPr="00A632E9">
        <w:rPr>
          <w:bCs/>
          <w:kern w:val="0"/>
          <w14:ligatures w14:val="none"/>
        </w:rPr>
        <w:t xml:space="preserve">diagnostic imaging services conveniently located </w:t>
      </w:r>
      <w:r w:rsidR="00546577">
        <w:rPr>
          <w:bCs/>
          <w:kern w:val="0"/>
          <w14:ligatures w14:val="none"/>
        </w:rPr>
        <w:t xml:space="preserve">at an existing facility in </w:t>
      </w:r>
      <w:r w:rsidR="00D73DEB">
        <w:rPr>
          <w:bCs/>
          <w:kern w:val="0"/>
          <w14:ligatures w14:val="none"/>
        </w:rPr>
        <w:t>Dedham</w:t>
      </w:r>
      <w:r w:rsidRPr="00A632E9">
        <w:rPr>
          <w:bCs/>
          <w:kern w:val="0"/>
          <w:lang w:bidi="en-US"/>
          <w14:ligatures w14:val="none"/>
        </w:rPr>
        <w:t>.</w:t>
      </w:r>
      <w:r w:rsidR="00C41DAA">
        <w:rPr>
          <w:bCs/>
          <w:kern w:val="0"/>
          <w:lang w:bidi="en-US"/>
          <w14:ligatures w14:val="none"/>
        </w:rPr>
        <w:t xml:space="preserve">  </w:t>
      </w:r>
      <w:r w:rsidR="000A2D4C">
        <w:rPr>
          <w:bCs/>
          <w:kern w:val="0"/>
          <w:lang w:bidi="en-US"/>
          <w14:ligatures w14:val="none"/>
        </w:rPr>
        <w:t xml:space="preserve">This alternative option would also prevent </w:t>
      </w:r>
      <w:r w:rsidR="00892AE6">
        <w:rPr>
          <w:bCs/>
          <w:kern w:val="0"/>
          <w:lang w:bidi="en-US"/>
          <w14:ligatures w14:val="none"/>
        </w:rPr>
        <w:t>patient</w:t>
      </w:r>
      <w:r w:rsidR="000A2D4C">
        <w:rPr>
          <w:bCs/>
          <w:kern w:val="0"/>
          <w:lang w:bidi="en-US"/>
          <w14:ligatures w14:val="none"/>
        </w:rPr>
        <w:t xml:space="preserve"> participation in </w:t>
      </w:r>
      <w:r w:rsidR="00636565">
        <w:rPr>
          <w:bCs/>
          <w:kern w:val="0"/>
          <w:lang w:bidi="en-US"/>
          <w14:ligatures w14:val="none"/>
        </w:rPr>
        <w:t xml:space="preserve">PET/CT </w:t>
      </w:r>
      <w:r w:rsidR="00636565" w:rsidRPr="00636565">
        <w:rPr>
          <w:bCs/>
          <w:kern w:val="0"/>
          <w:lang w:bidi="en-US"/>
          <w14:ligatures w14:val="none"/>
        </w:rPr>
        <w:t>imaging to support Alzheimer’s clinical trial research.</w:t>
      </w:r>
    </w:p>
    <w:p w14:paraId="18A010AF" w14:textId="77777777" w:rsidR="00FE4EAD" w:rsidRPr="00A632E9" w:rsidRDefault="00FE4EAD" w:rsidP="00A632E9">
      <w:pPr>
        <w:ind w:left="2160"/>
        <w:contextualSpacing/>
        <w:jc w:val="both"/>
        <w:rPr>
          <w:bCs/>
          <w:kern w:val="0"/>
          <w14:ligatures w14:val="none"/>
        </w:rPr>
      </w:pPr>
    </w:p>
    <w:p w14:paraId="3D25287E" w14:textId="77777777" w:rsidR="00A632E9" w:rsidRPr="00A632E9" w:rsidRDefault="00A632E9" w:rsidP="00A632E9">
      <w:pPr>
        <w:numPr>
          <w:ilvl w:val="2"/>
          <w:numId w:val="7"/>
        </w:numPr>
        <w:contextualSpacing/>
        <w:jc w:val="both"/>
        <w:rPr>
          <w:b/>
          <w:kern w:val="0"/>
          <w14:ligatures w14:val="none"/>
        </w:rPr>
      </w:pPr>
      <w:r w:rsidRPr="00A632E9">
        <w:rPr>
          <w:b/>
          <w:kern w:val="0"/>
          <w14:ligatures w14:val="none"/>
        </w:rPr>
        <w:t>Alternative Quality</w:t>
      </w:r>
    </w:p>
    <w:p w14:paraId="662D93BA" w14:textId="46BC066F" w:rsidR="00786706" w:rsidRDefault="00A632E9" w:rsidP="00A632E9">
      <w:pPr>
        <w:ind w:left="2160"/>
        <w:contextualSpacing/>
        <w:jc w:val="both"/>
        <w:rPr>
          <w:bCs/>
          <w:kern w:val="0"/>
          <w14:ligatures w14:val="none"/>
        </w:rPr>
      </w:pPr>
      <w:r w:rsidRPr="00A632E9">
        <w:rPr>
          <w:bCs/>
          <w:kern w:val="0"/>
          <w14:ligatures w14:val="none"/>
        </w:rPr>
        <w:t>This alternative is not sufficient to meet the combined patient panel's need for accessible, low</w:t>
      </w:r>
      <w:r w:rsidR="009D5F86" w:rsidRPr="000A35A8">
        <w:rPr>
          <w:bCs/>
          <w:kern w:val="0"/>
          <w14:ligatures w14:val="none"/>
        </w:rPr>
        <w:t>-</w:t>
      </w:r>
      <w:r w:rsidRPr="00A632E9">
        <w:rPr>
          <w:bCs/>
          <w:kern w:val="0"/>
          <w14:ligatures w14:val="none"/>
        </w:rPr>
        <w:t>cost</w:t>
      </w:r>
      <w:r w:rsidR="007A6794">
        <w:rPr>
          <w:bCs/>
          <w:kern w:val="0"/>
          <w14:ligatures w14:val="none"/>
        </w:rPr>
        <w:t>,</w:t>
      </w:r>
      <w:r w:rsidR="005F48EA">
        <w:rPr>
          <w:bCs/>
          <w:kern w:val="0"/>
          <w14:ligatures w14:val="none"/>
        </w:rPr>
        <w:t xml:space="preserve"> </w:t>
      </w:r>
      <w:r w:rsidRPr="00A632E9">
        <w:rPr>
          <w:bCs/>
          <w:kern w:val="0"/>
          <w14:ligatures w14:val="none"/>
        </w:rPr>
        <w:t xml:space="preserve">and high-quality PET/CT imaging in the community. The </w:t>
      </w:r>
      <w:r w:rsidR="000A35A8" w:rsidRPr="000A35A8">
        <w:rPr>
          <w:bCs/>
          <w:kern w:val="0"/>
          <w14:ligatures w14:val="none"/>
        </w:rPr>
        <w:t>Proposed Project would allow</w:t>
      </w:r>
      <w:r w:rsidRPr="00A632E9">
        <w:rPr>
          <w:bCs/>
          <w:kern w:val="0"/>
          <w14:ligatures w14:val="none"/>
        </w:rPr>
        <w:t xml:space="preserve"> those patients who meet the clinical protocols for combined PET/CT to receive the service </w:t>
      </w:r>
      <w:r w:rsidR="008B4040" w:rsidRPr="000A35A8">
        <w:rPr>
          <w:bCs/>
          <w:kern w:val="0"/>
          <w14:ligatures w14:val="none"/>
        </w:rPr>
        <w:t>at a convenient, pre-existing location</w:t>
      </w:r>
      <w:r w:rsidRPr="00A632E9">
        <w:rPr>
          <w:bCs/>
          <w:kern w:val="0"/>
          <w14:ligatures w14:val="none"/>
        </w:rPr>
        <w:t xml:space="preserve">, thus enhancing access </w:t>
      </w:r>
      <w:r w:rsidR="005F48EA">
        <w:rPr>
          <w:bCs/>
          <w:kern w:val="0"/>
          <w14:ligatures w14:val="none"/>
        </w:rPr>
        <w:t>for</w:t>
      </w:r>
      <w:r w:rsidRPr="00A632E9">
        <w:rPr>
          <w:bCs/>
          <w:kern w:val="0"/>
          <w14:ligatures w14:val="none"/>
        </w:rPr>
        <w:t xml:space="preserve"> the patient panel.  </w:t>
      </w:r>
    </w:p>
    <w:p w14:paraId="15B4F3E2" w14:textId="77777777" w:rsidR="00786706" w:rsidRDefault="00786706" w:rsidP="00A632E9">
      <w:pPr>
        <w:ind w:left="2160"/>
        <w:contextualSpacing/>
        <w:jc w:val="both"/>
        <w:rPr>
          <w:bCs/>
          <w:kern w:val="0"/>
          <w14:ligatures w14:val="none"/>
        </w:rPr>
      </w:pPr>
    </w:p>
    <w:p w14:paraId="558F2C9C" w14:textId="0C58A0D8" w:rsidR="00A632E9" w:rsidRPr="00A632E9" w:rsidRDefault="000A35A8" w:rsidP="00A632E9">
      <w:pPr>
        <w:ind w:left="2160"/>
        <w:contextualSpacing/>
        <w:jc w:val="both"/>
        <w:rPr>
          <w:bCs/>
          <w:kern w:val="0"/>
          <w14:ligatures w14:val="none"/>
        </w:rPr>
      </w:pPr>
      <w:r w:rsidRPr="000A35A8">
        <w:rPr>
          <w:bCs/>
          <w:kern w:val="0"/>
          <w14:ligatures w14:val="none"/>
        </w:rPr>
        <w:t xml:space="preserve">It has been well-documented throughout this </w:t>
      </w:r>
      <w:r w:rsidR="00786706">
        <w:rPr>
          <w:bCs/>
          <w:kern w:val="0"/>
          <w14:ligatures w14:val="none"/>
        </w:rPr>
        <w:t>n</w:t>
      </w:r>
      <w:r w:rsidRPr="000A35A8">
        <w:rPr>
          <w:bCs/>
          <w:kern w:val="0"/>
          <w14:ligatures w14:val="none"/>
        </w:rPr>
        <w:t xml:space="preserve">arrative, that access to diagnostic imaging services directly impacts health outcomes and quality of life. Diagnosis has important implications for patient care, research, and policy.  Diagnostic technology is crucial to determine what treatments are most effective with patients’ anatomy. </w:t>
      </w:r>
      <w:r w:rsidR="00443F2E">
        <w:rPr>
          <w:bCs/>
          <w:kern w:val="0"/>
          <w14:ligatures w14:val="none"/>
        </w:rPr>
        <w:t>A</w:t>
      </w:r>
      <w:r w:rsidRPr="000A35A8">
        <w:rPr>
          <w:bCs/>
          <w:kern w:val="0"/>
          <w14:ligatures w14:val="none"/>
        </w:rPr>
        <w:t xml:space="preserve">ccess to PET/CT services will allow clinicians to determine appropriate treatment options that will impact overall health outcomes in a time-effective manner. </w:t>
      </w:r>
      <w:r w:rsidR="00A632E9" w:rsidRPr="00A632E9">
        <w:rPr>
          <w:bCs/>
          <w:kern w:val="0"/>
          <w14:ligatures w14:val="none"/>
        </w:rPr>
        <w:t>Insufficient access may increase the risk of poor health outcomes and health disparities.</w:t>
      </w:r>
      <w:r w:rsidR="00A632E9" w:rsidRPr="00A632E9">
        <w:rPr>
          <w:bCs/>
          <w:kern w:val="0"/>
          <w:vertAlign w:val="superscript"/>
          <w14:ligatures w14:val="none"/>
        </w:rPr>
        <w:footnoteReference w:id="181"/>
      </w:r>
    </w:p>
    <w:p w14:paraId="644FB806" w14:textId="77777777" w:rsidR="00040B22" w:rsidRPr="00A632E9" w:rsidRDefault="00040B22" w:rsidP="00814E89">
      <w:pPr>
        <w:contextualSpacing/>
        <w:jc w:val="both"/>
        <w:rPr>
          <w:bCs/>
          <w:color w:val="FF0000"/>
          <w:kern w:val="0"/>
          <w14:ligatures w14:val="none"/>
        </w:rPr>
      </w:pPr>
    </w:p>
    <w:p w14:paraId="3878B772" w14:textId="14C75809" w:rsidR="00EE6216" w:rsidRDefault="00EE6216" w:rsidP="00EE6216">
      <w:pPr>
        <w:ind w:left="2160"/>
        <w:contextualSpacing/>
        <w:jc w:val="both"/>
        <w:rPr>
          <w:bCs/>
          <w:kern w:val="0"/>
          <w14:ligatures w14:val="none"/>
        </w:rPr>
      </w:pPr>
      <w:r w:rsidRPr="00EE6216">
        <w:rPr>
          <w:bCs/>
          <w:kern w:val="0"/>
          <w14:ligatures w14:val="none"/>
        </w:rPr>
        <w:t xml:space="preserve">Access to comprehensive, quality health care services is important for promoting and maintaining health, </w:t>
      </w:r>
      <w:proofErr w:type="gramStart"/>
      <w:r w:rsidR="005F48EA" w:rsidRPr="00EE6216">
        <w:rPr>
          <w:bCs/>
          <w:kern w:val="0"/>
          <w14:ligatures w14:val="none"/>
        </w:rPr>
        <w:t>preventing</w:t>
      </w:r>
      <w:proofErr w:type="gramEnd"/>
      <w:r w:rsidR="00476FAF">
        <w:rPr>
          <w:bCs/>
          <w:kern w:val="0"/>
          <w14:ligatures w14:val="none"/>
        </w:rPr>
        <w:t xml:space="preserve"> </w:t>
      </w:r>
      <w:r w:rsidRPr="00EE6216">
        <w:rPr>
          <w:bCs/>
          <w:kern w:val="0"/>
          <w14:ligatures w14:val="none"/>
        </w:rPr>
        <w:t xml:space="preserve">and managing disease, reducing disability and </w:t>
      </w:r>
      <w:r w:rsidRPr="00EE6216">
        <w:rPr>
          <w:bCs/>
          <w:kern w:val="0"/>
          <w14:ligatures w14:val="none"/>
        </w:rPr>
        <w:lastRenderedPageBreak/>
        <w:t>premature death, decreasing health disparities, and achieving health equity</w:t>
      </w:r>
      <w:r w:rsidR="00BB5898">
        <w:rPr>
          <w:bCs/>
          <w:kern w:val="0"/>
          <w14:ligatures w14:val="none"/>
        </w:rPr>
        <w:t>.</w:t>
      </w:r>
      <w:r w:rsidR="00566A7D">
        <w:rPr>
          <w:rStyle w:val="FootnoteReference"/>
          <w:bCs/>
          <w:kern w:val="0"/>
          <w14:ligatures w14:val="none"/>
        </w:rPr>
        <w:footnoteReference w:id="182"/>
      </w:r>
      <w:r w:rsidRPr="00EE6216">
        <w:rPr>
          <w:bCs/>
          <w:kern w:val="0"/>
          <w14:ligatures w14:val="none"/>
        </w:rPr>
        <w:t xml:space="preserve"> Important components of access include timeliness of care and accessibility of primary and preventive health care services</w:t>
      </w:r>
      <w:r w:rsidR="00BB5898">
        <w:rPr>
          <w:bCs/>
          <w:kern w:val="0"/>
          <w14:ligatures w14:val="none"/>
        </w:rPr>
        <w:t xml:space="preserve">, among other </w:t>
      </w:r>
      <w:r w:rsidR="00566A7D">
        <w:rPr>
          <w:bCs/>
          <w:kern w:val="0"/>
          <w14:ligatures w14:val="none"/>
        </w:rPr>
        <w:t>factors</w:t>
      </w:r>
      <w:r w:rsidRPr="00EE6216">
        <w:rPr>
          <w:bCs/>
          <w:kern w:val="0"/>
          <w14:ligatures w14:val="none"/>
        </w:rPr>
        <w:t>.</w:t>
      </w:r>
      <w:r w:rsidR="002A03E6">
        <w:rPr>
          <w:rStyle w:val="FootnoteReference"/>
          <w:bCs/>
          <w:kern w:val="0"/>
          <w14:ligatures w14:val="none"/>
        </w:rPr>
        <w:footnoteReference w:id="183"/>
      </w:r>
    </w:p>
    <w:p w14:paraId="6A77F834" w14:textId="77777777" w:rsidR="002A03E6" w:rsidRPr="00EE6216" w:rsidRDefault="002A03E6" w:rsidP="00EE6216">
      <w:pPr>
        <w:ind w:left="2160"/>
        <w:contextualSpacing/>
        <w:jc w:val="both"/>
        <w:rPr>
          <w:bCs/>
          <w:kern w:val="0"/>
          <w14:ligatures w14:val="none"/>
        </w:rPr>
      </w:pPr>
    </w:p>
    <w:p w14:paraId="0CED8FB7" w14:textId="18A564B8" w:rsidR="00A632E9" w:rsidRDefault="00950793" w:rsidP="00A632E9">
      <w:pPr>
        <w:ind w:left="2160"/>
        <w:contextualSpacing/>
        <w:jc w:val="both"/>
      </w:pPr>
      <w:r w:rsidRPr="00950793">
        <w:rPr>
          <w:bCs/>
          <w:kern w:val="0"/>
          <w14:ligatures w14:val="none"/>
        </w:rPr>
        <w:t xml:space="preserve">Timely access to care is important for ensuring desirable health outcomes, reducing </w:t>
      </w:r>
      <w:r>
        <w:rPr>
          <w:bCs/>
          <w:kern w:val="0"/>
          <w14:ligatures w14:val="none"/>
        </w:rPr>
        <w:t xml:space="preserve">the </w:t>
      </w:r>
      <w:r w:rsidRPr="00950793">
        <w:rPr>
          <w:bCs/>
          <w:kern w:val="0"/>
          <w14:ligatures w14:val="none"/>
        </w:rPr>
        <w:t>financial burden from seeking non</w:t>
      </w:r>
      <w:r>
        <w:rPr>
          <w:bCs/>
          <w:kern w:val="0"/>
          <w14:ligatures w14:val="none"/>
        </w:rPr>
        <w:t>-</w:t>
      </w:r>
      <w:r w:rsidRPr="00950793">
        <w:rPr>
          <w:bCs/>
          <w:kern w:val="0"/>
          <w14:ligatures w14:val="none"/>
        </w:rPr>
        <w:t>network care and possibly more distant healthcare, and improving patients’ perception of need and experience with the healthcare system.</w:t>
      </w:r>
      <w:r w:rsidR="008D5044">
        <w:rPr>
          <w:rStyle w:val="FootnoteReference"/>
          <w:bCs/>
          <w:kern w:val="0"/>
          <w14:ligatures w14:val="none"/>
        </w:rPr>
        <w:footnoteReference w:id="184"/>
      </w:r>
      <w:r w:rsidRPr="00950793">
        <w:rPr>
          <w:bCs/>
          <w:kern w:val="0"/>
          <w14:ligatures w14:val="none"/>
        </w:rPr>
        <w:t xml:space="preserve"> </w:t>
      </w:r>
      <w:r w:rsidR="00A632E9" w:rsidRPr="00A632E9">
        <w:rPr>
          <w:bCs/>
          <w:kern w:val="0"/>
          <w14:ligatures w14:val="none"/>
        </w:rPr>
        <w:t>Expanding access to health services is an important step toward reducing health disparities</w:t>
      </w:r>
      <w:r w:rsidR="00A632E9" w:rsidRPr="00A632E9">
        <w:rPr>
          <w:rFonts w:ascii="Arial" w:hAnsi="Arial" w:cs="Arial"/>
          <w:color w:val="000000"/>
          <w:kern w:val="0"/>
          <w:sz w:val="21"/>
          <w:szCs w:val="21"/>
          <w:shd w:val="clear" w:color="auto" w:fill="FFFFFF"/>
          <w14:ligatures w14:val="none"/>
        </w:rPr>
        <w:t>.</w:t>
      </w:r>
      <w:r w:rsidR="00A632E9" w:rsidRPr="00A632E9">
        <w:rPr>
          <w:rFonts w:ascii="Arial" w:hAnsi="Arial" w:cs="Arial"/>
          <w:color w:val="000000"/>
          <w:kern w:val="0"/>
          <w:sz w:val="21"/>
          <w:szCs w:val="21"/>
          <w:shd w:val="clear" w:color="auto" w:fill="FFFFFF"/>
          <w:vertAlign w:val="superscript"/>
          <w14:ligatures w14:val="none"/>
        </w:rPr>
        <w:footnoteReference w:id="185"/>
      </w:r>
      <w:r w:rsidR="00743839" w:rsidRPr="00743839">
        <w:t xml:space="preserve"> </w:t>
      </w:r>
    </w:p>
    <w:p w14:paraId="7542B67B" w14:textId="77777777" w:rsidR="006E3628" w:rsidRDefault="006E3628" w:rsidP="00A632E9">
      <w:pPr>
        <w:ind w:left="2160"/>
        <w:contextualSpacing/>
        <w:jc w:val="both"/>
      </w:pPr>
    </w:p>
    <w:p w14:paraId="3970ABE0" w14:textId="773FDB4E" w:rsidR="006E3628" w:rsidRPr="00A632E9" w:rsidRDefault="006E3628" w:rsidP="00A632E9">
      <w:pPr>
        <w:ind w:left="2160"/>
        <w:contextualSpacing/>
        <w:jc w:val="both"/>
        <w:rPr>
          <w:bCs/>
          <w:kern w:val="0"/>
          <w14:ligatures w14:val="none"/>
        </w:rPr>
      </w:pPr>
      <w:r>
        <w:t xml:space="preserve">Where access is so intricately </w:t>
      </w:r>
      <w:r w:rsidR="00CA7C6E">
        <w:t>linked</w:t>
      </w:r>
      <w:r>
        <w:t xml:space="preserve"> with </w:t>
      </w:r>
      <w:r w:rsidR="00DF13FA">
        <w:t xml:space="preserve">positive health outcomes and quality of life, </w:t>
      </w:r>
      <w:r w:rsidR="0013786E" w:rsidRPr="00443F2E">
        <w:rPr>
          <w:i/>
          <w:iCs/>
        </w:rPr>
        <w:t xml:space="preserve">not </w:t>
      </w:r>
      <w:r w:rsidR="0013786E">
        <w:t xml:space="preserve">providing a PET/CT imaging service at this location does not make </w:t>
      </w:r>
      <w:r w:rsidR="00CA7C6E">
        <w:t xml:space="preserve">sense for the community or the patient panel within the </w:t>
      </w:r>
      <w:r w:rsidR="00443F2E">
        <w:t>service area</w:t>
      </w:r>
      <w:r w:rsidR="00CA7C6E">
        <w:t xml:space="preserve">. </w:t>
      </w:r>
    </w:p>
    <w:p w14:paraId="5A602DFA" w14:textId="77777777" w:rsidR="00FE4EAD" w:rsidRPr="00A632E9" w:rsidRDefault="00FE4EAD" w:rsidP="00A632E9">
      <w:pPr>
        <w:ind w:left="2160"/>
        <w:contextualSpacing/>
        <w:jc w:val="both"/>
        <w:rPr>
          <w:bCs/>
          <w:kern w:val="0"/>
          <w14:ligatures w14:val="none"/>
        </w:rPr>
      </w:pPr>
    </w:p>
    <w:p w14:paraId="25C22656" w14:textId="77777777" w:rsidR="00A632E9" w:rsidRPr="00A632E9" w:rsidRDefault="00A632E9" w:rsidP="00A632E9">
      <w:pPr>
        <w:numPr>
          <w:ilvl w:val="2"/>
          <w:numId w:val="7"/>
        </w:numPr>
        <w:contextualSpacing/>
        <w:jc w:val="both"/>
        <w:rPr>
          <w:b/>
          <w:kern w:val="0"/>
          <w14:ligatures w14:val="none"/>
        </w:rPr>
      </w:pPr>
      <w:r w:rsidRPr="00A632E9">
        <w:rPr>
          <w:b/>
          <w:kern w:val="0"/>
          <w14:ligatures w14:val="none"/>
        </w:rPr>
        <w:t>Alternative Efficiency</w:t>
      </w:r>
    </w:p>
    <w:p w14:paraId="244570DC" w14:textId="77777777" w:rsidR="00A632E9" w:rsidRPr="00A632E9" w:rsidRDefault="00A632E9" w:rsidP="00A632E9">
      <w:pPr>
        <w:ind w:left="2160"/>
        <w:contextualSpacing/>
        <w:jc w:val="both"/>
        <w:rPr>
          <w:bCs/>
          <w:kern w:val="0"/>
          <w14:ligatures w14:val="none"/>
        </w:rPr>
      </w:pPr>
      <w:r w:rsidRPr="00A632E9">
        <w:rPr>
          <w:bCs/>
          <w:kern w:val="0"/>
          <w14:ligatures w14:val="none"/>
        </w:rPr>
        <w:t xml:space="preserve">Not establishing the PET/CT service offering, which represents a superior imaging alternative at a convenient location for the patients, would not help improve efficiency because it deprives patients of the most timely and accurate access to necessary diagnostic information.  </w:t>
      </w:r>
    </w:p>
    <w:p w14:paraId="17076391" w14:textId="77777777" w:rsidR="00A632E9" w:rsidRPr="00A632E9" w:rsidRDefault="00A632E9" w:rsidP="00A632E9">
      <w:pPr>
        <w:ind w:left="2160"/>
        <w:contextualSpacing/>
        <w:jc w:val="both"/>
        <w:rPr>
          <w:b/>
          <w:kern w:val="0"/>
          <w14:ligatures w14:val="none"/>
        </w:rPr>
      </w:pPr>
    </w:p>
    <w:p w14:paraId="11837BA2" w14:textId="77777777" w:rsidR="00A632E9" w:rsidRPr="00A632E9" w:rsidRDefault="00A632E9" w:rsidP="00A632E9">
      <w:pPr>
        <w:numPr>
          <w:ilvl w:val="2"/>
          <w:numId w:val="7"/>
        </w:numPr>
        <w:contextualSpacing/>
        <w:jc w:val="both"/>
        <w:rPr>
          <w:b/>
          <w:kern w:val="0"/>
          <w14:ligatures w14:val="none"/>
        </w:rPr>
      </w:pPr>
      <w:r w:rsidRPr="00A632E9">
        <w:rPr>
          <w:b/>
          <w:kern w:val="0"/>
          <w14:ligatures w14:val="none"/>
        </w:rPr>
        <w:t>Alternative Capital Expense</w:t>
      </w:r>
    </w:p>
    <w:p w14:paraId="7C2AB40A" w14:textId="33505499" w:rsidR="00A632E9" w:rsidRPr="00A632E9" w:rsidRDefault="00A632E9" w:rsidP="00A632E9">
      <w:pPr>
        <w:ind w:left="2160"/>
        <w:contextualSpacing/>
        <w:jc w:val="both"/>
        <w:rPr>
          <w:bCs/>
          <w:kern w:val="0"/>
          <w14:ligatures w14:val="none"/>
        </w:rPr>
      </w:pPr>
      <w:r w:rsidRPr="00A632E9">
        <w:rPr>
          <w:bCs/>
          <w:kern w:val="0"/>
          <w14:ligatures w14:val="none"/>
        </w:rPr>
        <w:t xml:space="preserve">Taking no action to </w:t>
      </w:r>
      <w:r w:rsidR="00F36B2E">
        <w:rPr>
          <w:bCs/>
          <w:kern w:val="0"/>
          <w14:ligatures w14:val="none"/>
        </w:rPr>
        <w:t>create</w:t>
      </w:r>
      <w:r w:rsidRPr="00A632E9">
        <w:rPr>
          <w:bCs/>
          <w:kern w:val="0"/>
          <w14:ligatures w14:val="none"/>
        </w:rPr>
        <w:t xml:space="preserve"> local </w:t>
      </w:r>
      <w:r w:rsidR="004A1D94">
        <w:rPr>
          <w:bCs/>
          <w:kern w:val="0"/>
          <w14:ligatures w14:val="none"/>
        </w:rPr>
        <w:t xml:space="preserve">a </w:t>
      </w:r>
      <w:r w:rsidRPr="00A632E9">
        <w:rPr>
          <w:bCs/>
          <w:kern w:val="0"/>
          <w14:ligatures w14:val="none"/>
        </w:rPr>
        <w:t>PET/CT service offering would deprive the patient panel of an important diagnostic</w:t>
      </w:r>
      <w:r w:rsidR="00BE2DA5">
        <w:rPr>
          <w:bCs/>
          <w:kern w:val="0"/>
          <w14:ligatures w14:val="none"/>
        </w:rPr>
        <w:t xml:space="preserve"> imaging option and clinical trial </w:t>
      </w:r>
      <w:r w:rsidRPr="00A632E9">
        <w:rPr>
          <w:bCs/>
          <w:kern w:val="0"/>
          <w14:ligatures w14:val="none"/>
        </w:rPr>
        <w:t>tool for the community</w:t>
      </w:r>
      <w:r w:rsidR="008F2343">
        <w:rPr>
          <w:bCs/>
          <w:kern w:val="0"/>
          <w14:ligatures w14:val="none"/>
        </w:rPr>
        <w:t xml:space="preserve"> and the </w:t>
      </w:r>
      <w:r w:rsidR="008F2343" w:rsidRPr="008F2343">
        <w:rPr>
          <w:bCs/>
          <w:kern w:val="0"/>
          <w14:ligatures w14:val="none"/>
        </w:rPr>
        <w:t xml:space="preserve">patient panel within the </w:t>
      </w:r>
      <w:r w:rsidR="00904821">
        <w:rPr>
          <w:bCs/>
          <w:kern w:val="0"/>
          <w14:ligatures w14:val="none"/>
        </w:rPr>
        <w:t>service area</w:t>
      </w:r>
      <w:r w:rsidR="008F2343" w:rsidRPr="008F2343">
        <w:rPr>
          <w:bCs/>
          <w:kern w:val="0"/>
          <w14:ligatures w14:val="none"/>
        </w:rPr>
        <w:t>.</w:t>
      </w:r>
      <w:r w:rsidR="008F2343">
        <w:rPr>
          <w:bCs/>
          <w:kern w:val="0"/>
          <w14:ligatures w14:val="none"/>
        </w:rPr>
        <w:t xml:space="preserve"> </w:t>
      </w:r>
      <w:r w:rsidRPr="00A632E9">
        <w:rPr>
          <w:bCs/>
          <w:kern w:val="0"/>
          <w14:ligatures w14:val="none"/>
        </w:rPr>
        <w:t>While no additional capital expenses would be incurred in the short term, forgoing this project would greatly impact patient experience, clinician experience, and health outcomes.</w:t>
      </w:r>
    </w:p>
    <w:p w14:paraId="0D49DAB3" w14:textId="77777777" w:rsidR="00A632E9" w:rsidRDefault="00A632E9" w:rsidP="00A632E9">
      <w:pPr>
        <w:ind w:left="2160"/>
        <w:contextualSpacing/>
        <w:jc w:val="both"/>
        <w:rPr>
          <w:bCs/>
          <w:kern w:val="0"/>
          <w:highlight w:val="yellow"/>
          <w14:ligatures w14:val="none"/>
        </w:rPr>
      </w:pPr>
    </w:p>
    <w:p w14:paraId="6557AA44" w14:textId="05649D63" w:rsidR="00A632E9" w:rsidRPr="00A632E9" w:rsidRDefault="00A632E9" w:rsidP="00A632E9">
      <w:pPr>
        <w:numPr>
          <w:ilvl w:val="2"/>
          <w:numId w:val="7"/>
        </w:numPr>
        <w:contextualSpacing/>
        <w:jc w:val="both"/>
        <w:rPr>
          <w:b/>
          <w:kern w:val="0"/>
          <w14:ligatures w14:val="none"/>
        </w:rPr>
      </w:pPr>
      <w:r w:rsidRPr="00A632E9">
        <w:rPr>
          <w:b/>
          <w:kern w:val="0"/>
          <w14:ligatures w14:val="none"/>
        </w:rPr>
        <w:t>Alternative Operating Cos</w:t>
      </w:r>
      <w:r w:rsidR="00E04E2D">
        <w:rPr>
          <w:b/>
          <w:kern w:val="0"/>
          <w14:ligatures w14:val="none"/>
        </w:rPr>
        <w:t>t</w:t>
      </w:r>
      <w:r w:rsidRPr="00A632E9">
        <w:rPr>
          <w:b/>
          <w:kern w:val="0"/>
          <w14:ligatures w14:val="none"/>
        </w:rPr>
        <w:t xml:space="preserve">s </w:t>
      </w:r>
    </w:p>
    <w:p w14:paraId="6F2BD71B" w14:textId="2BCA3625" w:rsidR="00A632E9" w:rsidRPr="00A632E9" w:rsidRDefault="00A632E9" w:rsidP="00A632E9">
      <w:pPr>
        <w:ind w:left="2160"/>
        <w:contextualSpacing/>
        <w:jc w:val="both"/>
        <w:rPr>
          <w:bCs/>
          <w:kern w:val="0"/>
          <w14:ligatures w14:val="none"/>
        </w:rPr>
      </w:pPr>
      <w:r w:rsidRPr="00A632E9">
        <w:rPr>
          <w:bCs/>
          <w:kern w:val="0"/>
          <w14:ligatures w14:val="none"/>
        </w:rPr>
        <w:t xml:space="preserve">Taking no action to </w:t>
      </w:r>
      <w:r w:rsidR="004A1D94">
        <w:rPr>
          <w:bCs/>
          <w:kern w:val="0"/>
          <w14:ligatures w14:val="none"/>
        </w:rPr>
        <w:t xml:space="preserve">add </w:t>
      </w:r>
      <w:r w:rsidRPr="00A632E9">
        <w:rPr>
          <w:bCs/>
          <w:kern w:val="0"/>
          <w14:ligatures w14:val="none"/>
        </w:rPr>
        <w:t xml:space="preserve">a PET/CT </w:t>
      </w:r>
      <w:r w:rsidR="004A1D94">
        <w:rPr>
          <w:bCs/>
          <w:kern w:val="0"/>
          <w14:ligatures w14:val="none"/>
        </w:rPr>
        <w:t xml:space="preserve">diagnostic imaging </w:t>
      </w:r>
      <w:r w:rsidRPr="00A632E9">
        <w:rPr>
          <w:bCs/>
          <w:kern w:val="0"/>
          <w14:ligatures w14:val="none"/>
        </w:rPr>
        <w:t xml:space="preserve">service would not result in any significant </w:t>
      </w:r>
      <w:r w:rsidR="004A1D94">
        <w:rPr>
          <w:bCs/>
          <w:kern w:val="0"/>
          <w14:ligatures w14:val="none"/>
        </w:rPr>
        <w:t>near-term</w:t>
      </w:r>
      <w:r w:rsidRPr="00A632E9">
        <w:rPr>
          <w:bCs/>
          <w:kern w:val="0"/>
          <w14:ligatures w14:val="none"/>
        </w:rPr>
        <w:t xml:space="preserve"> changes in operating costs. </w:t>
      </w:r>
    </w:p>
    <w:p w14:paraId="0B9C6456" w14:textId="77777777" w:rsidR="00C856C6" w:rsidRDefault="00C856C6" w:rsidP="00C856C6">
      <w:pPr>
        <w:contextualSpacing/>
        <w:jc w:val="both"/>
        <w:rPr>
          <w:bCs/>
          <w:kern w:val="0"/>
          <w14:ligatures w14:val="none"/>
        </w:rPr>
      </w:pPr>
    </w:p>
    <w:p w14:paraId="65884D60" w14:textId="77777777" w:rsidR="0063226A" w:rsidRDefault="0063226A" w:rsidP="00C856C6">
      <w:pPr>
        <w:contextualSpacing/>
        <w:jc w:val="both"/>
        <w:rPr>
          <w:bCs/>
          <w:kern w:val="0"/>
          <w14:ligatures w14:val="none"/>
        </w:rPr>
      </w:pPr>
    </w:p>
    <w:p w14:paraId="06D0C119" w14:textId="77777777" w:rsidR="00D7210D" w:rsidRDefault="00D7210D" w:rsidP="00C856C6">
      <w:pPr>
        <w:contextualSpacing/>
        <w:jc w:val="both"/>
        <w:rPr>
          <w:bCs/>
          <w:kern w:val="0"/>
          <w14:ligatures w14:val="none"/>
        </w:rPr>
      </w:pPr>
    </w:p>
    <w:p w14:paraId="5A85BA70" w14:textId="77777777" w:rsidR="00D7210D" w:rsidRDefault="00D7210D" w:rsidP="00C856C6">
      <w:pPr>
        <w:contextualSpacing/>
        <w:jc w:val="both"/>
        <w:rPr>
          <w:bCs/>
          <w:kern w:val="0"/>
          <w14:ligatures w14:val="none"/>
        </w:rPr>
      </w:pPr>
    </w:p>
    <w:p w14:paraId="6DAF574F" w14:textId="77777777" w:rsidR="00D7210D" w:rsidRDefault="00D7210D" w:rsidP="00C856C6">
      <w:pPr>
        <w:contextualSpacing/>
        <w:jc w:val="both"/>
        <w:rPr>
          <w:bCs/>
          <w:kern w:val="0"/>
          <w14:ligatures w14:val="none"/>
        </w:rPr>
      </w:pPr>
    </w:p>
    <w:p w14:paraId="4E3C57D6" w14:textId="77777777" w:rsidR="0063226A" w:rsidRDefault="0063226A" w:rsidP="00C856C6">
      <w:pPr>
        <w:contextualSpacing/>
        <w:jc w:val="both"/>
        <w:rPr>
          <w:bCs/>
          <w:kern w:val="0"/>
          <w14:ligatures w14:val="none"/>
        </w:rPr>
      </w:pPr>
    </w:p>
    <w:p w14:paraId="0BCE13EB" w14:textId="77777777" w:rsidR="00E047AF" w:rsidRPr="00A632E9" w:rsidRDefault="00E047AF" w:rsidP="00A632E9">
      <w:pPr>
        <w:ind w:left="2160"/>
        <w:contextualSpacing/>
        <w:jc w:val="both"/>
        <w:rPr>
          <w:bCs/>
          <w:kern w:val="0"/>
          <w14:ligatures w14:val="none"/>
        </w:rPr>
      </w:pPr>
    </w:p>
    <w:p w14:paraId="24799365" w14:textId="7752EEC1" w:rsidR="00A632E9" w:rsidRPr="00A632E9" w:rsidRDefault="00A632E9" w:rsidP="00A632E9">
      <w:pPr>
        <w:rPr>
          <w:b/>
          <w:color w:val="0070C0"/>
          <w:kern w:val="0"/>
          <w14:ligatures w14:val="none"/>
        </w:rPr>
      </w:pPr>
      <w:r w:rsidRPr="00A632E9">
        <w:rPr>
          <w:b/>
          <w:color w:val="0070C0"/>
          <w:kern w:val="0"/>
          <w14:ligatures w14:val="none"/>
        </w:rPr>
        <w:lastRenderedPageBreak/>
        <w:t xml:space="preserve">Factor 6: </w:t>
      </w:r>
      <w:r w:rsidR="003D3524">
        <w:rPr>
          <w:b/>
          <w:color w:val="0070C0"/>
          <w:kern w:val="0"/>
          <w14:ligatures w14:val="none"/>
        </w:rPr>
        <w:t>Community-Based</w:t>
      </w:r>
      <w:r w:rsidRPr="00A632E9">
        <w:rPr>
          <w:b/>
          <w:color w:val="0070C0"/>
          <w:kern w:val="0"/>
          <w14:ligatures w14:val="none"/>
        </w:rPr>
        <w:t xml:space="preserve"> Health Initiatives</w:t>
      </w:r>
    </w:p>
    <w:p w14:paraId="6718616E" w14:textId="77777777" w:rsidR="00A632E9" w:rsidRPr="00A632E9" w:rsidRDefault="00A632E9" w:rsidP="00A632E9">
      <w:pPr>
        <w:jc w:val="both"/>
        <w:rPr>
          <w:kern w:val="0"/>
          <w14:ligatures w14:val="none"/>
        </w:rPr>
      </w:pPr>
      <w:bookmarkStart w:id="28" w:name="_Hlk96508994"/>
      <w:r w:rsidRPr="00A632E9">
        <w:rPr>
          <w:kern w:val="0"/>
          <w14:ligatures w14:val="none"/>
        </w:rPr>
        <w:t xml:space="preserve">The Determination of Need Community-Based Health Initiative Planning Guidelines recite that the obligation to the Community-Based Health Initiative (“CHI") Program for proposed projects that classify as DoN-Required Equipment acquired by an entity other than a hospital will fulfill such obligations through a payment to the CHI Statewide Initiative at such time that the Applicant receives project approval. </w:t>
      </w:r>
    </w:p>
    <w:bookmarkEnd w:id="28"/>
    <w:p w14:paraId="33212A4E" w14:textId="5A3D75FF" w:rsidR="0019203D" w:rsidRPr="00D402CF" w:rsidRDefault="00A632E9" w:rsidP="00D402CF">
      <w:pPr>
        <w:jc w:val="both"/>
        <w:rPr>
          <w:kern w:val="0"/>
          <w14:ligatures w14:val="none"/>
        </w:rPr>
      </w:pPr>
      <w:r w:rsidRPr="00A632E9">
        <w:rPr>
          <w:kern w:val="0"/>
          <w14:ligatures w14:val="none"/>
        </w:rPr>
        <w:t>The Applicant’s proposed project falls into the category of DoN Required Equipment and is not a hospital and as such, will not submit CHI forms with this application</w:t>
      </w:r>
      <w:r w:rsidR="00314ACE">
        <w:rPr>
          <w:kern w:val="0"/>
          <w14:ligatures w14:val="none"/>
        </w:rPr>
        <w:t>.</w:t>
      </w:r>
    </w:p>
    <w:sectPr w:rsidR="0019203D" w:rsidRPr="00D402C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FCE9" w14:textId="77777777" w:rsidR="00AC5B43" w:rsidRDefault="00AC5B43" w:rsidP="0019203D">
      <w:pPr>
        <w:spacing w:after="0" w:line="240" w:lineRule="auto"/>
      </w:pPr>
      <w:r>
        <w:separator/>
      </w:r>
    </w:p>
  </w:endnote>
  <w:endnote w:type="continuationSeparator" w:id="0">
    <w:p w14:paraId="50D898CE" w14:textId="77777777" w:rsidR="00AC5B43" w:rsidRDefault="00AC5B43" w:rsidP="0019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109418"/>
      <w:docPartObj>
        <w:docPartGallery w:val="Page Numbers (Bottom of Page)"/>
        <w:docPartUnique/>
      </w:docPartObj>
    </w:sdtPr>
    <w:sdtEndPr>
      <w:rPr>
        <w:noProof/>
      </w:rPr>
    </w:sdtEndPr>
    <w:sdtContent>
      <w:p w14:paraId="7EC34079" w14:textId="18F46CEB" w:rsidR="00663FBB" w:rsidRDefault="00663FBB">
        <w:pPr>
          <w:pStyle w:val="Footer"/>
          <w:jc w:val="right"/>
        </w:pPr>
        <w:r>
          <w:fldChar w:fldCharType="begin"/>
        </w:r>
        <w:r>
          <w:instrText xml:space="preserve"> PAGE   \* MERGEFORMAT </w:instrText>
        </w:r>
        <w:r>
          <w:fldChar w:fldCharType="separate"/>
        </w:r>
        <w:r w:rsidR="006D5960">
          <w:rPr>
            <w:noProof/>
          </w:rPr>
          <w:t>2</w:t>
        </w:r>
        <w:r>
          <w:rPr>
            <w:noProof/>
          </w:rPr>
          <w:fldChar w:fldCharType="end"/>
        </w:r>
      </w:p>
    </w:sdtContent>
  </w:sdt>
  <w:p w14:paraId="7099A59F" w14:textId="77777777" w:rsidR="00663FBB" w:rsidRDefault="00663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76FC5" w14:textId="77777777" w:rsidR="00AC5B43" w:rsidRDefault="00AC5B43" w:rsidP="0019203D">
      <w:pPr>
        <w:spacing w:after="0" w:line="240" w:lineRule="auto"/>
      </w:pPr>
      <w:r>
        <w:separator/>
      </w:r>
    </w:p>
  </w:footnote>
  <w:footnote w:type="continuationSeparator" w:id="0">
    <w:p w14:paraId="2C5487D5" w14:textId="77777777" w:rsidR="00AC5B43" w:rsidRDefault="00AC5B43" w:rsidP="0019203D">
      <w:pPr>
        <w:spacing w:after="0" w:line="240" w:lineRule="auto"/>
      </w:pPr>
      <w:r>
        <w:continuationSeparator/>
      </w:r>
    </w:p>
  </w:footnote>
  <w:footnote w:id="1">
    <w:p w14:paraId="301F2964" w14:textId="504AAE62" w:rsidR="00663FBB" w:rsidRPr="00B95581" w:rsidRDefault="00663FBB">
      <w:pPr>
        <w:pStyle w:val="FootnoteText"/>
        <w:rPr>
          <w:sz w:val="16"/>
          <w:szCs w:val="16"/>
          <w:lang w:val="es-ES"/>
        </w:rPr>
      </w:pPr>
      <w:r w:rsidRPr="00B95581">
        <w:rPr>
          <w:rStyle w:val="FootnoteReference"/>
          <w:sz w:val="16"/>
          <w:szCs w:val="16"/>
        </w:rPr>
        <w:footnoteRef/>
      </w:r>
      <w:r w:rsidRPr="00B95581">
        <w:rPr>
          <w:sz w:val="16"/>
          <w:szCs w:val="16"/>
          <w:lang w:val="es-ES"/>
        </w:rPr>
        <w:t xml:space="preserve"> </w:t>
      </w:r>
      <w:hyperlink r:id="rId1" w:history="1">
        <w:r w:rsidRPr="00B95581">
          <w:rPr>
            <w:rStyle w:val="Hyperlink"/>
            <w:sz w:val="16"/>
            <w:szCs w:val="16"/>
            <w:lang w:val="es-ES"/>
          </w:rPr>
          <w:t>https://shields.com/location/shields-mri-dedham/</w:t>
        </w:r>
      </w:hyperlink>
      <w:r w:rsidRPr="00B95581">
        <w:rPr>
          <w:sz w:val="16"/>
          <w:szCs w:val="16"/>
          <w:lang w:val="es-ES"/>
        </w:rPr>
        <w:t xml:space="preserve"> </w:t>
      </w:r>
    </w:p>
  </w:footnote>
  <w:footnote w:id="2">
    <w:p w14:paraId="20F70E48" w14:textId="7D9268A0" w:rsidR="00663FBB" w:rsidRPr="00B95581" w:rsidRDefault="00663FBB" w:rsidP="0019203D">
      <w:pPr>
        <w:pStyle w:val="FootnoteText"/>
        <w:rPr>
          <w:sz w:val="16"/>
          <w:szCs w:val="16"/>
        </w:rPr>
      </w:pPr>
      <w:r w:rsidRPr="00B95581">
        <w:rPr>
          <w:rStyle w:val="FootnoteReference"/>
          <w:sz w:val="16"/>
          <w:szCs w:val="16"/>
        </w:rPr>
        <w:footnoteRef/>
      </w:r>
      <w:r w:rsidRPr="00B95581">
        <w:rPr>
          <w:sz w:val="16"/>
          <w:szCs w:val="16"/>
        </w:rPr>
        <w:t xml:space="preserve"> </w:t>
      </w:r>
      <w:bookmarkStart w:id="1" w:name="_Hlk101593352"/>
      <w:r w:rsidRPr="00B95581">
        <w:rPr>
          <w:sz w:val="16"/>
          <w:szCs w:val="16"/>
        </w:rPr>
        <w:t>Volume demand is defined for purposes of this Narrative as the volume of patients who met the clinical protocols for PET/CT imaging</w:t>
      </w:r>
      <w:bookmarkEnd w:id="1"/>
      <w:r w:rsidRPr="00B95581">
        <w:rPr>
          <w:sz w:val="16"/>
          <w:szCs w:val="16"/>
        </w:rPr>
        <w:t>.</w:t>
      </w:r>
    </w:p>
  </w:footnote>
  <w:footnote w:id="3">
    <w:p w14:paraId="40EBA3D1" w14:textId="77777777" w:rsidR="00663FBB" w:rsidRPr="00B947B5" w:rsidRDefault="00663FBB" w:rsidP="0019203D">
      <w:pPr>
        <w:pStyle w:val="FootnoteText"/>
        <w:jc w:val="both"/>
        <w:rPr>
          <w:sz w:val="16"/>
          <w:szCs w:val="16"/>
        </w:rPr>
      </w:pPr>
      <w:r w:rsidRPr="00B95581">
        <w:rPr>
          <w:rStyle w:val="FootnoteReference"/>
          <w:sz w:val="16"/>
          <w:szCs w:val="16"/>
        </w:rPr>
        <w:footnoteRef/>
      </w:r>
      <w:r w:rsidRPr="00B95581">
        <w:rPr>
          <w:sz w:val="16"/>
          <w:szCs w:val="16"/>
        </w:rPr>
        <w:t xml:space="preserve"> According to a study by the Centers of Disease Control and Prevention titled </w:t>
      </w:r>
      <w:hyperlink r:id="rId2" w:history="1">
        <w:r w:rsidRPr="00B95581">
          <w:rPr>
            <w:rStyle w:val="Hyperlink"/>
            <w:sz w:val="16"/>
            <w:szCs w:val="16"/>
          </w:rPr>
          <w:t>“Chronic Disease and Cognitive Decline – A Public Health Issue,”</w:t>
        </w:r>
      </w:hyperlink>
      <w:r w:rsidRPr="00B95581">
        <w:rPr>
          <w:sz w:val="16"/>
          <w:szCs w:val="16"/>
        </w:rPr>
        <w:t xml:space="preserve"> people are living longer and by 2030 about one in five Americans will be aged 65 years and older.  Although increased longevity brings with it</w:t>
      </w:r>
      <w:r w:rsidRPr="00B947B5">
        <w:rPr>
          <w:sz w:val="16"/>
          <w:szCs w:val="16"/>
        </w:rPr>
        <w:t xml:space="preserve"> many benefits, not all adults necessarily experience good health and well-being as they age. Older adults are at a significant risk of having multiple chronic diseases, also known as comorbidities or multi-morbidities, and associated functional impairment.</w:t>
      </w:r>
    </w:p>
  </w:footnote>
  <w:footnote w:id="4">
    <w:p w14:paraId="59FCA7BC" w14:textId="1F135EE6" w:rsidR="00663FBB" w:rsidRDefault="00663FBB" w:rsidP="003162BE">
      <w:pPr>
        <w:pStyle w:val="FootnoteText"/>
      </w:pPr>
      <w:r>
        <w:rPr>
          <w:rStyle w:val="FootnoteReference"/>
        </w:rPr>
        <w:footnoteRef/>
      </w:r>
      <w:r>
        <w:t xml:space="preserve"> </w:t>
      </w:r>
      <w:r w:rsidRPr="003B3091">
        <w:rPr>
          <w:sz w:val="16"/>
          <w:szCs w:val="16"/>
        </w:rPr>
        <w:t xml:space="preserve">The diagnostic imaging support for the clinical research is made possible by </w:t>
      </w:r>
      <w:proofErr w:type="gramStart"/>
      <w:r w:rsidRPr="003B3091">
        <w:rPr>
          <w:sz w:val="16"/>
          <w:szCs w:val="16"/>
        </w:rPr>
        <w:t>Shields’</w:t>
      </w:r>
      <w:proofErr w:type="gramEnd"/>
      <w:r w:rsidRPr="003B3091">
        <w:rPr>
          <w:sz w:val="16"/>
          <w:szCs w:val="16"/>
        </w:rPr>
        <w:t xml:space="preserve"> established contractual relationships with the entities listed here</w:t>
      </w:r>
      <w:r>
        <w:rPr>
          <w:sz w:val="16"/>
          <w:szCs w:val="16"/>
        </w:rPr>
        <w:t xml:space="preserve">: </w:t>
      </w:r>
      <w:r w:rsidRPr="00A65D4C">
        <w:rPr>
          <w:sz w:val="16"/>
          <w:szCs w:val="16"/>
        </w:rPr>
        <w:t xml:space="preserve">Boston Center for Memory; Adams Clinical; </w:t>
      </w:r>
      <w:proofErr w:type="spellStart"/>
      <w:r w:rsidRPr="00A65D4C">
        <w:rPr>
          <w:sz w:val="16"/>
          <w:szCs w:val="16"/>
        </w:rPr>
        <w:t>MedVadis</w:t>
      </w:r>
      <w:proofErr w:type="spellEnd"/>
      <w:r w:rsidRPr="00A65D4C">
        <w:rPr>
          <w:sz w:val="16"/>
          <w:szCs w:val="16"/>
        </w:rPr>
        <w:t xml:space="preserve"> Research; and Cognito Therapeutics</w:t>
      </w:r>
      <w:r w:rsidRPr="003B3091">
        <w:rPr>
          <w:sz w:val="16"/>
          <w:szCs w:val="16"/>
        </w:rPr>
        <w:t>.</w:t>
      </w:r>
      <w:r>
        <w:rPr>
          <w:sz w:val="16"/>
          <w:szCs w:val="16"/>
        </w:rPr>
        <w:t xml:space="preserve">  These contractual relationships are proprietary, and as such the Applicant is only providing the requisite details for the purposes of this narrative. </w:t>
      </w:r>
    </w:p>
  </w:footnote>
  <w:footnote w:id="5">
    <w:p w14:paraId="2AF86397" w14:textId="7D757E5E" w:rsidR="00663FBB" w:rsidRDefault="00663FBB" w:rsidP="0019203D">
      <w:pPr>
        <w:pStyle w:val="FootnoteText"/>
      </w:pPr>
      <w:r>
        <w:rPr>
          <w:rStyle w:val="FootnoteReference"/>
        </w:rPr>
        <w:footnoteRef/>
      </w:r>
      <w:r>
        <w:t xml:space="preserve"> </w:t>
      </w:r>
      <w:r w:rsidRPr="00F74E99">
        <w:rPr>
          <w:sz w:val="16"/>
          <w:szCs w:val="16"/>
        </w:rPr>
        <w:t xml:space="preserve">Committee on Diagnostic Error in Health Care; Board on Health Care Services; Institute of Medicine; The National Academies of Sciences, Engineering, and Medicine; Balogh EP, Miller BT, Ball JR, editors. </w:t>
      </w:r>
      <w:hyperlink r:id="rId3" w:history="1">
        <w:r w:rsidRPr="00FC64D6">
          <w:rPr>
            <w:rStyle w:val="Hyperlink"/>
            <w:color w:val="auto"/>
            <w:sz w:val="16"/>
            <w:szCs w:val="16"/>
            <w:u w:val="none"/>
          </w:rPr>
          <w:t>Improving Diagnosis in Health Care</w:t>
        </w:r>
      </w:hyperlink>
      <w:r w:rsidRPr="00FC64D6">
        <w:rPr>
          <w:sz w:val="16"/>
          <w:szCs w:val="16"/>
        </w:rPr>
        <w:t xml:space="preserve">. Washington </w:t>
      </w:r>
      <w:r w:rsidRPr="00F74E99">
        <w:rPr>
          <w:sz w:val="16"/>
          <w:szCs w:val="16"/>
        </w:rPr>
        <w:t xml:space="preserve">(DC): National Academies Press (US); 2015 Dec 29. 2, The Diagnostic Process. Online at: </w:t>
      </w:r>
      <w:hyperlink r:id="rId4" w:history="1">
        <w:r w:rsidRPr="00F74E99">
          <w:rPr>
            <w:rStyle w:val="Hyperlink"/>
            <w:sz w:val="16"/>
            <w:szCs w:val="16"/>
          </w:rPr>
          <w:t>https://www.ncbi.nlm.nih.gov/books/NBK338593/</w:t>
        </w:r>
      </w:hyperlink>
    </w:p>
  </w:footnote>
  <w:footnote w:id="6">
    <w:p w14:paraId="16116975" w14:textId="77777777" w:rsidR="00663FBB" w:rsidRPr="00F74E99" w:rsidRDefault="00663FBB" w:rsidP="0019203D">
      <w:pPr>
        <w:pStyle w:val="FootnoteText"/>
      </w:pPr>
      <w:r>
        <w:rPr>
          <w:rStyle w:val="FootnoteReference"/>
        </w:rPr>
        <w:footnoteRef/>
      </w:r>
      <w:r>
        <w:t xml:space="preserve"> </w:t>
      </w:r>
      <w:r w:rsidRPr="005A6F7D">
        <w:rPr>
          <w:i/>
          <w:iCs/>
          <w:sz w:val="16"/>
          <w:szCs w:val="16"/>
        </w:rPr>
        <w:t>Ibid.</w:t>
      </w:r>
    </w:p>
  </w:footnote>
  <w:footnote w:id="7">
    <w:p w14:paraId="35075990" w14:textId="77777777" w:rsidR="00663FBB" w:rsidRDefault="00663FBB" w:rsidP="0019203D">
      <w:pPr>
        <w:pStyle w:val="FootnoteText"/>
      </w:pPr>
      <w:r w:rsidRPr="00D3460F">
        <w:rPr>
          <w:rStyle w:val="FootnoteReference"/>
          <w:sz w:val="16"/>
          <w:szCs w:val="16"/>
        </w:rPr>
        <w:footnoteRef/>
      </w:r>
      <w:r w:rsidRPr="00D3460F">
        <w:rPr>
          <w:sz w:val="16"/>
          <w:szCs w:val="16"/>
        </w:rPr>
        <w:t xml:space="preserve"> Article available online at: </w:t>
      </w:r>
      <w:hyperlink r:id="rId5" w:history="1">
        <w:r w:rsidRPr="00D3460F">
          <w:rPr>
            <w:rStyle w:val="Hyperlink"/>
            <w:sz w:val="16"/>
            <w:szCs w:val="16"/>
          </w:rPr>
          <w:t>https://www.aamc.org/news/recent-breakthroughs-alzheimer-s-research-provide-hope-patients</w:t>
        </w:r>
      </w:hyperlink>
      <w:r w:rsidRPr="00D3460F">
        <w:rPr>
          <w:sz w:val="16"/>
          <w:szCs w:val="16"/>
        </w:rPr>
        <w:t xml:space="preserve"> </w:t>
      </w:r>
    </w:p>
  </w:footnote>
  <w:footnote w:id="8">
    <w:p w14:paraId="7603BBA8" w14:textId="77777777" w:rsidR="00663FBB" w:rsidRPr="00C92873" w:rsidRDefault="00663FBB" w:rsidP="0019203D">
      <w:pPr>
        <w:pStyle w:val="FootnoteText"/>
      </w:pPr>
      <w:r w:rsidRPr="00E16306">
        <w:rPr>
          <w:rStyle w:val="FootnoteReference"/>
          <w:sz w:val="16"/>
          <w:szCs w:val="16"/>
        </w:rPr>
        <w:footnoteRef/>
      </w:r>
      <w:r w:rsidRPr="00C92873">
        <w:rPr>
          <w:sz w:val="16"/>
          <w:szCs w:val="16"/>
        </w:rPr>
        <w:t xml:space="preserve"> </w:t>
      </w:r>
      <w:r w:rsidRPr="00C92873">
        <w:rPr>
          <w:i/>
          <w:iCs/>
          <w:sz w:val="16"/>
          <w:szCs w:val="16"/>
        </w:rPr>
        <w:t>Ibid.</w:t>
      </w:r>
    </w:p>
  </w:footnote>
  <w:footnote w:id="9">
    <w:p w14:paraId="08430DC7" w14:textId="77777777" w:rsidR="00663FBB" w:rsidRDefault="00663FBB" w:rsidP="0019203D">
      <w:pPr>
        <w:pStyle w:val="FootnoteText"/>
      </w:pPr>
      <w:r w:rsidRPr="00DD10DC">
        <w:rPr>
          <w:rStyle w:val="FootnoteReference"/>
          <w:sz w:val="16"/>
          <w:szCs w:val="16"/>
        </w:rPr>
        <w:footnoteRef/>
      </w:r>
      <w:r w:rsidRPr="00DD10DC">
        <w:rPr>
          <w:sz w:val="16"/>
          <w:szCs w:val="16"/>
        </w:rPr>
        <w:t xml:space="preserve"> Article available online at: </w:t>
      </w:r>
      <w:hyperlink r:id="rId6" w:history="1">
        <w:r w:rsidRPr="00DD10DC">
          <w:rPr>
            <w:rStyle w:val="Hyperlink"/>
            <w:sz w:val="16"/>
            <w:szCs w:val="16"/>
          </w:rPr>
          <w:t>https://www.nia.nih.gov/health/alzheimers/dementia-research-and-clinical-trials</w:t>
        </w:r>
      </w:hyperlink>
      <w:r w:rsidRPr="00DD10DC">
        <w:rPr>
          <w:sz w:val="16"/>
          <w:szCs w:val="16"/>
        </w:rPr>
        <w:t xml:space="preserve"> </w:t>
      </w:r>
    </w:p>
  </w:footnote>
  <w:footnote w:id="10">
    <w:p w14:paraId="0F743495" w14:textId="77777777" w:rsidR="00663FBB" w:rsidRDefault="00663FBB" w:rsidP="0019203D">
      <w:pPr>
        <w:pStyle w:val="FootnoteText"/>
      </w:pPr>
      <w:r w:rsidRPr="00C92873">
        <w:rPr>
          <w:rStyle w:val="FootnoteReference"/>
          <w:sz w:val="16"/>
          <w:szCs w:val="16"/>
        </w:rPr>
        <w:footnoteRef/>
      </w:r>
      <w:r w:rsidRPr="00C92873">
        <w:rPr>
          <w:sz w:val="16"/>
          <w:szCs w:val="16"/>
        </w:rPr>
        <w:t xml:space="preserve"> </w:t>
      </w:r>
      <w:r w:rsidRPr="00C92873">
        <w:rPr>
          <w:i/>
          <w:iCs/>
          <w:sz w:val="16"/>
          <w:szCs w:val="16"/>
        </w:rPr>
        <w:t>Ibid.</w:t>
      </w:r>
    </w:p>
  </w:footnote>
  <w:footnote w:id="11">
    <w:p w14:paraId="7811EED3" w14:textId="73BEBC2A" w:rsidR="00663FBB" w:rsidRPr="00EB4757" w:rsidRDefault="00663FBB" w:rsidP="0019203D">
      <w:pPr>
        <w:pStyle w:val="FootnoteText"/>
        <w:rPr>
          <w:sz w:val="16"/>
          <w:szCs w:val="16"/>
        </w:rPr>
      </w:pPr>
      <w:r w:rsidRPr="002104DD">
        <w:rPr>
          <w:rStyle w:val="FootnoteReference"/>
          <w:sz w:val="16"/>
          <w:szCs w:val="16"/>
        </w:rPr>
        <w:footnoteRef/>
      </w:r>
      <w:r w:rsidRPr="002104DD">
        <w:rPr>
          <w:sz w:val="16"/>
          <w:szCs w:val="16"/>
        </w:rPr>
        <w:t xml:space="preserve"> Berti V, Pupi A, Mosconi L. </w:t>
      </w:r>
      <w:hyperlink r:id="rId7" w:history="1">
        <w:r w:rsidRPr="00BF56A2">
          <w:rPr>
            <w:rStyle w:val="Hyperlink"/>
            <w:color w:val="auto"/>
            <w:sz w:val="16"/>
            <w:szCs w:val="16"/>
            <w:u w:val="none"/>
          </w:rPr>
          <w:t>PET/CT in diagnosis of dementia.</w:t>
        </w:r>
      </w:hyperlink>
      <w:r w:rsidRPr="00BF56A2">
        <w:rPr>
          <w:sz w:val="16"/>
          <w:szCs w:val="16"/>
        </w:rPr>
        <w:t xml:space="preserve"> Ann </w:t>
      </w:r>
      <w:r w:rsidRPr="002104DD">
        <w:rPr>
          <w:sz w:val="16"/>
          <w:szCs w:val="16"/>
        </w:rPr>
        <w:t xml:space="preserve">N Y </w:t>
      </w:r>
      <w:proofErr w:type="spellStart"/>
      <w:r w:rsidRPr="002104DD">
        <w:rPr>
          <w:sz w:val="16"/>
          <w:szCs w:val="16"/>
        </w:rPr>
        <w:t>Acad</w:t>
      </w:r>
      <w:proofErr w:type="spellEnd"/>
      <w:r w:rsidRPr="002104DD">
        <w:rPr>
          <w:sz w:val="16"/>
          <w:szCs w:val="16"/>
        </w:rPr>
        <w:t xml:space="preserve"> Sci. 2011 Jun;1228:81-92. </w:t>
      </w:r>
      <w:proofErr w:type="spellStart"/>
      <w:r w:rsidRPr="002104DD">
        <w:rPr>
          <w:sz w:val="16"/>
          <w:szCs w:val="16"/>
        </w:rPr>
        <w:t>doi</w:t>
      </w:r>
      <w:proofErr w:type="spellEnd"/>
      <w:r w:rsidRPr="002104DD">
        <w:rPr>
          <w:sz w:val="16"/>
          <w:szCs w:val="16"/>
        </w:rPr>
        <w:t>: 10.1111/j.1749-6632.2011.</w:t>
      </w:r>
      <w:proofErr w:type="gramStart"/>
      <w:r w:rsidRPr="002104DD">
        <w:rPr>
          <w:sz w:val="16"/>
          <w:szCs w:val="16"/>
        </w:rPr>
        <w:t>06015.x.</w:t>
      </w:r>
      <w:proofErr w:type="gramEnd"/>
      <w:r w:rsidRPr="002104DD">
        <w:rPr>
          <w:sz w:val="16"/>
          <w:szCs w:val="16"/>
        </w:rPr>
        <w:t xml:space="preserve"> </w:t>
      </w:r>
      <w:r w:rsidRPr="00EB4757">
        <w:rPr>
          <w:sz w:val="16"/>
          <w:szCs w:val="16"/>
        </w:rPr>
        <w:t xml:space="preserve">PMID: 21718326; PMCID: PMC3692287. Available online at </w:t>
      </w:r>
      <w:hyperlink r:id="rId8" w:history="1">
        <w:r w:rsidRPr="00EB4757">
          <w:rPr>
            <w:rStyle w:val="Hyperlink"/>
            <w:sz w:val="16"/>
            <w:szCs w:val="16"/>
          </w:rPr>
          <w:t>https://pubmed.ncbi.nlm.nih.gov/21718326/</w:t>
        </w:r>
      </w:hyperlink>
      <w:r w:rsidRPr="00EB4757">
        <w:rPr>
          <w:sz w:val="16"/>
          <w:szCs w:val="16"/>
        </w:rPr>
        <w:t xml:space="preserve"> </w:t>
      </w:r>
    </w:p>
  </w:footnote>
  <w:footnote w:id="12">
    <w:p w14:paraId="126F240B" w14:textId="393E345C" w:rsidR="000066BD" w:rsidRDefault="000066BD">
      <w:pPr>
        <w:pStyle w:val="FootnoteText"/>
      </w:pPr>
      <w:r w:rsidRPr="000066BD">
        <w:rPr>
          <w:rStyle w:val="FootnoteReference"/>
          <w:sz w:val="16"/>
          <w:szCs w:val="16"/>
        </w:rPr>
        <w:footnoteRef/>
      </w:r>
      <w:r w:rsidRPr="000066BD">
        <w:rPr>
          <w:sz w:val="16"/>
          <w:szCs w:val="16"/>
        </w:rPr>
        <w:t xml:space="preserve"> Please see page 3 for an overview of the Applicant’s Joint Venture Partners.</w:t>
      </w:r>
    </w:p>
  </w:footnote>
  <w:footnote w:id="13">
    <w:p w14:paraId="6304056B" w14:textId="77777777" w:rsidR="00663FBB" w:rsidRDefault="00663FBB" w:rsidP="0019203D">
      <w:pPr>
        <w:pStyle w:val="FootnoteText"/>
      </w:pPr>
      <w:r w:rsidRPr="000066BD">
        <w:rPr>
          <w:rStyle w:val="FootnoteReference"/>
          <w:sz w:val="16"/>
          <w:szCs w:val="16"/>
        </w:rPr>
        <w:footnoteRef/>
      </w:r>
      <w:r w:rsidRPr="000066BD">
        <w:rPr>
          <w:sz w:val="16"/>
          <w:szCs w:val="16"/>
        </w:rPr>
        <w:t xml:space="preserve"> </w:t>
      </w:r>
      <w:r w:rsidRPr="0019643E">
        <w:rPr>
          <w:sz w:val="16"/>
          <w:szCs w:val="16"/>
        </w:rPr>
        <w:t xml:space="preserve">Available online at: </w:t>
      </w:r>
      <w:hyperlink r:id="rId9" w:history="1">
        <w:r w:rsidRPr="0019643E">
          <w:rPr>
            <w:rStyle w:val="Hyperlink"/>
            <w:sz w:val="16"/>
            <w:szCs w:val="16"/>
          </w:rPr>
          <w:t>https://advis.com/services/independent-diagnostic-testing-facilities/?gclid=CjwKCAiAvaGRBhBlEiwAiY-yMHCMEtjEV0at0jsHbWkZwKZyWZI-ZUwUwvPraR98eltokq-f5V7OwhoCmWwQAvD_BwE</w:t>
        </w:r>
      </w:hyperlink>
      <w:r w:rsidRPr="0019643E">
        <w:rPr>
          <w:sz w:val="16"/>
          <w:szCs w:val="16"/>
        </w:rPr>
        <w:t xml:space="preserve"> </w:t>
      </w:r>
    </w:p>
  </w:footnote>
  <w:footnote w:id="14">
    <w:p w14:paraId="2C50C1F3" w14:textId="0A469C48" w:rsidR="00663FBB" w:rsidRPr="00165241" w:rsidRDefault="00663FBB" w:rsidP="0019203D">
      <w:pPr>
        <w:pStyle w:val="FootnoteText"/>
        <w:rPr>
          <w:sz w:val="16"/>
          <w:szCs w:val="16"/>
        </w:rPr>
      </w:pPr>
      <w:r w:rsidRPr="00165241">
        <w:rPr>
          <w:rStyle w:val="FootnoteReference"/>
          <w:sz w:val="16"/>
          <w:szCs w:val="16"/>
        </w:rPr>
        <w:footnoteRef/>
      </w:r>
      <w:r w:rsidRPr="00165241">
        <w:rPr>
          <w:sz w:val="16"/>
          <w:szCs w:val="16"/>
        </w:rPr>
        <w:t xml:space="preserve"> The proposed project will leverage existing equipmen</w:t>
      </w:r>
      <w:r>
        <w:rPr>
          <w:sz w:val="16"/>
          <w:szCs w:val="16"/>
        </w:rPr>
        <w:t xml:space="preserve">t, which will also be leveraged across six other locations. </w:t>
      </w:r>
    </w:p>
  </w:footnote>
  <w:footnote w:id="15">
    <w:p w14:paraId="496E5BFA" w14:textId="47A1D86C" w:rsidR="00663FBB" w:rsidRDefault="00663FBB">
      <w:pPr>
        <w:pStyle w:val="FootnoteText"/>
      </w:pPr>
      <w:r w:rsidRPr="00165241">
        <w:rPr>
          <w:rStyle w:val="FootnoteReference"/>
          <w:sz w:val="16"/>
          <w:szCs w:val="16"/>
        </w:rPr>
        <w:footnoteRef/>
      </w:r>
      <w:r w:rsidRPr="00165241">
        <w:rPr>
          <w:sz w:val="16"/>
          <w:szCs w:val="16"/>
        </w:rPr>
        <w:t xml:space="preserve"> Warwick Anderson, “</w:t>
      </w:r>
      <w:hyperlink r:id="rId10" w:history="1">
        <w:r w:rsidRPr="00BF56A2">
          <w:rPr>
            <w:rStyle w:val="Hyperlink"/>
            <w:color w:val="auto"/>
            <w:sz w:val="16"/>
            <w:szCs w:val="16"/>
            <w:u w:val="none"/>
          </w:rPr>
          <w:t>With the right kind of research, we can reduce health-care costs.”</w:t>
        </w:r>
      </w:hyperlink>
      <w:r w:rsidRPr="00BF56A2">
        <w:rPr>
          <w:sz w:val="16"/>
          <w:szCs w:val="16"/>
        </w:rPr>
        <w:t xml:space="preserve"> The </w:t>
      </w:r>
      <w:r w:rsidRPr="00165241">
        <w:rPr>
          <w:sz w:val="16"/>
          <w:szCs w:val="16"/>
        </w:rPr>
        <w:t xml:space="preserve">Conversation. July 28, 2014. Available online at: </w:t>
      </w:r>
      <w:hyperlink r:id="rId11" w:history="1">
        <w:r w:rsidRPr="00165241">
          <w:rPr>
            <w:rStyle w:val="Hyperlink"/>
            <w:sz w:val="16"/>
            <w:szCs w:val="16"/>
          </w:rPr>
          <w:t>https://theconversation.com/with-the-right-kind-of-research-we-can-reduce-health-care-costs-28898</w:t>
        </w:r>
      </w:hyperlink>
      <w:r w:rsidRPr="00165241">
        <w:rPr>
          <w:sz w:val="18"/>
          <w:szCs w:val="18"/>
        </w:rPr>
        <w:t xml:space="preserve"> </w:t>
      </w:r>
    </w:p>
  </w:footnote>
  <w:footnote w:id="16">
    <w:p w14:paraId="676FAEBC" w14:textId="66C0D449" w:rsidR="00663FBB" w:rsidRPr="00040365" w:rsidRDefault="00663FBB">
      <w:pPr>
        <w:pStyle w:val="FootnoteText"/>
        <w:rPr>
          <w:sz w:val="16"/>
          <w:szCs w:val="16"/>
        </w:rPr>
      </w:pPr>
      <w:r w:rsidRPr="00040365">
        <w:rPr>
          <w:rStyle w:val="FootnoteReference"/>
          <w:sz w:val="16"/>
          <w:szCs w:val="16"/>
        </w:rPr>
        <w:footnoteRef/>
      </w:r>
      <w:r w:rsidRPr="00040365">
        <w:rPr>
          <w:sz w:val="16"/>
          <w:szCs w:val="16"/>
        </w:rPr>
        <w:t xml:space="preserve"> Such as curative intent surgery and radiation therapy in patients demonstrated by PET to have advanced disease.</w:t>
      </w:r>
    </w:p>
  </w:footnote>
  <w:footnote w:id="17">
    <w:p w14:paraId="1B0F6759" w14:textId="31D9879B" w:rsidR="00663FBB" w:rsidRDefault="00663FBB">
      <w:pPr>
        <w:pStyle w:val="FootnoteText"/>
      </w:pPr>
      <w:r w:rsidRPr="00346F49">
        <w:rPr>
          <w:rStyle w:val="FootnoteReference"/>
          <w:sz w:val="16"/>
          <w:szCs w:val="16"/>
        </w:rPr>
        <w:footnoteRef/>
      </w:r>
      <w:r w:rsidRPr="00346F49">
        <w:rPr>
          <w:sz w:val="16"/>
          <w:szCs w:val="16"/>
        </w:rPr>
        <w:t xml:space="preserve"> Fischer BM, Siegel BA, Weber WA, von Bremen K, Beyer T, </w:t>
      </w:r>
      <w:proofErr w:type="spellStart"/>
      <w:r w:rsidRPr="00346F49">
        <w:rPr>
          <w:sz w:val="16"/>
          <w:szCs w:val="16"/>
        </w:rPr>
        <w:t>Kalemis</w:t>
      </w:r>
      <w:proofErr w:type="spellEnd"/>
      <w:r w:rsidRPr="00346F49">
        <w:rPr>
          <w:sz w:val="16"/>
          <w:szCs w:val="16"/>
        </w:rPr>
        <w:t xml:space="preserve"> A. </w:t>
      </w:r>
      <w:hyperlink r:id="rId12" w:history="1">
        <w:r w:rsidRPr="00BF56A2">
          <w:rPr>
            <w:rStyle w:val="Hyperlink"/>
            <w:color w:val="auto"/>
            <w:sz w:val="16"/>
            <w:szCs w:val="16"/>
            <w:u w:val="none"/>
          </w:rPr>
          <w:t>PET/CT is a cost-effective tool against cancer: synergy supersedes singularity.</w:t>
        </w:r>
      </w:hyperlink>
      <w:r w:rsidRPr="00BF56A2">
        <w:rPr>
          <w:sz w:val="16"/>
          <w:szCs w:val="16"/>
        </w:rPr>
        <w:t xml:space="preserve"> </w:t>
      </w:r>
      <w:proofErr w:type="spellStart"/>
      <w:r w:rsidRPr="00BF56A2">
        <w:rPr>
          <w:sz w:val="16"/>
          <w:szCs w:val="16"/>
        </w:rPr>
        <w:t>Eur</w:t>
      </w:r>
      <w:proofErr w:type="spellEnd"/>
      <w:r w:rsidRPr="00BF56A2">
        <w:rPr>
          <w:sz w:val="16"/>
          <w:szCs w:val="16"/>
        </w:rPr>
        <w:t xml:space="preserve"> </w:t>
      </w:r>
      <w:r w:rsidRPr="00346F49">
        <w:rPr>
          <w:sz w:val="16"/>
          <w:szCs w:val="16"/>
        </w:rPr>
        <w:t xml:space="preserve">J </w:t>
      </w:r>
      <w:proofErr w:type="spellStart"/>
      <w:r w:rsidRPr="00346F49">
        <w:rPr>
          <w:sz w:val="16"/>
          <w:szCs w:val="16"/>
        </w:rPr>
        <w:t>Nucl</w:t>
      </w:r>
      <w:proofErr w:type="spellEnd"/>
      <w:r w:rsidRPr="00346F49">
        <w:rPr>
          <w:sz w:val="16"/>
          <w:szCs w:val="16"/>
        </w:rPr>
        <w:t xml:space="preserve"> Med Mol Imaging. 2016 Sep;43(10):1749-52. </w:t>
      </w:r>
      <w:proofErr w:type="spellStart"/>
      <w:r w:rsidRPr="00346F49">
        <w:rPr>
          <w:sz w:val="16"/>
          <w:szCs w:val="16"/>
        </w:rPr>
        <w:t>doi</w:t>
      </w:r>
      <w:proofErr w:type="spellEnd"/>
      <w:r w:rsidRPr="00346F49">
        <w:rPr>
          <w:sz w:val="16"/>
          <w:szCs w:val="16"/>
        </w:rPr>
        <w:t xml:space="preserve">: 10.1007/s00259-016-3414-5. </w:t>
      </w:r>
      <w:proofErr w:type="spellStart"/>
      <w:r w:rsidRPr="00346F49">
        <w:rPr>
          <w:sz w:val="16"/>
          <w:szCs w:val="16"/>
        </w:rPr>
        <w:t>Epub</w:t>
      </w:r>
      <w:proofErr w:type="spellEnd"/>
      <w:r w:rsidRPr="00346F49">
        <w:rPr>
          <w:sz w:val="16"/>
          <w:szCs w:val="16"/>
        </w:rPr>
        <w:t xml:space="preserve"> 2016 May 13. PMID: 27178271; PMCID: PMC4969342.</w:t>
      </w:r>
      <w:r>
        <w:rPr>
          <w:sz w:val="16"/>
          <w:szCs w:val="16"/>
        </w:rPr>
        <w:t xml:space="preserve"> Available online at: </w:t>
      </w:r>
      <w:hyperlink r:id="rId13" w:history="1">
        <w:r w:rsidRPr="002E5687">
          <w:rPr>
            <w:rStyle w:val="Hyperlink"/>
            <w:sz w:val="16"/>
            <w:szCs w:val="16"/>
          </w:rPr>
          <w:t>https://www.ncbi.nlm.nih.gov/pmc/articles/PMC4969342/</w:t>
        </w:r>
      </w:hyperlink>
      <w:r>
        <w:rPr>
          <w:sz w:val="16"/>
          <w:szCs w:val="16"/>
        </w:rPr>
        <w:t xml:space="preserve"> </w:t>
      </w:r>
    </w:p>
  </w:footnote>
  <w:footnote w:id="18">
    <w:p w14:paraId="72AABF8A" w14:textId="47C8DC81" w:rsidR="00663FBB" w:rsidRDefault="00663FBB">
      <w:pPr>
        <w:pStyle w:val="FootnoteText"/>
      </w:pPr>
      <w:r w:rsidRPr="004509DB">
        <w:rPr>
          <w:rStyle w:val="FootnoteReference"/>
          <w:sz w:val="16"/>
          <w:szCs w:val="16"/>
        </w:rPr>
        <w:footnoteRef/>
      </w:r>
      <w:r w:rsidRPr="004509DB">
        <w:rPr>
          <w:sz w:val="16"/>
          <w:szCs w:val="16"/>
        </w:rPr>
        <w:t xml:space="preserve"> </w:t>
      </w:r>
      <w:r w:rsidRPr="004509DB">
        <w:rPr>
          <w:i/>
          <w:iCs/>
          <w:sz w:val="16"/>
          <w:szCs w:val="16"/>
        </w:rPr>
        <w:t>Ibid.</w:t>
      </w:r>
      <w:r w:rsidRPr="004509DB">
        <w:rPr>
          <w:sz w:val="16"/>
          <w:szCs w:val="16"/>
        </w:rPr>
        <w:t xml:space="preserve"> </w:t>
      </w:r>
    </w:p>
  </w:footnote>
  <w:footnote w:id="19">
    <w:p w14:paraId="312D4638" w14:textId="2C4119F3" w:rsidR="00663FBB" w:rsidRPr="005841DF" w:rsidRDefault="00663FBB" w:rsidP="0019203D">
      <w:pPr>
        <w:pStyle w:val="FootnoteText"/>
      </w:pPr>
      <w:r w:rsidRPr="00165241">
        <w:rPr>
          <w:rStyle w:val="FootnoteReference"/>
          <w:sz w:val="16"/>
          <w:szCs w:val="16"/>
        </w:rPr>
        <w:footnoteRef/>
      </w:r>
      <w:r>
        <w:t xml:space="preserve"> </w:t>
      </w:r>
      <w:hyperlink r:id="rId14" w:history="1">
        <w:r w:rsidRPr="000D4376">
          <w:rPr>
            <w:rStyle w:val="Hyperlink"/>
            <w:color w:val="auto"/>
            <w:sz w:val="16"/>
            <w:szCs w:val="16"/>
            <w:u w:val="none"/>
          </w:rPr>
          <w:t>Infrastructure as a Platform Smart Hospital Infrastructure Best Practices</w:t>
        </w:r>
      </w:hyperlink>
      <w:r w:rsidRPr="000D4376">
        <w:rPr>
          <w:sz w:val="16"/>
          <w:szCs w:val="16"/>
        </w:rPr>
        <w:t xml:space="preserve">. Global </w:t>
      </w:r>
      <w:r w:rsidRPr="005841DF">
        <w:rPr>
          <w:sz w:val="16"/>
          <w:szCs w:val="16"/>
        </w:rPr>
        <w:t xml:space="preserve">Technology Briefing. Online at: </w:t>
      </w:r>
      <w:hyperlink r:id="rId15" w:history="1">
        <w:r w:rsidRPr="005841DF">
          <w:rPr>
            <w:rStyle w:val="Hyperlink"/>
            <w:sz w:val="16"/>
            <w:szCs w:val="16"/>
          </w:rPr>
          <w:t>https://www.anixter.com/content/dam/anixter/resources/brochures/anixter-iaap-</w:t>
        </w:r>
        <w:r>
          <w:rPr>
            <w:rStyle w:val="Hyperlink"/>
            <w:sz w:val="16"/>
            <w:szCs w:val="16"/>
          </w:rPr>
          <w:t>health care</w:t>
        </w:r>
        <w:r w:rsidRPr="005841DF">
          <w:rPr>
            <w:rStyle w:val="Hyperlink"/>
            <w:sz w:val="16"/>
            <w:szCs w:val="16"/>
          </w:rPr>
          <w:t>-best-practices-report-en.pdf</w:t>
        </w:r>
      </w:hyperlink>
      <w:r w:rsidRPr="005841DF">
        <w:rPr>
          <w:sz w:val="16"/>
          <w:szCs w:val="16"/>
        </w:rPr>
        <w:t xml:space="preserve"> </w:t>
      </w:r>
    </w:p>
  </w:footnote>
  <w:footnote w:id="20">
    <w:p w14:paraId="70C95057" w14:textId="357EA916" w:rsidR="00663FBB" w:rsidRPr="00C03A7B" w:rsidRDefault="00663FBB">
      <w:pPr>
        <w:pStyle w:val="FootnoteText"/>
        <w:rPr>
          <w:sz w:val="16"/>
          <w:szCs w:val="16"/>
        </w:rPr>
      </w:pPr>
      <w:r w:rsidRPr="00C03A7B">
        <w:rPr>
          <w:rStyle w:val="FootnoteReference"/>
          <w:sz w:val="16"/>
          <w:szCs w:val="16"/>
        </w:rPr>
        <w:footnoteRef/>
      </w:r>
      <w:r w:rsidRPr="00C03A7B">
        <w:rPr>
          <w:sz w:val="16"/>
          <w:szCs w:val="16"/>
        </w:rPr>
        <w:t xml:space="preserve"> The Applicant also provides data from </w:t>
      </w:r>
      <w:r>
        <w:rPr>
          <w:sz w:val="16"/>
          <w:szCs w:val="16"/>
        </w:rPr>
        <w:t>Atrius Health</w:t>
      </w:r>
      <w:r w:rsidRPr="00C03A7B">
        <w:rPr>
          <w:sz w:val="16"/>
          <w:szCs w:val="16"/>
        </w:rPr>
        <w:t xml:space="preserve">’s complete patient panel for additional context. </w:t>
      </w:r>
    </w:p>
  </w:footnote>
  <w:footnote w:id="21">
    <w:p w14:paraId="1F2E00A1" w14:textId="77777777" w:rsidR="00663FBB" w:rsidRDefault="00663FBB" w:rsidP="0019203D">
      <w:pPr>
        <w:pStyle w:val="FootnoteText"/>
      </w:pPr>
      <w:r w:rsidRPr="00C03A7B">
        <w:rPr>
          <w:rStyle w:val="FootnoteReference"/>
          <w:sz w:val="16"/>
          <w:szCs w:val="16"/>
        </w:rPr>
        <w:footnoteRef/>
      </w:r>
      <w:r w:rsidRPr="00C03A7B">
        <w:rPr>
          <w:sz w:val="16"/>
          <w:szCs w:val="16"/>
        </w:rPr>
        <w:t xml:space="preserve"> Corresponding zip codes: Boston (02110, 02118, 02126, 02109, 02113, 02130, 02121, 02119, 02115, 02163, 02135, 02199, 02124, 02132, 02114, 02108, 02136, 02111); Plymouth (02330, 02332, 02345, 02360, 02361, 02362); Quincy (02169, 02170, 02171, 02184, 02186, 02191, 02269, 02368); Cambridge (02138, 02139, 02140, 02141, 02142, 02238, 02239); Somerville (02129, 02143, 02144, 02145); Braintree (02184, 02185, 02368); Medford (02153, 02155, 02156); Lowell (01850, 01851, 01852, 01853, 01854); Dorchester (02121, 02122, 02125); Weymouth (02043, 02188, 02189, 02190, 02191); Dedham (02026, 02027, 02090); Peabody (01960, 01961); Norwood (02062, 02090); Brockton (02301, 02302, 02303, 02304, 02305); and Watertown (02471, 02472, 02477).</w:t>
      </w:r>
      <w:r w:rsidRPr="00BF7CE3">
        <w:rPr>
          <w:sz w:val="16"/>
          <w:szCs w:val="16"/>
        </w:rPr>
        <w:t xml:space="preserve"> </w:t>
      </w:r>
    </w:p>
  </w:footnote>
  <w:footnote w:id="22">
    <w:p w14:paraId="7F4672B2" w14:textId="77777777" w:rsidR="00663FBB" w:rsidRPr="004E567A" w:rsidRDefault="00663FBB" w:rsidP="0019203D">
      <w:pPr>
        <w:pStyle w:val="FootnoteText"/>
        <w:rPr>
          <w:sz w:val="16"/>
          <w:szCs w:val="16"/>
        </w:rPr>
      </w:pPr>
      <w:r w:rsidRPr="004E567A">
        <w:rPr>
          <w:rStyle w:val="FootnoteReference"/>
          <w:sz w:val="16"/>
          <w:szCs w:val="16"/>
        </w:rPr>
        <w:footnoteRef/>
      </w:r>
      <w:r w:rsidRPr="004E567A">
        <w:rPr>
          <w:sz w:val="16"/>
          <w:szCs w:val="16"/>
        </w:rPr>
        <w:t xml:space="preserve"> Available online at: </w:t>
      </w:r>
      <w:hyperlink r:id="rId16" w:history="1">
        <w:r w:rsidRPr="004E567A">
          <w:rPr>
            <w:rStyle w:val="Hyperlink"/>
            <w:sz w:val="16"/>
            <w:szCs w:val="16"/>
          </w:rPr>
          <w:t>https://www.mass.gov/doc/population-projections-methods-umdi-massdot/download</w:t>
        </w:r>
      </w:hyperlink>
      <w:r w:rsidRPr="004E567A">
        <w:rPr>
          <w:sz w:val="16"/>
          <w:szCs w:val="16"/>
        </w:rPr>
        <w:t xml:space="preserve"> </w:t>
      </w:r>
    </w:p>
  </w:footnote>
  <w:footnote w:id="23">
    <w:p w14:paraId="6DEA49EE" w14:textId="77777777" w:rsidR="00663FBB" w:rsidRDefault="00663FBB" w:rsidP="0019203D">
      <w:pPr>
        <w:pStyle w:val="FootnoteText"/>
      </w:pPr>
      <w:r w:rsidRPr="004E567A">
        <w:rPr>
          <w:rStyle w:val="FootnoteReference"/>
          <w:sz w:val="16"/>
          <w:szCs w:val="16"/>
        </w:rPr>
        <w:footnoteRef/>
      </w:r>
      <w:r w:rsidRPr="004E567A">
        <w:rPr>
          <w:sz w:val="16"/>
          <w:szCs w:val="16"/>
        </w:rPr>
        <w:t xml:space="preserve"> According to Investopedia, the compound annual growth rate (CAGR) is the </w:t>
      </w:r>
      <w:hyperlink r:id="rId17" w:history="1">
        <w:r w:rsidRPr="004E567A">
          <w:rPr>
            <w:rStyle w:val="Hyperlink"/>
            <w:sz w:val="16"/>
            <w:szCs w:val="16"/>
          </w:rPr>
          <w:t>rate of return</w:t>
        </w:r>
      </w:hyperlink>
      <w:r w:rsidRPr="004E567A">
        <w:rPr>
          <w:sz w:val="16"/>
          <w:szCs w:val="16"/>
        </w:rPr>
        <w:t> (</w:t>
      </w:r>
      <w:proofErr w:type="spellStart"/>
      <w:r w:rsidRPr="004E567A">
        <w:rPr>
          <w:sz w:val="16"/>
          <w:szCs w:val="16"/>
        </w:rPr>
        <w:t>RoR</w:t>
      </w:r>
      <w:proofErr w:type="spellEnd"/>
      <w:r w:rsidRPr="004E567A">
        <w:rPr>
          <w:sz w:val="16"/>
          <w:szCs w:val="16"/>
        </w:rPr>
        <w:t xml:space="preserve">) that would be required for an investment to grow from its beginning balance to its ending balance, assuming the profits were reinvested </w:t>
      </w:r>
      <w:r w:rsidRPr="00390EC8">
        <w:rPr>
          <w:sz w:val="16"/>
          <w:szCs w:val="16"/>
        </w:rPr>
        <w:t xml:space="preserve">at the end of each period of the investment’s life span. Available online at: </w:t>
      </w:r>
      <w:hyperlink r:id="rId18" w:history="1">
        <w:r w:rsidRPr="00390EC8">
          <w:rPr>
            <w:rStyle w:val="Hyperlink"/>
            <w:sz w:val="16"/>
            <w:szCs w:val="16"/>
          </w:rPr>
          <w:t>https://www.investopedia.com/terms/c/cagr.asp</w:t>
        </w:r>
      </w:hyperlink>
      <w:r w:rsidRPr="00390EC8">
        <w:rPr>
          <w:sz w:val="16"/>
          <w:szCs w:val="16"/>
        </w:rPr>
        <w:t xml:space="preserve"> </w:t>
      </w:r>
    </w:p>
  </w:footnote>
  <w:footnote w:id="24">
    <w:p w14:paraId="3E8B1C9E" w14:textId="0BB91230" w:rsidR="001B1D10" w:rsidRDefault="001B1D10">
      <w:pPr>
        <w:pStyle w:val="FootnoteText"/>
      </w:pPr>
      <w:r w:rsidRPr="001B1D10">
        <w:rPr>
          <w:rStyle w:val="FootnoteReference"/>
          <w:sz w:val="16"/>
          <w:szCs w:val="16"/>
        </w:rPr>
        <w:footnoteRef/>
      </w:r>
      <w:r w:rsidRPr="001B1D10">
        <w:rPr>
          <w:sz w:val="16"/>
          <w:szCs w:val="16"/>
        </w:rPr>
        <w:t xml:space="preserve"> Please note that the percentages were rounded</w:t>
      </w:r>
      <w:r w:rsidR="000A7FED">
        <w:rPr>
          <w:sz w:val="16"/>
          <w:szCs w:val="16"/>
        </w:rPr>
        <w:t xml:space="preserve"> to the nearest decimal</w:t>
      </w:r>
      <w:r>
        <w:rPr>
          <w:sz w:val="16"/>
          <w:szCs w:val="16"/>
        </w:rPr>
        <w:t>.</w:t>
      </w:r>
    </w:p>
  </w:footnote>
  <w:footnote w:id="25">
    <w:p w14:paraId="29B297BF" w14:textId="43B8D994" w:rsidR="00663FBB" w:rsidRPr="005E20FA" w:rsidRDefault="00663FBB" w:rsidP="0019203D">
      <w:pPr>
        <w:pStyle w:val="FootnoteText"/>
        <w:rPr>
          <w:sz w:val="16"/>
          <w:szCs w:val="16"/>
        </w:rPr>
      </w:pPr>
      <w:r w:rsidRPr="005E20FA">
        <w:rPr>
          <w:rStyle w:val="FootnoteReference"/>
          <w:sz w:val="16"/>
          <w:szCs w:val="16"/>
        </w:rPr>
        <w:footnoteRef/>
      </w:r>
      <w:r w:rsidRPr="005E20FA">
        <w:rPr>
          <w:sz w:val="16"/>
          <w:szCs w:val="16"/>
        </w:rPr>
        <w:t xml:space="preserve"> Please note that payor mix data reflects activity for all Atrius </w:t>
      </w:r>
      <w:r>
        <w:rPr>
          <w:sz w:val="16"/>
          <w:szCs w:val="16"/>
        </w:rPr>
        <w:t xml:space="preserve">Health </w:t>
      </w:r>
      <w:r w:rsidRPr="005E20FA">
        <w:rPr>
          <w:sz w:val="16"/>
          <w:szCs w:val="16"/>
        </w:rPr>
        <w:t xml:space="preserve">patients seen.  Atrius </w:t>
      </w:r>
      <w:r>
        <w:rPr>
          <w:sz w:val="16"/>
          <w:szCs w:val="16"/>
        </w:rPr>
        <w:t xml:space="preserve">Health </w:t>
      </w:r>
      <w:r w:rsidRPr="005E20FA">
        <w:rPr>
          <w:sz w:val="16"/>
          <w:szCs w:val="16"/>
        </w:rPr>
        <w:t>sees patients with outside PCPs, therefore, the payor mix data totals for each year are larger than the unique patient demographic data.</w:t>
      </w:r>
    </w:p>
  </w:footnote>
  <w:footnote w:id="26">
    <w:p w14:paraId="2B63C000" w14:textId="77777777" w:rsidR="00663FBB" w:rsidRPr="005E20FA" w:rsidRDefault="00663FBB" w:rsidP="0019203D">
      <w:pPr>
        <w:pStyle w:val="FootnoteText"/>
        <w:rPr>
          <w:sz w:val="16"/>
          <w:szCs w:val="16"/>
        </w:rPr>
      </w:pPr>
      <w:r w:rsidRPr="005E20FA">
        <w:rPr>
          <w:rStyle w:val="FootnoteReference"/>
          <w:sz w:val="16"/>
          <w:szCs w:val="16"/>
        </w:rPr>
        <w:footnoteRef/>
      </w:r>
      <w:r w:rsidRPr="005E20FA">
        <w:rPr>
          <w:sz w:val="16"/>
          <w:szCs w:val="16"/>
        </w:rPr>
        <w:t xml:space="preserve"> Keith Loria. Accessible Care: Challenges and Opportunities Related to Radiology Services in Rural Areas. Radiology Today. Vol. 20 No. 12 P. 22. Online at: </w:t>
      </w:r>
      <w:hyperlink r:id="rId19" w:history="1">
        <w:r w:rsidRPr="005E20FA">
          <w:rPr>
            <w:rStyle w:val="Hyperlink"/>
            <w:sz w:val="16"/>
            <w:szCs w:val="16"/>
          </w:rPr>
          <w:t>https://www.radiologytoday.net/archive/rt1219p22.shtml</w:t>
        </w:r>
      </w:hyperlink>
      <w:r w:rsidRPr="005E20FA">
        <w:rPr>
          <w:sz w:val="16"/>
          <w:szCs w:val="16"/>
        </w:rPr>
        <w:t xml:space="preserve"> </w:t>
      </w:r>
    </w:p>
  </w:footnote>
  <w:footnote w:id="27">
    <w:p w14:paraId="36CE123A" w14:textId="6E2CD380" w:rsidR="00663FBB" w:rsidRPr="000C3D91" w:rsidRDefault="00663FBB">
      <w:pPr>
        <w:pStyle w:val="FootnoteText"/>
        <w:rPr>
          <w:sz w:val="16"/>
          <w:szCs w:val="16"/>
        </w:rPr>
      </w:pPr>
      <w:r w:rsidRPr="000C3D91">
        <w:rPr>
          <w:rStyle w:val="FootnoteReference"/>
          <w:sz w:val="16"/>
          <w:szCs w:val="16"/>
        </w:rPr>
        <w:footnoteRef/>
      </w:r>
      <w:r w:rsidRPr="000C3D91">
        <w:rPr>
          <w:sz w:val="16"/>
          <w:szCs w:val="16"/>
        </w:rPr>
        <w:t xml:space="preserve"> Advantages of a PET/CT scan. Available online at: </w:t>
      </w:r>
      <w:hyperlink r:id="rId20" w:anchor=":~:text=Clinical%20research%20has%20shown%20that%20in%20comparison%20to,the%20cancer%20in%20approximately%20one-third%20of%20the%20cases" w:history="1">
        <w:r w:rsidRPr="000C3D91">
          <w:rPr>
            <w:rStyle w:val="Hyperlink"/>
            <w:sz w:val="16"/>
            <w:szCs w:val="16"/>
          </w:rPr>
          <w:t>https://stanfordhealthcare.org/medical-tests/p/pet-ct-scan/what-to-expect.html#:~:text=Clinical%20research%20has%20shown%20that%20in%20comparison%20to,the%20cancer%20in%20approximately%20one-third%20of%20the%20cases</w:t>
        </w:r>
      </w:hyperlink>
      <w:r w:rsidRPr="000C3D91">
        <w:rPr>
          <w:sz w:val="16"/>
          <w:szCs w:val="16"/>
        </w:rPr>
        <w:t xml:space="preserve">. </w:t>
      </w:r>
    </w:p>
  </w:footnote>
  <w:footnote w:id="28">
    <w:p w14:paraId="6C915F3A" w14:textId="2FD84809" w:rsidR="00663FBB" w:rsidRPr="008E67FD" w:rsidRDefault="00663FBB" w:rsidP="0019203D">
      <w:pPr>
        <w:pStyle w:val="FootnoteText"/>
        <w:rPr>
          <w:sz w:val="16"/>
          <w:szCs w:val="16"/>
        </w:rPr>
      </w:pPr>
      <w:r w:rsidRPr="008E67FD">
        <w:rPr>
          <w:rStyle w:val="FootnoteReference"/>
          <w:sz w:val="16"/>
          <w:szCs w:val="16"/>
        </w:rPr>
        <w:footnoteRef/>
      </w:r>
      <w:r w:rsidRPr="008E67FD">
        <w:rPr>
          <w:sz w:val="16"/>
          <w:szCs w:val="16"/>
        </w:rPr>
        <w:t xml:space="preserve"> Veralon Partners Inc. (“Veralon”) performed an analysis of the prospective financial schedules and associated volume forecast prepared by Shields Health Care Group for the proposed joint venture partnership to establish a PET/CT clinic in Dedham, Massachusetts. </w:t>
      </w:r>
    </w:p>
  </w:footnote>
  <w:footnote w:id="29">
    <w:p w14:paraId="32D1C523" w14:textId="7D892106" w:rsidR="00663FBB" w:rsidRDefault="00663FBB">
      <w:pPr>
        <w:pStyle w:val="FootnoteText"/>
      </w:pPr>
      <w:r w:rsidRPr="002D0E39">
        <w:rPr>
          <w:rStyle w:val="FootnoteReference"/>
          <w:sz w:val="16"/>
          <w:szCs w:val="16"/>
        </w:rPr>
        <w:footnoteRef/>
      </w:r>
      <w:r w:rsidRPr="002D0E39">
        <w:rPr>
          <w:sz w:val="16"/>
          <w:szCs w:val="16"/>
        </w:rPr>
        <w:t xml:space="preserve"> FDG PET scans involve a specialized sugar that shows up on PET scans. This sugar </w:t>
      </w:r>
      <w:r>
        <w:rPr>
          <w:sz w:val="16"/>
          <w:szCs w:val="16"/>
        </w:rPr>
        <w:t xml:space="preserve">is </w:t>
      </w:r>
      <w:r w:rsidRPr="002D0E39">
        <w:rPr>
          <w:sz w:val="16"/>
          <w:szCs w:val="16"/>
        </w:rPr>
        <w:t xml:space="preserve">injected into your body. And since most tumors will take up more of it, it allows the tumor to show up on the PET scan. Information </w:t>
      </w:r>
      <w:r>
        <w:rPr>
          <w:sz w:val="16"/>
          <w:szCs w:val="16"/>
        </w:rPr>
        <w:t xml:space="preserve">is </w:t>
      </w:r>
      <w:r w:rsidRPr="002D0E39">
        <w:rPr>
          <w:sz w:val="16"/>
          <w:szCs w:val="16"/>
        </w:rPr>
        <w:t xml:space="preserve">available online at: </w:t>
      </w:r>
      <w:hyperlink r:id="rId21" w:history="1">
        <w:r w:rsidRPr="002D0E39">
          <w:rPr>
            <w:rStyle w:val="Hyperlink"/>
            <w:sz w:val="16"/>
            <w:szCs w:val="16"/>
          </w:rPr>
          <w:t>https://anticancer360.com/what-is-a-fdg-pet-scan-and-why-does-it-matter/</w:t>
        </w:r>
      </w:hyperlink>
      <w:r w:rsidRPr="002D0E39">
        <w:rPr>
          <w:sz w:val="16"/>
          <w:szCs w:val="16"/>
        </w:rPr>
        <w:t xml:space="preserve"> </w:t>
      </w:r>
    </w:p>
  </w:footnote>
  <w:footnote w:id="30">
    <w:p w14:paraId="1B8B1E5B" w14:textId="5EE01FC2" w:rsidR="00663FBB" w:rsidRPr="005E20FA" w:rsidRDefault="00663FBB" w:rsidP="0019203D">
      <w:pPr>
        <w:pStyle w:val="FootnoteText"/>
        <w:rPr>
          <w:sz w:val="16"/>
          <w:szCs w:val="16"/>
        </w:rPr>
      </w:pPr>
      <w:r w:rsidRPr="005E20FA">
        <w:rPr>
          <w:rStyle w:val="FootnoteReference"/>
          <w:sz w:val="16"/>
          <w:szCs w:val="16"/>
        </w:rPr>
        <w:footnoteRef/>
      </w:r>
      <w:r w:rsidRPr="005E20FA">
        <w:rPr>
          <w:sz w:val="16"/>
          <w:szCs w:val="16"/>
        </w:rPr>
        <w:t xml:space="preserve"> Analytics were derived in January of 2024. </w:t>
      </w:r>
    </w:p>
  </w:footnote>
  <w:footnote w:id="31">
    <w:p w14:paraId="19D604F4" w14:textId="77777777" w:rsidR="00663FBB" w:rsidRPr="005E20FA" w:rsidRDefault="00663FBB" w:rsidP="0019203D">
      <w:pPr>
        <w:pStyle w:val="FootnoteText"/>
        <w:rPr>
          <w:sz w:val="16"/>
          <w:szCs w:val="16"/>
        </w:rPr>
      </w:pPr>
      <w:r w:rsidRPr="005E20FA">
        <w:rPr>
          <w:rStyle w:val="FootnoteReference"/>
          <w:sz w:val="16"/>
          <w:szCs w:val="16"/>
        </w:rPr>
        <w:footnoteRef/>
      </w:r>
      <w:r w:rsidRPr="005E20FA">
        <w:rPr>
          <w:sz w:val="16"/>
          <w:szCs w:val="16"/>
        </w:rPr>
        <w:t xml:space="preserve"> Online at: </w:t>
      </w:r>
      <w:hyperlink r:id="rId22" w:history="1">
        <w:r w:rsidRPr="005E20FA">
          <w:rPr>
            <w:rStyle w:val="Hyperlink"/>
            <w:sz w:val="16"/>
            <w:szCs w:val="16"/>
          </w:rPr>
          <w:t>http://pep.donahue-institute.org/downloads/2015/new/UMDI_LongTermPopulationProjectionsReport_2015%2004%20_29.pdf</w:t>
        </w:r>
      </w:hyperlink>
      <w:r w:rsidRPr="005E20FA">
        <w:rPr>
          <w:sz w:val="16"/>
          <w:szCs w:val="16"/>
        </w:rPr>
        <w:t xml:space="preserve"> </w:t>
      </w:r>
    </w:p>
  </w:footnote>
  <w:footnote w:id="32">
    <w:p w14:paraId="4288B5A5" w14:textId="77777777" w:rsidR="00663FBB" w:rsidRPr="00680195" w:rsidRDefault="00663FBB" w:rsidP="0019203D">
      <w:pPr>
        <w:pStyle w:val="FootnoteText"/>
        <w:rPr>
          <w:sz w:val="16"/>
          <w:szCs w:val="16"/>
        </w:rPr>
      </w:pPr>
      <w:r w:rsidRPr="005E20FA">
        <w:rPr>
          <w:rStyle w:val="FootnoteReference"/>
          <w:sz w:val="16"/>
          <w:szCs w:val="16"/>
        </w:rPr>
        <w:footnoteRef/>
      </w:r>
      <w:r w:rsidRPr="005E20FA">
        <w:rPr>
          <w:sz w:val="16"/>
          <w:szCs w:val="16"/>
        </w:rPr>
        <w:t xml:space="preserve"> Online at: </w:t>
      </w:r>
      <w:hyperlink r:id="rId23" w:history="1">
        <w:r w:rsidRPr="005E20FA">
          <w:rPr>
            <w:rStyle w:val="Hyperlink"/>
            <w:sz w:val="16"/>
            <w:szCs w:val="16"/>
          </w:rPr>
          <w:t>https://www.mass.gov/files/documents/2016/07/wb/healthy-aging-data-report.pdf</w:t>
        </w:r>
      </w:hyperlink>
      <w:r w:rsidRPr="00680195">
        <w:rPr>
          <w:sz w:val="16"/>
          <w:szCs w:val="16"/>
        </w:rPr>
        <w:t xml:space="preserve"> </w:t>
      </w:r>
    </w:p>
  </w:footnote>
  <w:footnote w:id="33">
    <w:p w14:paraId="3794A648" w14:textId="5CF686E8" w:rsidR="0006361D" w:rsidRDefault="0006361D">
      <w:pPr>
        <w:pStyle w:val="FootnoteText"/>
      </w:pPr>
      <w:r w:rsidRPr="0006361D">
        <w:rPr>
          <w:rStyle w:val="FootnoteReference"/>
          <w:sz w:val="16"/>
          <w:szCs w:val="16"/>
        </w:rPr>
        <w:footnoteRef/>
      </w:r>
      <w:r w:rsidRPr="0006361D">
        <w:rPr>
          <w:sz w:val="16"/>
          <w:szCs w:val="16"/>
        </w:rPr>
        <w:t xml:space="preserve"> Alphabetically ordered. </w:t>
      </w:r>
    </w:p>
  </w:footnote>
  <w:footnote w:id="34">
    <w:p w14:paraId="7469AA71" w14:textId="2BE41B15" w:rsidR="00663FBB" w:rsidRPr="005E20FA" w:rsidRDefault="00663FBB">
      <w:pPr>
        <w:pStyle w:val="FootnoteText"/>
        <w:rPr>
          <w:sz w:val="16"/>
          <w:szCs w:val="16"/>
        </w:rPr>
      </w:pPr>
      <w:r w:rsidRPr="005E20FA">
        <w:rPr>
          <w:rStyle w:val="FootnoteReference"/>
          <w:sz w:val="16"/>
          <w:szCs w:val="16"/>
        </w:rPr>
        <w:footnoteRef/>
      </w:r>
      <w:r w:rsidRPr="005E20FA">
        <w:rPr>
          <w:sz w:val="16"/>
          <w:szCs w:val="16"/>
        </w:rPr>
        <w:t xml:space="preserve"> As per the U.S. Census Bureau's American Community Survey – September 2023.</w:t>
      </w:r>
    </w:p>
  </w:footnote>
  <w:footnote w:id="35">
    <w:p w14:paraId="597ADF47" w14:textId="57FB2282" w:rsidR="00663FBB" w:rsidRPr="005E20FA" w:rsidRDefault="00663FBB">
      <w:pPr>
        <w:pStyle w:val="FootnoteText"/>
        <w:rPr>
          <w:sz w:val="16"/>
          <w:szCs w:val="16"/>
        </w:rPr>
      </w:pPr>
      <w:r w:rsidRPr="005E20FA">
        <w:rPr>
          <w:rStyle w:val="FootnoteReference"/>
          <w:sz w:val="16"/>
          <w:szCs w:val="16"/>
        </w:rPr>
        <w:footnoteRef/>
      </w:r>
      <w:r w:rsidRPr="005E20FA">
        <w:rPr>
          <w:sz w:val="16"/>
          <w:szCs w:val="16"/>
        </w:rPr>
        <w:t xml:space="preserve"> Dorchester is the largest neighborhood in Boston – this number is included in the Boston total. </w:t>
      </w:r>
    </w:p>
  </w:footnote>
  <w:footnote w:id="36">
    <w:p w14:paraId="40699C09" w14:textId="0736FA04" w:rsidR="00663FBB" w:rsidRPr="005E20FA" w:rsidRDefault="00663FBB" w:rsidP="0019203D">
      <w:pPr>
        <w:pStyle w:val="FootnoteText"/>
        <w:rPr>
          <w:sz w:val="16"/>
          <w:szCs w:val="16"/>
        </w:rPr>
      </w:pPr>
      <w:r w:rsidRPr="005E20FA">
        <w:rPr>
          <w:rStyle w:val="FootnoteReference"/>
          <w:sz w:val="16"/>
          <w:szCs w:val="16"/>
        </w:rPr>
        <w:footnoteRef/>
      </w:r>
      <w:r w:rsidRPr="005E20FA">
        <w:rPr>
          <w:sz w:val="16"/>
          <w:szCs w:val="16"/>
        </w:rPr>
        <w:t xml:space="preserve"> Medically reviewed by Megan Soliman, MD, written by Yvette Brazier. </w:t>
      </w:r>
      <w:hyperlink r:id="rId24" w:anchor="what-it-is" w:history="1">
        <w:r w:rsidRPr="001A7BB2">
          <w:rPr>
            <w:rStyle w:val="Hyperlink"/>
            <w:color w:val="auto"/>
            <w:sz w:val="16"/>
            <w:szCs w:val="16"/>
            <w:u w:val="none"/>
          </w:rPr>
          <w:t>What are PET scans, and what are their uses?</w:t>
        </w:r>
      </w:hyperlink>
      <w:r w:rsidRPr="001A7BB2">
        <w:rPr>
          <w:sz w:val="16"/>
          <w:szCs w:val="16"/>
        </w:rPr>
        <w:t xml:space="preserve"> Medical </w:t>
      </w:r>
      <w:r w:rsidRPr="005E20FA">
        <w:rPr>
          <w:sz w:val="16"/>
          <w:szCs w:val="16"/>
        </w:rPr>
        <w:t xml:space="preserve">New Today. Updated on December 16, 2021. Online at: </w:t>
      </w:r>
      <w:hyperlink r:id="rId25" w:anchor="what-it-is" w:history="1">
        <w:r w:rsidRPr="005E20FA">
          <w:rPr>
            <w:rStyle w:val="Hyperlink"/>
            <w:sz w:val="16"/>
            <w:szCs w:val="16"/>
          </w:rPr>
          <w:t>https://www.medicalnewstoday.com/articles/154877#what-it-is</w:t>
        </w:r>
      </w:hyperlink>
      <w:r w:rsidRPr="005E20FA">
        <w:rPr>
          <w:sz w:val="16"/>
          <w:szCs w:val="16"/>
        </w:rPr>
        <w:t xml:space="preserve"> </w:t>
      </w:r>
    </w:p>
  </w:footnote>
  <w:footnote w:id="37">
    <w:p w14:paraId="2E93ED7F" w14:textId="77777777" w:rsidR="00663FBB" w:rsidRPr="005E20FA" w:rsidRDefault="00663FBB" w:rsidP="0019203D">
      <w:pPr>
        <w:pStyle w:val="FootnoteText"/>
        <w:rPr>
          <w:sz w:val="16"/>
          <w:szCs w:val="16"/>
        </w:rPr>
      </w:pPr>
      <w:r w:rsidRPr="005E20FA">
        <w:rPr>
          <w:rStyle w:val="FootnoteReference"/>
          <w:sz w:val="16"/>
          <w:szCs w:val="16"/>
        </w:rPr>
        <w:footnoteRef/>
      </w:r>
      <w:r w:rsidRPr="005E20FA">
        <w:rPr>
          <w:sz w:val="16"/>
          <w:szCs w:val="16"/>
        </w:rPr>
        <w:t xml:space="preserve"> The Cleveland Clinic. PET Scan. Online at:  </w:t>
      </w:r>
      <w:hyperlink r:id="rId26" w:history="1">
        <w:r w:rsidRPr="005E20FA">
          <w:rPr>
            <w:rStyle w:val="Hyperlink"/>
            <w:sz w:val="16"/>
            <w:szCs w:val="16"/>
          </w:rPr>
          <w:t>https://my.clevelandclinic.org/health/diagnostics/10123-pet-scan</w:t>
        </w:r>
      </w:hyperlink>
      <w:r w:rsidRPr="005E20FA">
        <w:rPr>
          <w:sz w:val="16"/>
          <w:szCs w:val="16"/>
        </w:rPr>
        <w:t xml:space="preserve"> </w:t>
      </w:r>
    </w:p>
  </w:footnote>
  <w:footnote w:id="38">
    <w:p w14:paraId="01AE777F" w14:textId="2EF06818" w:rsidR="00663FBB" w:rsidRPr="005E20FA" w:rsidRDefault="00663FBB" w:rsidP="000447C1">
      <w:pPr>
        <w:pStyle w:val="FootnoteText"/>
        <w:rPr>
          <w:sz w:val="16"/>
          <w:szCs w:val="16"/>
        </w:rPr>
      </w:pPr>
      <w:r w:rsidRPr="005E20FA">
        <w:rPr>
          <w:rStyle w:val="FootnoteReference"/>
          <w:sz w:val="16"/>
          <w:szCs w:val="16"/>
        </w:rPr>
        <w:footnoteRef/>
      </w:r>
      <w:r w:rsidRPr="005E20FA">
        <w:rPr>
          <w:sz w:val="16"/>
          <w:szCs w:val="16"/>
        </w:rPr>
        <w:t xml:space="preserve"> Berger NA, Savvides P, Koroukian SM, Kahana EF, Deimling GT, Rose JH, Bowman KF, Miller RH. </w:t>
      </w:r>
      <w:hyperlink r:id="rId27" w:history="1">
        <w:r w:rsidRPr="008C55BC">
          <w:rPr>
            <w:rStyle w:val="Hyperlink"/>
            <w:color w:val="auto"/>
            <w:sz w:val="16"/>
            <w:szCs w:val="16"/>
            <w:u w:val="none"/>
          </w:rPr>
          <w:t>Cancer in the elderly.</w:t>
        </w:r>
      </w:hyperlink>
      <w:r w:rsidRPr="008C55BC">
        <w:rPr>
          <w:sz w:val="16"/>
          <w:szCs w:val="16"/>
        </w:rPr>
        <w:t xml:space="preserve"> Trans </w:t>
      </w:r>
      <w:r w:rsidRPr="005E20FA">
        <w:rPr>
          <w:sz w:val="16"/>
          <w:szCs w:val="16"/>
        </w:rPr>
        <w:t xml:space="preserve">Am Clin </w:t>
      </w:r>
      <w:proofErr w:type="spellStart"/>
      <w:r w:rsidRPr="005E20FA">
        <w:rPr>
          <w:sz w:val="16"/>
          <w:szCs w:val="16"/>
        </w:rPr>
        <w:t>Climatol</w:t>
      </w:r>
      <w:proofErr w:type="spellEnd"/>
      <w:r w:rsidRPr="005E20FA">
        <w:rPr>
          <w:sz w:val="16"/>
          <w:szCs w:val="16"/>
        </w:rPr>
        <w:t xml:space="preserve"> Assoc. 2006;117:147-55; discussion 155-6. PMID: 18528470; PMCID: PMC1500929. Online at: </w:t>
      </w:r>
      <w:hyperlink r:id="rId28" w:history="1">
        <w:r w:rsidRPr="005E20FA">
          <w:rPr>
            <w:rStyle w:val="Hyperlink"/>
            <w:sz w:val="16"/>
            <w:szCs w:val="16"/>
          </w:rPr>
          <w:t>https://pubmed.ncbi.nlm.nih.gov/18528470/</w:t>
        </w:r>
      </w:hyperlink>
      <w:r w:rsidRPr="005E20FA">
        <w:rPr>
          <w:sz w:val="16"/>
          <w:szCs w:val="16"/>
        </w:rPr>
        <w:t xml:space="preserve"> </w:t>
      </w:r>
    </w:p>
  </w:footnote>
  <w:footnote w:id="39">
    <w:p w14:paraId="1D2AFCFC" w14:textId="77777777" w:rsidR="00663FBB" w:rsidRPr="005E20FA" w:rsidRDefault="00663FBB" w:rsidP="000447C1">
      <w:pPr>
        <w:pStyle w:val="FootnoteText"/>
        <w:rPr>
          <w:sz w:val="16"/>
          <w:szCs w:val="16"/>
        </w:rPr>
      </w:pPr>
      <w:r w:rsidRPr="005E20FA">
        <w:rPr>
          <w:rStyle w:val="FootnoteReference"/>
          <w:sz w:val="16"/>
          <w:szCs w:val="16"/>
        </w:rPr>
        <w:footnoteRef/>
      </w:r>
      <w:r w:rsidRPr="005E20FA">
        <w:rPr>
          <w:sz w:val="16"/>
          <w:szCs w:val="16"/>
        </w:rPr>
        <w:t xml:space="preserve"> </w:t>
      </w:r>
      <w:bookmarkStart w:id="18" w:name="_Hlk98762078"/>
      <w:r w:rsidRPr="005E20FA">
        <w:rPr>
          <w:i/>
          <w:iCs/>
          <w:sz w:val="16"/>
          <w:szCs w:val="16"/>
        </w:rPr>
        <w:t>Ibid.</w:t>
      </w:r>
      <w:bookmarkEnd w:id="18"/>
    </w:p>
  </w:footnote>
  <w:footnote w:id="40">
    <w:p w14:paraId="7C0AEE03" w14:textId="50CA16EA" w:rsidR="00663FBB" w:rsidRPr="00843943" w:rsidRDefault="00663FBB" w:rsidP="0019203D">
      <w:pPr>
        <w:pStyle w:val="FootnoteText"/>
        <w:rPr>
          <w:sz w:val="16"/>
          <w:szCs w:val="16"/>
        </w:rPr>
      </w:pPr>
      <w:r w:rsidRPr="00843943">
        <w:rPr>
          <w:rStyle w:val="FootnoteReference"/>
          <w:sz w:val="16"/>
          <w:szCs w:val="16"/>
        </w:rPr>
        <w:footnoteRef/>
      </w:r>
      <w:r w:rsidRPr="00843943">
        <w:rPr>
          <w:sz w:val="16"/>
          <w:szCs w:val="16"/>
        </w:rPr>
        <w:t xml:space="preserve"> Guy Frija, Ivana Blažić, Donald P. Frush, Monika </w:t>
      </w:r>
      <w:proofErr w:type="spellStart"/>
      <w:r w:rsidRPr="00843943">
        <w:rPr>
          <w:sz w:val="16"/>
          <w:szCs w:val="16"/>
        </w:rPr>
        <w:t>Hierath</w:t>
      </w:r>
      <w:proofErr w:type="spellEnd"/>
      <w:r w:rsidRPr="00843943">
        <w:rPr>
          <w:sz w:val="16"/>
          <w:szCs w:val="16"/>
        </w:rPr>
        <w:t>, Michael Kawooya, Lluis Donoso-Bach, et al.</w:t>
      </w:r>
      <w:r w:rsidRPr="008C55BC">
        <w:rPr>
          <w:sz w:val="16"/>
          <w:szCs w:val="16"/>
        </w:rPr>
        <w:t xml:space="preserve"> </w:t>
      </w:r>
      <w:hyperlink r:id="rId29" w:history="1">
        <w:r w:rsidRPr="008C55BC">
          <w:rPr>
            <w:rStyle w:val="Hyperlink"/>
            <w:color w:val="auto"/>
            <w:sz w:val="16"/>
            <w:szCs w:val="16"/>
            <w:u w:val="none"/>
          </w:rPr>
          <w:t>How to improve access to medical imaging in low- and middle-income countries.</w:t>
        </w:r>
      </w:hyperlink>
      <w:r w:rsidRPr="008C55BC">
        <w:rPr>
          <w:sz w:val="16"/>
          <w:szCs w:val="16"/>
        </w:rPr>
        <w:t xml:space="preserve"> </w:t>
      </w:r>
      <w:proofErr w:type="spellStart"/>
      <w:r w:rsidRPr="008C55BC">
        <w:rPr>
          <w:sz w:val="16"/>
          <w:szCs w:val="16"/>
        </w:rPr>
        <w:t>eClinical</w:t>
      </w:r>
      <w:proofErr w:type="spellEnd"/>
      <w:r w:rsidRPr="008C55BC">
        <w:rPr>
          <w:sz w:val="16"/>
          <w:szCs w:val="16"/>
        </w:rPr>
        <w:t xml:space="preserve"> M</w:t>
      </w:r>
      <w:r w:rsidRPr="00843943">
        <w:rPr>
          <w:sz w:val="16"/>
          <w:szCs w:val="16"/>
        </w:rPr>
        <w:t xml:space="preserve">edicine, Part of The Lancet Discovery Science.  VOLUME 38, 101034, AUGUST 01, 2021. Online at: </w:t>
      </w:r>
      <w:hyperlink r:id="rId30" w:history="1">
        <w:r w:rsidRPr="00843943">
          <w:rPr>
            <w:rStyle w:val="Hyperlink"/>
            <w:sz w:val="16"/>
            <w:szCs w:val="16"/>
          </w:rPr>
          <w:t>https://www.thelancet.com/journals/eclinm/article/PIIS2589-5370(21)00314-X/fulltext</w:t>
        </w:r>
      </w:hyperlink>
      <w:r w:rsidRPr="00843943">
        <w:rPr>
          <w:sz w:val="16"/>
          <w:szCs w:val="16"/>
        </w:rPr>
        <w:t xml:space="preserve"> </w:t>
      </w:r>
    </w:p>
  </w:footnote>
  <w:footnote w:id="41">
    <w:p w14:paraId="4A59D0DD" w14:textId="77777777" w:rsidR="00663FBB" w:rsidRPr="00843943" w:rsidRDefault="00663FBB" w:rsidP="0019203D">
      <w:pPr>
        <w:pStyle w:val="FootnoteText"/>
        <w:rPr>
          <w:sz w:val="16"/>
          <w:szCs w:val="16"/>
        </w:rPr>
      </w:pPr>
      <w:r w:rsidRPr="00843943">
        <w:rPr>
          <w:rStyle w:val="FootnoteReference"/>
          <w:sz w:val="16"/>
          <w:szCs w:val="16"/>
        </w:rPr>
        <w:footnoteRef/>
      </w:r>
      <w:r w:rsidRPr="00843943">
        <w:rPr>
          <w:sz w:val="16"/>
          <w:szCs w:val="16"/>
        </w:rPr>
        <w:t xml:space="preserve"> </w:t>
      </w:r>
      <w:r w:rsidRPr="00843943">
        <w:rPr>
          <w:i/>
          <w:iCs/>
          <w:sz w:val="16"/>
          <w:szCs w:val="16"/>
        </w:rPr>
        <w:t>Ibid</w:t>
      </w:r>
      <w:r w:rsidRPr="00843943">
        <w:rPr>
          <w:sz w:val="16"/>
          <w:szCs w:val="16"/>
        </w:rPr>
        <w:t>.</w:t>
      </w:r>
    </w:p>
  </w:footnote>
  <w:footnote w:id="42">
    <w:p w14:paraId="2FF61F47" w14:textId="2D497BE1" w:rsidR="00663FBB" w:rsidRPr="00843943" w:rsidRDefault="00663FBB" w:rsidP="0019203D">
      <w:pPr>
        <w:pStyle w:val="FootnoteText"/>
        <w:rPr>
          <w:sz w:val="16"/>
          <w:szCs w:val="16"/>
        </w:rPr>
      </w:pPr>
      <w:r w:rsidRPr="00843943">
        <w:rPr>
          <w:rStyle w:val="FootnoteReference"/>
          <w:sz w:val="16"/>
          <w:szCs w:val="16"/>
        </w:rPr>
        <w:footnoteRef/>
      </w:r>
      <w:r w:rsidRPr="00843943">
        <w:rPr>
          <w:sz w:val="16"/>
          <w:szCs w:val="16"/>
        </w:rPr>
        <w:t xml:space="preserve"> White MC, Holman DM, Boehm JE, </w:t>
      </w:r>
      <w:proofErr w:type="spellStart"/>
      <w:r w:rsidRPr="00843943">
        <w:rPr>
          <w:sz w:val="16"/>
          <w:szCs w:val="16"/>
        </w:rPr>
        <w:t>Peipins</w:t>
      </w:r>
      <w:proofErr w:type="spellEnd"/>
      <w:r w:rsidRPr="00843943">
        <w:rPr>
          <w:sz w:val="16"/>
          <w:szCs w:val="16"/>
        </w:rPr>
        <w:t xml:space="preserve"> LA, Grossman M, Henley SJ. </w:t>
      </w:r>
      <w:hyperlink r:id="rId31" w:history="1">
        <w:r w:rsidRPr="008C55BC">
          <w:rPr>
            <w:rStyle w:val="Hyperlink"/>
            <w:color w:val="auto"/>
            <w:sz w:val="16"/>
            <w:szCs w:val="16"/>
            <w:u w:val="none"/>
          </w:rPr>
          <w:t>Age and cancer risk: a potentially modifiable relationship.</w:t>
        </w:r>
      </w:hyperlink>
      <w:r w:rsidRPr="008C55BC">
        <w:rPr>
          <w:sz w:val="16"/>
          <w:szCs w:val="16"/>
        </w:rPr>
        <w:t xml:space="preserve"> Am J </w:t>
      </w:r>
      <w:r w:rsidRPr="00843943">
        <w:rPr>
          <w:sz w:val="16"/>
          <w:szCs w:val="16"/>
        </w:rPr>
        <w:t>Prev Med. 2014;46(3 Suppl 1</w:t>
      </w:r>
      <w:proofErr w:type="gramStart"/>
      <w:r w:rsidRPr="00843943">
        <w:rPr>
          <w:sz w:val="16"/>
          <w:szCs w:val="16"/>
        </w:rPr>
        <w:t>):S</w:t>
      </w:r>
      <w:proofErr w:type="gramEnd"/>
      <w:r w:rsidRPr="00843943">
        <w:rPr>
          <w:sz w:val="16"/>
          <w:szCs w:val="16"/>
        </w:rPr>
        <w:t xml:space="preserve">7-S15. </w:t>
      </w:r>
      <w:proofErr w:type="gramStart"/>
      <w:r w:rsidRPr="00843943">
        <w:rPr>
          <w:sz w:val="16"/>
          <w:szCs w:val="16"/>
        </w:rPr>
        <w:t>doi:10.1016/j.amepre</w:t>
      </w:r>
      <w:proofErr w:type="gramEnd"/>
      <w:r w:rsidRPr="00843943">
        <w:rPr>
          <w:sz w:val="16"/>
          <w:szCs w:val="16"/>
        </w:rPr>
        <w:t xml:space="preserve">.2013.10.029. Online at:  </w:t>
      </w:r>
      <w:hyperlink r:id="rId32" w:history="1">
        <w:r w:rsidRPr="00843943">
          <w:rPr>
            <w:rStyle w:val="Hyperlink"/>
            <w:sz w:val="16"/>
            <w:szCs w:val="16"/>
          </w:rPr>
          <w:t>https://www.sciencedirect.com/science/article/pii/S0749379713006429</w:t>
        </w:r>
      </w:hyperlink>
      <w:r w:rsidRPr="00843943">
        <w:rPr>
          <w:sz w:val="16"/>
          <w:szCs w:val="16"/>
        </w:rPr>
        <w:t xml:space="preserve"> </w:t>
      </w:r>
    </w:p>
  </w:footnote>
  <w:footnote w:id="43">
    <w:p w14:paraId="7428B48F" w14:textId="4CB8345A" w:rsidR="00663FBB" w:rsidRDefault="00663FBB">
      <w:pPr>
        <w:pStyle w:val="FootnoteText"/>
      </w:pPr>
      <w:r w:rsidRPr="00253114">
        <w:rPr>
          <w:rStyle w:val="FootnoteReference"/>
          <w:sz w:val="16"/>
          <w:szCs w:val="16"/>
        </w:rPr>
        <w:footnoteRef/>
      </w:r>
      <w:r w:rsidRPr="00253114">
        <w:rPr>
          <w:sz w:val="16"/>
          <w:szCs w:val="16"/>
        </w:rPr>
        <w:t xml:space="preserve"> Berger NA, Savvides P, Koroukian SM, Kahana EF, Deimling GT, Rose JH, Bowman KF, Miller RH. </w:t>
      </w:r>
      <w:hyperlink r:id="rId33" w:history="1">
        <w:r w:rsidRPr="008C55BC">
          <w:rPr>
            <w:rStyle w:val="Hyperlink"/>
            <w:color w:val="auto"/>
            <w:sz w:val="16"/>
            <w:szCs w:val="16"/>
            <w:u w:val="none"/>
          </w:rPr>
          <w:t>Cancer in the elderly.</w:t>
        </w:r>
      </w:hyperlink>
      <w:r w:rsidRPr="008C55BC">
        <w:rPr>
          <w:sz w:val="16"/>
          <w:szCs w:val="16"/>
        </w:rPr>
        <w:t xml:space="preserve"> </w:t>
      </w:r>
      <w:r w:rsidRPr="00253114">
        <w:rPr>
          <w:sz w:val="16"/>
          <w:szCs w:val="16"/>
        </w:rPr>
        <w:t xml:space="preserve">Trans Am Clin </w:t>
      </w:r>
      <w:proofErr w:type="spellStart"/>
      <w:r w:rsidRPr="00253114">
        <w:rPr>
          <w:sz w:val="16"/>
          <w:szCs w:val="16"/>
        </w:rPr>
        <w:t>Climatol</w:t>
      </w:r>
      <w:proofErr w:type="spellEnd"/>
      <w:r w:rsidRPr="00253114">
        <w:rPr>
          <w:sz w:val="16"/>
          <w:szCs w:val="16"/>
        </w:rPr>
        <w:t xml:space="preserve"> Assoc. 2006;117:147-55; discussion 155-6. PMID: 18528470; PMCID: PMC1500929. Available online at: </w:t>
      </w:r>
      <w:hyperlink r:id="rId34" w:history="1">
        <w:r w:rsidRPr="00253114">
          <w:rPr>
            <w:rStyle w:val="Hyperlink"/>
            <w:sz w:val="16"/>
            <w:szCs w:val="16"/>
          </w:rPr>
          <w:t>https://www.ncbi.nlm.nih.gov/pmc/articles/PMC1500929/</w:t>
        </w:r>
      </w:hyperlink>
      <w:r w:rsidRPr="00253114">
        <w:rPr>
          <w:sz w:val="16"/>
          <w:szCs w:val="16"/>
        </w:rPr>
        <w:t xml:space="preserve"> </w:t>
      </w:r>
    </w:p>
  </w:footnote>
  <w:footnote w:id="44">
    <w:p w14:paraId="101AA9DB" w14:textId="0B1071A5" w:rsidR="00663FBB" w:rsidRPr="00843943" w:rsidRDefault="00663FBB" w:rsidP="0019203D">
      <w:pPr>
        <w:pStyle w:val="FootnoteText"/>
        <w:rPr>
          <w:sz w:val="16"/>
          <w:szCs w:val="16"/>
        </w:rPr>
      </w:pPr>
      <w:r w:rsidRPr="00843943">
        <w:rPr>
          <w:rStyle w:val="FootnoteReference"/>
          <w:sz w:val="16"/>
          <w:szCs w:val="16"/>
        </w:rPr>
        <w:footnoteRef/>
      </w:r>
      <w:r w:rsidRPr="00843943">
        <w:rPr>
          <w:sz w:val="16"/>
          <w:szCs w:val="16"/>
        </w:rPr>
        <w:t xml:space="preserve"> Berger NA, Savvides P, Koroukian SM, Kahana EF, Deimling GT, Rose JH, Bowman KF, Miller RH. </w:t>
      </w:r>
      <w:hyperlink r:id="rId35" w:history="1">
        <w:r w:rsidRPr="008C55BC">
          <w:rPr>
            <w:rStyle w:val="Hyperlink"/>
            <w:color w:val="auto"/>
            <w:sz w:val="16"/>
            <w:szCs w:val="16"/>
            <w:u w:val="none"/>
          </w:rPr>
          <w:t>Cancer in the elderly.</w:t>
        </w:r>
      </w:hyperlink>
      <w:r w:rsidRPr="008C55BC">
        <w:rPr>
          <w:sz w:val="16"/>
          <w:szCs w:val="16"/>
        </w:rPr>
        <w:t xml:space="preserve"> Trans </w:t>
      </w:r>
      <w:r w:rsidRPr="00843943">
        <w:rPr>
          <w:sz w:val="16"/>
          <w:szCs w:val="16"/>
        </w:rPr>
        <w:t xml:space="preserve">Am Clin </w:t>
      </w:r>
      <w:proofErr w:type="spellStart"/>
      <w:r w:rsidRPr="00843943">
        <w:rPr>
          <w:sz w:val="16"/>
          <w:szCs w:val="16"/>
        </w:rPr>
        <w:t>Climatol</w:t>
      </w:r>
      <w:proofErr w:type="spellEnd"/>
      <w:r w:rsidRPr="00843943">
        <w:rPr>
          <w:sz w:val="16"/>
          <w:szCs w:val="16"/>
        </w:rPr>
        <w:t xml:space="preserve"> Assoc. 2006;117:147-55; discussion 155-6. PMID: 18528470; PMCID: PMC1500929. Online at: </w:t>
      </w:r>
      <w:hyperlink r:id="rId36" w:history="1">
        <w:r w:rsidRPr="002E5687">
          <w:rPr>
            <w:rStyle w:val="Hyperlink"/>
            <w:sz w:val="16"/>
            <w:szCs w:val="16"/>
          </w:rPr>
          <w:t>https://www.ncbi.nlm.nih.gov/pmc/articles/PMC1500929/</w:t>
        </w:r>
      </w:hyperlink>
      <w:r>
        <w:rPr>
          <w:sz w:val="16"/>
          <w:szCs w:val="16"/>
        </w:rPr>
        <w:t xml:space="preserve"> </w:t>
      </w:r>
    </w:p>
  </w:footnote>
  <w:footnote w:id="45">
    <w:p w14:paraId="69F2FFD6" w14:textId="77777777" w:rsidR="00663FBB" w:rsidRPr="00843943" w:rsidRDefault="00663FBB" w:rsidP="0019203D">
      <w:pPr>
        <w:pStyle w:val="FootnoteText"/>
        <w:rPr>
          <w:sz w:val="16"/>
          <w:szCs w:val="16"/>
        </w:rPr>
      </w:pPr>
      <w:r w:rsidRPr="00843943">
        <w:rPr>
          <w:rStyle w:val="FootnoteReference"/>
          <w:sz w:val="16"/>
          <w:szCs w:val="16"/>
        </w:rPr>
        <w:footnoteRef/>
      </w:r>
      <w:r w:rsidRPr="00843943">
        <w:rPr>
          <w:sz w:val="16"/>
          <w:szCs w:val="16"/>
        </w:rPr>
        <w:t xml:space="preserve"> </w:t>
      </w:r>
      <w:bookmarkStart w:id="19" w:name="_Hlk100226975"/>
      <w:r w:rsidRPr="00843943">
        <w:rPr>
          <w:i/>
          <w:iCs/>
          <w:sz w:val="16"/>
          <w:szCs w:val="16"/>
        </w:rPr>
        <w:t>Ibid.</w:t>
      </w:r>
      <w:r w:rsidRPr="00843943">
        <w:rPr>
          <w:sz w:val="16"/>
          <w:szCs w:val="16"/>
        </w:rPr>
        <w:t xml:space="preserve"> </w:t>
      </w:r>
      <w:bookmarkEnd w:id="19"/>
    </w:p>
  </w:footnote>
  <w:footnote w:id="46">
    <w:p w14:paraId="2BED2702" w14:textId="6F72A4A4" w:rsidR="00663FBB" w:rsidRDefault="00663FBB">
      <w:pPr>
        <w:pStyle w:val="FootnoteText"/>
      </w:pPr>
      <w:r w:rsidRPr="00843943">
        <w:rPr>
          <w:rStyle w:val="FootnoteReference"/>
          <w:sz w:val="16"/>
          <w:szCs w:val="16"/>
        </w:rPr>
        <w:footnoteRef/>
      </w:r>
      <w:r w:rsidRPr="00843943">
        <w:rPr>
          <w:sz w:val="16"/>
          <w:szCs w:val="16"/>
        </w:rPr>
        <w:t xml:space="preserve"> Sonya Collins. </w:t>
      </w:r>
      <w:hyperlink r:id="rId37" w:history="1">
        <w:r w:rsidRPr="008C55BC">
          <w:rPr>
            <w:rStyle w:val="Hyperlink"/>
            <w:color w:val="auto"/>
            <w:sz w:val="16"/>
            <w:szCs w:val="16"/>
            <w:u w:val="none"/>
          </w:rPr>
          <w:t xml:space="preserve">2024—First Year the US Expects More than 2M New Cases of Cancer. </w:t>
        </w:r>
      </w:hyperlink>
      <w:r w:rsidRPr="008C55BC">
        <w:rPr>
          <w:sz w:val="16"/>
          <w:szCs w:val="16"/>
        </w:rPr>
        <w:t xml:space="preserve"> January </w:t>
      </w:r>
      <w:r w:rsidRPr="00843943">
        <w:rPr>
          <w:sz w:val="16"/>
          <w:szCs w:val="16"/>
        </w:rPr>
        <w:t xml:space="preserve">17, 2024. Available online at: </w:t>
      </w:r>
      <w:hyperlink r:id="rId38" w:history="1">
        <w:r w:rsidRPr="00843943">
          <w:rPr>
            <w:rStyle w:val="Hyperlink"/>
            <w:sz w:val="16"/>
            <w:szCs w:val="16"/>
          </w:rPr>
          <w:t>https://www.cancer.org/research/acs-research-news/facts-and-figures-2024.html</w:t>
        </w:r>
      </w:hyperlink>
      <w:r>
        <w:t xml:space="preserve"> </w:t>
      </w:r>
    </w:p>
  </w:footnote>
  <w:footnote w:id="47">
    <w:p w14:paraId="01080A62" w14:textId="6210E410" w:rsidR="00663FBB" w:rsidRPr="00843943" w:rsidRDefault="00663FBB">
      <w:pPr>
        <w:pStyle w:val="FootnoteText"/>
        <w:rPr>
          <w:sz w:val="16"/>
          <w:szCs w:val="16"/>
        </w:rPr>
      </w:pPr>
      <w:r w:rsidRPr="00843943">
        <w:rPr>
          <w:rStyle w:val="FootnoteReference"/>
          <w:sz w:val="16"/>
          <w:szCs w:val="16"/>
        </w:rPr>
        <w:footnoteRef/>
      </w:r>
      <w:r w:rsidRPr="00843943">
        <w:rPr>
          <w:sz w:val="16"/>
          <w:szCs w:val="16"/>
        </w:rPr>
        <w:t xml:space="preserve"> </w:t>
      </w:r>
      <w:r w:rsidRPr="00843943">
        <w:rPr>
          <w:i/>
          <w:iCs/>
          <w:sz w:val="16"/>
          <w:szCs w:val="16"/>
        </w:rPr>
        <w:t>Ibid.</w:t>
      </w:r>
    </w:p>
  </w:footnote>
  <w:footnote w:id="48">
    <w:p w14:paraId="4B5DC8C4" w14:textId="68AB21C7" w:rsidR="00663FBB" w:rsidRDefault="00663FBB">
      <w:pPr>
        <w:pStyle w:val="FootnoteText"/>
      </w:pPr>
      <w:r w:rsidRPr="00843943">
        <w:rPr>
          <w:rStyle w:val="FootnoteReference"/>
          <w:sz w:val="16"/>
          <w:szCs w:val="16"/>
        </w:rPr>
        <w:footnoteRef/>
      </w:r>
      <w:r w:rsidRPr="00843943">
        <w:rPr>
          <w:sz w:val="16"/>
          <w:szCs w:val="16"/>
        </w:rPr>
        <w:t xml:space="preserve"> </w:t>
      </w:r>
      <w:r w:rsidRPr="00843943">
        <w:rPr>
          <w:i/>
          <w:iCs/>
          <w:sz w:val="16"/>
          <w:szCs w:val="16"/>
        </w:rPr>
        <w:t>Ibid.</w:t>
      </w:r>
    </w:p>
  </w:footnote>
  <w:footnote w:id="49">
    <w:p w14:paraId="26D2926E" w14:textId="2B9660EE" w:rsidR="00663FBB" w:rsidRPr="00F10479" w:rsidRDefault="00663FBB" w:rsidP="004834DD">
      <w:pPr>
        <w:pStyle w:val="FootnoteText"/>
        <w:rPr>
          <w:sz w:val="16"/>
          <w:szCs w:val="16"/>
        </w:rPr>
      </w:pPr>
      <w:r w:rsidRPr="00F10479">
        <w:rPr>
          <w:rStyle w:val="FootnoteReference"/>
          <w:sz w:val="16"/>
          <w:szCs w:val="16"/>
        </w:rPr>
        <w:footnoteRef/>
      </w:r>
      <w:r w:rsidRPr="00F10479">
        <w:rPr>
          <w:sz w:val="16"/>
          <w:szCs w:val="16"/>
        </w:rPr>
        <w:t xml:space="preserve"> Joung, RH, Nelson, H, Mullett, TW, Kurtzman, SH, Shafir, S, Harris, JB, Yao, KA, </w:t>
      </w:r>
      <w:proofErr w:type="spellStart"/>
      <w:r w:rsidRPr="00F10479">
        <w:rPr>
          <w:sz w:val="16"/>
          <w:szCs w:val="16"/>
        </w:rPr>
        <w:t>Brajcich</w:t>
      </w:r>
      <w:proofErr w:type="spellEnd"/>
      <w:r w:rsidRPr="00F10479">
        <w:rPr>
          <w:sz w:val="16"/>
          <w:szCs w:val="16"/>
        </w:rPr>
        <w:t>, BC, Bilimoria, KY,</w:t>
      </w:r>
      <w:r w:rsidRPr="008C02A2">
        <w:rPr>
          <w:sz w:val="16"/>
          <w:szCs w:val="16"/>
        </w:rPr>
        <w:t xml:space="preserve"> Cance, WG. </w:t>
      </w:r>
      <w:hyperlink r:id="rId39" w:history="1">
        <w:r w:rsidRPr="008C02A2">
          <w:rPr>
            <w:rStyle w:val="Hyperlink"/>
            <w:color w:val="auto"/>
            <w:sz w:val="16"/>
            <w:szCs w:val="16"/>
            <w:u w:val="none"/>
          </w:rPr>
          <w:t>A national quality improvement study identifying and addressing cancer screening deficits due to the COVID-19 pandemic.</w:t>
        </w:r>
      </w:hyperlink>
      <w:r w:rsidRPr="008C02A2">
        <w:rPr>
          <w:sz w:val="16"/>
          <w:szCs w:val="16"/>
        </w:rPr>
        <w:t xml:space="preserve"> Cancer</w:t>
      </w:r>
      <w:r w:rsidRPr="00F10479">
        <w:rPr>
          <w:sz w:val="16"/>
          <w:szCs w:val="16"/>
        </w:rPr>
        <w:t xml:space="preserve">. 2022. Online at: </w:t>
      </w:r>
      <w:hyperlink r:id="rId40" w:history="1">
        <w:r w:rsidRPr="00F10479">
          <w:rPr>
            <w:rStyle w:val="Hyperlink"/>
            <w:sz w:val="16"/>
            <w:szCs w:val="16"/>
          </w:rPr>
          <w:t>https://doi.org/10.1002/cncr.34157</w:t>
        </w:r>
      </w:hyperlink>
      <w:r w:rsidRPr="00F10479">
        <w:rPr>
          <w:sz w:val="16"/>
          <w:szCs w:val="16"/>
        </w:rPr>
        <w:t xml:space="preserve"> </w:t>
      </w:r>
    </w:p>
  </w:footnote>
  <w:footnote w:id="50">
    <w:p w14:paraId="774848F2" w14:textId="77777777" w:rsidR="00663FBB" w:rsidRPr="00F10479" w:rsidRDefault="00663FBB" w:rsidP="004834DD">
      <w:pPr>
        <w:pStyle w:val="FootnoteText"/>
        <w:rPr>
          <w:sz w:val="16"/>
          <w:szCs w:val="16"/>
        </w:rPr>
      </w:pPr>
      <w:r w:rsidRPr="00F10479">
        <w:rPr>
          <w:rStyle w:val="FootnoteReference"/>
          <w:sz w:val="16"/>
          <w:szCs w:val="16"/>
        </w:rPr>
        <w:footnoteRef/>
      </w:r>
      <w:r w:rsidRPr="00F10479">
        <w:rPr>
          <w:sz w:val="16"/>
          <w:szCs w:val="16"/>
        </w:rPr>
        <w:t xml:space="preserve"> </w:t>
      </w:r>
      <w:r w:rsidRPr="00F10479">
        <w:rPr>
          <w:i/>
          <w:iCs/>
          <w:sz w:val="16"/>
          <w:szCs w:val="16"/>
        </w:rPr>
        <w:t>Ibid.</w:t>
      </w:r>
    </w:p>
  </w:footnote>
  <w:footnote w:id="51">
    <w:p w14:paraId="1B31B506" w14:textId="57D54723" w:rsidR="00663FBB" w:rsidRDefault="00663FBB">
      <w:pPr>
        <w:pStyle w:val="FootnoteText"/>
      </w:pPr>
      <w:r w:rsidRPr="00ED2E58">
        <w:rPr>
          <w:rStyle w:val="FootnoteReference"/>
          <w:sz w:val="16"/>
          <w:szCs w:val="16"/>
        </w:rPr>
        <w:footnoteRef/>
      </w:r>
      <w:r w:rsidRPr="00ED2E58">
        <w:rPr>
          <w:sz w:val="16"/>
          <w:szCs w:val="16"/>
        </w:rPr>
        <w:t xml:space="preserve"> Information available online at: </w:t>
      </w:r>
      <w:hyperlink r:id="rId41" w:history="1">
        <w:r w:rsidRPr="00ED2E58">
          <w:rPr>
            <w:rStyle w:val="Hyperlink"/>
            <w:sz w:val="16"/>
            <w:szCs w:val="16"/>
          </w:rPr>
          <w:t>https://www.cancer.org/research/cancer-facts-statistics/all-cancer-facts-figures/2024-cancer-facts-figures.html</w:t>
        </w:r>
      </w:hyperlink>
      <w:r w:rsidRPr="00ED2E58">
        <w:rPr>
          <w:sz w:val="16"/>
          <w:szCs w:val="16"/>
        </w:rPr>
        <w:t xml:space="preserve"> </w:t>
      </w:r>
    </w:p>
  </w:footnote>
  <w:footnote w:id="52">
    <w:p w14:paraId="1827B8A5" w14:textId="230ADAF3" w:rsidR="00663FBB" w:rsidRDefault="00663FBB">
      <w:pPr>
        <w:pStyle w:val="FootnoteText"/>
      </w:pPr>
      <w:r w:rsidRPr="008C1DBA">
        <w:rPr>
          <w:rStyle w:val="FootnoteReference"/>
          <w:sz w:val="16"/>
          <w:szCs w:val="16"/>
        </w:rPr>
        <w:footnoteRef/>
      </w:r>
      <w:r w:rsidRPr="008C1DBA">
        <w:rPr>
          <w:sz w:val="16"/>
          <w:szCs w:val="16"/>
        </w:rPr>
        <w:t xml:space="preserve"> </w:t>
      </w:r>
      <w:bookmarkStart w:id="20" w:name="_Hlk156825266"/>
      <w:r w:rsidRPr="008C1DBA">
        <w:rPr>
          <w:sz w:val="16"/>
          <w:szCs w:val="16"/>
        </w:rPr>
        <w:t xml:space="preserve">Data available online at: </w:t>
      </w:r>
      <w:hyperlink r:id="rId42" w:anchor="2015-2019-" w:history="1">
        <w:r w:rsidRPr="008C1DBA">
          <w:rPr>
            <w:rStyle w:val="Hyperlink"/>
            <w:sz w:val="16"/>
            <w:szCs w:val="16"/>
          </w:rPr>
          <w:t>https://www.mass.gov/lists/cancer-incidence-statewide-reports#2015-2019-</w:t>
        </w:r>
      </w:hyperlink>
      <w:bookmarkEnd w:id="20"/>
      <w:r w:rsidRPr="008C1DBA">
        <w:rPr>
          <w:sz w:val="16"/>
          <w:szCs w:val="16"/>
        </w:rPr>
        <w:t xml:space="preserve"> </w:t>
      </w:r>
    </w:p>
  </w:footnote>
  <w:footnote w:id="53">
    <w:p w14:paraId="2661D2D1" w14:textId="4C515596" w:rsidR="00663FBB" w:rsidRDefault="00663FBB">
      <w:pPr>
        <w:pStyle w:val="FootnoteText"/>
      </w:pPr>
      <w:r w:rsidRPr="008C1DBA">
        <w:rPr>
          <w:rStyle w:val="FootnoteReference"/>
          <w:sz w:val="16"/>
          <w:szCs w:val="16"/>
        </w:rPr>
        <w:footnoteRef/>
      </w:r>
      <w:r w:rsidRPr="008C1DBA">
        <w:rPr>
          <w:sz w:val="16"/>
          <w:szCs w:val="16"/>
        </w:rPr>
        <w:t xml:space="preserve"> Data available online at: </w:t>
      </w:r>
      <w:hyperlink r:id="rId43" w:anchor="2015-2019-" w:history="1">
        <w:r w:rsidRPr="008C1DBA">
          <w:rPr>
            <w:rStyle w:val="Hyperlink"/>
            <w:sz w:val="16"/>
            <w:szCs w:val="16"/>
          </w:rPr>
          <w:t>https://www.mass.gov/lists/cancer-incidence-statewide-reports#2015-2019-</w:t>
        </w:r>
      </w:hyperlink>
    </w:p>
  </w:footnote>
  <w:footnote w:id="54">
    <w:p w14:paraId="6ECFE392" w14:textId="5772D17C" w:rsidR="00663FBB" w:rsidRPr="001844C0" w:rsidRDefault="00663FBB" w:rsidP="00890DAF">
      <w:pPr>
        <w:pStyle w:val="FootnoteText"/>
        <w:rPr>
          <w:sz w:val="16"/>
          <w:szCs w:val="16"/>
        </w:rPr>
      </w:pPr>
      <w:r w:rsidRPr="001844C0">
        <w:rPr>
          <w:rStyle w:val="FootnoteReference"/>
          <w:sz w:val="16"/>
          <w:szCs w:val="16"/>
        </w:rPr>
        <w:footnoteRef/>
      </w:r>
      <w:r w:rsidRPr="001844C0">
        <w:rPr>
          <w:sz w:val="16"/>
          <w:szCs w:val="16"/>
        </w:rPr>
        <w:t xml:space="preserve"> Hajar R. </w:t>
      </w:r>
      <w:hyperlink r:id="rId44" w:history="1">
        <w:r w:rsidRPr="008C02A2">
          <w:rPr>
            <w:rStyle w:val="Hyperlink"/>
            <w:color w:val="auto"/>
            <w:sz w:val="16"/>
            <w:szCs w:val="16"/>
            <w:u w:val="none"/>
          </w:rPr>
          <w:t>Risk Factors for Coronary Artery Disease: Historical Perspectives</w:t>
        </w:r>
      </w:hyperlink>
      <w:r w:rsidRPr="008C02A2">
        <w:rPr>
          <w:sz w:val="16"/>
          <w:szCs w:val="16"/>
        </w:rPr>
        <w:t xml:space="preserve">. Heart </w:t>
      </w:r>
      <w:r w:rsidRPr="001844C0">
        <w:rPr>
          <w:sz w:val="16"/>
          <w:szCs w:val="16"/>
        </w:rPr>
        <w:t xml:space="preserve">Views. 2017;18(3):109-114. </w:t>
      </w:r>
      <w:proofErr w:type="gramStart"/>
      <w:r w:rsidRPr="001844C0">
        <w:rPr>
          <w:sz w:val="16"/>
          <w:szCs w:val="16"/>
        </w:rPr>
        <w:t>doi:10.4103/HEARTVIEWS.HEARTVIEWS</w:t>
      </w:r>
      <w:proofErr w:type="gramEnd"/>
      <w:r w:rsidRPr="001844C0">
        <w:rPr>
          <w:sz w:val="16"/>
          <w:szCs w:val="16"/>
        </w:rPr>
        <w:t xml:space="preserve">_106_17. Online at: </w:t>
      </w:r>
      <w:hyperlink r:id="rId45" w:history="1">
        <w:r w:rsidRPr="001844C0">
          <w:rPr>
            <w:rStyle w:val="Hyperlink"/>
            <w:sz w:val="16"/>
            <w:szCs w:val="16"/>
          </w:rPr>
          <w:t>https://pubmed.ncbi.nlm.nih.gov/29184622/</w:t>
        </w:r>
      </w:hyperlink>
      <w:r w:rsidRPr="001844C0">
        <w:rPr>
          <w:sz w:val="16"/>
          <w:szCs w:val="16"/>
        </w:rPr>
        <w:t xml:space="preserve"> </w:t>
      </w:r>
    </w:p>
  </w:footnote>
  <w:footnote w:id="55">
    <w:p w14:paraId="3D767829" w14:textId="77777777" w:rsidR="00663FBB" w:rsidRPr="001844C0" w:rsidRDefault="00663FBB" w:rsidP="00A9657C">
      <w:pPr>
        <w:pStyle w:val="FootnoteText"/>
        <w:rPr>
          <w:sz w:val="16"/>
          <w:szCs w:val="16"/>
        </w:rPr>
      </w:pPr>
      <w:r w:rsidRPr="001844C0">
        <w:rPr>
          <w:rStyle w:val="FootnoteReference"/>
          <w:sz w:val="16"/>
          <w:szCs w:val="16"/>
        </w:rPr>
        <w:footnoteRef/>
      </w:r>
      <w:r w:rsidRPr="001844C0">
        <w:rPr>
          <w:sz w:val="16"/>
          <w:szCs w:val="16"/>
        </w:rPr>
        <w:t xml:space="preserve"> Stroke is also included in this statistic. </w:t>
      </w:r>
    </w:p>
  </w:footnote>
  <w:footnote w:id="56">
    <w:p w14:paraId="04EC80A2" w14:textId="77777777" w:rsidR="00663FBB" w:rsidRPr="001844C0" w:rsidRDefault="00663FBB" w:rsidP="00A9657C">
      <w:pPr>
        <w:pStyle w:val="FootnoteText"/>
        <w:rPr>
          <w:sz w:val="16"/>
          <w:szCs w:val="16"/>
        </w:rPr>
      </w:pPr>
      <w:r w:rsidRPr="001844C0">
        <w:rPr>
          <w:rStyle w:val="FootnoteReference"/>
          <w:sz w:val="16"/>
          <w:szCs w:val="16"/>
        </w:rPr>
        <w:footnoteRef/>
      </w:r>
      <w:r w:rsidRPr="001844C0">
        <w:rPr>
          <w:sz w:val="16"/>
          <w:szCs w:val="16"/>
        </w:rPr>
        <w:t xml:space="preserve"> Heart disease #1 cause of death rank likely to be impacted by COVID-19 for years to </w:t>
      </w:r>
      <w:proofErr w:type="gramStart"/>
      <w:r w:rsidRPr="001844C0">
        <w:rPr>
          <w:sz w:val="16"/>
          <w:szCs w:val="16"/>
        </w:rPr>
        <w:t>come</w:t>
      </w:r>
      <w:proofErr w:type="gramEnd"/>
    </w:p>
    <w:p w14:paraId="000F8220" w14:textId="2F0D9C40" w:rsidR="00663FBB" w:rsidRPr="001844C0" w:rsidRDefault="000F0E25" w:rsidP="00A9657C">
      <w:pPr>
        <w:pStyle w:val="FootnoteText"/>
        <w:rPr>
          <w:sz w:val="16"/>
          <w:szCs w:val="16"/>
        </w:rPr>
      </w:pPr>
      <w:hyperlink r:id="rId46" w:history="1">
        <w:r w:rsidR="00663FBB" w:rsidRPr="000F0E25">
          <w:rPr>
            <w:rStyle w:val="Hyperlink"/>
            <w:color w:val="auto"/>
            <w:sz w:val="16"/>
            <w:szCs w:val="16"/>
            <w:u w:val="none"/>
          </w:rPr>
          <w:t>American Heart Association Report – Annual Statistical Update.</w:t>
        </w:r>
      </w:hyperlink>
      <w:r w:rsidR="00663FBB" w:rsidRPr="000F0E25">
        <w:rPr>
          <w:sz w:val="16"/>
          <w:szCs w:val="16"/>
        </w:rPr>
        <w:t xml:space="preserve"> Available </w:t>
      </w:r>
      <w:r w:rsidR="00663FBB" w:rsidRPr="001844C0">
        <w:rPr>
          <w:sz w:val="16"/>
          <w:szCs w:val="16"/>
        </w:rPr>
        <w:t xml:space="preserve">online at: </w:t>
      </w:r>
      <w:hyperlink r:id="rId47" w:history="1">
        <w:r w:rsidR="00663FBB" w:rsidRPr="001844C0">
          <w:rPr>
            <w:rStyle w:val="Hyperlink"/>
            <w:sz w:val="16"/>
            <w:szCs w:val="16"/>
          </w:rPr>
          <w:t>https://newsroom.heart.org/news/heart-disease</w:t>
        </w:r>
      </w:hyperlink>
      <w:r w:rsidR="00663FBB" w:rsidRPr="001844C0">
        <w:rPr>
          <w:sz w:val="16"/>
          <w:szCs w:val="16"/>
        </w:rPr>
        <w:t xml:space="preserve"> </w:t>
      </w:r>
    </w:p>
  </w:footnote>
  <w:footnote w:id="57">
    <w:p w14:paraId="6DFFACBC" w14:textId="77777777" w:rsidR="00663FBB" w:rsidRPr="001844C0" w:rsidRDefault="00663FBB" w:rsidP="00A9657C">
      <w:pPr>
        <w:pStyle w:val="FootnoteText"/>
        <w:rPr>
          <w:sz w:val="16"/>
          <w:szCs w:val="16"/>
        </w:rPr>
      </w:pPr>
      <w:r w:rsidRPr="001844C0">
        <w:rPr>
          <w:rStyle w:val="FootnoteReference"/>
          <w:sz w:val="16"/>
          <w:szCs w:val="16"/>
        </w:rPr>
        <w:footnoteRef/>
      </w:r>
      <w:r w:rsidRPr="001844C0">
        <w:rPr>
          <w:sz w:val="16"/>
          <w:szCs w:val="16"/>
        </w:rPr>
        <w:t xml:space="preserve"> </w:t>
      </w:r>
      <w:r w:rsidRPr="001844C0">
        <w:rPr>
          <w:i/>
          <w:iCs/>
          <w:sz w:val="16"/>
          <w:szCs w:val="16"/>
        </w:rPr>
        <w:t>Ibid.</w:t>
      </w:r>
      <w:r w:rsidRPr="001844C0">
        <w:rPr>
          <w:sz w:val="16"/>
          <w:szCs w:val="16"/>
        </w:rPr>
        <w:t xml:space="preserve"> </w:t>
      </w:r>
    </w:p>
  </w:footnote>
  <w:footnote w:id="58">
    <w:p w14:paraId="02B6AABE" w14:textId="0FF674BE" w:rsidR="00663FBB" w:rsidRPr="00D54256" w:rsidRDefault="00663FBB" w:rsidP="0019203D">
      <w:pPr>
        <w:pStyle w:val="FootnoteText"/>
        <w:rPr>
          <w:sz w:val="16"/>
          <w:szCs w:val="16"/>
        </w:rPr>
      </w:pPr>
      <w:r w:rsidRPr="00D54256">
        <w:rPr>
          <w:rStyle w:val="FootnoteReference"/>
          <w:sz w:val="16"/>
          <w:szCs w:val="16"/>
        </w:rPr>
        <w:footnoteRef/>
      </w:r>
      <w:r w:rsidRPr="00D54256">
        <w:rPr>
          <w:sz w:val="16"/>
          <w:szCs w:val="16"/>
        </w:rPr>
        <w:t xml:space="preserve"> Available for download online at:  </w:t>
      </w:r>
      <w:hyperlink r:id="rId48" w:history="1">
        <w:r w:rsidRPr="00D54256">
          <w:rPr>
            <w:rStyle w:val="Hyperlink"/>
            <w:sz w:val="16"/>
            <w:szCs w:val="16"/>
          </w:rPr>
          <w:t>https://www.mass.gov/behavioral-risk-factor-surveillance</w:t>
        </w:r>
      </w:hyperlink>
      <w:r w:rsidRPr="00D54256">
        <w:rPr>
          <w:sz w:val="16"/>
          <w:szCs w:val="16"/>
        </w:rPr>
        <w:t xml:space="preserve"> </w:t>
      </w:r>
    </w:p>
  </w:footnote>
  <w:footnote w:id="59">
    <w:p w14:paraId="3689EA6D" w14:textId="1F29FC95" w:rsidR="00663FBB" w:rsidRPr="005E20FA" w:rsidRDefault="00663FBB">
      <w:pPr>
        <w:pStyle w:val="FootnoteText"/>
        <w:rPr>
          <w:sz w:val="16"/>
          <w:szCs w:val="16"/>
        </w:rPr>
      </w:pPr>
      <w:r w:rsidRPr="005E20FA">
        <w:rPr>
          <w:rStyle w:val="FootnoteReference"/>
          <w:sz w:val="16"/>
          <w:szCs w:val="16"/>
        </w:rPr>
        <w:footnoteRef/>
      </w:r>
      <w:r w:rsidRPr="005E20FA">
        <w:rPr>
          <w:sz w:val="16"/>
          <w:szCs w:val="16"/>
        </w:rPr>
        <w:t xml:space="preserve"> Data available online at: </w:t>
      </w:r>
      <w:hyperlink r:id="rId49" w:history="1">
        <w:r w:rsidRPr="005E20FA">
          <w:rPr>
            <w:rStyle w:val="Hyperlink"/>
            <w:sz w:val="16"/>
            <w:szCs w:val="16"/>
          </w:rPr>
          <w:t>https://www.cdc.gov/nchs/pressroom/sosmap/heart_disease_mortality/heart_disease.htm</w:t>
        </w:r>
      </w:hyperlink>
      <w:r w:rsidRPr="005E20FA">
        <w:rPr>
          <w:sz w:val="16"/>
          <w:szCs w:val="16"/>
        </w:rPr>
        <w:t xml:space="preserve"> </w:t>
      </w:r>
    </w:p>
  </w:footnote>
  <w:footnote w:id="60">
    <w:p w14:paraId="22BA02BA" w14:textId="21F0F577" w:rsidR="00663FBB" w:rsidRPr="005E20FA" w:rsidRDefault="00663FBB" w:rsidP="0019203D">
      <w:pPr>
        <w:pStyle w:val="FootnoteText"/>
        <w:rPr>
          <w:sz w:val="16"/>
          <w:szCs w:val="16"/>
        </w:rPr>
      </w:pPr>
      <w:r w:rsidRPr="005E20FA">
        <w:rPr>
          <w:rStyle w:val="FootnoteReference"/>
          <w:sz w:val="16"/>
          <w:szCs w:val="16"/>
        </w:rPr>
        <w:footnoteRef/>
      </w:r>
      <w:r w:rsidRPr="005E20FA">
        <w:rPr>
          <w:sz w:val="16"/>
          <w:szCs w:val="16"/>
        </w:rPr>
        <w:t xml:space="preserve"> Acharya JN, Acharya VJ. </w:t>
      </w:r>
      <w:hyperlink r:id="rId50" w:history="1">
        <w:r w:rsidRPr="000F047F">
          <w:rPr>
            <w:rStyle w:val="Hyperlink"/>
            <w:color w:val="auto"/>
            <w:sz w:val="16"/>
            <w:szCs w:val="16"/>
            <w:u w:val="none"/>
          </w:rPr>
          <w:t>Epilepsy in the elderly: Special considerations and challenges.</w:t>
        </w:r>
      </w:hyperlink>
      <w:r w:rsidRPr="000F047F">
        <w:rPr>
          <w:sz w:val="16"/>
          <w:szCs w:val="16"/>
        </w:rPr>
        <w:t xml:space="preserve"> Ann </w:t>
      </w:r>
      <w:r w:rsidRPr="005E20FA">
        <w:rPr>
          <w:sz w:val="16"/>
          <w:szCs w:val="16"/>
        </w:rPr>
        <w:t xml:space="preserve">Indian </w:t>
      </w:r>
      <w:proofErr w:type="spellStart"/>
      <w:r w:rsidRPr="005E20FA">
        <w:rPr>
          <w:sz w:val="16"/>
          <w:szCs w:val="16"/>
        </w:rPr>
        <w:t>Acad</w:t>
      </w:r>
      <w:proofErr w:type="spellEnd"/>
      <w:r w:rsidRPr="005E20FA">
        <w:rPr>
          <w:sz w:val="16"/>
          <w:szCs w:val="16"/>
        </w:rPr>
        <w:t xml:space="preserve"> Neurol. 2014;17(Suppl 1</w:t>
      </w:r>
      <w:proofErr w:type="gramStart"/>
      <w:r w:rsidRPr="005E20FA">
        <w:rPr>
          <w:sz w:val="16"/>
          <w:szCs w:val="16"/>
        </w:rPr>
        <w:t>):S</w:t>
      </w:r>
      <w:proofErr w:type="gramEnd"/>
      <w:r w:rsidRPr="005E20FA">
        <w:rPr>
          <w:sz w:val="16"/>
          <w:szCs w:val="16"/>
        </w:rPr>
        <w:t xml:space="preserve">18-S26. doi:10.4103/0972-2327.128645. Online at: </w:t>
      </w:r>
      <w:hyperlink r:id="rId51" w:history="1">
        <w:r w:rsidRPr="005E20FA">
          <w:rPr>
            <w:rStyle w:val="Hyperlink"/>
            <w:sz w:val="16"/>
            <w:szCs w:val="16"/>
          </w:rPr>
          <w:t>https://pubmed.ncbi.nlm.nih.gov/24791083/</w:t>
        </w:r>
      </w:hyperlink>
      <w:r w:rsidRPr="005E20FA">
        <w:rPr>
          <w:sz w:val="16"/>
          <w:szCs w:val="16"/>
        </w:rPr>
        <w:t xml:space="preserve"> </w:t>
      </w:r>
    </w:p>
  </w:footnote>
  <w:footnote w:id="61">
    <w:p w14:paraId="550760E7" w14:textId="621A3120" w:rsidR="00663FBB" w:rsidRPr="005E20FA" w:rsidRDefault="00663FBB" w:rsidP="0019203D">
      <w:pPr>
        <w:pStyle w:val="FootnoteText"/>
        <w:rPr>
          <w:sz w:val="16"/>
          <w:szCs w:val="16"/>
        </w:rPr>
      </w:pPr>
      <w:r w:rsidRPr="005E20FA">
        <w:rPr>
          <w:rStyle w:val="FootnoteReference"/>
          <w:sz w:val="16"/>
          <w:szCs w:val="16"/>
        </w:rPr>
        <w:footnoteRef/>
      </w:r>
      <w:r w:rsidRPr="005E20FA">
        <w:rPr>
          <w:sz w:val="16"/>
          <w:szCs w:val="16"/>
        </w:rPr>
        <w:t xml:space="preserve"> Age is the greatest of these the risk factors. As noted in the Prevalence section, the percentage of people with Alzheimer's dementia increases dramatically with age: 3% of people </w:t>
      </w:r>
      <w:proofErr w:type="gramStart"/>
      <w:r w:rsidRPr="005E20FA">
        <w:rPr>
          <w:sz w:val="16"/>
          <w:szCs w:val="16"/>
        </w:rPr>
        <w:t>age</w:t>
      </w:r>
      <w:proofErr w:type="gramEnd"/>
      <w:r w:rsidRPr="005E20FA">
        <w:rPr>
          <w:sz w:val="16"/>
          <w:szCs w:val="16"/>
        </w:rPr>
        <w:t xml:space="preserve"> 65-74, 17% of people age 75-84 and 32% of people age 85 or older have Alzheimer's dementia. Source: </w:t>
      </w:r>
      <w:hyperlink r:id="rId52" w:history="1">
        <w:r w:rsidRPr="000F047F">
          <w:rPr>
            <w:rStyle w:val="Hyperlink"/>
            <w:color w:val="auto"/>
            <w:sz w:val="16"/>
            <w:szCs w:val="16"/>
            <w:u w:val="none"/>
          </w:rPr>
          <w:t>2020 Alzheimer's disease facts and figures.</w:t>
        </w:r>
      </w:hyperlink>
      <w:r w:rsidRPr="000F047F">
        <w:rPr>
          <w:sz w:val="16"/>
          <w:szCs w:val="16"/>
        </w:rPr>
        <w:t xml:space="preserve"> </w:t>
      </w:r>
      <w:r w:rsidRPr="005E20FA">
        <w:rPr>
          <w:sz w:val="16"/>
          <w:szCs w:val="16"/>
        </w:rPr>
        <w:t xml:space="preserve">March 10, 2020. Online at: </w:t>
      </w:r>
      <w:hyperlink r:id="rId53" w:history="1">
        <w:r w:rsidRPr="005E20FA">
          <w:rPr>
            <w:rStyle w:val="Hyperlink"/>
            <w:sz w:val="16"/>
            <w:szCs w:val="16"/>
          </w:rPr>
          <w:t>https://alz-journals.onlinelibrary.wiley.com/doi/10.1002/alz.12068</w:t>
        </w:r>
      </w:hyperlink>
      <w:r w:rsidRPr="005E20FA">
        <w:rPr>
          <w:sz w:val="16"/>
          <w:szCs w:val="16"/>
        </w:rPr>
        <w:t xml:space="preserve"> </w:t>
      </w:r>
    </w:p>
  </w:footnote>
  <w:footnote w:id="62">
    <w:p w14:paraId="171D54C3" w14:textId="77777777" w:rsidR="00663FBB" w:rsidRPr="005E20FA" w:rsidRDefault="00663FBB" w:rsidP="0019203D">
      <w:pPr>
        <w:pStyle w:val="FootnoteText"/>
        <w:rPr>
          <w:sz w:val="16"/>
          <w:szCs w:val="16"/>
        </w:rPr>
      </w:pPr>
      <w:r w:rsidRPr="005E20FA">
        <w:rPr>
          <w:rStyle w:val="FootnoteReference"/>
          <w:sz w:val="16"/>
          <w:szCs w:val="16"/>
        </w:rPr>
        <w:footnoteRef/>
      </w:r>
      <w:r w:rsidRPr="005E20FA">
        <w:rPr>
          <w:sz w:val="16"/>
          <w:szCs w:val="16"/>
        </w:rPr>
        <w:t xml:space="preserve"> </w:t>
      </w:r>
      <w:r w:rsidRPr="005E20FA">
        <w:rPr>
          <w:i/>
          <w:iCs/>
          <w:sz w:val="16"/>
          <w:szCs w:val="16"/>
        </w:rPr>
        <w:t>Ibid.</w:t>
      </w:r>
      <w:r w:rsidRPr="005E20FA">
        <w:rPr>
          <w:sz w:val="16"/>
          <w:szCs w:val="16"/>
        </w:rPr>
        <w:t xml:space="preserve"> </w:t>
      </w:r>
    </w:p>
  </w:footnote>
  <w:footnote w:id="63">
    <w:p w14:paraId="5B498452" w14:textId="77777777" w:rsidR="00663FBB" w:rsidRPr="005E20FA" w:rsidRDefault="00663FBB" w:rsidP="0019203D">
      <w:pPr>
        <w:pStyle w:val="FootnoteText"/>
        <w:rPr>
          <w:sz w:val="16"/>
          <w:szCs w:val="16"/>
        </w:rPr>
      </w:pPr>
      <w:r w:rsidRPr="005E20FA">
        <w:rPr>
          <w:rStyle w:val="FootnoteReference"/>
          <w:sz w:val="16"/>
          <w:szCs w:val="16"/>
        </w:rPr>
        <w:footnoteRef/>
      </w:r>
      <w:r w:rsidRPr="005E20FA">
        <w:rPr>
          <w:sz w:val="16"/>
          <w:szCs w:val="16"/>
        </w:rPr>
        <w:t xml:space="preserve"> </w:t>
      </w:r>
      <w:r w:rsidRPr="005E20FA">
        <w:rPr>
          <w:i/>
          <w:iCs/>
          <w:sz w:val="16"/>
          <w:szCs w:val="16"/>
        </w:rPr>
        <w:t>Ibid.</w:t>
      </w:r>
      <w:r w:rsidRPr="005E20FA">
        <w:rPr>
          <w:sz w:val="16"/>
          <w:szCs w:val="16"/>
        </w:rPr>
        <w:t xml:space="preserve"> </w:t>
      </w:r>
    </w:p>
  </w:footnote>
  <w:footnote w:id="64">
    <w:p w14:paraId="2E662292" w14:textId="77777777" w:rsidR="00663FBB" w:rsidRPr="00DB5FE7" w:rsidRDefault="00663FBB" w:rsidP="0019203D">
      <w:pPr>
        <w:pStyle w:val="FootnoteText"/>
        <w:rPr>
          <w:sz w:val="16"/>
          <w:szCs w:val="16"/>
        </w:rPr>
      </w:pPr>
      <w:r w:rsidRPr="00DB5FE7">
        <w:rPr>
          <w:rStyle w:val="FootnoteReference"/>
          <w:sz w:val="16"/>
          <w:szCs w:val="16"/>
        </w:rPr>
        <w:footnoteRef/>
      </w:r>
      <w:r w:rsidRPr="00DB5FE7">
        <w:rPr>
          <w:sz w:val="16"/>
          <w:szCs w:val="16"/>
        </w:rPr>
        <w:t xml:space="preserve"> Online at: </w:t>
      </w:r>
      <w:hyperlink r:id="rId54" w:history="1">
        <w:r w:rsidRPr="00DB5FE7">
          <w:rPr>
            <w:rStyle w:val="Hyperlink"/>
            <w:sz w:val="16"/>
            <w:szCs w:val="16"/>
          </w:rPr>
          <w:t>https://www.census.gov/library/stories/2019/12/by-2030-all-baby-boomers-will-be-age-65-or-older.html</w:t>
        </w:r>
      </w:hyperlink>
      <w:r w:rsidRPr="00DB5FE7">
        <w:rPr>
          <w:sz w:val="16"/>
          <w:szCs w:val="16"/>
        </w:rPr>
        <w:t xml:space="preserve"> </w:t>
      </w:r>
    </w:p>
  </w:footnote>
  <w:footnote w:id="65">
    <w:p w14:paraId="1F48FA48" w14:textId="4D48F539" w:rsidR="00663FBB" w:rsidRPr="00DB5FE7" w:rsidRDefault="00663FBB" w:rsidP="0019203D">
      <w:pPr>
        <w:pStyle w:val="FootnoteText"/>
        <w:rPr>
          <w:sz w:val="16"/>
          <w:szCs w:val="16"/>
        </w:rPr>
      </w:pPr>
      <w:r w:rsidRPr="00DB5FE7">
        <w:rPr>
          <w:rStyle w:val="FootnoteReference"/>
          <w:sz w:val="16"/>
          <w:szCs w:val="16"/>
        </w:rPr>
        <w:footnoteRef/>
      </w:r>
      <w:r w:rsidRPr="00DB5FE7">
        <w:rPr>
          <w:sz w:val="16"/>
          <w:szCs w:val="16"/>
        </w:rPr>
        <w:t xml:space="preserve"> </w:t>
      </w:r>
      <w:hyperlink r:id="rId55" w:anchor=":~:text=The%20impact%20of%20Alzheimer's%20is,of%20the%20disease%20in%20Massachusetts." w:history="1">
        <w:r w:rsidRPr="003720C9">
          <w:rPr>
            <w:rStyle w:val="Hyperlink"/>
            <w:color w:val="auto"/>
            <w:sz w:val="16"/>
            <w:szCs w:val="16"/>
            <w:u w:val="none"/>
          </w:rPr>
          <w:t>Alzheimer’s Association. Massachusetts State Overview.</w:t>
        </w:r>
      </w:hyperlink>
      <w:r w:rsidRPr="003720C9">
        <w:rPr>
          <w:sz w:val="16"/>
          <w:szCs w:val="16"/>
        </w:rPr>
        <w:t xml:space="preserve"> Available </w:t>
      </w:r>
      <w:r w:rsidRPr="00DB5FE7">
        <w:rPr>
          <w:sz w:val="16"/>
          <w:szCs w:val="16"/>
        </w:rPr>
        <w:t xml:space="preserve">online at:  </w:t>
      </w:r>
      <w:hyperlink r:id="rId56" w:anchor=":~:text=The%20impact%20of%20Alzheimer's%20is,of%20the%20disease%20in%20Massachusetts" w:history="1">
        <w:r w:rsidRPr="00DB5FE7">
          <w:rPr>
            <w:rStyle w:val="Hyperlink"/>
            <w:sz w:val="16"/>
            <w:szCs w:val="16"/>
          </w:rPr>
          <w:t>https://www.alz.org/professionals/public-health/state-overview/massachusetts#:~:text=The%20impact%20of%20Alzheimer's%20is,of%20the%20disease%20in%20Massachusetts</w:t>
        </w:r>
      </w:hyperlink>
      <w:r w:rsidRPr="00DB5FE7">
        <w:rPr>
          <w:sz w:val="16"/>
          <w:szCs w:val="16"/>
        </w:rPr>
        <w:t xml:space="preserve">. </w:t>
      </w:r>
    </w:p>
  </w:footnote>
  <w:footnote w:id="66">
    <w:p w14:paraId="4DB65B52" w14:textId="77777777" w:rsidR="00663FBB" w:rsidRPr="00DB5FE7" w:rsidRDefault="00663FBB" w:rsidP="0019203D">
      <w:pPr>
        <w:pStyle w:val="FootnoteText"/>
        <w:rPr>
          <w:sz w:val="16"/>
          <w:szCs w:val="16"/>
        </w:rPr>
      </w:pPr>
      <w:r w:rsidRPr="00DB5FE7">
        <w:rPr>
          <w:rStyle w:val="FootnoteReference"/>
          <w:sz w:val="16"/>
          <w:szCs w:val="16"/>
        </w:rPr>
        <w:footnoteRef/>
      </w:r>
      <w:r w:rsidRPr="00DB5FE7">
        <w:rPr>
          <w:sz w:val="16"/>
          <w:szCs w:val="16"/>
        </w:rPr>
        <w:t xml:space="preserve"> </w:t>
      </w:r>
      <w:bookmarkStart w:id="22" w:name="_Hlk100228894"/>
      <w:r w:rsidRPr="00DB5FE7">
        <w:rPr>
          <w:i/>
          <w:iCs/>
          <w:sz w:val="16"/>
          <w:szCs w:val="16"/>
        </w:rPr>
        <w:t>Ibid.</w:t>
      </w:r>
      <w:r w:rsidRPr="00DB5FE7">
        <w:rPr>
          <w:sz w:val="16"/>
          <w:szCs w:val="16"/>
        </w:rPr>
        <w:t xml:space="preserve"> </w:t>
      </w:r>
      <w:bookmarkEnd w:id="22"/>
    </w:p>
  </w:footnote>
  <w:footnote w:id="67">
    <w:p w14:paraId="4F0844FD" w14:textId="1CB80BCB" w:rsidR="00663FBB" w:rsidRDefault="00663FBB">
      <w:pPr>
        <w:pStyle w:val="FootnoteText"/>
      </w:pPr>
      <w:r w:rsidRPr="00DB5FE7">
        <w:rPr>
          <w:rStyle w:val="FootnoteReference"/>
          <w:sz w:val="16"/>
          <w:szCs w:val="16"/>
        </w:rPr>
        <w:footnoteRef/>
      </w:r>
      <w:r w:rsidRPr="00DB5FE7">
        <w:rPr>
          <w:sz w:val="16"/>
          <w:szCs w:val="16"/>
        </w:rPr>
        <w:t xml:space="preserve"> </w:t>
      </w:r>
      <w:hyperlink r:id="rId57" w:history="1">
        <w:r w:rsidRPr="003720C9">
          <w:rPr>
            <w:rStyle w:val="Hyperlink"/>
            <w:color w:val="auto"/>
            <w:sz w:val="16"/>
            <w:szCs w:val="16"/>
            <w:u w:val="none"/>
          </w:rPr>
          <w:t>Facts 2020. State sheet. Massachusetts.</w:t>
        </w:r>
      </w:hyperlink>
      <w:r w:rsidRPr="003720C9">
        <w:rPr>
          <w:sz w:val="16"/>
          <w:szCs w:val="16"/>
        </w:rPr>
        <w:t xml:space="preserve"> </w:t>
      </w:r>
      <w:r w:rsidRPr="00DB5FE7">
        <w:rPr>
          <w:sz w:val="16"/>
          <w:szCs w:val="16"/>
        </w:rPr>
        <w:t xml:space="preserve">Available at: </w:t>
      </w:r>
      <w:hyperlink r:id="rId58" w:history="1">
        <w:r w:rsidRPr="00DB5FE7">
          <w:rPr>
            <w:rStyle w:val="Hyperlink"/>
            <w:sz w:val="16"/>
            <w:szCs w:val="16"/>
          </w:rPr>
          <w:t>www.alz.org</w:t>
        </w:r>
      </w:hyperlink>
      <w:r>
        <w:t xml:space="preserve"> </w:t>
      </w:r>
    </w:p>
  </w:footnote>
  <w:footnote w:id="68">
    <w:p w14:paraId="67DA3759" w14:textId="77777777" w:rsidR="00663FBB" w:rsidRPr="005E20FA" w:rsidRDefault="00663FBB" w:rsidP="0019203D">
      <w:pPr>
        <w:pStyle w:val="FootnoteText"/>
        <w:rPr>
          <w:sz w:val="16"/>
          <w:szCs w:val="16"/>
        </w:rPr>
      </w:pPr>
      <w:r w:rsidRPr="005E20FA">
        <w:rPr>
          <w:rStyle w:val="FootnoteReference"/>
          <w:sz w:val="16"/>
          <w:szCs w:val="16"/>
        </w:rPr>
        <w:footnoteRef/>
      </w:r>
      <w:r w:rsidRPr="005E20FA">
        <w:rPr>
          <w:sz w:val="16"/>
          <w:szCs w:val="16"/>
        </w:rPr>
        <w:t xml:space="preserve"> Why early diagnosis of dementia is important. Available online at: </w:t>
      </w:r>
      <w:hyperlink r:id="rId59" w:history="1">
        <w:r w:rsidRPr="005E20FA">
          <w:rPr>
            <w:rStyle w:val="Hyperlink"/>
            <w:sz w:val="16"/>
            <w:szCs w:val="16"/>
          </w:rPr>
          <w:t>https://www.scie.org.uk/dementia/symptoms/diagnosis/early-diagnosis.asp</w:t>
        </w:r>
      </w:hyperlink>
      <w:r w:rsidRPr="005E20FA">
        <w:rPr>
          <w:sz w:val="16"/>
          <w:szCs w:val="16"/>
        </w:rPr>
        <w:t xml:space="preserve"> </w:t>
      </w:r>
    </w:p>
  </w:footnote>
  <w:footnote w:id="69">
    <w:p w14:paraId="398A3403" w14:textId="77777777" w:rsidR="00663FBB" w:rsidRPr="005E20FA" w:rsidRDefault="00663FBB" w:rsidP="0019203D">
      <w:pPr>
        <w:pStyle w:val="FootnoteText"/>
        <w:rPr>
          <w:sz w:val="16"/>
          <w:szCs w:val="16"/>
        </w:rPr>
      </w:pPr>
      <w:r w:rsidRPr="005E20FA">
        <w:rPr>
          <w:rStyle w:val="FootnoteReference"/>
          <w:sz w:val="16"/>
          <w:szCs w:val="16"/>
        </w:rPr>
        <w:footnoteRef/>
      </w:r>
      <w:r w:rsidRPr="005E20FA">
        <w:rPr>
          <w:sz w:val="16"/>
          <w:szCs w:val="16"/>
        </w:rPr>
        <w:t xml:space="preserve"> </w:t>
      </w:r>
      <w:bookmarkStart w:id="23" w:name="_Hlk156827797"/>
      <w:r w:rsidRPr="005E20FA">
        <w:rPr>
          <w:i/>
          <w:iCs/>
          <w:sz w:val="16"/>
          <w:szCs w:val="16"/>
        </w:rPr>
        <w:t>Ibid.</w:t>
      </w:r>
      <w:bookmarkEnd w:id="23"/>
    </w:p>
  </w:footnote>
  <w:footnote w:id="70">
    <w:p w14:paraId="2D19FC5D" w14:textId="77777777" w:rsidR="00663FBB" w:rsidRPr="00236896" w:rsidRDefault="00663FBB" w:rsidP="00164C65">
      <w:pPr>
        <w:pStyle w:val="FootnoteText"/>
      </w:pPr>
      <w:r w:rsidRPr="00236896">
        <w:rPr>
          <w:rStyle w:val="FootnoteReference"/>
          <w:sz w:val="16"/>
          <w:szCs w:val="16"/>
        </w:rPr>
        <w:footnoteRef/>
      </w:r>
      <w:r w:rsidRPr="00236896">
        <w:rPr>
          <w:sz w:val="16"/>
          <w:szCs w:val="16"/>
        </w:rPr>
        <w:t xml:space="preserve"> Published in October 2023.</w:t>
      </w:r>
    </w:p>
  </w:footnote>
  <w:footnote w:id="71">
    <w:p w14:paraId="58F33E8C" w14:textId="77777777" w:rsidR="00663FBB" w:rsidRDefault="00663FBB" w:rsidP="00164C65">
      <w:pPr>
        <w:pStyle w:val="FootnoteText"/>
      </w:pPr>
      <w:r w:rsidRPr="00236896">
        <w:rPr>
          <w:rStyle w:val="FootnoteReference"/>
          <w:sz w:val="16"/>
          <w:szCs w:val="16"/>
        </w:rPr>
        <w:footnoteRef/>
      </w:r>
      <w:r w:rsidRPr="00236896">
        <w:rPr>
          <w:sz w:val="16"/>
          <w:szCs w:val="16"/>
        </w:rPr>
        <w:t xml:space="preserve"> The report from the Department of Public Health entitled Massachusetts Deaths 2021 is issued pursuant to Section 2 of Chapter 111 of the Massachusetts General Laws</w:t>
      </w:r>
      <w:r>
        <w:rPr>
          <w:sz w:val="16"/>
          <w:szCs w:val="16"/>
        </w:rPr>
        <w:t>.</w:t>
      </w:r>
    </w:p>
  </w:footnote>
  <w:footnote w:id="72">
    <w:p w14:paraId="5B62FAD8" w14:textId="77777777" w:rsidR="00663FBB" w:rsidRPr="00241A0F" w:rsidRDefault="00663FBB" w:rsidP="00A632E9">
      <w:pPr>
        <w:pStyle w:val="FootnoteText"/>
        <w:rPr>
          <w:sz w:val="16"/>
          <w:szCs w:val="16"/>
        </w:rPr>
      </w:pPr>
      <w:r w:rsidRPr="00241A0F">
        <w:rPr>
          <w:rStyle w:val="FootnoteReference"/>
          <w:sz w:val="16"/>
          <w:szCs w:val="16"/>
        </w:rPr>
        <w:footnoteRef/>
      </w:r>
      <w:r w:rsidRPr="00241A0F">
        <w:rPr>
          <w:sz w:val="16"/>
          <w:szCs w:val="16"/>
        </w:rPr>
        <w:t xml:space="preserve"> The cost of a PET/CT scan will vary greatly between inpatient and outpatient facilities. The national average cost for the procedure at inpatient facilities is $7,275, while the same procedure at outpatient facilities averaged $2,550. Available online at: </w:t>
      </w:r>
      <w:hyperlink r:id="rId60" w:anchor=":~:text=outpatient%20facility%20cost%20differences,at%20outpatient%20facilities%20averaged%20%242%2C550" w:history="1">
        <w:r w:rsidRPr="00241A0F">
          <w:rPr>
            <w:rStyle w:val="Hyperlink"/>
            <w:sz w:val="16"/>
            <w:szCs w:val="16"/>
          </w:rPr>
          <w:t>https://www.newchoicehealth.com/pet-scan/cost#:~:text=outpatient%20facility%20cost%20differences,at%20outpatient%20facilities%20averaged%20%242%2C550</w:t>
        </w:r>
      </w:hyperlink>
      <w:r w:rsidRPr="00241A0F">
        <w:rPr>
          <w:sz w:val="16"/>
          <w:szCs w:val="16"/>
        </w:rPr>
        <w:t xml:space="preserve"> </w:t>
      </w:r>
    </w:p>
  </w:footnote>
  <w:footnote w:id="73">
    <w:p w14:paraId="7F3E24AE" w14:textId="5354AE1C" w:rsidR="00663FBB" w:rsidRPr="005E20FA" w:rsidRDefault="00663FBB" w:rsidP="00A632E9">
      <w:pPr>
        <w:pStyle w:val="FootnoteText"/>
        <w:rPr>
          <w:sz w:val="16"/>
          <w:szCs w:val="16"/>
        </w:rPr>
      </w:pPr>
      <w:r w:rsidRPr="005E20FA">
        <w:rPr>
          <w:rStyle w:val="FootnoteReference"/>
          <w:sz w:val="16"/>
          <w:szCs w:val="16"/>
        </w:rPr>
        <w:footnoteRef/>
      </w:r>
      <w:r w:rsidRPr="005E20FA">
        <w:rPr>
          <w:sz w:val="16"/>
          <w:szCs w:val="16"/>
        </w:rPr>
        <w:t xml:space="preserve">  World Health Organization, </w:t>
      </w:r>
      <w:hyperlink r:id="rId61" w:history="1">
        <w:r w:rsidRPr="00141A1F">
          <w:rPr>
            <w:rStyle w:val="Hyperlink"/>
            <w:color w:val="auto"/>
            <w:sz w:val="16"/>
            <w:szCs w:val="16"/>
            <w:u w:val="none"/>
          </w:rPr>
          <w:t>Early cancer diagnosis saves lives, cuts treatment costs</w:t>
        </w:r>
      </w:hyperlink>
      <w:r w:rsidRPr="00141A1F">
        <w:rPr>
          <w:sz w:val="16"/>
          <w:szCs w:val="16"/>
        </w:rPr>
        <w:t xml:space="preserve">, February </w:t>
      </w:r>
      <w:r w:rsidRPr="005E20FA">
        <w:rPr>
          <w:sz w:val="16"/>
          <w:szCs w:val="16"/>
        </w:rPr>
        <w:t xml:space="preserve">3, 2017, </w:t>
      </w:r>
      <w:hyperlink r:id="rId62" w:history="1">
        <w:r w:rsidRPr="005E20FA">
          <w:rPr>
            <w:rStyle w:val="Hyperlink"/>
            <w:sz w:val="16"/>
            <w:szCs w:val="16"/>
          </w:rPr>
          <w:t>https://www.who.int/news-room/detail/03-02-2017-early-cancer-diagnosis-saves-lives-cuts-treatment-costs</w:t>
        </w:r>
      </w:hyperlink>
      <w:r w:rsidRPr="005E20FA">
        <w:rPr>
          <w:sz w:val="16"/>
          <w:szCs w:val="16"/>
        </w:rPr>
        <w:t xml:space="preserve"> &amp; Robert Wood Johnson Foundation, </w:t>
      </w:r>
      <w:hyperlink r:id="rId63" w:history="1">
        <w:r w:rsidRPr="00BB0A1C">
          <w:rPr>
            <w:rStyle w:val="Hyperlink"/>
            <w:color w:val="auto"/>
            <w:sz w:val="16"/>
            <w:szCs w:val="16"/>
            <w:u w:val="none"/>
          </w:rPr>
          <w:t>How can Early Treatment of Serious Mental Illness Improve Lives and Save Money?</w:t>
        </w:r>
      </w:hyperlink>
      <w:r w:rsidRPr="00BB0A1C">
        <w:rPr>
          <w:sz w:val="16"/>
          <w:szCs w:val="16"/>
        </w:rPr>
        <w:t xml:space="preserve"> </w:t>
      </w:r>
      <w:r w:rsidRPr="005E20FA">
        <w:rPr>
          <w:sz w:val="16"/>
          <w:szCs w:val="16"/>
        </w:rPr>
        <w:t xml:space="preserve">March 26, 2013, </w:t>
      </w:r>
      <w:hyperlink r:id="rId64" w:history="1">
        <w:r w:rsidRPr="005E20FA">
          <w:rPr>
            <w:rStyle w:val="Hyperlink"/>
            <w:sz w:val="16"/>
            <w:szCs w:val="16"/>
          </w:rPr>
          <w:t>https://www.rwjf.org/en/library/research/2013/03/how-can-early-treatment-of-serious-mental-illness-improve-lives-.html</w:t>
        </w:r>
      </w:hyperlink>
      <w:r w:rsidRPr="005E20FA">
        <w:rPr>
          <w:sz w:val="16"/>
          <w:szCs w:val="16"/>
        </w:rPr>
        <w:t xml:space="preserve"> </w:t>
      </w:r>
    </w:p>
  </w:footnote>
  <w:footnote w:id="74">
    <w:p w14:paraId="0E121CDA" w14:textId="0AEDB4A4" w:rsidR="00663FBB" w:rsidRPr="005E20FA" w:rsidRDefault="00663FBB" w:rsidP="00A632E9">
      <w:pPr>
        <w:pStyle w:val="FootnoteText"/>
        <w:rPr>
          <w:sz w:val="16"/>
          <w:szCs w:val="16"/>
        </w:rPr>
      </w:pPr>
      <w:r w:rsidRPr="005E20FA">
        <w:rPr>
          <w:rStyle w:val="FootnoteReference"/>
          <w:sz w:val="16"/>
          <w:szCs w:val="16"/>
        </w:rPr>
        <w:footnoteRef/>
      </w:r>
      <w:r w:rsidRPr="005E20FA">
        <w:rPr>
          <w:sz w:val="16"/>
          <w:szCs w:val="16"/>
        </w:rPr>
        <w:t xml:space="preserve"> Jung HY, Vest JR, Unruh MA, Kern LM, Kaushal R; HITEC Investigators. </w:t>
      </w:r>
      <w:hyperlink r:id="rId65" w:history="1">
        <w:r w:rsidRPr="004C38AF">
          <w:rPr>
            <w:rStyle w:val="Hyperlink"/>
            <w:color w:val="auto"/>
            <w:sz w:val="16"/>
            <w:szCs w:val="16"/>
            <w:u w:val="none"/>
          </w:rPr>
          <w:t>Use of Health Information Exchange and Repeat Imaging Costs</w:t>
        </w:r>
      </w:hyperlink>
      <w:r w:rsidRPr="004C38AF">
        <w:rPr>
          <w:sz w:val="16"/>
          <w:szCs w:val="16"/>
        </w:rPr>
        <w:t xml:space="preserve">. </w:t>
      </w:r>
      <w:r w:rsidRPr="005E20FA">
        <w:rPr>
          <w:sz w:val="16"/>
          <w:szCs w:val="16"/>
        </w:rPr>
        <w:t xml:space="preserve">J Am Coll </w:t>
      </w:r>
      <w:proofErr w:type="spellStart"/>
      <w:r w:rsidRPr="005E20FA">
        <w:rPr>
          <w:sz w:val="16"/>
          <w:szCs w:val="16"/>
        </w:rPr>
        <w:t>Radiol</w:t>
      </w:r>
      <w:proofErr w:type="spellEnd"/>
      <w:r w:rsidRPr="005E20FA">
        <w:rPr>
          <w:sz w:val="16"/>
          <w:szCs w:val="16"/>
        </w:rPr>
        <w:t xml:space="preserve">. 2015 Dec;12(12 Pt B):1364-70. Online at: </w:t>
      </w:r>
      <w:hyperlink r:id="rId66" w:history="1">
        <w:r w:rsidRPr="005E20FA">
          <w:rPr>
            <w:rStyle w:val="Hyperlink"/>
            <w:sz w:val="16"/>
            <w:szCs w:val="16"/>
          </w:rPr>
          <w:t>https://pubmed.ncbi.nlm.nih.gov/26614881/</w:t>
        </w:r>
      </w:hyperlink>
      <w:r w:rsidRPr="005E20FA">
        <w:rPr>
          <w:sz w:val="16"/>
          <w:szCs w:val="16"/>
        </w:rPr>
        <w:t xml:space="preserve"> </w:t>
      </w:r>
    </w:p>
  </w:footnote>
  <w:footnote w:id="75">
    <w:p w14:paraId="67E99190" w14:textId="381DFBCE" w:rsidR="00663FBB" w:rsidRPr="005E20FA" w:rsidRDefault="00663FBB" w:rsidP="00A632E9">
      <w:pPr>
        <w:pStyle w:val="FootnoteText"/>
        <w:rPr>
          <w:sz w:val="16"/>
          <w:szCs w:val="16"/>
        </w:rPr>
      </w:pPr>
      <w:r w:rsidRPr="005E20FA">
        <w:rPr>
          <w:rStyle w:val="FootnoteReference"/>
          <w:sz w:val="16"/>
          <w:szCs w:val="16"/>
        </w:rPr>
        <w:footnoteRef/>
      </w:r>
      <w:r w:rsidRPr="005E20FA">
        <w:rPr>
          <w:sz w:val="16"/>
          <w:szCs w:val="16"/>
        </w:rPr>
        <w:t xml:space="preserve"> The World Health Organization defines integrated service delivery as the “the management and delivery of health services so that clients receive a continuum of preventive and curative services, according to their needs over time and across different levels of the health system”. See </w:t>
      </w:r>
      <w:hyperlink r:id="rId67" w:history="1">
        <w:r w:rsidRPr="004C38AF">
          <w:rPr>
            <w:rStyle w:val="Hyperlink"/>
            <w:color w:val="auto"/>
            <w:sz w:val="16"/>
            <w:szCs w:val="16"/>
            <w:u w:val="none"/>
          </w:rPr>
          <w:t xml:space="preserve">integrated health services  - what and  why? </w:t>
        </w:r>
      </w:hyperlink>
      <w:r w:rsidRPr="004C38AF">
        <w:rPr>
          <w:sz w:val="16"/>
          <w:szCs w:val="16"/>
        </w:rPr>
        <w:t xml:space="preserve"> Technical Brief No.1, 2008, World Health Organization.  Available from: </w:t>
      </w:r>
      <w:hyperlink r:id="rId68" w:history="1">
        <w:r w:rsidR="004C38AF" w:rsidRPr="004C38AF">
          <w:rPr>
            <w:rStyle w:val="Hyperlink"/>
            <w:color w:val="auto"/>
            <w:sz w:val="16"/>
            <w:szCs w:val="16"/>
            <w:u w:val="none"/>
          </w:rPr>
          <w:t>http://www.who.int/healthsystems/service_delivery_techbrief1.pdf</w:t>
        </w:r>
      </w:hyperlink>
      <w:r w:rsidR="004C38AF" w:rsidRPr="004C38AF">
        <w:rPr>
          <w:sz w:val="16"/>
          <w:szCs w:val="16"/>
        </w:rPr>
        <w:t xml:space="preserve"> </w:t>
      </w:r>
      <w:r w:rsidRPr="004C38AF">
        <w:rPr>
          <w:sz w:val="16"/>
          <w:szCs w:val="16"/>
        </w:rPr>
        <w:t xml:space="preserve">   </w:t>
      </w:r>
      <w:r w:rsidRPr="005E20FA">
        <w:rPr>
          <w:sz w:val="16"/>
          <w:szCs w:val="16"/>
        </w:rPr>
        <w:tab/>
      </w:r>
    </w:p>
  </w:footnote>
  <w:footnote w:id="76">
    <w:p w14:paraId="06822E43" w14:textId="303470F4" w:rsidR="00663FBB" w:rsidRPr="005E20FA" w:rsidRDefault="00663FBB" w:rsidP="00A632E9">
      <w:pPr>
        <w:pStyle w:val="FootnoteText"/>
        <w:rPr>
          <w:sz w:val="16"/>
          <w:szCs w:val="16"/>
        </w:rPr>
      </w:pPr>
      <w:r w:rsidRPr="005E20FA">
        <w:rPr>
          <w:rStyle w:val="FootnoteReference"/>
          <w:sz w:val="16"/>
          <w:szCs w:val="16"/>
        </w:rPr>
        <w:footnoteRef/>
      </w:r>
      <w:r w:rsidRPr="005E20FA">
        <w:rPr>
          <w:sz w:val="16"/>
          <w:szCs w:val="16"/>
        </w:rPr>
        <w:t xml:space="preserve"> Health care Appraisers, </w:t>
      </w:r>
      <w:hyperlink r:id="rId69" w:history="1">
        <w:r w:rsidRPr="00E73F14">
          <w:rPr>
            <w:rStyle w:val="Hyperlink"/>
            <w:color w:val="auto"/>
            <w:sz w:val="16"/>
            <w:szCs w:val="16"/>
            <w:u w:val="none"/>
          </w:rPr>
          <w:t>2020 Outlook: Diagnostic Imaging Centers and Radiology Practices.</w:t>
        </w:r>
      </w:hyperlink>
      <w:r w:rsidRPr="00E73F14">
        <w:rPr>
          <w:sz w:val="16"/>
          <w:szCs w:val="16"/>
        </w:rPr>
        <w:t xml:space="preserve"> July </w:t>
      </w:r>
      <w:r w:rsidRPr="005E20FA">
        <w:rPr>
          <w:sz w:val="16"/>
          <w:szCs w:val="16"/>
        </w:rPr>
        <w:t xml:space="preserve">21, 2020. Online at: </w:t>
      </w:r>
      <w:hyperlink r:id="rId70" w:history="1">
        <w:r w:rsidR="00E73F14" w:rsidRPr="004860E7">
          <w:rPr>
            <w:rStyle w:val="Hyperlink"/>
            <w:sz w:val="16"/>
            <w:szCs w:val="16"/>
          </w:rPr>
          <w:t>https://healthcareappraisers.com/2020-outlook-diagnostic-imaging-and-radiology-practices/</w:t>
        </w:r>
      </w:hyperlink>
      <w:r w:rsidRPr="005E20FA">
        <w:rPr>
          <w:sz w:val="16"/>
          <w:szCs w:val="16"/>
        </w:rPr>
        <w:t xml:space="preserve"> </w:t>
      </w:r>
    </w:p>
  </w:footnote>
  <w:footnote w:id="77">
    <w:p w14:paraId="4B3577DD" w14:textId="77777777" w:rsidR="00663FBB" w:rsidRPr="005E20FA" w:rsidRDefault="00663FBB" w:rsidP="00A632E9">
      <w:pPr>
        <w:pStyle w:val="FootnoteText"/>
        <w:rPr>
          <w:sz w:val="16"/>
          <w:szCs w:val="16"/>
        </w:rPr>
      </w:pPr>
      <w:r w:rsidRPr="005E20FA">
        <w:rPr>
          <w:rStyle w:val="FootnoteReference"/>
          <w:sz w:val="16"/>
          <w:szCs w:val="16"/>
        </w:rPr>
        <w:footnoteRef/>
      </w:r>
      <w:r w:rsidRPr="005E20FA">
        <w:rPr>
          <w:sz w:val="16"/>
          <w:szCs w:val="16"/>
        </w:rPr>
        <w:t xml:space="preserve"> Positron emission tomography, also called PET imaging or a PET scan, is a type of nuclear medicine imaging. Available online at </w:t>
      </w:r>
      <w:hyperlink r:id="rId71" w:history="1">
        <w:r w:rsidRPr="005E20FA">
          <w:rPr>
            <w:rStyle w:val="Hyperlink"/>
            <w:sz w:val="16"/>
            <w:szCs w:val="16"/>
          </w:rPr>
          <w:t>https://www.radiologyinfo.org/en/info/pet</w:t>
        </w:r>
      </w:hyperlink>
      <w:r w:rsidRPr="005E20FA">
        <w:rPr>
          <w:sz w:val="16"/>
          <w:szCs w:val="16"/>
        </w:rPr>
        <w:t xml:space="preserve"> </w:t>
      </w:r>
    </w:p>
  </w:footnote>
  <w:footnote w:id="78">
    <w:p w14:paraId="5D44239D" w14:textId="115A4497" w:rsidR="00663FBB" w:rsidRPr="005E20FA" w:rsidRDefault="00663FBB" w:rsidP="00A632E9">
      <w:pPr>
        <w:pStyle w:val="FootnoteText"/>
        <w:rPr>
          <w:sz w:val="16"/>
          <w:szCs w:val="16"/>
        </w:rPr>
      </w:pPr>
      <w:r w:rsidRPr="005E20FA">
        <w:rPr>
          <w:rStyle w:val="FootnoteReference"/>
          <w:sz w:val="16"/>
          <w:szCs w:val="16"/>
        </w:rPr>
        <w:footnoteRef/>
      </w:r>
      <w:r w:rsidRPr="005E20FA">
        <w:rPr>
          <w:sz w:val="16"/>
          <w:szCs w:val="16"/>
        </w:rPr>
        <w:t xml:space="preserve"> </w:t>
      </w:r>
      <w:hyperlink r:id="rId72" w:history="1">
        <w:r w:rsidRPr="00AF04FC">
          <w:rPr>
            <w:rStyle w:val="Hyperlink"/>
            <w:color w:val="auto"/>
            <w:sz w:val="16"/>
            <w:szCs w:val="16"/>
            <w:u w:val="none"/>
          </w:rPr>
          <w:t>Identifying the Gap Between Hospital and Free-standing Prices,</w:t>
        </w:r>
      </w:hyperlink>
      <w:r w:rsidRPr="00AF04FC">
        <w:rPr>
          <w:sz w:val="16"/>
          <w:szCs w:val="16"/>
        </w:rPr>
        <w:t xml:space="preserve"> </w:t>
      </w:r>
      <w:r w:rsidRPr="005E20FA">
        <w:rPr>
          <w:sz w:val="16"/>
          <w:szCs w:val="16"/>
        </w:rPr>
        <w:t xml:space="preserve">Jamie Cleverly, February 14, 2017, HFMA. Available online at: </w:t>
      </w:r>
      <w:hyperlink r:id="rId73" w:history="1">
        <w:r w:rsidRPr="005E20FA">
          <w:rPr>
            <w:rStyle w:val="Hyperlink"/>
            <w:sz w:val="16"/>
            <w:szCs w:val="16"/>
          </w:rPr>
          <w:t>https://www.hfma.org/payment-reimbursement-and-managed-care/pricing/52656/</w:t>
        </w:r>
      </w:hyperlink>
      <w:r w:rsidRPr="005E20FA">
        <w:rPr>
          <w:sz w:val="16"/>
          <w:szCs w:val="16"/>
        </w:rPr>
        <w:t xml:space="preserve"> </w:t>
      </w:r>
    </w:p>
  </w:footnote>
  <w:footnote w:id="79">
    <w:p w14:paraId="1A171F12" w14:textId="7E031B23" w:rsidR="00663FBB" w:rsidRPr="005E20FA" w:rsidRDefault="00663FBB" w:rsidP="00A632E9">
      <w:pPr>
        <w:pStyle w:val="FootnoteText"/>
        <w:rPr>
          <w:sz w:val="16"/>
          <w:szCs w:val="16"/>
        </w:rPr>
      </w:pPr>
      <w:r w:rsidRPr="005E20FA">
        <w:rPr>
          <w:rStyle w:val="FootnoteReference"/>
          <w:sz w:val="16"/>
          <w:szCs w:val="16"/>
        </w:rPr>
        <w:footnoteRef/>
      </w:r>
      <w:r w:rsidRPr="005E20FA">
        <w:rPr>
          <w:sz w:val="16"/>
          <w:szCs w:val="16"/>
        </w:rPr>
        <w:t xml:space="preserve"> Links to site of care policies: </w:t>
      </w:r>
      <w:hyperlink r:id="rId74" w:history="1">
        <w:r w:rsidRPr="005E20FA">
          <w:rPr>
            <w:rStyle w:val="Hyperlink"/>
            <w:sz w:val="16"/>
            <w:szCs w:val="16"/>
          </w:rPr>
          <w:t>United Health care Site of Service Review for MRI Services</w:t>
        </w:r>
      </w:hyperlink>
      <w:r w:rsidRPr="005E20FA">
        <w:rPr>
          <w:sz w:val="16"/>
          <w:szCs w:val="16"/>
        </w:rPr>
        <w:t xml:space="preserve">; </w:t>
      </w:r>
      <w:hyperlink r:id="rId75" w:history="1">
        <w:r w:rsidRPr="005E20FA">
          <w:rPr>
            <w:rStyle w:val="Hyperlink"/>
            <w:sz w:val="16"/>
            <w:szCs w:val="16"/>
          </w:rPr>
          <w:t>Cigna Site of Service Review for MRI Services</w:t>
        </w:r>
      </w:hyperlink>
      <w:r w:rsidRPr="005E20FA">
        <w:rPr>
          <w:sz w:val="16"/>
          <w:szCs w:val="16"/>
        </w:rPr>
        <w:t xml:space="preserve">; and </w:t>
      </w:r>
      <w:hyperlink r:id="rId76" w:history="1">
        <w:r w:rsidRPr="005E20FA">
          <w:rPr>
            <w:rStyle w:val="Hyperlink"/>
            <w:sz w:val="16"/>
            <w:szCs w:val="16"/>
          </w:rPr>
          <w:t>Anthem/BCBS Site of Service Review for MRI Services</w:t>
        </w:r>
      </w:hyperlink>
    </w:p>
  </w:footnote>
  <w:footnote w:id="80">
    <w:p w14:paraId="438D5004" w14:textId="365333B0" w:rsidR="00663FBB" w:rsidRPr="005E20FA" w:rsidRDefault="00663FBB" w:rsidP="0013129C">
      <w:pPr>
        <w:pStyle w:val="FootnoteText"/>
        <w:rPr>
          <w:sz w:val="16"/>
          <w:szCs w:val="16"/>
        </w:rPr>
      </w:pPr>
      <w:r w:rsidRPr="005E20FA">
        <w:rPr>
          <w:rStyle w:val="FootnoteReference"/>
          <w:sz w:val="16"/>
          <w:szCs w:val="16"/>
        </w:rPr>
        <w:footnoteRef/>
      </w:r>
      <w:r w:rsidRPr="005E20FA">
        <w:rPr>
          <w:sz w:val="16"/>
          <w:szCs w:val="16"/>
        </w:rPr>
        <w:t xml:space="preserve"> Warwick Anderson, </w:t>
      </w:r>
      <w:hyperlink r:id="rId77" w:history="1">
        <w:r w:rsidRPr="00AF04FC">
          <w:rPr>
            <w:rStyle w:val="Hyperlink"/>
            <w:color w:val="auto"/>
            <w:sz w:val="16"/>
            <w:szCs w:val="16"/>
            <w:u w:val="none"/>
          </w:rPr>
          <w:t>“With the right kind of research, we can reduce health-care costs.”</w:t>
        </w:r>
      </w:hyperlink>
      <w:r w:rsidRPr="00AF04FC">
        <w:rPr>
          <w:sz w:val="16"/>
          <w:szCs w:val="16"/>
        </w:rPr>
        <w:t xml:space="preserve"> The Conversation</w:t>
      </w:r>
      <w:r w:rsidRPr="005E20FA">
        <w:rPr>
          <w:sz w:val="16"/>
          <w:szCs w:val="16"/>
        </w:rPr>
        <w:t xml:space="preserve">. July 28, 2014. Available online at: </w:t>
      </w:r>
      <w:hyperlink r:id="rId78" w:history="1">
        <w:r w:rsidRPr="005E20FA">
          <w:rPr>
            <w:rStyle w:val="Hyperlink"/>
            <w:sz w:val="16"/>
            <w:szCs w:val="16"/>
          </w:rPr>
          <w:t>https://theconversation.com/with-the-right-kind-of-research-we-can-reduce-health-care-costs-28898</w:t>
        </w:r>
      </w:hyperlink>
      <w:r w:rsidRPr="005E20FA">
        <w:rPr>
          <w:sz w:val="16"/>
          <w:szCs w:val="16"/>
        </w:rPr>
        <w:t xml:space="preserve"> </w:t>
      </w:r>
    </w:p>
  </w:footnote>
  <w:footnote w:id="81">
    <w:p w14:paraId="1F437762" w14:textId="77777777" w:rsidR="00663FBB" w:rsidRPr="00040365" w:rsidRDefault="00663FBB" w:rsidP="0013129C">
      <w:pPr>
        <w:pStyle w:val="FootnoteText"/>
        <w:rPr>
          <w:sz w:val="16"/>
          <w:szCs w:val="16"/>
        </w:rPr>
      </w:pPr>
      <w:r w:rsidRPr="005E20FA">
        <w:rPr>
          <w:rStyle w:val="FootnoteReference"/>
          <w:sz w:val="16"/>
          <w:szCs w:val="16"/>
        </w:rPr>
        <w:footnoteRef/>
      </w:r>
      <w:r w:rsidRPr="005E20FA">
        <w:rPr>
          <w:sz w:val="16"/>
          <w:szCs w:val="16"/>
        </w:rPr>
        <w:t xml:space="preserve"> Such as curative intent surgery and radiation therapy in patients demonstrated by PET to have advanced disease.</w:t>
      </w:r>
    </w:p>
  </w:footnote>
  <w:footnote w:id="82">
    <w:p w14:paraId="7A479A7A" w14:textId="2E753791" w:rsidR="00663FBB" w:rsidRDefault="00663FBB" w:rsidP="0013129C">
      <w:pPr>
        <w:pStyle w:val="FootnoteText"/>
      </w:pPr>
      <w:r w:rsidRPr="00346F49">
        <w:rPr>
          <w:rStyle w:val="FootnoteReference"/>
          <w:sz w:val="16"/>
          <w:szCs w:val="16"/>
        </w:rPr>
        <w:footnoteRef/>
      </w:r>
      <w:r w:rsidRPr="00346F49">
        <w:rPr>
          <w:sz w:val="16"/>
          <w:szCs w:val="16"/>
        </w:rPr>
        <w:t xml:space="preserve"> Fischer BM, Siegel BA, Weber WA, von Bremen K, Beyer T, </w:t>
      </w:r>
      <w:proofErr w:type="spellStart"/>
      <w:r w:rsidRPr="00346F49">
        <w:rPr>
          <w:sz w:val="16"/>
          <w:szCs w:val="16"/>
        </w:rPr>
        <w:t>Kalemis</w:t>
      </w:r>
      <w:proofErr w:type="spellEnd"/>
      <w:r w:rsidRPr="00346F49">
        <w:rPr>
          <w:sz w:val="16"/>
          <w:szCs w:val="16"/>
        </w:rPr>
        <w:t xml:space="preserve"> A. </w:t>
      </w:r>
      <w:hyperlink r:id="rId79" w:history="1">
        <w:r w:rsidRPr="00885A8F">
          <w:rPr>
            <w:rStyle w:val="Hyperlink"/>
            <w:color w:val="auto"/>
            <w:sz w:val="16"/>
            <w:szCs w:val="16"/>
            <w:u w:val="none"/>
          </w:rPr>
          <w:t>PET/CT is a cost-effective tool against cancer: synergy supersedes singularity</w:t>
        </w:r>
      </w:hyperlink>
      <w:r w:rsidRPr="00885A8F">
        <w:rPr>
          <w:sz w:val="16"/>
          <w:szCs w:val="16"/>
        </w:rPr>
        <w:t xml:space="preserve">. </w:t>
      </w:r>
      <w:proofErr w:type="spellStart"/>
      <w:r w:rsidRPr="00346F49">
        <w:rPr>
          <w:sz w:val="16"/>
          <w:szCs w:val="16"/>
        </w:rPr>
        <w:t>Eur</w:t>
      </w:r>
      <w:proofErr w:type="spellEnd"/>
      <w:r w:rsidRPr="00346F49">
        <w:rPr>
          <w:sz w:val="16"/>
          <w:szCs w:val="16"/>
        </w:rPr>
        <w:t xml:space="preserve"> J </w:t>
      </w:r>
      <w:proofErr w:type="spellStart"/>
      <w:r w:rsidRPr="00346F49">
        <w:rPr>
          <w:sz w:val="16"/>
          <w:szCs w:val="16"/>
        </w:rPr>
        <w:t>Nucl</w:t>
      </w:r>
      <w:proofErr w:type="spellEnd"/>
      <w:r w:rsidRPr="00346F49">
        <w:rPr>
          <w:sz w:val="16"/>
          <w:szCs w:val="16"/>
        </w:rPr>
        <w:t xml:space="preserve"> Med Mol Imaging. 2016 Sep;43(10):1749-52. </w:t>
      </w:r>
      <w:proofErr w:type="spellStart"/>
      <w:r w:rsidRPr="00346F49">
        <w:rPr>
          <w:sz w:val="16"/>
          <w:szCs w:val="16"/>
        </w:rPr>
        <w:t>doi</w:t>
      </w:r>
      <w:proofErr w:type="spellEnd"/>
      <w:r w:rsidRPr="00346F49">
        <w:rPr>
          <w:sz w:val="16"/>
          <w:szCs w:val="16"/>
        </w:rPr>
        <w:t xml:space="preserve">: 10.1007/s00259-016-3414-5. </w:t>
      </w:r>
      <w:proofErr w:type="spellStart"/>
      <w:r w:rsidRPr="00346F49">
        <w:rPr>
          <w:sz w:val="16"/>
          <w:szCs w:val="16"/>
        </w:rPr>
        <w:t>Epub</w:t>
      </w:r>
      <w:proofErr w:type="spellEnd"/>
      <w:r w:rsidRPr="00346F49">
        <w:rPr>
          <w:sz w:val="16"/>
          <w:szCs w:val="16"/>
        </w:rPr>
        <w:t xml:space="preserve"> 2016 May 13. PMID: 27178271; PMCID: PMC4969342.</w:t>
      </w:r>
      <w:r>
        <w:rPr>
          <w:sz w:val="16"/>
          <w:szCs w:val="16"/>
        </w:rPr>
        <w:t xml:space="preserve"> Available online at: </w:t>
      </w:r>
      <w:hyperlink r:id="rId80" w:history="1">
        <w:r w:rsidRPr="002E5687">
          <w:rPr>
            <w:rStyle w:val="Hyperlink"/>
            <w:sz w:val="16"/>
            <w:szCs w:val="16"/>
          </w:rPr>
          <w:t>https://www.ncbi.nlm.nih.gov/pmc/articles/PMC4969342/</w:t>
        </w:r>
      </w:hyperlink>
      <w:r>
        <w:rPr>
          <w:sz w:val="16"/>
          <w:szCs w:val="16"/>
        </w:rPr>
        <w:t xml:space="preserve"> </w:t>
      </w:r>
    </w:p>
  </w:footnote>
  <w:footnote w:id="83">
    <w:p w14:paraId="27FE3D26" w14:textId="77777777" w:rsidR="00663FBB" w:rsidRDefault="00663FBB" w:rsidP="0013129C">
      <w:pPr>
        <w:pStyle w:val="FootnoteText"/>
      </w:pPr>
      <w:r w:rsidRPr="004509DB">
        <w:rPr>
          <w:rStyle w:val="FootnoteReference"/>
          <w:sz w:val="16"/>
          <w:szCs w:val="16"/>
        </w:rPr>
        <w:footnoteRef/>
      </w:r>
      <w:r w:rsidRPr="004509DB">
        <w:rPr>
          <w:sz w:val="16"/>
          <w:szCs w:val="16"/>
        </w:rPr>
        <w:t xml:space="preserve"> </w:t>
      </w:r>
      <w:r w:rsidRPr="004509DB">
        <w:rPr>
          <w:i/>
          <w:iCs/>
          <w:sz w:val="16"/>
          <w:szCs w:val="16"/>
        </w:rPr>
        <w:t>Ibid.</w:t>
      </w:r>
      <w:r w:rsidRPr="004509DB">
        <w:rPr>
          <w:sz w:val="16"/>
          <w:szCs w:val="16"/>
        </w:rPr>
        <w:t xml:space="preserve"> </w:t>
      </w:r>
    </w:p>
  </w:footnote>
  <w:footnote w:id="84">
    <w:p w14:paraId="7F93559B" w14:textId="36A52088" w:rsidR="00663FBB" w:rsidRDefault="00663FBB" w:rsidP="00A632E9">
      <w:pPr>
        <w:pStyle w:val="FootnoteText"/>
      </w:pPr>
      <w:r w:rsidRPr="00BA30D3">
        <w:rPr>
          <w:rStyle w:val="FootnoteReference"/>
          <w:sz w:val="16"/>
          <w:szCs w:val="16"/>
        </w:rPr>
        <w:footnoteRef/>
      </w:r>
      <w:r w:rsidRPr="00BA30D3">
        <w:rPr>
          <w:sz w:val="16"/>
          <w:szCs w:val="16"/>
        </w:rPr>
        <w:t xml:space="preserve"> Berti V, Pupi A, Mosconi L. </w:t>
      </w:r>
      <w:hyperlink r:id="rId81" w:history="1">
        <w:r w:rsidRPr="00885A8F">
          <w:rPr>
            <w:rStyle w:val="Hyperlink"/>
            <w:color w:val="auto"/>
            <w:sz w:val="16"/>
            <w:szCs w:val="16"/>
            <w:u w:val="none"/>
          </w:rPr>
          <w:t>PET/CT in diagnosis of dementia.</w:t>
        </w:r>
      </w:hyperlink>
      <w:r w:rsidRPr="00885A8F">
        <w:rPr>
          <w:sz w:val="16"/>
          <w:szCs w:val="16"/>
        </w:rPr>
        <w:t xml:space="preserve"> Ann </w:t>
      </w:r>
      <w:r w:rsidRPr="00BA30D3">
        <w:rPr>
          <w:sz w:val="16"/>
          <w:szCs w:val="16"/>
        </w:rPr>
        <w:t xml:space="preserve">N Y </w:t>
      </w:r>
      <w:proofErr w:type="spellStart"/>
      <w:r w:rsidRPr="00BA30D3">
        <w:rPr>
          <w:sz w:val="16"/>
          <w:szCs w:val="16"/>
        </w:rPr>
        <w:t>Acad</w:t>
      </w:r>
      <w:proofErr w:type="spellEnd"/>
      <w:r w:rsidRPr="00BA30D3">
        <w:rPr>
          <w:sz w:val="16"/>
          <w:szCs w:val="16"/>
        </w:rPr>
        <w:t xml:space="preserve"> Sci. 2011 Jun;1228:81-92. </w:t>
      </w:r>
      <w:proofErr w:type="spellStart"/>
      <w:r w:rsidRPr="00BA30D3">
        <w:rPr>
          <w:sz w:val="16"/>
          <w:szCs w:val="16"/>
        </w:rPr>
        <w:t>doi</w:t>
      </w:r>
      <w:proofErr w:type="spellEnd"/>
      <w:r w:rsidRPr="00BA30D3">
        <w:rPr>
          <w:sz w:val="16"/>
          <w:szCs w:val="16"/>
        </w:rPr>
        <w:t>: 10.1111/j.1749-6632.2011.</w:t>
      </w:r>
      <w:proofErr w:type="gramStart"/>
      <w:r w:rsidRPr="00BA30D3">
        <w:rPr>
          <w:sz w:val="16"/>
          <w:szCs w:val="16"/>
        </w:rPr>
        <w:t>06015.x.</w:t>
      </w:r>
      <w:proofErr w:type="gramEnd"/>
      <w:r w:rsidRPr="00BA30D3">
        <w:rPr>
          <w:sz w:val="16"/>
          <w:szCs w:val="16"/>
        </w:rPr>
        <w:t xml:space="preserve"> PMID: 21718326; PMCID: PMC3692287. Available online at: </w:t>
      </w:r>
      <w:hyperlink r:id="rId82" w:history="1">
        <w:r w:rsidRPr="00BA30D3">
          <w:rPr>
            <w:rStyle w:val="Hyperlink"/>
            <w:sz w:val="16"/>
            <w:szCs w:val="16"/>
          </w:rPr>
          <w:t>https://www.ncbi.nlm.nih.gov/pmc/articles/PMC3692287/</w:t>
        </w:r>
      </w:hyperlink>
      <w:r w:rsidRPr="00BA30D3">
        <w:rPr>
          <w:sz w:val="16"/>
          <w:szCs w:val="16"/>
        </w:rPr>
        <w:t xml:space="preserve"> </w:t>
      </w:r>
    </w:p>
  </w:footnote>
  <w:footnote w:id="85">
    <w:p w14:paraId="52481571" w14:textId="77777777" w:rsidR="00663FBB" w:rsidRPr="00E1039F" w:rsidRDefault="00663FBB" w:rsidP="00A632E9">
      <w:pPr>
        <w:pStyle w:val="FootnoteText"/>
        <w:rPr>
          <w:sz w:val="16"/>
          <w:szCs w:val="16"/>
        </w:rPr>
      </w:pPr>
      <w:r w:rsidRPr="00E1039F">
        <w:rPr>
          <w:rStyle w:val="FootnoteReference"/>
          <w:sz w:val="16"/>
          <w:szCs w:val="16"/>
        </w:rPr>
        <w:footnoteRef/>
      </w:r>
      <w:r w:rsidRPr="00E1039F">
        <w:rPr>
          <w:sz w:val="16"/>
          <w:szCs w:val="16"/>
        </w:rPr>
        <w:t xml:space="preserve"> Available at RadiologyInfo.org for patients. Online at: </w:t>
      </w:r>
      <w:hyperlink r:id="rId83" w:history="1">
        <w:r w:rsidRPr="00E1039F">
          <w:rPr>
            <w:rStyle w:val="Hyperlink"/>
            <w:sz w:val="16"/>
            <w:szCs w:val="16"/>
          </w:rPr>
          <w:t>https://www.radiologyinfo.org/en/info/pet</w:t>
        </w:r>
      </w:hyperlink>
      <w:r w:rsidRPr="00E1039F">
        <w:rPr>
          <w:sz w:val="16"/>
          <w:szCs w:val="16"/>
        </w:rPr>
        <w:t xml:space="preserve"> </w:t>
      </w:r>
    </w:p>
  </w:footnote>
  <w:footnote w:id="86">
    <w:p w14:paraId="326B6CE3" w14:textId="77777777" w:rsidR="00663FBB" w:rsidRPr="00E1039F" w:rsidRDefault="00663FBB" w:rsidP="00A632E9">
      <w:pPr>
        <w:pStyle w:val="FootnoteText"/>
        <w:rPr>
          <w:sz w:val="16"/>
          <w:szCs w:val="16"/>
        </w:rPr>
      </w:pPr>
      <w:r w:rsidRPr="00E1039F">
        <w:rPr>
          <w:rStyle w:val="FootnoteReference"/>
          <w:sz w:val="16"/>
          <w:szCs w:val="16"/>
        </w:rPr>
        <w:footnoteRef/>
      </w:r>
      <w:r w:rsidRPr="00E1039F">
        <w:rPr>
          <w:sz w:val="16"/>
          <w:szCs w:val="16"/>
        </w:rPr>
        <w:t xml:space="preserve"> </w:t>
      </w:r>
      <w:bookmarkStart w:id="24" w:name="_Hlk98762473"/>
      <w:r w:rsidRPr="00E1039F">
        <w:rPr>
          <w:i/>
          <w:iCs/>
          <w:sz w:val="16"/>
          <w:szCs w:val="16"/>
        </w:rPr>
        <w:t>Ibid.</w:t>
      </w:r>
      <w:bookmarkEnd w:id="24"/>
    </w:p>
  </w:footnote>
  <w:footnote w:id="87">
    <w:p w14:paraId="5E3D1C53" w14:textId="77777777" w:rsidR="00663FBB" w:rsidRPr="00E1039F" w:rsidRDefault="00663FBB" w:rsidP="00A632E9">
      <w:pPr>
        <w:pStyle w:val="FootnoteText"/>
        <w:rPr>
          <w:sz w:val="16"/>
          <w:szCs w:val="16"/>
        </w:rPr>
      </w:pPr>
      <w:r w:rsidRPr="00E1039F">
        <w:rPr>
          <w:rStyle w:val="FootnoteReference"/>
          <w:sz w:val="16"/>
          <w:szCs w:val="16"/>
        </w:rPr>
        <w:footnoteRef/>
      </w:r>
      <w:r w:rsidRPr="00E1039F">
        <w:rPr>
          <w:sz w:val="16"/>
          <w:szCs w:val="16"/>
        </w:rPr>
        <w:t xml:space="preserve"> </w:t>
      </w:r>
      <w:r w:rsidRPr="00E1039F">
        <w:rPr>
          <w:i/>
          <w:iCs/>
          <w:sz w:val="16"/>
          <w:szCs w:val="16"/>
        </w:rPr>
        <w:t>Ibid.</w:t>
      </w:r>
    </w:p>
  </w:footnote>
  <w:footnote w:id="88">
    <w:p w14:paraId="69749084" w14:textId="77777777" w:rsidR="00663FBB" w:rsidRPr="000325FC" w:rsidRDefault="00663FBB" w:rsidP="00A632E9">
      <w:pPr>
        <w:pStyle w:val="FootnoteText"/>
        <w:rPr>
          <w:sz w:val="16"/>
          <w:szCs w:val="16"/>
        </w:rPr>
      </w:pPr>
      <w:r w:rsidRPr="000325FC">
        <w:rPr>
          <w:rStyle w:val="FootnoteReference"/>
          <w:sz w:val="16"/>
          <w:szCs w:val="16"/>
        </w:rPr>
        <w:footnoteRef/>
      </w:r>
      <w:r w:rsidRPr="000325FC">
        <w:rPr>
          <w:sz w:val="16"/>
          <w:szCs w:val="16"/>
        </w:rPr>
        <w:t xml:space="preserve"> </w:t>
      </w:r>
      <w:r w:rsidRPr="000325FC">
        <w:rPr>
          <w:i/>
          <w:iCs/>
          <w:sz w:val="16"/>
          <w:szCs w:val="16"/>
        </w:rPr>
        <w:t>Ibid.</w:t>
      </w:r>
    </w:p>
  </w:footnote>
  <w:footnote w:id="89">
    <w:p w14:paraId="37D8F52A" w14:textId="77777777" w:rsidR="00663FBB" w:rsidRPr="000325FC" w:rsidRDefault="00663FBB" w:rsidP="00A632E9">
      <w:pPr>
        <w:pStyle w:val="FootnoteText"/>
        <w:rPr>
          <w:sz w:val="16"/>
          <w:szCs w:val="16"/>
        </w:rPr>
      </w:pPr>
      <w:r w:rsidRPr="000325FC">
        <w:rPr>
          <w:rStyle w:val="FootnoteReference"/>
          <w:sz w:val="16"/>
          <w:szCs w:val="16"/>
        </w:rPr>
        <w:footnoteRef/>
      </w:r>
      <w:r w:rsidRPr="000325FC">
        <w:rPr>
          <w:sz w:val="16"/>
          <w:szCs w:val="16"/>
        </w:rPr>
        <w:t xml:space="preserve"> </w:t>
      </w:r>
      <w:r w:rsidRPr="000325FC">
        <w:rPr>
          <w:i/>
          <w:iCs/>
          <w:sz w:val="16"/>
          <w:szCs w:val="16"/>
        </w:rPr>
        <w:t>Ibid.</w:t>
      </w:r>
    </w:p>
  </w:footnote>
  <w:footnote w:id="90">
    <w:p w14:paraId="1942249A" w14:textId="68B4BD2F" w:rsidR="00663FBB" w:rsidRPr="000325FC" w:rsidRDefault="00663FBB" w:rsidP="00A632E9">
      <w:pPr>
        <w:pStyle w:val="FootnoteText"/>
        <w:rPr>
          <w:sz w:val="16"/>
          <w:szCs w:val="16"/>
        </w:rPr>
      </w:pPr>
      <w:r w:rsidRPr="000325FC">
        <w:rPr>
          <w:rStyle w:val="FootnoteReference"/>
          <w:sz w:val="16"/>
          <w:szCs w:val="16"/>
        </w:rPr>
        <w:footnoteRef/>
      </w:r>
      <w:r w:rsidRPr="000325FC">
        <w:rPr>
          <w:sz w:val="16"/>
          <w:szCs w:val="16"/>
        </w:rPr>
        <w:t xml:space="preserve"> </w:t>
      </w:r>
      <w:proofErr w:type="spellStart"/>
      <w:r w:rsidRPr="000325FC">
        <w:rPr>
          <w:sz w:val="16"/>
          <w:szCs w:val="16"/>
        </w:rPr>
        <w:t>Lövblad</w:t>
      </w:r>
      <w:proofErr w:type="spellEnd"/>
      <w:r w:rsidRPr="000325FC">
        <w:rPr>
          <w:sz w:val="16"/>
          <w:szCs w:val="16"/>
        </w:rPr>
        <w:t xml:space="preserve">, K.-O., Bouchez, L., Altrichter, S., Ratib, O., </w:t>
      </w:r>
      <w:proofErr w:type="gramStart"/>
      <w:r w:rsidRPr="000325FC">
        <w:rPr>
          <w:sz w:val="16"/>
          <w:szCs w:val="16"/>
        </w:rPr>
        <w:t>Zaidi ,</w:t>
      </w:r>
      <w:proofErr w:type="gramEnd"/>
      <w:r w:rsidRPr="000325FC">
        <w:rPr>
          <w:sz w:val="16"/>
          <w:szCs w:val="16"/>
        </w:rPr>
        <w:t xml:space="preserve"> H., &amp; Vargas, M. I. (2019, August). </w:t>
      </w:r>
      <w:hyperlink r:id="rId84" w:history="1">
        <w:r w:rsidRPr="008812F0">
          <w:rPr>
            <w:rStyle w:val="Hyperlink"/>
            <w:color w:val="auto"/>
            <w:sz w:val="16"/>
            <w:szCs w:val="16"/>
            <w:u w:val="none"/>
          </w:rPr>
          <w:t>Pet-CT in Neuroradiology .</w:t>
        </w:r>
      </w:hyperlink>
      <w:r w:rsidRPr="008812F0">
        <w:rPr>
          <w:sz w:val="16"/>
          <w:szCs w:val="16"/>
        </w:rPr>
        <w:t xml:space="preserve"> Clinical </w:t>
      </w:r>
      <w:r w:rsidRPr="000325FC">
        <w:rPr>
          <w:sz w:val="16"/>
          <w:szCs w:val="16"/>
        </w:rPr>
        <w:t xml:space="preserve">and Translational Neuroscience. Retrieved February 16, 2022. Online at: </w:t>
      </w:r>
      <w:hyperlink r:id="rId85" w:history="1">
        <w:r w:rsidRPr="000325FC">
          <w:rPr>
            <w:rStyle w:val="Hyperlink"/>
            <w:sz w:val="16"/>
            <w:szCs w:val="16"/>
          </w:rPr>
          <w:t>https://journals.sagepub.com/doi/full/10.1177/2514183X19868147</w:t>
        </w:r>
      </w:hyperlink>
      <w:r w:rsidRPr="000325FC">
        <w:rPr>
          <w:sz w:val="16"/>
          <w:szCs w:val="16"/>
        </w:rPr>
        <w:t>. I</w:t>
      </w:r>
      <w:r w:rsidRPr="00D073E1">
        <w:rPr>
          <w:sz w:val="16"/>
          <w:szCs w:val="16"/>
        </w:rPr>
        <w:t xml:space="preserve">t is noteworthy that some newer applications are emerging that can re-center </w:t>
      </w:r>
      <w:r w:rsidRPr="000325FC">
        <w:rPr>
          <w:sz w:val="16"/>
          <w:szCs w:val="16"/>
        </w:rPr>
        <w:t>PET/CT</w:t>
      </w:r>
      <w:r w:rsidRPr="00D073E1">
        <w:rPr>
          <w:sz w:val="16"/>
          <w:szCs w:val="16"/>
        </w:rPr>
        <w:t xml:space="preserve"> clearly in the neuroradiological world such as the investigation of vascular diseases.</w:t>
      </w:r>
      <w:r w:rsidRPr="000325FC">
        <w:rPr>
          <w:sz w:val="16"/>
          <w:szCs w:val="16"/>
        </w:rPr>
        <w:t xml:space="preserve">  </w:t>
      </w:r>
    </w:p>
  </w:footnote>
  <w:footnote w:id="91">
    <w:p w14:paraId="4D0BA5B0" w14:textId="44ECE887" w:rsidR="00663FBB" w:rsidRPr="000325FC" w:rsidRDefault="00663FBB" w:rsidP="00A632E9">
      <w:pPr>
        <w:pStyle w:val="FootnoteText"/>
        <w:rPr>
          <w:sz w:val="16"/>
          <w:szCs w:val="16"/>
        </w:rPr>
      </w:pPr>
      <w:r w:rsidRPr="000325FC">
        <w:rPr>
          <w:rStyle w:val="FootnoteReference"/>
          <w:sz w:val="16"/>
          <w:szCs w:val="16"/>
        </w:rPr>
        <w:footnoteRef/>
      </w:r>
      <w:r w:rsidRPr="000325FC">
        <w:rPr>
          <w:sz w:val="16"/>
          <w:szCs w:val="16"/>
        </w:rPr>
        <w:t xml:space="preserve"> Whole-Body 18F-FDG </w:t>
      </w:r>
      <w:hyperlink r:id="rId86" w:history="1">
        <w:r w:rsidRPr="009B2403">
          <w:rPr>
            <w:rStyle w:val="Hyperlink"/>
            <w:color w:val="auto"/>
            <w:sz w:val="16"/>
            <w:szCs w:val="16"/>
            <w:u w:val="none"/>
          </w:rPr>
          <w:t>PET/CT Is Superior to CT as First-Line Diagnostic Imaging in Patients Referred with Serious Nonspecific Symptoms or Signs of Cancer: A Randomized Prospective Study of 200 Patients</w:t>
        </w:r>
      </w:hyperlink>
      <w:r w:rsidRPr="009B2403">
        <w:rPr>
          <w:sz w:val="16"/>
          <w:szCs w:val="16"/>
        </w:rPr>
        <w:t>. Anne</w:t>
      </w:r>
      <w:r w:rsidRPr="000325FC">
        <w:rPr>
          <w:sz w:val="16"/>
          <w:szCs w:val="16"/>
        </w:rPr>
        <w:t xml:space="preserve">-Mette Lebech, Anne Gaardsting, Annika Loft, Jesper Graff, Elena Markova, Anne Kiil Bertelsen, Jan Lysgård Madsen, Kim Francis Andersen, Eric von Benzon, Morten Helms, Lars R. Mathiesen, Kim P. David, Gitte Kronborg, Andreas Kjaer. Journal of Nuclear Medicine Jul 2017, 58 (7) 1058-1064; DOI: 10.2967/jnumed.116.175380. Online at:  </w:t>
      </w:r>
      <w:hyperlink r:id="rId87" w:history="1">
        <w:r w:rsidRPr="000325FC">
          <w:rPr>
            <w:rStyle w:val="Hyperlink"/>
            <w:sz w:val="16"/>
            <w:szCs w:val="16"/>
          </w:rPr>
          <w:t>https://jnm.snmjournals.org/content/58/7/1058</w:t>
        </w:r>
      </w:hyperlink>
      <w:r w:rsidRPr="000325FC">
        <w:rPr>
          <w:sz w:val="16"/>
          <w:szCs w:val="16"/>
        </w:rPr>
        <w:t xml:space="preserve"> </w:t>
      </w:r>
    </w:p>
  </w:footnote>
  <w:footnote w:id="92">
    <w:p w14:paraId="52E03E08" w14:textId="77777777" w:rsidR="00663FBB" w:rsidRPr="000325FC" w:rsidRDefault="00663FBB" w:rsidP="00A632E9">
      <w:pPr>
        <w:pStyle w:val="FootnoteText"/>
        <w:rPr>
          <w:sz w:val="16"/>
          <w:szCs w:val="16"/>
        </w:rPr>
      </w:pPr>
      <w:r w:rsidRPr="000325FC">
        <w:rPr>
          <w:rStyle w:val="FootnoteReference"/>
          <w:sz w:val="16"/>
          <w:szCs w:val="16"/>
        </w:rPr>
        <w:footnoteRef/>
      </w:r>
      <w:r w:rsidRPr="000325FC">
        <w:rPr>
          <w:sz w:val="16"/>
          <w:szCs w:val="16"/>
        </w:rPr>
        <w:t xml:space="preserve"> </w:t>
      </w:r>
      <w:r w:rsidRPr="000325FC">
        <w:rPr>
          <w:i/>
          <w:iCs/>
          <w:sz w:val="16"/>
          <w:szCs w:val="16"/>
        </w:rPr>
        <w:t>Ibid.</w:t>
      </w:r>
    </w:p>
  </w:footnote>
  <w:footnote w:id="93">
    <w:p w14:paraId="7FB8A4B9" w14:textId="77777777" w:rsidR="00663FBB" w:rsidRPr="000325FC" w:rsidRDefault="00663FBB" w:rsidP="00A632E9">
      <w:pPr>
        <w:pStyle w:val="FootnoteText"/>
        <w:rPr>
          <w:sz w:val="16"/>
          <w:szCs w:val="16"/>
        </w:rPr>
      </w:pPr>
      <w:r w:rsidRPr="000325FC">
        <w:rPr>
          <w:rStyle w:val="FootnoteReference"/>
          <w:sz w:val="16"/>
          <w:szCs w:val="16"/>
        </w:rPr>
        <w:footnoteRef/>
      </w:r>
      <w:r w:rsidRPr="000325FC">
        <w:rPr>
          <w:sz w:val="16"/>
          <w:szCs w:val="16"/>
        </w:rPr>
        <w:t xml:space="preserve"> </w:t>
      </w:r>
      <w:r w:rsidRPr="000325FC">
        <w:rPr>
          <w:i/>
          <w:iCs/>
          <w:sz w:val="16"/>
          <w:szCs w:val="16"/>
        </w:rPr>
        <w:t>Ibid.</w:t>
      </w:r>
    </w:p>
  </w:footnote>
  <w:footnote w:id="94">
    <w:p w14:paraId="75B5C21A" w14:textId="43F90B54" w:rsidR="00663FBB" w:rsidRPr="00FB717C" w:rsidRDefault="00663FBB">
      <w:pPr>
        <w:pStyle w:val="FootnoteText"/>
        <w:rPr>
          <w:sz w:val="16"/>
          <w:szCs w:val="16"/>
        </w:rPr>
      </w:pPr>
      <w:r w:rsidRPr="000325FC">
        <w:rPr>
          <w:rStyle w:val="FootnoteReference"/>
          <w:sz w:val="16"/>
          <w:szCs w:val="16"/>
        </w:rPr>
        <w:footnoteRef/>
      </w:r>
      <w:r w:rsidRPr="00FB717C">
        <w:rPr>
          <w:sz w:val="16"/>
          <w:szCs w:val="16"/>
        </w:rPr>
        <w:t xml:space="preserve"> Or avoidance.</w:t>
      </w:r>
    </w:p>
  </w:footnote>
  <w:footnote w:id="95">
    <w:p w14:paraId="69945C05" w14:textId="45DC37D6" w:rsidR="00663FBB" w:rsidRPr="000325FC" w:rsidRDefault="00663FBB" w:rsidP="00A632E9">
      <w:pPr>
        <w:pStyle w:val="FootnoteText"/>
        <w:rPr>
          <w:sz w:val="16"/>
          <w:szCs w:val="16"/>
        </w:rPr>
      </w:pPr>
      <w:r w:rsidRPr="000325FC">
        <w:rPr>
          <w:rStyle w:val="FootnoteReference"/>
          <w:sz w:val="16"/>
          <w:szCs w:val="16"/>
        </w:rPr>
        <w:footnoteRef/>
      </w:r>
      <w:r w:rsidRPr="00316A2B">
        <w:rPr>
          <w:sz w:val="16"/>
          <w:szCs w:val="16"/>
          <w:lang w:val="fr-FR"/>
        </w:rPr>
        <w:t xml:space="preserve"> </w:t>
      </w:r>
      <w:bookmarkStart w:id="25" w:name="_Hlk100229628"/>
      <w:proofErr w:type="spellStart"/>
      <w:r w:rsidRPr="00316A2B">
        <w:rPr>
          <w:sz w:val="16"/>
          <w:szCs w:val="16"/>
          <w:lang w:val="fr-FR"/>
        </w:rPr>
        <w:t>Czeisler</w:t>
      </w:r>
      <w:proofErr w:type="spellEnd"/>
      <w:r w:rsidRPr="00316A2B">
        <w:rPr>
          <w:sz w:val="16"/>
          <w:szCs w:val="16"/>
          <w:lang w:val="fr-FR"/>
        </w:rPr>
        <w:t xml:space="preserve"> MÉ, </w:t>
      </w:r>
      <w:proofErr w:type="spellStart"/>
      <w:r w:rsidRPr="00316A2B">
        <w:rPr>
          <w:sz w:val="16"/>
          <w:szCs w:val="16"/>
          <w:lang w:val="fr-FR"/>
        </w:rPr>
        <w:t>Marynak</w:t>
      </w:r>
      <w:proofErr w:type="spellEnd"/>
      <w:r w:rsidRPr="00316A2B">
        <w:rPr>
          <w:sz w:val="16"/>
          <w:szCs w:val="16"/>
          <w:lang w:val="fr-FR"/>
        </w:rPr>
        <w:t xml:space="preserve"> K, Clarke KE, et al. </w:t>
      </w:r>
      <w:hyperlink r:id="rId88" w:history="1">
        <w:r w:rsidRPr="00B15353">
          <w:rPr>
            <w:rStyle w:val="Hyperlink"/>
            <w:color w:val="auto"/>
            <w:sz w:val="16"/>
            <w:szCs w:val="16"/>
            <w:u w:val="none"/>
          </w:rPr>
          <w:t>Delay or Avoidance of Medical Care Because of COVID-19–Related Concerns</w:t>
        </w:r>
      </w:hyperlink>
      <w:r w:rsidRPr="00B15353">
        <w:rPr>
          <w:sz w:val="16"/>
          <w:szCs w:val="16"/>
        </w:rPr>
        <w:t xml:space="preserve"> — </w:t>
      </w:r>
      <w:r w:rsidRPr="000325FC">
        <w:rPr>
          <w:sz w:val="16"/>
          <w:szCs w:val="16"/>
        </w:rPr>
        <w:t xml:space="preserve">United States, June 2020. MMWR </w:t>
      </w:r>
      <w:proofErr w:type="spellStart"/>
      <w:r w:rsidRPr="000325FC">
        <w:rPr>
          <w:sz w:val="16"/>
          <w:szCs w:val="16"/>
        </w:rPr>
        <w:t>Morb</w:t>
      </w:r>
      <w:proofErr w:type="spellEnd"/>
      <w:r w:rsidRPr="000325FC">
        <w:rPr>
          <w:sz w:val="16"/>
          <w:szCs w:val="16"/>
        </w:rPr>
        <w:t xml:space="preserve"> Mortal </w:t>
      </w:r>
      <w:proofErr w:type="spellStart"/>
      <w:r w:rsidRPr="000325FC">
        <w:rPr>
          <w:sz w:val="16"/>
          <w:szCs w:val="16"/>
        </w:rPr>
        <w:t>Wkly</w:t>
      </w:r>
      <w:proofErr w:type="spellEnd"/>
      <w:r w:rsidRPr="000325FC">
        <w:rPr>
          <w:sz w:val="16"/>
          <w:szCs w:val="16"/>
        </w:rPr>
        <w:t xml:space="preserve"> Rep </w:t>
      </w:r>
      <w:proofErr w:type="gramStart"/>
      <w:r w:rsidRPr="000325FC">
        <w:rPr>
          <w:sz w:val="16"/>
          <w:szCs w:val="16"/>
        </w:rPr>
        <w:t>2020;69:1250</w:t>
      </w:r>
      <w:proofErr w:type="gramEnd"/>
      <w:r w:rsidRPr="000325FC">
        <w:rPr>
          <w:sz w:val="16"/>
          <w:szCs w:val="16"/>
        </w:rPr>
        <w:t xml:space="preserve">–1257. Available online at: </w:t>
      </w:r>
      <w:hyperlink r:id="rId89" w:history="1">
        <w:r w:rsidRPr="000325FC">
          <w:rPr>
            <w:rStyle w:val="Hyperlink"/>
            <w:sz w:val="16"/>
            <w:szCs w:val="16"/>
          </w:rPr>
          <w:t>http://dx.doi.org/10.15585/mmwr.mm6936a4</w:t>
        </w:r>
      </w:hyperlink>
      <w:r w:rsidRPr="000325FC">
        <w:rPr>
          <w:sz w:val="16"/>
          <w:szCs w:val="16"/>
        </w:rPr>
        <w:t xml:space="preserve"> </w:t>
      </w:r>
    </w:p>
    <w:bookmarkEnd w:id="25"/>
  </w:footnote>
  <w:footnote w:id="96">
    <w:p w14:paraId="7B9B0DBF" w14:textId="3C0CA47A" w:rsidR="00663FBB" w:rsidRPr="000325FC" w:rsidRDefault="00663FBB" w:rsidP="00A632E9">
      <w:pPr>
        <w:pStyle w:val="FootnoteText"/>
        <w:rPr>
          <w:sz w:val="16"/>
          <w:szCs w:val="16"/>
        </w:rPr>
      </w:pPr>
      <w:r w:rsidRPr="000325FC">
        <w:rPr>
          <w:rStyle w:val="FootnoteReference"/>
          <w:sz w:val="16"/>
          <w:szCs w:val="16"/>
        </w:rPr>
        <w:footnoteRef/>
      </w:r>
      <w:r w:rsidRPr="000325FC">
        <w:rPr>
          <w:sz w:val="16"/>
          <w:szCs w:val="16"/>
          <w:lang w:val="fr-FR"/>
        </w:rPr>
        <w:t xml:space="preserve"> </w:t>
      </w:r>
      <w:proofErr w:type="spellStart"/>
      <w:r w:rsidRPr="000325FC">
        <w:rPr>
          <w:sz w:val="16"/>
          <w:szCs w:val="16"/>
          <w:lang w:val="fr-FR"/>
        </w:rPr>
        <w:t>Czeisler</w:t>
      </w:r>
      <w:proofErr w:type="spellEnd"/>
      <w:r w:rsidRPr="000325FC">
        <w:rPr>
          <w:sz w:val="16"/>
          <w:szCs w:val="16"/>
          <w:lang w:val="fr-FR"/>
        </w:rPr>
        <w:t xml:space="preserve"> MÉ, </w:t>
      </w:r>
      <w:proofErr w:type="spellStart"/>
      <w:r w:rsidRPr="000325FC">
        <w:rPr>
          <w:sz w:val="16"/>
          <w:szCs w:val="16"/>
          <w:lang w:val="fr-FR"/>
        </w:rPr>
        <w:t>Marynak</w:t>
      </w:r>
      <w:proofErr w:type="spellEnd"/>
      <w:r w:rsidRPr="000325FC">
        <w:rPr>
          <w:sz w:val="16"/>
          <w:szCs w:val="16"/>
          <w:lang w:val="fr-FR"/>
        </w:rPr>
        <w:t xml:space="preserve"> K, Clarke KE, et al. </w:t>
      </w:r>
      <w:hyperlink r:id="rId90" w:history="1">
        <w:r w:rsidRPr="00B15353">
          <w:rPr>
            <w:rStyle w:val="Hyperlink"/>
            <w:color w:val="auto"/>
            <w:sz w:val="16"/>
            <w:szCs w:val="16"/>
            <w:u w:val="none"/>
          </w:rPr>
          <w:t>Delay or Avoidance of Medical Care Because of COVID-19–Related Concerns</w:t>
        </w:r>
      </w:hyperlink>
      <w:r w:rsidRPr="00B15353">
        <w:rPr>
          <w:sz w:val="16"/>
          <w:szCs w:val="16"/>
        </w:rPr>
        <w:t xml:space="preserve"> — </w:t>
      </w:r>
      <w:r w:rsidRPr="000325FC">
        <w:rPr>
          <w:sz w:val="16"/>
          <w:szCs w:val="16"/>
        </w:rPr>
        <w:t xml:space="preserve">United States, June 2020. MMWR </w:t>
      </w:r>
      <w:proofErr w:type="spellStart"/>
      <w:r w:rsidRPr="000325FC">
        <w:rPr>
          <w:sz w:val="16"/>
          <w:szCs w:val="16"/>
        </w:rPr>
        <w:t>Morb</w:t>
      </w:r>
      <w:proofErr w:type="spellEnd"/>
      <w:r w:rsidRPr="000325FC">
        <w:rPr>
          <w:sz w:val="16"/>
          <w:szCs w:val="16"/>
        </w:rPr>
        <w:t xml:space="preserve"> Mortal </w:t>
      </w:r>
      <w:proofErr w:type="spellStart"/>
      <w:r w:rsidRPr="000325FC">
        <w:rPr>
          <w:sz w:val="16"/>
          <w:szCs w:val="16"/>
        </w:rPr>
        <w:t>Wkly</w:t>
      </w:r>
      <w:proofErr w:type="spellEnd"/>
      <w:r w:rsidRPr="000325FC">
        <w:rPr>
          <w:sz w:val="16"/>
          <w:szCs w:val="16"/>
        </w:rPr>
        <w:t xml:space="preserve"> Rep </w:t>
      </w:r>
      <w:proofErr w:type="gramStart"/>
      <w:r w:rsidRPr="000325FC">
        <w:rPr>
          <w:sz w:val="16"/>
          <w:szCs w:val="16"/>
        </w:rPr>
        <w:t>2020;69:1250</w:t>
      </w:r>
      <w:proofErr w:type="gramEnd"/>
      <w:r w:rsidRPr="000325FC">
        <w:rPr>
          <w:sz w:val="16"/>
          <w:szCs w:val="16"/>
        </w:rPr>
        <w:t xml:space="preserve">–1257. Available online at: </w:t>
      </w:r>
      <w:hyperlink r:id="rId91" w:history="1">
        <w:r w:rsidRPr="000325FC">
          <w:rPr>
            <w:rStyle w:val="Hyperlink"/>
            <w:sz w:val="16"/>
            <w:szCs w:val="16"/>
          </w:rPr>
          <w:t>http://dx.doi.org/10.15585/mmwr.mm6936a4</w:t>
        </w:r>
      </w:hyperlink>
      <w:r w:rsidRPr="000325FC">
        <w:rPr>
          <w:sz w:val="16"/>
          <w:szCs w:val="16"/>
        </w:rPr>
        <w:t xml:space="preserve"> </w:t>
      </w:r>
    </w:p>
  </w:footnote>
  <w:footnote w:id="97">
    <w:p w14:paraId="066B41BD" w14:textId="77777777" w:rsidR="00663FBB" w:rsidRPr="000325FC" w:rsidRDefault="00663FBB" w:rsidP="00A632E9">
      <w:pPr>
        <w:pStyle w:val="FootnoteText"/>
        <w:rPr>
          <w:sz w:val="16"/>
          <w:szCs w:val="16"/>
        </w:rPr>
      </w:pPr>
      <w:r w:rsidRPr="000325FC">
        <w:rPr>
          <w:rStyle w:val="FootnoteReference"/>
          <w:sz w:val="16"/>
          <w:szCs w:val="16"/>
        </w:rPr>
        <w:footnoteRef/>
      </w:r>
      <w:r w:rsidRPr="000325FC">
        <w:rPr>
          <w:sz w:val="16"/>
          <w:szCs w:val="16"/>
        </w:rPr>
        <w:t xml:space="preserve"> According to the American Cancer Society, regular screenings can help find and treat pre-cancers and cancers </w:t>
      </w:r>
      <w:proofErr w:type="gramStart"/>
      <w:r w:rsidRPr="000325FC">
        <w:rPr>
          <w:sz w:val="16"/>
          <w:szCs w:val="16"/>
        </w:rPr>
        <w:t>early, before</w:t>
      </w:r>
      <w:proofErr w:type="gramEnd"/>
      <w:r w:rsidRPr="000325FC">
        <w:rPr>
          <w:sz w:val="16"/>
          <w:szCs w:val="16"/>
        </w:rPr>
        <w:t xml:space="preserve"> they have a chance to spread. Available online at: </w:t>
      </w:r>
      <w:hyperlink r:id="rId92" w:history="1">
        <w:r w:rsidRPr="000325FC">
          <w:rPr>
            <w:rStyle w:val="Hyperlink"/>
            <w:sz w:val="16"/>
            <w:szCs w:val="16"/>
          </w:rPr>
          <w:t>https://www.cancer.org/healthy/find-cancer-early/american-cancer-society-guidelines-for-the-early-detection-of-cancer.html</w:t>
        </w:r>
      </w:hyperlink>
      <w:r w:rsidRPr="000325FC">
        <w:rPr>
          <w:sz w:val="16"/>
          <w:szCs w:val="16"/>
        </w:rPr>
        <w:t xml:space="preserve"> </w:t>
      </w:r>
    </w:p>
  </w:footnote>
  <w:footnote w:id="98">
    <w:p w14:paraId="5BC5B21F" w14:textId="703501CF" w:rsidR="00663FBB" w:rsidRPr="00E1039F" w:rsidRDefault="00663FBB" w:rsidP="00A632E9">
      <w:pPr>
        <w:pStyle w:val="FootnoteText"/>
        <w:rPr>
          <w:sz w:val="16"/>
          <w:szCs w:val="16"/>
        </w:rPr>
      </w:pPr>
      <w:r w:rsidRPr="000325FC">
        <w:rPr>
          <w:rStyle w:val="FootnoteReference"/>
          <w:sz w:val="16"/>
          <w:szCs w:val="16"/>
        </w:rPr>
        <w:footnoteRef/>
      </w:r>
      <w:r w:rsidRPr="000325FC">
        <w:rPr>
          <w:sz w:val="16"/>
          <w:szCs w:val="16"/>
        </w:rPr>
        <w:t xml:space="preserve"> </w:t>
      </w:r>
      <w:hyperlink r:id="rId93" w:history="1">
        <w:r w:rsidRPr="00CB0E0D">
          <w:rPr>
            <w:rStyle w:val="Hyperlink"/>
            <w:color w:val="auto"/>
            <w:sz w:val="16"/>
            <w:szCs w:val="16"/>
            <w:u w:val="none"/>
          </w:rPr>
          <w:t>CDC website.</w:t>
        </w:r>
      </w:hyperlink>
      <w:r w:rsidRPr="00CB0E0D">
        <w:rPr>
          <w:sz w:val="16"/>
          <w:szCs w:val="16"/>
        </w:rPr>
        <w:t xml:space="preserve"> Available </w:t>
      </w:r>
      <w:r w:rsidRPr="000325FC">
        <w:rPr>
          <w:sz w:val="16"/>
          <w:szCs w:val="16"/>
        </w:rPr>
        <w:t xml:space="preserve">online at: </w:t>
      </w:r>
      <w:hyperlink r:id="rId94" w:history="1">
        <w:r w:rsidRPr="000325FC">
          <w:rPr>
            <w:rStyle w:val="Hyperlink"/>
            <w:sz w:val="16"/>
            <w:szCs w:val="16"/>
          </w:rPr>
          <w:t>https://www.cdc.gov/cancer/dcpc/prevention/screening.htm</w:t>
        </w:r>
      </w:hyperlink>
      <w:r w:rsidRPr="000325FC">
        <w:rPr>
          <w:sz w:val="16"/>
          <w:szCs w:val="16"/>
        </w:rPr>
        <w:t xml:space="preserve"> </w:t>
      </w:r>
    </w:p>
  </w:footnote>
  <w:footnote w:id="99">
    <w:p w14:paraId="6D903730" w14:textId="3FC616B7" w:rsidR="00663FBB" w:rsidRDefault="00663FBB" w:rsidP="000853B0">
      <w:pPr>
        <w:pStyle w:val="FootnoteText"/>
      </w:pPr>
      <w:r w:rsidRPr="00F10479">
        <w:rPr>
          <w:rStyle w:val="FootnoteReference"/>
          <w:sz w:val="16"/>
          <w:szCs w:val="16"/>
        </w:rPr>
        <w:footnoteRef/>
      </w:r>
      <w:r w:rsidRPr="00F10479">
        <w:rPr>
          <w:sz w:val="16"/>
          <w:szCs w:val="16"/>
        </w:rPr>
        <w:t xml:space="preserve"> Fischer BM, Siegel BA, </w:t>
      </w:r>
      <w:r w:rsidRPr="00CB0E0D">
        <w:rPr>
          <w:sz w:val="16"/>
          <w:szCs w:val="16"/>
        </w:rPr>
        <w:t xml:space="preserve">Weber WA, von Bremen K, Beyer T, </w:t>
      </w:r>
      <w:proofErr w:type="spellStart"/>
      <w:r w:rsidRPr="00CB0E0D">
        <w:rPr>
          <w:sz w:val="16"/>
          <w:szCs w:val="16"/>
        </w:rPr>
        <w:t>Kalemis</w:t>
      </w:r>
      <w:proofErr w:type="spellEnd"/>
      <w:r w:rsidRPr="00CB0E0D">
        <w:rPr>
          <w:sz w:val="16"/>
          <w:szCs w:val="16"/>
        </w:rPr>
        <w:t xml:space="preserve"> A. </w:t>
      </w:r>
      <w:hyperlink r:id="rId95" w:history="1">
        <w:r w:rsidRPr="00CB0E0D">
          <w:rPr>
            <w:rStyle w:val="Hyperlink"/>
            <w:color w:val="auto"/>
            <w:sz w:val="16"/>
            <w:szCs w:val="16"/>
            <w:u w:val="none"/>
          </w:rPr>
          <w:t>PET/CT is a cost-effective tool against cancer: synergy supersedes singularity.</w:t>
        </w:r>
      </w:hyperlink>
      <w:r w:rsidRPr="00CB0E0D">
        <w:rPr>
          <w:sz w:val="16"/>
          <w:szCs w:val="16"/>
        </w:rPr>
        <w:t xml:space="preserve"> </w:t>
      </w:r>
      <w:proofErr w:type="spellStart"/>
      <w:r w:rsidRPr="00CB0E0D">
        <w:rPr>
          <w:sz w:val="16"/>
          <w:szCs w:val="16"/>
        </w:rPr>
        <w:t>Eur</w:t>
      </w:r>
      <w:proofErr w:type="spellEnd"/>
      <w:r w:rsidRPr="00CB0E0D">
        <w:rPr>
          <w:sz w:val="16"/>
          <w:szCs w:val="16"/>
        </w:rPr>
        <w:t xml:space="preserve"> J </w:t>
      </w:r>
      <w:proofErr w:type="spellStart"/>
      <w:r w:rsidRPr="00CB0E0D">
        <w:rPr>
          <w:sz w:val="16"/>
          <w:szCs w:val="16"/>
        </w:rPr>
        <w:t>Nucl</w:t>
      </w:r>
      <w:proofErr w:type="spellEnd"/>
      <w:r w:rsidRPr="00CB0E0D">
        <w:rPr>
          <w:sz w:val="16"/>
          <w:szCs w:val="16"/>
        </w:rPr>
        <w:t xml:space="preserve"> Med </w:t>
      </w:r>
      <w:r w:rsidRPr="00F10479">
        <w:rPr>
          <w:sz w:val="16"/>
          <w:szCs w:val="16"/>
        </w:rPr>
        <w:t xml:space="preserve">Mol Imaging. 2016 Sep;43(10):1749-52. </w:t>
      </w:r>
      <w:proofErr w:type="spellStart"/>
      <w:r w:rsidRPr="00F10479">
        <w:rPr>
          <w:sz w:val="16"/>
          <w:szCs w:val="16"/>
        </w:rPr>
        <w:t>doi</w:t>
      </w:r>
      <w:proofErr w:type="spellEnd"/>
      <w:r w:rsidRPr="00F10479">
        <w:rPr>
          <w:sz w:val="16"/>
          <w:szCs w:val="16"/>
        </w:rPr>
        <w:t xml:space="preserve">: 10.1007/s00259-016-3414-5. </w:t>
      </w:r>
      <w:proofErr w:type="spellStart"/>
      <w:r w:rsidRPr="00F10479">
        <w:rPr>
          <w:sz w:val="16"/>
          <w:szCs w:val="16"/>
        </w:rPr>
        <w:t>Epub</w:t>
      </w:r>
      <w:proofErr w:type="spellEnd"/>
      <w:r w:rsidRPr="00F10479">
        <w:rPr>
          <w:sz w:val="16"/>
          <w:szCs w:val="16"/>
        </w:rPr>
        <w:t xml:space="preserve"> 2016 May 13. PMID: 27178271; PMCID: PMC4969342.</w:t>
      </w:r>
      <w:r>
        <w:rPr>
          <w:sz w:val="16"/>
          <w:szCs w:val="16"/>
        </w:rPr>
        <w:t xml:space="preserve"> Available online at: </w:t>
      </w:r>
      <w:hyperlink r:id="rId96" w:history="1">
        <w:r w:rsidRPr="002E5687">
          <w:rPr>
            <w:rStyle w:val="Hyperlink"/>
            <w:sz w:val="16"/>
            <w:szCs w:val="16"/>
          </w:rPr>
          <w:t>https://www.ncbi.nlm.nih.gov/pmc/articles/PMC4969342/</w:t>
        </w:r>
      </w:hyperlink>
      <w:r>
        <w:rPr>
          <w:sz w:val="16"/>
          <w:szCs w:val="16"/>
        </w:rPr>
        <w:t xml:space="preserve"> </w:t>
      </w:r>
    </w:p>
  </w:footnote>
  <w:footnote w:id="100">
    <w:p w14:paraId="7CD9D511" w14:textId="33EDAC7B" w:rsidR="00663FBB" w:rsidRPr="00E1039F" w:rsidRDefault="00663FBB" w:rsidP="00A632E9">
      <w:pPr>
        <w:pStyle w:val="FootnoteText"/>
        <w:rPr>
          <w:sz w:val="16"/>
          <w:szCs w:val="16"/>
        </w:rPr>
      </w:pPr>
      <w:r w:rsidRPr="00E1039F">
        <w:rPr>
          <w:rStyle w:val="FootnoteReference"/>
          <w:sz w:val="16"/>
          <w:szCs w:val="16"/>
        </w:rPr>
        <w:footnoteRef/>
      </w:r>
      <w:r w:rsidRPr="00E1039F">
        <w:rPr>
          <w:sz w:val="16"/>
          <w:szCs w:val="16"/>
        </w:rPr>
        <w:t xml:space="preserve"> Rachel Lynch. </w:t>
      </w:r>
      <w:hyperlink r:id="rId97" w:history="1">
        <w:r w:rsidRPr="00CB0E0D">
          <w:rPr>
            <w:rStyle w:val="Hyperlink"/>
            <w:color w:val="auto"/>
            <w:sz w:val="16"/>
            <w:szCs w:val="16"/>
            <w:u w:val="none"/>
          </w:rPr>
          <w:t>The Role of Diagnostic Imaging in Early Detection of Cancer.</w:t>
        </w:r>
      </w:hyperlink>
      <w:r w:rsidRPr="00CB0E0D">
        <w:rPr>
          <w:sz w:val="16"/>
          <w:szCs w:val="16"/>
        </w:rPr>
        <w:t xml:space="preserve"> </w:t>
      </w:r>
      <w:r w:rsidRPr="00E1039F">
        <w:rPr>
          <w:sz w:val="16"/>
          <w:szCs w:val="16"/>
        </w:rPr>
        <w:t xml:space="preserve">Carestream. Online at: </w:t>
      </w:r>
      <w:hyperlink r:id="rId98" w:history="1">
        <w:r w:rsidRPr="00E1039F">
          <w:rPr>
            <w:rStyle w:val="Hyperlink"/>
            <w:sz w:val="16"/>
            <w:szCs w:val="16"/>
          </w:rPr>
          <w:t>https://www.carestream.com/blog/2017/12/26/diagnostic-imaging-and-early-detection-of-cancer/</w:t>
        </w:r>
      </w:hyperlink>
      <w:r w:rsidRPr="00E1039F">
        <w:rPr>
          <w:sz w:val="16"/>
          <w:szCs w:val="16"/>
        </w:rPr>
        <w:t xml:space="preserve"> </w:t>
      </w:r>
    </w:p>
  </w:footnote>
  <w:footnote w:id="101">
    <w:p w14:paraId="4BCFF5B2" w14:textId="068360C6" w:rsidR="00663FBB" w:rsidRPr="009A7F76" w:rsidRDefault="00663FBB" w:rsidP="00A632E9">
      <w:pPr>
        <w:pStyle w:val="FootnoteText"/>
        <w:rPr>
          <w:sz w:val="16"/>
          <w:szCs w:val="16"/>
        </w:rPr>
      </w:pPr>
      <w:r w:rsidRPr="00E1039F">
        <w:rPr>
          <w:rStyle w:val="FootnoteReference"/>
          <w:sz w:val="16"/>
          <w:szCs w:val="16"/>
        </w:rPr>
        <w:footnoteRef/>
      </w:r>
      <w:r w:rsidRPr="00E1039F">
        <w:rPr>
          <w:sz w:val="16"/>
          <w:szCs w:val="16"/>
        </w:rPr>
        <w:t xml:space="preserve"> “Clinical research has shown that in comparison to a PET scan alone, PET/CT technology provides new information that can alter a patient's treatment plan to better target the cancer in approximately one-third of the cases. In one example, the PET/CT scan of a lung cancer patient revealed not only the original tumor on the lung—which a previous CT scan had found—but an additional tumor the CT missed: a small, early stage lesion in the neck. Based on the CT alone, the doctor would have recommended surgery, but the additional tumor found by PET/CT indicated that the cancer had spread and was inoperable. Based on this information, the doctor proceeded with radiation therapy, giving the patient a better chance of survival.” Case study reference from Sandford Health available online at: </w:t>
      </w:r>
      <w:hyperlink r:id="rId99" w:history="1">
        <w:r w:rsidRPr="00E1039F">
          <w:rPr>
            <w:rStyle w:val="Hyperlink"/>
            <w:sz w:val="16"/>
            <w:szCs w:val="16"/>
          </w:rPr>
          <w:t>https://stanford</w:t>
        </w:r>
        <w:r>
          <w:rPr>
            <w:rStyle w:val="Hyperlink"/>
            <w:sz w:val="16"/>
            <w:szCs w:val="16"/>
          </w:rPr>
          <w:t>health care</w:t>
        </w:r>
        <w:r w:rsidRPr="00E1039F">
          <w:rPr>
            <w:rStyle w:val="Hyperlink"/>
            <w:sz w:val="16"/>
            <w:szCs w:val="16"/>
          </w:rPr>
          <w:t>.org/medical-tests/p/pet-</w:t>
        </w:r>
        <w:proofErr w:type="spellStart"/>
        <w:r w:rsidRPr="00E1039F">
          <w:rPr>
            <w:rStyle w:val="Hyperlink"/>
            <w:sz w:val="16"/>
            <w:szCs w:val="16"/>
          </w:rPr>
          <w:t>ct</w:t>
        </w:r>
        <w:proofErr w:type="spellEnd"/>
        <w:r w:rsidRPr="00E1039F">
          <w:rPr>
            <w:rStyle w:val="Hyperlink"/>
            <w:sz w:val="16"/>
            <w:szCs w:val="16"/>
          </w:rPr>
          <w:t>-scan/what-to-expect.html</w:t>
        </w:r>
      </w:hyperlink>
      <w:r>
        <w:rPr>
          <w:sz w:val="16"/>
          <w:szCs w:val="16"/>
        </w:rPr>
        <w:t xml:space="preserve"> </w:t>
      </w:r>
    </w:p>
  </w:footnote>
  <w:footnote w:id="102">
    <w:p w14:paraId="041185B5" w14:textId="68615B73" w:rsidR="00663FBB" w:rsidRPr="005E20FA" w:rsidRDefault="00663FBB" w:rsidP="00A632E9">
      <w:pPr>
        <w:pStyle w:val="FootnoteText"/>
        <w:rPr>
          <w:sz w:val="16"/>
          <w:szCs w:val="16"/>
        </w:rPr>
      </w:pPr>
      <w:r w:rsidRPr="005E20FA">
        <w:rPr>
          <w:rStyle w:val="FootnoteReference"/>
          <w:sz w:val="16"/>
          <w:szCs w:val="16"/>
        </w:rPr>
        <w:footnoteRef/>
      </w:r>
      <w:r w:rsidRPr="005E20FA">
        <w:rPr>
          <w:sz w:val="16"/>
          <w:szCs w:val="16"/>
        </w:rPr>
        <w:t xml:space="preserve"> Griffeth LK. </w:t>
      </w:r>
      <w:hyperlink r:id="rId100" w:history="1">
        <w:r w:rsidRPr="00216F8D">
          <w:rPr>
            <w:rStyle w:val="Hyperlink"/>
            <w:color w:val="auto"/>
            <w:sz w:val="16"/>
            <w:szCs w:val="16"/>
            <w:u w:val="none"/>
          </w:rPr>
          <w:t>Use of PET-CT scanning in cancer patients: technical and practical considerations.</w:t>
        </w:r>
      </w:hyperlink>
      <w:r w:rsidRPr="00216F8D">
        <w:rPr>
          <w:sz w:val="16"/>
          <w:szCs w:val="16"/>
        </w:rPr>
        <w:t xml:space="preserve"> Proc </w:t>
      </w:r>
      <w:r w:rsidRPr="005E20FA">
        <w:rPr>
          <w:sz w:val="16"/>
          <w:szCs w:val="16"/>
        </w:rPr>
        <w:t>(</w:t>
      </w:r>
      <w:proofErr w:type="spellStart"/>
      <w:r w:rsidRPr="005E20FA">
        <w:rPr>
          <w:sz w:val="16"/>
          <w:szCs w:val="16"/>
        </w:rPr>
        <w:t>Bayl</w:t>
      </w:r>
      <w:proofErr w:type="spellEnd"/>
      <w:r w:rsidRPr="005E20FA">
        <w:rPr>
          <w:sz w:val="16"/>
          <w:szCs w:val="16"/>
        </w:rPr>
        <w:t xml:space="preserve"> Univ Med Cent). 2005;18(4):321-330. doi:10.1080/08998280.2005.11928089. Online at: </w:t>
      </w:r>
      <w:hyperlink r:id="rId101" w:history="1">
        <w:r w:rsidRPr="005E20FA">
          <w:rPr>
            <w:rStyle w:val="Hyperlink"/>
            <w:sz w:val="16"/>
            <w:szCs w:val="16"/>
          </w:rPr>
          <w:t>https://www.ncbi.nlm.nih.gov/pmc/articles/PMC1255942/</w:t>
        </w:r>
      </w:hyperlink>
      <w:r w:rsidRPr="005E20FA">
        <w:rPr>
          <w:sz w:val="16"/>
          <w:szCs w:val="16"/>
        </w:rPr>
        <w:t xml:space="preserve"> </w:t>
      </w:r>
    </w:p>
  </w:footnote>
  <w:footnote w:id="103">
    <w:p w14:paraId="134E2535" w14:textId="4B474C1D" w:rsidR="00663FBB" w:rsidRPr="005E20FA" w:rsidRDefault="00663FBB" w:rsidP="00115ED6">
      <w:pPr>
        <w:pStyle w:val="FootnoteText"/>
        <w:rPr>
          <w:sz w:val="16"/>
          <w:szCs w:val="16"/>
        </w:rPr>
      </w:pPr>
      <w:r w:rsidRPr="005E20FA">
        <w:rPr>
          <w:rStyle w:val="FootnoteReference"/>
          <w:sz w:val="16"/>
          <w:szCs w:val="16"/>
        </w:rPr>
        <w:footnoteRef/>
      </w:r>
      <w:r w:rsidRPr="005E20FA">
        <w:rPr>
          <w:sz w:val="16"/>
          <w:szCs w:val="16"/>
        </w:rPr>
        <w:t xml:space="preserve"> Vijayakumar S, Yang J, Nittala MR, Velazquez AE, Huddleston BL, </w:t>
      </w:r>
      <w:proofErr w:type="spellStart"/>
      <w:r w:rsidRPr="005E20FA">
        <w:rPr>
          <w:sz w:val="16"/>
          <w:szCs w:val="16"/>
        </w:rPr>
        <w:t>Rugnath</w:t>
      </w:r>
      <w:proofErr w:type="spellEnd"/>
      <w:r w:rsidRPr="005E20FA">
        <w:rPr>
          <w:sz w:val="16"/>
          <w:szCs w:val="16"/>
        </w:rPr>
        <w:t xml:space="preserve"> NA, Adari N, Yajurvedi AK, Komanduri A, Yang CC, Duggar WN, Berlin WP, Duszak R, Vijayakumar V. </w:t>
      </w:r>
      <w:hyperlink r:id="rId102" w:history="1">
        <w:r w:rsidRPr="00364C6A">
          <w:rPr>
            <w:rStyle w:val="Hyperlink"/>
            <w:color w:val="auto"/>
            <w:sz w:val="16"/>
            <w:szCs w:val="16"/>
            <w:u w:val="none"/>
          </w:rPr>
          <w:t>Changing Role of PET/CT in Cancer Care With a Focus on Radiotherapy.</w:t>
        </w:r>
      </w:hyperlink>
      <w:r w:rsidRPr="00364C6A">
        <w:rPr>
          <w:sz w:val="16"/>
          <w:szCs w:val="16"/>
        </w:rPr>
        <w:t xml:space="preserve"> </w:t>
      </w:r>
      <w:proofErr w:type="spellStart"/>
      <w:r w:rsidRPr="00364C6A">
        <w:rPr>
          <w:sz w:val="16"/>
          <w:szCs w:val="16"/>
        </w:rPr>
        <w:t>Cureus</w:t>
      </w:r>
      <w:proofErr w:type="spellEnd"/>
      <w:r w:rsidRPr="005E20FA">
        <w:rPr>
          <w:sz w:val="16"/>
          <w:szCs w:val="16"/>
        </w:rPr>
        <w:t>. 2022 Dec 22;14(12</w:t>
      </w:r>
      <w:proofErr w:type="gramStart"/>
      <w:r w:rsidRPr="005E20FA">
        <w:rPr>
          <w:sz w:val="16"/>
          <w:szCs w:val="16"/>
        </w:rPr>
        <w:t>):e</w:t>
      </w:r>
      <w:proofErr w:type="gramEnd"/>
      <w:r w:rsidRPr="005E20FA">
        <w:rPr>
          <w:sz w:val="16"/>
          <w:szCs w:val="16"/>
        </w:rPr>
        <w:t xml:space="preserve">32840. </w:t>
      </w:r>
      <w:proofErr w:type="spellStart"/>
      <w:r w:rsidRPr="005E20FA">
        <w:rPr>
          <w:sz w:val="16"/>
          <w:szCs w:val="16"/>
        </w:rPr>
        <w:t>doi</w:t>
      </w:r>
      <w:proofErr w:type="spellEnd"/>
      <w:r w:rsidRPr="005E20FA">
        <w:rPr>
          <w:sz w:val="16"/>
          <w:szCs w:val="16"/>
        </w:rPr>
        <w:t xml:space="preserve">: 10.7759/cureus.32840. PMID: 36694538; PMCID: PMC9867792. Online at: </w:t>
      </w:r>
      <w:hyperlink r:id="rId103" w:history="1">
        <w:r w:rsidRPr="005E20FA">
          <w:rPr>
            <w:rStyle w:val="Hyperlink"/>
            <w:sz w:val="16"/>
            <w:szCs w:val="16"/>
          </w:rPr>
          <w:t>https://www.ncbi.nlm.nih.gov/pmc/articles/PMC9867792/</w:t>
        </w:r>
      </w:hyperlink>
      <w:r w:rsidRPr="005E20FA">
        <w:rPr>
          <w:sz w:val="16"/>
          <w:szCs w:val="16"/>
        </w:rPr>
        <w:t xml:space="preserve"> </w:t>
      </w:r>
    </w:p>
  </w:footnote>
  <w:footnote w:id="104">
    <w:p w14:paraId="04DD5A40" w14:textId="2A52CC16" w:rsidR="00663FBB" w:rsidRPr="005E20FA" w:rsidRDefault="00663FBB" w:rsidP="001531EF">
      <w:pPr>
        <w:pStyle w:val="FootnoteText"/>
        <w:rPr>
          <w:sz w:val="16"/>
          <w:szCs w:val="16"/>
        </w:rPr>
      </w:pPr>
      <w:r w:rsidRPr="005E20FA">
        <w:rPr>
          <w:rStyle w:val="FootnoteReference"/>
          <w:sz w:val="16"/>
          <w:szCs w:val="16"/>
        </w:rPr>
        <w:footnoteRef/>
      </w:r>
      <w:r w:rsidRPr="005E20FA">
        <w:rPr>
          <w:sz w:val="16"/>
          <w:szCs w:val="16"/>
        </w:rPr>
        <w:t xml:space="preserve"> </w:t>
      </w:r>
      <w:hyperlink r:id="rId104" w:history="1">
        <w:r w:rsidRPr="00ED2CB5">
          <w:rPr>
            <w:rStyle w:val="Hyperlink"/>
            <w:color w:val="auto"/>
            <w:sz w:val="16"/>
            <w:szCs w:val="16"/>
            <w:u w:val="none"/>
          </w:rPr>
          <w:t>Stanford Medicine Health Care on the role of PET/CT scans in oncology.</w:t>
        </w:r>
      </w:hyperlink>
      <w:r w:rsidRPr="00ED2CB5">
        <w:rPr>
          <w:sz w:val="16"/>
          <w:szCs w:val="16"/>
        </w:rPr>
        <w:t xml:space="preserve"> Online </w:t>
      </w:r>
      <w:r w:rsidRPr="005E20FA">
        <w:rPr>
          <w:sz w:val="16"/>
          <w:szCs w:val="16"/>
        </w:rPr>
        <w:t xml:space="preserve">at: </w:t>
      </w:r>
      <w:hyperlink r:id="rId105" w:history="1">
        <w:r w:rsidR="00ED2CB5" w:rsidRPr="004860E7">
          <w:rPr>
            <w:rStyle w:val="Hyperlink"/>
            <w:sz w:val="16"/>
            <w:szCs w:val="16"/>
          </w:rPr>
          <w:t>https://stanfordhealthcare.org/medical-tests/p/pet-ct-scan/what-to-expect/pet-ct-scan-for-cancer.html</w:t>
        </w:r>
      </w:hyperlink>
      <w:r w:rsidRPr="005E20FA">
        <w:rPr>
          <w:sz w:val="16"/>
          <w:szCs w:val="16"/>
        </w:rPr>
        <w:t xml:space="preserve"> </w:t>
      </w:r>
    </w:p>
  </w:footnote>
  <w:footnote w:id="105">
    <w:p w14:paraId="3ADBFBC1" w14:textId="77777777" w:rsidR="00663FBB" w:rsidRPr="005E20FA" w:rsidRDefault="00663FBB" w:rsidP="001531EF">
      <w:pPr>
        <w:pStyle w:val="FootnoteText"/>
        <w:rPr>
          <w:sz w:val="16"/>
          <w:szCs w:val="16"/>
        </w:rPr>
      </w:pPr>
      <w:r w:rsidRPr="005E20FA">
        <w:rPr>
          <w:rStyle w:val="FootnoteReference"/>
          <w:sz w:val="16"/>
          <w:szCs w:val="16"/>
        </w:rPr>
        <w:footnoteRef/>
      </w:r>
      <w:r w:rsidRPr="005E20FA">
        <w:rPr>
          <w:sz w:val="16"/>
          <w:szCs w:val="16"/>
        </w:rPr>
        <w:t xml:space="preserve"> </w:t>
      </w:r>
      <w:r w:rsidRPr="005E20FA">
        <w:rPr>
          <w:i/>
          <w:iCs/>
          <w:sz w:val="16"/>
          <w:szCs w:val="16"/>
        </w:rPr>
        <w:t>Ibid.</w:t>
      </w:r>
    </w:p>
  </w:footnote>
  <w:footnote w:id="106">
    <w:p w14:paraId="404740C9" w14:textId="2BE19720" w:rsidR="00663FBB" w:rsidRPr="005E20FA" w:rsidRDefault="00663FBB" w:rsidP="00A632E9">
      <w:pPr>
        <w:pStyle w:val="FootnoteText"/>
        <w:rPr>
          <w:sz w:val="16"/>
          <w:szCs w:val="16"/>
        </w:rPr>
      </w:pPr>
      <w:r w:rsidRPr="005E20FA">
        <w:rPr>
          <w:rStyle w:val="FootnoteReference"/>
          <w:sz w:val="16"/>
          <w:szCs w:val="16"/>
        </w:rPr>
        <w:footnoteRef/>
      </w:r>
      <w:r w:rsidRPr="00FB717C">
        <w:rPr>
          <w:sz w:val="16"/>
          <w:szCs w:val="16"/>
        </w:rPr>
        <w:t xml:space="preserve"> Slomka, P., Berman, D.S., Alexanderson, E. et al. </w:t>
      </w:r>
      <w:hyperlink r:id="rId106" w:history="1">
        <w:r w:rsidRPr="00344D25">
          <w:rPr>
            <w:rStyle w:val="Hyperlink"/>
            <w:color w:val="auto"/>
            <w:sz w:val="16"/>
            <w:szCs w:val="16"/>
            <w:u w:val="none"/>
          </w:rPr>
          <w:t>The role of PET quantification in cardiovascular imaging.</w:t>
        </w:r>
      </w:hyperlink>
      <w:r w:rsidRPr="00344D25">
        <w:rPr>
          <w:sz w:val="16"/>
          <w:szCs w:val="16"/>
        </w:rPr>
        <w:t xml:space="preserve"> Clin </w:t>
      </w:r>
      <w:proofErr w:type="spellStart"/>
      <w:r w:rsidRPr="00344D25">
        <w:rPr>
          <w:sz w:val="16"/>
          <w:szCs w:val="16"/>
        </w:rPr>
        <w:t>Transl</w:t>
      </w:r>
      <w:proofErr w:type="spellEnd"/>
      <w:r w:rsidRPr="00344D25">
        <w:rPr>
          <w:sz w:val="16"/>
          <w:szCs w:val="16"/>
        </w:rPr>
        <w:t xml:space="preserve"> </w:t>
      </w:r>
      <w:r w:rsidRPr="005E20FA">
        <w:rPr>
          <w:sz w:val="16"/>
          <w:szCs w:val="16"/>
        </w:rPr>
        <w:t xml:space="preserve">Imaging 2, 343–358 (2014). Online at: </w:t>
      </w:r>
      <w:hyperlink r:id="rId107" w:history="1">
        <w:r w:rsidRPr="005E20FA">
          <w:rPr>
            <w:rStyle w:val="Hyperlink"/>
            <w:sz w:val="16"/>
            <w:szCs w:val="16"/>
          </w:rPr>
          <w:t>https://pubmed.ncbi.nlm.nih.gov/26247005/</w:t>
        </w:r>
      </w:hyperlink>
      <w:r w:rsidRPr="005E20FA">
        <w:rPr>
          <w:sz w:val="16"/>
          <w:szCs w:val="16"/>
        </w:rPr>
        <w:t xml:space="preserve"> </w:t>
      </w:r>
    </w:p>
  </w:footnote>
  <w:footnote w:id="107">
    <w:p w14:paraId="088D2442" w14:textId="150292C4" w:rsidR="00663FBB" w:rsidRPr="005E20FA" w:rsidRDefault="00663FBB" w:rsidP="00A632E9">
      <w:pPr>
        <w:pStyle w:val="FootnoteText"/>
        <w:rPr>
          <w:sz w:val="16"/>
          <w:szCs w:val="16"/>
        </w:rPr>
      </w:pPr>
      <w:r w:rsidRPr="005E20FA">
        <w:rPr>
          <w:rStyle w:val="FootnoteReference"/>
          <w:sz w:val="16"/>
          <w:szCs w:val="16"/>
        </w:rPr>
        <w:footnoteRef/>
      </w:r>
      <w:r w:rsidRPr="005E20FA">
        <w:rPr>
          <w:sz w:val="16"/>
          <w:szCs w:val="16"/>
        </w:rPr>
        <w:t xml:space="preserve"> Strait JB, </w:t>
      </w:r>
      <w:proofErr w:type="spellStart"/>
      <w:r w:rsidRPr="005E20FA">
        <w:rPr>
          <w:sz w:val="16"/>
          <w:szCs w:val="16"/>
        </w:rPr>
        <w:t>Lakatta</w:t>
      </w:r>
      <w:proofErr w:type="spellEnd"/>
      <w:r w:rsidRPr="005E20FA">
        <w:rPr>
          <w:sz w:val="16"/>
          <w:szCs w:val="16"/>
        </w:rPr>
        <w:t xml:space="preserve"> EG. </w:t>
      </w:r>
      <w:hyperlink r:id="rId108" w:history="1">
        <w:r w:rsidRPr="000427D5">
          <w:rPr>
            <w:rStyle w:val="Hyperlink"/>
            <w:color w:val="auto"/>
            <w:sz w:val="16"/>
            <w:szCs w:val="16"/>
            <w:u w:val="none"/>
          </w:rPr>
          <w:t>Aging-associated cardiovascular changes and their relationship to heart failure.</w:t>
        </w:r>
      </w:hyperlink>
      <w:r w:rsidRPr="000427D5">
        <w:rPr>
          <w:sz w:val="16"/>
          <w:szCs w:val="16"/>
        </w:rPr>
        <w:t xml:space="preserve"> Heart </w:t>
      </w:r>
      <w:r w:rsidRPr="005E20FA">
        <w:rPr>
          <w:sz w:val="16"/>
          <w:szCs w:val="16"/>
        </w:rPr>
        <w:t xml:space="preserve">Fail Clin. 2012;8(1):143-164. </w:t>
      </w:r>
      <w:proofErr w:type="gramStart"/>
      <w:r w:rsidRPr="005E20FA">
        <w:rPr>
          <w:sz w:val="16"/>
          <w:szCs w:val="16"/>
        </w:rPr>
        <w:t>doi:10.1016/j.hfc</w:t>
      </w:r>
      <w:proofErr w:type="gramEnd"/>
      <w:r w:rsidRPr="005E20FA">
        <w:rPr>
          <w:sz w:val="16"/>
          <w:szCs w:val="16"/>
        </w:rPr>
        <w:t xml:space="preserve">.2011.08.011. Online at: </w:t>
      </w:r>
      <w:hyperlink r:id="rId109" w:history="1">
        <w:r w:rsidRPr="005E20FA">
          <w:rPr>
            <w:rStyle w:val="Hyperlink"/>
            <w:sz w:val="16"/>
            <w:szCs w:val="16"/>
          </w:rPr>
          <w:t>https://pubmed.ncbi.nlm.nih.gov/22108734/</w:t>
        </w:r>
      </w:hyperlink>
      <w:r w:rsidRPr="005E20FA">
        <w:rPr>
          <w:sz w:val="16"/>
          <w:szCs w:val="16"/>
        </w:rPr>
        <w:t xml:space="preserve"> </w:t>
      </w:r>
    </w:p>
  </w:footnote>
  <w:footnote w:id="108">
    <w:p w14:paraId="29B4A529" w14:textId="03A789B1" w:rsidR="00663FBB" w:rsidRPr="005E20FA" w:rsidRDefault="00663FBB" w:rsidP="00A632E9">
      <w:pPr>
        <w:pStyle w:val="FootnoteText"/>
        <w:rPr>
          <w:sz w:val="16"/>
          <w:szCs w:val="16"/>
        </w:rPr>
      </w:pPr>
      <w:r w:rsidRPr="005E20FA">
        <w:rPr>
          <w:rStyle w:val="FootnoteReference"/>
          <w:sz w:val="16"/>
          <w:szCs w:val="16"/>
        </w:rPr>
        <w:footnoteRef/>
      </w:r>
      <w:r w:rsidRPr="005E20FA">
        <w:rPr>
          <w:sz w:val="16"/>
          <w:szCs w:val="16"/>
          <w:lang w:val="es-ES"/>
        </w:rPr>
        <w:t xml:space="preserve"> </w:t>
      </w:r>
      <w:proofErr w:type="spellStart"/>
      <w:r w:rsidRPr="005E20FA">
        <w:rPr>
          <w:sz w:val="16"/>
          <w:szCs w:val="16"/>
          <w:lang w:val="es-ES"/>
        </w:rPr>
        <w:t>Knaapen</w:t>
      </w:r>
      <w:proofErr w:type="spellEnd"/>
      <w:r w:rsidRPr="005E20FA">
        <w:rPr>
          <w:sz w:val="16"/>
          <w:szCs w:val="16"/>
          <w:lang w:val="es-ES"/>
        </w:rPr>
        <w:t xml:space="preserve"> P, de Haan S, </w:t>
      </w:r>
      <w:proofErr w:type="spellStart"/>
      <w:r w:rsidRPr="005E20FA">
        <w:rPr>
          <w:sz w:val="16"/>
          <w:szCs w:val="16"/>
          <w:lang w:val="es-ES"/>
        </w:rPr>
        <w:t>Hoekstra</w:t>
      </w:r>
      <w:proofErr w:type="spellEnd"/>
      <w:r w:rsidRPr="005E20FA">
        <w:rPr>
          <w:sz w:val="16"/>
          <w:szCs w:val="16"/>
          <w:lang w:val="es-ES"/>
        </w:rPr>
        <w:t xml:space="preserve"> OS, et al. </w:t>
      </w:r>
      <w:hyperlink r:id="rId110" w:history="1">
        <w:r w:rsidRPr="000427D5">
          <w:rPr>
            <w:rStyle w:val="Hyperlink"/>
            <w:color w:val="auto"/>
            <w:sz w:val="16"/>
            <w:szCs w:val="16"/>
            <w:u w:val="none"/>
          </w:rPr>
          <w:t>Cardiac PET-CT: advanced hybrid imaging for the detection of coronary artery disease.</w:t>
        </w:r>
      </w:hyperlink>
      <w:r w:rsidRPr="000427D5">
        <w:rPr>
          <w:sz w:val="16"/>
          <w:szCs w:val="16"/>
        </w:rPr>
        <w:t xml:space="preserve"> Neth </w:t>
      </w:r>
      <w:r w:rsidRPr="005E20FA">
        <w:rPr>
          <w:sz w:val="16"/>
          <w:szCs w:val="16"/>
        </w:rPr>
        <w:t xml:space="preserve">Heart J. 2010;18(2):90-98. doi:10.1007/BF03091744. Online at: </w:t>
      </w:r>
      <w:hyperlink r:id="rId111" w:history="1">
        <w:r w:rsidRPr="005E20FA">
          <w:rPr>
            <w:rStyle w:val="Hyperlink"/>
            <w:sz w:val="16"/>
            <w:szCs w:val="16"/>
          </w:rPr>
          <w:t>https://www.ncbi.nlm.nih.gov/pmc/articles/PMC2828569/</w:t>
        </w:r>
      </w:hyperlink>
      <w:r w:rsidRPr="005E20FA">
        <w:rPr>
          <w:sz w:val="16"/>
          <w:szCs w:val="16"/>
        </w:rPr>
        <w:t xml:space="preserve"> </w:t>
      </w:r>
    </w:p>
  </w:footnote>
  <w:footnote w:id="109">
    <w:p w14:paraId="2B070CA8" w14:textId="781CC90B" w:rsidR="00663FBB" w:rsidRPr="005E20FA" w:rsidRDefault="00663FBB" w:rsidP="00DB5D45">
      <w:pPr>
        <w:pStyle w:val="FootnoteText"/>
        <w:rPr>
          <w:sz w:val="16"/>
          <w:szCs w:val="16"/>
        </w:rPr>
      </w:pPr>
      <w:r w:rsidRPr="005E20FA">
        <w:rPr>
          <w:rStyle w:val="FootnoteReference"/>
          <w:sz w:val="16"/>
          <w:szCs w:val="16"/>
        </w:rPr>
        <w:footnoteRef/>
      </w:r>
      <w:r w:rsidRPr="005E20FA">
        <w:rPr>
          <w:sz w:val="16"/>
          <w:szCs w:val="16"/>
        </w:rPr>
        <w:t xml:space="preserve"> Ahmed I, </w:t>
      </w:r>
      <w:proofErr w:type="spellStart"/>
      <w:r w:rsidRPr="005E20FA">
        <w:rPr>
          <w:sz w:val="16"/>
          <w:szCs w:val="16"/>
        </w:rPr>
        <w:t>Devulapally</w:t>
      </w:r>
      <w:proofErr w:type="spellEnd"/>
      <w:r w:rsidRPr="005E20FA">
        <w:rPr>
          <w:sz w:val="16"/>
          <w:szCs w:val="16"/>
        </w:rPr>
        <w:t xml:space="preserve"> P. </w:t>
      </w:r>
      <w:hyperlink r:id="rId112" w:history="1">
        <w:r w:rsidRPr="00D935A7">
          <w:rPr>
            <w:rStyle w:val="Hyperlink"/>
            <w:color w:val="auto"/>
            <w:sz w:val="16"/>
            <w:szCs w:val="16"/>
            <w:u w:val="none"/>
          </w:rPr>
          <w:t>Nuclear Medicine PET Scan Cardiovascular Assessment, Protocols, and Interpretation</w:t>
        </w:r>
      </w:hyperlink>
      <w:r w:rsidRPr="00D935A7">
        <w:rPr>
          <w:sz w:val="16"/>
          <w:szCs w:val="16"/>
        </w:rPr>
        <w:t>. [</w:t>
      </w:r>
      <w:r w:rsidRPr="005E20FA">
        <w:rPr>
          <w:sz w:val="16"/>
          <w:szCs w:val="16"/>
        </w:rPr>
        <w:t xml:space="preserve">Updated 2023 Jul 30]. In: </w:t>
      </w:r>
      <w:proofErr w:type="spellStart"/>
      <w:r w:rsidRPr="005E20FA">
        <w:rPr>
          <w:sz w:val="16"/>
          <w:szCs w:val="16"/>
        </w:rPr>
        <w:t>StatPearls</w:t>
      </w:r>
      <w:proofErr w:type="spellEnd"/>
      <w:r w:rsidRPr="005E20FA">
        <w:rPr>
          <w:sz w:val="16"/>
          <w:szCs w:val="16"/>
        </w:rPr>
        <w:t xml:space="preserve"> [Internet]. Treasure Island (FL): </w:t>
      </w:r>
      <w:proofErr w:type="spellStart"/>
      <w:r w:rsidRPr="005E20FA">
        <w:rPr>
          <w:sz w:val="16"/>
          <w:szCs w:val="16"/>
        </w:rPr>
        <w:t>StatPearls</w:t>
      </w:r>
      <w:proofErr w:type="spellEnd"/>
      <w:r w:rsidRPr="005E20FA">
        <w:rPr>
          <w:sz w:val="16"/>
          <w:szCs w:val="16"/>
        </w:rPr>
        <w:t xml:space="preserve"> Publishing; 2023 Jan-. Available from: </w:t>
      </w:r>
      <w:hyperlink r:id="rId113" w:history="1">
        <w:r w:rsidRPr="005E20FA">
          <w:rPr>
            <w:rStyle w:val="Hyperlink"/>
            <w:sz w:val="16"/>
            <w:szCs w:val="16"/>
          </w:rPr>
          <w:t>https://www.ncbi.nlm.nih.gov/books/NBK570631/</w:t>
        </w:r>
      </w:hyperlink>
      <w:r w:rsidRPr="005E20FA">
        <w:rPr>
          <w:sz w:val="16"/>
          <w:szCs w:val="16"/>
        </w:rPr>
        <w:t xml:space="preserve">. </w:t>
      </w:r>
    </w:p>
  </w:footnote>
  <w:footnote w:id="110">
    <w:p w14:paraId="487D432D" w14:textId="77777777" w:rsidR="00663FBB" w:rsidRDefault="00663FBB" w:rsidP="00DB5D45">
      <w:pPr>
        <w:pStyle w:val="FootnoteText"/>
      </w:pPr>
      <w:r w:rsidRPr="005E20FA">
        <w:rPr>
          <w:rStyle w:val="FootnoteReference"/>
          <w:sz w:val="16"/>
          <w:szCs w:val="16"/>
        </w:rPr>
        <w:footnoteRef/>
      </w:r>
      <w:r w:rsidRPr="005E20FA">
        <w:rPr>
          <w:sz w:val="16"/>
          <w:szCs w:val="16"/>
        </w:rPr>
        <w:t xml:space="preserve"> </w:t>
      </w:r>
      <w:r w:rsidRPr="005E20FA">
        <w:rPr>
          <w:i/>
          <w:iCs/>
          <w:sz w:val="16"/>
          <w:szCs w:val="16"/>
        </w:rPr>
        <w:t>Ibid.</w:t>
      </w:r>
    </w:p>
  </w:footnote>
  <w:footnote w:id="111">
    <w:p w14:paraId="1230DDAE" w14:textId="088E2A00" w:rsidR="00663FBB" w:rsidRPr="005E20FA" w:rsidRDefault="00663FBB" w:rsidP="00A632E9">
      <w:pPr>
        <w:rPr>
          <w:sz w:val="16"/>
          <w:szCs w:val="16"/>
        </w:rPr>
      </w:pPr>
      <w:r w:rsidRPr="005E20FA">
        <w:rPr>
          <w:rStyle w:val="FootnoteReference"/>
          <w:sz w:val="16"/>
          <w:szCs w:val="16"/>
        </w:rPr>
        <w:footnoteRef/>
      </w:r>
      <w:r w:rsidRPr="005E20FA">
        <w:rPr>
          <w:sz w:val="16"/>
          <w:szCs w:val="16"/>
        </w:rPr>
        <w:t xml:space="preserve"> </w:t>
      </w:r>
      <w:r w:rsidRPr="005E20FA">
        <w:rPr>
          <w:color w:val="212121"/>
          <w:sz w:val="16"/>
          <w:szCs w:val="16"/>
          <w:shd w:val="clear" w:color="auto" w:fill="FFFFFF"/>
        </w:rPr>
        <w:t xml:space="preserve">Visser F. C. (2001). </w:t>
      </w:r>
      <w:hyperlink r:id="rId114" w:history="1">
        <w:r w:rsidRPr="007F6BB9">
          <w:rPr>
            <w:rStyle w:val="Hyperlink"/>
            <w:color w:val="auto"/>
            <w:sz w:val="16"/>
            <w:szCs w:val="16"/>
            <w:u w:val="none"/>
            <w:shd w:val="clear" w:color="auto" w:fill="FFFFFF"/>
          </w:rPr>
          <w:t>Imaging of cardiac metabolism using radio-labelled glucose, fatty acids and acetate. </w:t>
        </w:r>
      </w:hyperlink>
      <w:r w:rsidRPr="007F6BB9">
        <w:rPr>
          <w:i/>
          <w:iCs/>
          <w:sz w:val="16"/>
          <w:szCs w:val="16"/>
        </w:rPr>
        <w:t xml:space="preserve">Coronary </w:t>
      </w:r>
      <w:r w:rsidRPr="005E20FA">
        <w:rPr>
          <w:i/>
          <w:iCs/>
          <w:color w:val="212121"/>
          <w:sz w:val="16"/>
          <w:szCs w:val="16"/>
        </w:rPr>
        <w:t>artery disease</w:t>
      </w:r>
      <w:r w:rsidRPr="005E20FA">
        <w:rPr>
          <w:color w:val="212121"/>
          <w:sz w:val="16"/>
          <w:szCs w:val="16"/>
          <w:shd w:val="clear" w:color="auto" w:fill="FFFFFF"/>
        </w:rPr>
        <w:t>,</w:t>
      </w:r>
      <w:r w:rsidRPr="005E20FA">
        <w:rPr>
          <w:rStyle w:val="apple-converted-space"/>
          <w:color w:val="212121"/>
          <w:sz w:val="16"/>
          <w:szCs w:val="16"/>
          <w:shd w:val="clear" w:color="auto" w:fill="FFFFFF"/>
        </w:rPr>
        <w:t> </w:t>
      </w:r>
      <w:r w:rsidRPr="005E20FA">
        <w:rPr>
          <w:i/>
          <w:iCs/>
          <w:color w:val="212121"/>
          <w:sz w:val="16"/>
          <w:szCs w:val="16"/>
        </w:rPr>
        <w:t>12 Suppl 1</w:t>
      </w:r>
      <w:r w:rsidRPr="005E20FA">
        <w:rPr>
          <w:color w:val="212121"/>
          <w:sz w:val="16"/>
          <w:szCs w:val="16"/>
          <w:shd w:val="clear" w:color="auto" w:fill="FFFFFF"/>
        </w:rPr>
        <w:t xml:space="preserve">, S12–S18. Online at: </w:t>
      </w:r>
      <w:hyperlink r:id="rId115" w:history="1">
        <w:r w:rsidRPr="005E20FA">
          <w:rPr>
            <w:rStyle w:val="Hyperlink"/>
            <w:sz w:val="16"/>
            <w:szCs w:val="16"/>
            <w:shd w:val="clear" w:color="auto" w:fill="FFFFFF"/>
          </w:rPr>
          <w:t>https://pubmed.ncbi.nlm.nih.gov/11286301/</w:t>
        </w:r>
      </w:hyperlink>
      <w:r w:rsidRPr="005E20FA">
        <w:rPr>
          <w:color w:val="212121"/>
          <w:sz w:val="16"/>
          <w:szCs w:val="16"/>
          <w:shd w:val="clear" w:color="auto" w:fill="FFFFFF"/>
        </w:rPr>
        <w:t xml:space="preserve"> </w:t>
      </w:r>
    </w:p>
  </w:footnote>
  <w:footnote w:id="112">
    <w:p w14:paraId="77B51022" w14:textId="5DE77C91" w:rsidR="00663FBB" w:rsidRPr="005E20FA" w:rsidRDefault="00663FBB" w:rsidP="00A632E9">
      <w:pPr>
        <w:pStyle w:val="FootnoteText"/>
        <w:rPr>
          <w:sz w:val="16"/>
          <w:szCs w:val="16"/>
        </w:rPr>
      </w:pPr>
      <w:r w:rsidRPr="005E20FA">
        <w:rPr>
          <w:rStyle w:val="FootnoteReference"/>
          <w:sz w:val="16"/>
          <w:szCs w:val="16"/>
        </w:rPr>
        <w:footnoteRef/>
      </w:r>
      <w:r w:rsidRPr="005E20FA">
        <w:rPr>
          <w:sz w:val="16"/>
          <w:szCs w:val="16"/>
        </w:rPr>
        <w:t xml:space="preserve"> </w:t>
      </w:r>
      <w:r w:rsidRPr="005E20FA">
        <w:rPr>
          <w:color w:val="303030"/>
          <w:sz w:val="16"/>
          <w:szCs w:val="16"/>
          <w:shd w:val="clear" w:color="auto" w:fill="FFFFFF"/>
        </w:rPr>
        <w:t xml:space="preserve">Zhuang, H., &amp; Codreanu, I. (2015). </w:t>
      </w:r>
      <w:hyperlink r:id="rId116" w:history="1">
        <w:r w:rsidRPr="007F6BB9">
          <w:rPr>
            <w:rStyle w:val="Hyperlink"/>
            <w:color w:val="auto"/>
            <w:sz w:val="16"/>
            <w:szCs w:val="16"/>
            <w:u w:val="none"/>
            <w:shd w:val="clear" w:color="auto" w:fill="FFFFFF"/>
          </w:rPr>
          <w:t>Growing applications of FDG PET-CT imaging in non-oncologic conditions. </w:t>
        </w:r>
      </w:hyperlink>
      <w:r w:rsidRPr="007F6BB9">
        <w:rPr>
          <w:i/>
          <w:iCs/>
          <w:sz w:val="16"/>
          <w:szCs w:val="16"/>
        </w:rPr>
        <w:t xml:space="preserve">Journal </w:t>
      </w:r>
      <w:r w:rsidRPr="005E20FA">
        <w:rPr>
          <w:i/>
          <w:iCs/>
          <w:color w:val="303030"/>
          <w:sz w:val="16"/>
          <w:szCs w:val="16"/>
        </w:rPr>
        <w:t>of biomedical research</w:t>
      </w:r>
      <w:r w:rsidRPr="005E20FA">
        <w:rPr>
          <w:color w:val="303030"/>
          <w:sz w:val="16"/>
          <w:szCs w:val="16"/>
          <w:shd w:val="clear" w:color="auto" w:fill="FFFFFF"/>
        </w:rPr>
        <w:t>,</w:t>
      </w:r>
      <w:r w:rsidRPr="005E20FA">
        <w:rPr>
          <w:rStyle w:val="apple-converted-space"/>
          <w:color w:val="303030"/>
          <w:sz w:val="16"/>
          <w:szCs w:val="16"/>
          <w:shd w:val="clear" w:color="auto" w:fill="FFFFFF"/>
        </w:rPr>
        <w:t> </w:t>
      </w:r>
      <w:r w:rsidRPr="005E20FA">
        <w:rPr>
          <w:i/>
          <w:iCs/>
          <w:color w:val="303030"/>
          <w:sz w:val="16"/>
          <w:szCs w:val="16"/>
        </w:rPr>
        <w:t>29</w:t>
      </w:r>
      <w:r w:rsidRPr="005E20FA">
        <w:rPr>
          <w:color w:val="303030"/>
          <w:sz w:val="16"/>
          <w:szCs w:val="16"/>
          <w:shd w:val="clear" w:color="auto" w:fill="FFFFFF"/>
        </w:rPr>
        <w:t xml:space="preserve">(3), 189–202. Online at: </w:t>
      </w:r>
      <w:hyperlink r:id="rId117" w:history="1">
        <w:r w:rsidRPr="005E20FA">
          <w:rPr>
            <w:rStyle w:val="Hyperlink"/>
            <w:sz w:val="16"/>
            <w:szCs w:val="16"/>
            <w:shd w:val="clear" w:color="auto" w:fill="FFFFFF"/>
          </w:rPr>
          <w:t>https://www.ncbi.nlm.nih.gov/pmc/articles/PMC4449487/</w:t>
        </w:r>
      </w:hyperlink>
    </w:p>
  </w:footnote>
  <w:footnote w:id="113">
    <w:p w14:paraId="7838E3D5" w14:textId="56F3C170" w:rsidR="00663FBB" w:rsidRPr="005E20FA" w:rsidRDefault="00663FBB" w:rsidP="00A632E9">
      <w:pPr>
        <w:pStyle w:val="FootnoteText"/>
        <w:rPr>
          <w:sz w:val="16"/>
          <w:szCs w:val="16"/>
        </w:rPr>
      </w:pPr>
      <w:r w:rsidRPr="005E20FA">
        <w:rPr>
          <w:rStyle w:val="FootnoteReference"/>
          <w:sz w:val="16"/>
          <w:szCs w:val="16"/>
        </w:rPr>
        <w:footnoteRef/>
      </w:r>
      <w:r w:rsidRPr="005E20FA">
        <w:rPr>
          <w:sz w:val="16"/>
          <w:szCs w:val="16"/>
        </w:rPr>
        <w:t xml:space="preserve"> </w:t>
      </w:r>
      <w:proofErr w:type="spellStart"/>
      <w:r w:rsidRPr="005E20FA">
        <w:rPr>
          <w:color w:val="212121"/>
          <w:sz w:val="16"/>
          <w:szCs w:val="16"/>
          <w:shd w:val="clear" w:color="auto" w:fill="FFFFFF"/>
        </w:rPr>
        <w:t>Bax</w:t>
      </w:r>
      <w:proofErr w:type="spellEnd"/>
      <w:r w:rsidRPr="005E20FA">
        <w:rPr>
          <w:color w:val="212121"/>
          <w:sz w:val="16"/>
          <w:szCs w:val="16"/>
          <w:shd w:val="clear" w:color="auto" w:fill="FFFFFF"/>
        </w:rPr>
        <w:t xml:space="preserve">, J. J., Patton, J. A., </w:t>
      </w:r>
      <w:proofErr w:type="spellStart"/>
      <w:r w:rsidRPr="005E20FA">
        <w:rPr>
          <w:color w:val="212121"/>
          <w:sz w:val="16"/>
          <w:szCs w:val="16"/>
          <w:shd w:val="clear" w:color="auto" w:fill="FFFFFF"/>
        </w:rPr>
        <w:t>Poldermans</w:t>
      </w:r>
      <w:proofErr w:type="spellEnd"/>
      <w:r w:rsidRPr="005E20FA">
        <w:rPr>
          <w:color w:val="212121"/>
          <w:sz w:val="16"/>
          <w:szCs w:val="16"/>
          <w:shd w:val="clear" w:color="auto" w:fill="FFFFFF"/>
        </w:rPr>
        <w:t xml:space="preserve">, D., Elhendy, A., &amp; Sandler, M. P. (2000). </w:t>
      </w:r>
      <w:hyperlink r:id="rId118" w:history="1">
        <w:r w:rsidRPr="00FC1B84">
          <w:rPr>
            <w:rStyle w:val="Hyperlink"/>
            <w:color w:val="auto"/>
            <w:sz w:val="16"/>
            <w:szCs w:val="16"/>
            <w:u w:val="none"/>
            <w:shd w:val="clear" w:color="auto" w:fill="FFFFFF"/>
          </w:rPr>
          <w:t>18-Fluorodeoxyglucose imaging with positron emission tomography and single photon emission computed tomography: cardiac applications. </w:t>
        </w:r>
      </w:hyperlink>
      <w:r w:rsidRPr="00FC1B84">
        <w:rPr>
          <w:i/>
          <w:iCs/>
          <w:sz w:val="16"/>
          <w:szCs w:val="16"/>
        </w:rPr>
        <w:t xml:space="preserve">Seminars </w:t>
      </w:r>
      <w:r w:rsidRPr="005E20FA">
        <w:rPr>
          <w:i/>
          <w:iCs/>
          <w:color w:val="212121"/>
          <w:sz w:val="16"/>
          <w:szCs w:val="16"/>
        </w:rPr>
        <w:t>in nuclear medicine</w:t>
      </w:r>
      <w:r w:rsidRPr="005E20FA">
        <w:rPr>
          <w:color w:val="212121"/>
          <w:sz w:val="16"/>
          <w:szCs w:val="16"/>
          <w:shd w:val="clear" w:color="auto" w:fill="FFFFFF"/>
        </w:rPr>
        <w:t>,</w:t>
      </w:r>
      <w:r w:rsidRPr="005E20FA">
        <w:rPr>
          <w:rStyle w:val="apple-converted-space"/>
          <w:color w:val="212121"/>
          <w:sz w:val="16"/>
          <w:szCs w:val="16"/>
          <w:shd w:val="clear" w:color="auto" w:fill="FFFFFF"/>
        </w:rPr>
        <w:t> </w:t>
      </w:r>
      <w:r w:rsidRPr="005E20FA">
        <w:rPr>
          <w:i/>
          <w:iCs/>
          <w:color w:val="212121"/>
          <w:sz w:val="16"/>
          <w:szCs w:val="16"/>
        </w:rPr>
        <w:t>30</w:t>
      </w:r>
      <w:r w:rsidRPr="005E20FA">
        <w:rPr>
          <w:color w:val="212121"/>
          <w:sz w:val="16"/>
          <w:szCs w:val="16"/>
          <w:shd w:val="clear" w:color="auto" w:fill="FFFFFF"/>
        </w:rPr>
        <w:t xml:space="preserve">(4), 281–298. Online at: </w:t>
      </w:r>
      <w:hyperlink r:id="rId119" w:history="1">
        <w:r w:rsidRPr="005E20FA">
          <w:rPr>
            <w:rStyle w:val="Hyperlink"/>
            <w:sz w:val="16"/>
            <w:szCs w:val="16"/>
            <w:shd w:val="clear" w:color="auto" w:fill="FFFFFF"/>
          </w:rPr>
          <w:t>https://pubmed.ncbi.nlm.nih.gov/11105929/</w:t>
        </w:r>
      </w:hyperlink>
    </w:p>
  </w:footnote>
  <w:footnote w:id="114">
    <w:p w14:paraId="39894968" w14:textId="16B306F4" w:rsidR="00663FBB" w:rsidRPr="005E20FA" w:rsidRDefault="00663FBB" w:rsidP="00A632E9">
      <w:pPr>
        <w:spacing w:after="0" w:line="240" w:lineRule="auto"/>
        <w:rPr>
          <w:sz w:val="16"/>
          <w:szCs w:val="16"/>
        </w:rPr>
      </w:pPr>
      <w:r w:rsidRPr="005E20FA">
        <w:rPr>
          <w:rStyle w:val="FootnoteReference"/>
          <w:sz w:val="16"/>
          <w:szCs w:val="16"/>
        </w:rPr>
        <w:footnoteRef/>
      </w:r>
      <w:r w:rsidRPr="005E20FA">
        <w:rPr>
          <w:sz w:val="16"/>
          <w:szCs w:val="16"/>
        </w:rPr>
        <w:t xml:space="preserve"> </w:t>
      </w:r>
      <w:r w:rsidRPr="005E20FA">
        <w:rPr>
          <w:color w:val="303030"/>
          <w:sz w:val="16"/>
          <w:szCs w:val="16"/>
          <w:shd w:val="clear" w:color="auto" w:fill="FFFFFF"/>
        </w:rPr>
        <w:t xml:space="preserve">Zhuang, H., &amp; Codreanu, I. (2015). </w:t>
      </w:r>
      <w:hyperlink r:id="rId120" w:history="1">
        <w:r w:rsidRPr="00FC1B84">
          <w:rPr>
            <w:rStyle w:val="Hyperlink"/>
            <w:color w:val="auto"/>
            <w:sz w:val="16"/>
            <w:szCs w:val="16"/>
            <w:u w:val="none"/>
            <w:shd w:val="clear" w:color="auto" w:fill="FFFFFF"/>
          </w:rPr>
          <w:t>Growing applications of FDG PET-CT imaging in non-oncologic conditions. </w:t>
        </w:r>
      </w:hyperlink>
      <w:r w:rsidRPr="00FC1B84">
        <w:rPr>
          <w:i/>
          <w:iCs/>
          <w:sz w:val="16"/>
          <w:szCs w:val="16"/>
        </w:rPr>
        <w:t xml:space="preserve">Journal </w:t>
      </w:r>
      <w:r w:rsidRPr="005E20FA">
        <w:rPr>
          <w:i/>
          <w:iCs/>
          <w:color w:val="303030"/>
          <w:sz w:val="16"/>
          <w:szCs w:val="16"/>
        </w:rPr>
        <w:t>of biomedical research</w:t>
      </w:r>
      <w:r w:rsidRPr="005E20FA">
        <w:rPr>
          <w:color w:val="303030"/>
          <w:sz w:val="16"/>
          <w:szCs w:val="16"/>
          <w:shd w:val="clear" w:color="auto" w:fill="FFFFFF"/>
        </w:rPr>
        <w:t>,</w:t>
      </w:r>
      <w:r w:rsidRPr="005E20FA">
        <w:rPr>
          <w:rStyle w:val="apple-converted-space"/>
          <w:color w:val="303030"/>
          <w:sz w:val="16"/>
          <w:szCs w:val="16"/>
          <w:shd w:val="clear" w:color="auto" w:fill="FFFFFF"/>
        </w:rPr>
        <w:t> </w:t>
      </w:r>
      <w:r w:rsidRPr="005E20FA">
        <w:rPr>
          <w:i/>
          <w:iCs/>
          <w:color w:val="303030"/>
          <w:sz w:val="16"/>
          <w:szCs w:val="16"/>
        </w:rPr>
        <w:t>29</w:t>
      </w:r>
      <w:r w:rsidRPr="005E20FA">
        <w:rPr>
          <w:color w:val="303030"/>
          <w:sz w:val="16"/>
          <w:szCs w:val="16"/>
          <w:shd w:val="clear" w:color="auto" w:fill="FFFFFF"/>
        </w:rPr>
        <w:t xml:space="preserve">(3), 189–202. Online at: </w:t>
      </w:r>
      <w:hyperlink r:id="rId121" w:history="1">
        <w:r w:rsidRPr="005E20FA">
          <w:rPr>
            <w:rStyle w:val="Hyperlink"/>
            <w:sz w:val="16"/>
            <w:szCs w:val="16"/>
            <w:shd w:val="clear" w:color="auto" w:fill="FFFFFF"/>
          </w:rPr>
          <w:t>https://www.ncbi.nlm.nih.gov/pmc/articles/PMC4449487/</w:t>
        </w:r>
      </w:hyperlink>
      <w:r w:rsidRPr="005E20FA">
        <w:rPr>
          <w:color w:val="303030"/>
          <w:sz w:val="16"/>
          <w:szCs w:val="16"/>
          <w:shd w:val="clear" w:color="auto" w:fill="FFFFFF"/>
        </w:rPr>
        <w:t xml:space="preserve"> </w:t>
      </w:r>
    </w:p>
  </w:footnote>
  <w:footnote w:id="115">
    <w:p w14:paraId="62D1EB54" w14:textId="7174F300" w:rsidR="00663FBB" w:rsidRPr="005E20FA" w:rsidRDefault="00663FBB" w:rsidP="00A632E9">
      <w:pPr>
        <w:spacing w:after="0" w:line="240" w:lineRule="auto"/>
        <w:rPr>
          <w:sz w:val="16"/>
          <w:szCs w:val="16"/>
        </w:rPr>
      </w:pPr>
      <w:r w:rsidRPr="005E20FA">
        <w:rPr>
          <w:rStyle w:val="FootnoteReference"/>
          <w:sz w:val="16"/>
          <w:szCs w:val="16"/>
        </w:rPr>
        <w:footnoteRef/>
      </w:r>
      <w:r w:rsidRPr="005E20FA">
        <w:rPr>
          <w:sz w:val="16"/>
          <w:szCs w:val="16"/>
        </w:rPr>
        <w:t xml:space="preserve"> </w:t>
      </w:r>
      <w:proofErr w:type="spellStart"/>
      <w:r w:rsidRPr="005E20FA">
        <w:rPr>
          <w:color w:val="212121"/>
          <w:sz w:val="16"/>
          <w:szCs w:val="16"/>
          <w:shd w:val="clear" w:color="auto" w:fill="FFFFFF"/>
        </w:rPr>
        <w:t>Maureira</w:t>
      </w:r>
      <w:proofErr w:type="spellEnd"/>
      <w:r w:rsidRPr="005E20FA">
        <w:rPr>
          <w:color w:val="212121"/>
          <w:sz w:val="16"/>
          <w:szCs w:val="16"/>
          <w:shd w:val="clear" w:color="auto" w:fill="FFFFFF"/>
        </w:rPr>
        <w:t xml:space="preserve">, P., Tran, N., Djaballah, W., </w:t>
      </w:r>
      <w:proofErr w:type="spellStart"/>
      <w:r w:rsidRPr="005E20FA">
        <w:rPr>
          <w:color w:val="212121"/>
          <w:sz w:val="16"/>
          <w:szCs w:val="16"/>
          <w:shd w:val="clear" w:color="auto" w:fill="FFFFFF"/>
        </w:rPr>
        <w:t>Angioï</w:t>
      </w:r>
      <w:proofErr w:type="spellEnd"/>
      <w:r w:rsidRPr="005E20FA">
        <w:rPr>
          <w:color w:val="212121"/>
          <w:sz w:val="16"/>
          <w:szCs w:val="16"/>
          <w:shd w:val="clear" w:color="auto" w:fill="FFFFFF"/>
        </w:rPr>
        <w:t xml:space="preserve">, M., Bensoussan, D., Didot, N., Fay, R., </w:t>
      </w:r>
      <w:proofErr w:type="spellStart"/>
      <w:r w:rsidRPr="005E20FA">
        <w:rPr>
          <w:color w:val="212121"/>
          <w:sz w:val="16"/>
          <w:szCs w:val="16"/>
          <w:shd w:val="clear" w:color="auto" w:fill="FFFFFF"/>
        </w:rPr>
        <w:t>Sadoul</w:t>
      </w:r>
      <w:proofErr w:type="spellEnd"/>
      <w:r w:rsidRPr="005E20FA">
        <w:rPr>
          <w:color w:val="212121"/>
          <w:sz w:val="16"/>
          <w:szCs w:val="16"/>
          <w:shd w:val="clear" w:color="auto" w:fill="FFFFFF"/>
        </w:rPr>
        <w:t xml:space="preserve">, N., </w:t>
      </w:r>
      <w:proofErr w:type="spellStart"/>
      <w:r w:rsidRPr="005E20FA">
        <w:rPr>
          <w:color w:val="212121"/>
          <w:sz w:val="16"/>
          <w:szCs w:val="16"/>
          <w:shd w:val="clear" w:color="auto" w:fill="FFFFFF"/>
        </w:rPr>
        <w:t>Villemot</w:t>
      </w:r>
      <w:proofErr w:type="spellEnd"/>
      <w:r w:rsidRPr="005E20FA">
        <w:rPr>
          <w:color w:val="212121"/>
          <w:sz w:val="16"/>
          <w:szCs w:val="16"/>
          <w:shd w:val="clear" w:color="auto" w:fill="FFFFFF"/>
        </w:rPr>
        <w:t>, J. P., &amp; Marie, P. Y. (20</w:t>
      </w:r>
      <w:r w:rsidRPr="00FC1B84">
        <w:rPr>
          <w:sz w:val="16"/>
          <w:szCs w:val="16"/>
          <w:shd w:val="clear" w:color="auto" w:fill="FFFFFF"/>
        </w:rPr>
        <w:t xml:space="preserve">12). </w:t>
      </w:r>
      <w:hyperlink r:id="rId122" w:history="1">
        <w:r w:rsidRPr="00FC1B84">
          <w:rPr>
            <w:rStyle w:val="Hyperlink"/>
            <w:color w:val="auto"/>
            <w:sz w:val="16"/>
            <w:szCs w:val="16"/>
            <w:u w:val="none"/>
            <w:shd w:val="clear" w:color="auto" w:fill="FFFFFF"/>
          </w:rPr>
          <w:t>Residual viability is a predictor of the perfusion enhancement obtained with the cell therapy of chronic myocardial infarction: a pilot multimodal imaging study. </w:t>
        </w:r>
      </w:hyperlink>
      <w:r w:rsidRPr="00FC1B84">
        <w:rPr>
          <w:i/>
          <w:iCs/>
          <w:sz w:val="16"/>
          <w:szCs w:val="16"/>
        </w:rPr>
        <w:t>Clinical nuclear medicine</w:t>
      </w:r>
      <w:r w:rsidRPr="00FC1B84">
        <w:rPr>
          <w:sz w:val="16"/>
          <w:szCs w:val="16"/>
          <w:shd w:val="clear" w:color="auto" w:fill="FFFFFF"/>
        </w:rPr>
        <w:t>,</w:t>
      </w:r>
      <w:r w:rsidRPr="00FC1B84">
        <w:rPr>
          <w:rStyle w:val="apple-converted-space"/>
          <w:sz w:val="16"/>
          <w:szCs w:val="16"/>
          <w:shd w:val="clear" w:color="auto" w:fill="FFFFFF"/>
        </w:rPr>
        <w:t> </w:t>
      </w:r>
      <w:r w:rsidRPr="00FC1B84">
        <w:rPr>
          <w:i/>
          <w:iCs/>
          <w:sz w:val="16"/>
          <w:szCs w:val="16"/>
        </w:rPr>
        <w:t>37</w:t>
      </w:r>
      <w:r w:rsidRPr="00FC1B84">
        <w:rPr>
          <w:sz w:val="16"/>
          <w:szCs w:val="16"/>
          <w:shd w:val="clear" w:color="auto" w:fill="FFFFFF"/>
        </w:rPr>
        <w:t>(</w:t>
      </w:r>
      <w:r w:rsidRPr="005E20FA">
        <w:rPr>
          <w:color w:val="212121"/>
          <w:sz w:val="16"/>
          <w:szCs w:val="16"/>
          <w:shd w:val="clear" w:color="auto" w:fill="FFFFFF"/>
        </w:rPr>
        <w:t xml:space="preserve">8), 738–742. Online at: </w:t>
      </w:r>
      <w:hyperlink r:id="rId123" w:history="1">
        <w:r w:rsidRPr="005E20FA">
          <w:rPr>
            <w:rStyle w:val="Hyperlink"/>
            <w:sz w:val="16"/>
            <w:szCs w:val="16"/>
            <w:shd w:val="clear" w:color="auto" w:fill="FFFFFF"/>
          </w:rPr>
          <w:t>https://pubmed.ncbi.nlm.nih.gov/22785499/</w:t>
        </w:r>
      </w:hyperlink>
      <w:r w:rsidRPr="005E20FA">
        <w:rPr>
          <w:color w:val="212121"/>
          <w:sz w:val="16"/>
          <w:szCs w:val="16"/>
          <w:shd w:val="clear" w:color="auto" w:fill="FFFFFF"/>
        </w:rPr>
        <w:t xml:space="preserve"> </w:t>
      </w:r>
    </w:p>
  </w:footnote>
  <w:footnote w:id="116">
    <w:p w14:paraId="2A3DD979" w14:textId="4AB0F794" w:rsidR="00663FBB" w:rsidRPr="005E20FA" w:rsidRDefault="00663FBB" w:rsidP="00A632E9">
      <w:pPr>
        <w:pStyle w:val="FootnoteText"/>
        <w:rPr>
          <w:sz w:val="16"/>
          <w:szCs w:val="16"/>
        </w:rPr>
      </w:pPr>
      <w:r w:rsidRPr="005E20FA">
        <w:rPr>
          <w:rStyle w:val="FootnoteReference"/>
          <w:sz w:val="16"/>
          <w:szCs w:val="16"/>
        </w:rPr>
        <w:footnoteRef/>
      </w:r>
      <w:r w:rsidRPr="005E20FA">
        <w:rPr>
          <w:sz w:val="16"/>
          <w:szCs w:val="16"/>
        </w:rPr>
        <w:t xml:space="preserve"> </w:t>
      </w:r>
      <w:r w:rsidRPr="005E20FA">
        <w:rPr>
          <w:color w:val="212121"/>
          <w:sz w:val="16"/>
          <w:szCs w:val="16"/>
          <w:shd w:val="clear" w:color="auto" w:fill="FFFFFF"/>
        </w:rPr>
        <w:t xml:space="preserve">Wang, L., Yan, C., Zhao, S., &amp; Fang, W. (2012). </w:t>
      </w:r>
      <w:hyperlink r:id="rId124" w:history="1">
        <w:r w:rsidRPr="00997E4D">
          <w:rPr>
            <w:rStyle w:val="Hyperlink"/>
            <w:color w:val="auto"/>
            <w:sz w:val="16"/>
            <w:szCs w:val="16"/>
            <w:u w:val="none"/>
            <w:shd w:val="clear" w:color="auto" w:fill="FFFFFF"/>
          </w:rPr>
          <w:t>Comparison of (99m)Tc-MIBI SPECT/18F-FDG PET imaging and cardiac magnetic resonance imaging in patients with idiopathic dilated cardiomyopathy: assessment of cardiac function and myocardial injury. </w:t>
        </w:r>
      </w:hyperlink>
      <w:r w:rsidRPr="00997E4D">
        <w:rPr>
          <w:i/>
          <w:iCs/>
          <w:sz w:val="16"/>
          <w:szCs w:val="16"/>
        </w:rPr>
        <w:t xml:space="preserve">Clinical </w:t>
      </w:r>
      <w:r w:rsidRPr="005E20FA">
        <w:rPr>
          <w:i/>
          <w:iCs/>
          <w:color w:val="212121"/>
          <w:sz w:val="16"/>
          <w:szCs w:val="16"/>
        </w:rPr>
        <w:t>nuclear medicine</w:t>
      </w:r>
      <w:r w:rsidRPr="005E20FA">
        <w:rPr>
          <w:color w:val="212121"/>
          <w:sz w:val="16"/>
          <w:szCs w:val="16"/>
          <w:shd w:val="clear" w:color="auto" w:fill="FFFFFF"/>
        </w:rPr>
        <w:t>,</w:t>
      </w:r>
      <w:r w:rsidRPr="005E20FA">
        <w:rPr>
          <w:rStyle w:val="apple-converted-space"/>
          <w:color w:val="212121"/>
          <w:sz w:val="16"/>
          <w:szCs w:val="16"/>
          <w:shd w:val="clear" w:color="auto" w:fill="FFFFFF"/>
        </w:rPr>
        <w:t> </w:t>
      </w:r>
      <w:r w:rsidRPr="005E20FA">
        <w:rPr>
          <w:i/>
          <w:iCs/>
          <w:color w:val="212121"/>
          <w:sz w:val="16"/>
          <w:szCs w:val="16"/>
        </w:rPr>
        <w:t>37</w:t>
      </w:r>
      <w:r w:rsidRPr="005E20FA">
        <w:rPr>
          <w:color w:val="212121"/>
          <w:sz w:val="16"/>
          <w:szCs w:val="16"/>
          <w:shd w:val="clear" w:color="auto" w:fill="FFFFFF"/>
        </w:rPr>
        <w:t xml:space="preserve">(12), 1163–1169. Online at: </w:t>
      </w:r>
      <w:hyperlink r:id="rId125" w:history="1">
        <w:r w:rsidRPr="005E20FA">
          <w:rPr>
            <w:rStyle w:val="Hyperlink"/>
            <w:sz w:val="16"/>
            <w:szCs w:val="16"/>
            <w:shd w:val="clear" w:color="auto" w:fill="FFFFFF"/>
          </w:rPr>
          <w:t>https://pubmed.ncbi.nlm.nih.gov/23154474/</w:t>
        </w:r>
      </w:hyperlink>
    </w:p>
  </w:footnote>
  <w:footnote w:id="117">
    <w:p w14:paraId="21CCB646" w14:textId="50C522E4" w:rsidR="00663FBB" w:rsidRPr="005E20FA" w:rsidRDefault="00663FBB" w:rsidP="00A632E9">
      <w:pPr>
        <w:spacing w:after="0" w:line="240" w:lineRule="auto"/>
        <w:rPr>
          <w:sz w:val="16"/>
          <w:szCs w:val="16"/>
        </w:rPr>
      </w:pPr>
      <w:r w:rsidRPr="005E20FA">
        <w:rPr>
          <w:rStyle w:val="FootnoteReference"/>
          <w:sz w:val="16"/>
          <w:szCs w:val="16"/>
        </w:rPr>
        <w:footnoteRef/>
      </w:r>
      <w:r w:rsidRPr="005E20FA">
        <w:rPr>
          <w:sz w:val="16"/>
          <w:szCs w:val="16"/>
        </w:rPr>
        <w:t xml:space="preserve"> </w:t>
      </w:r>
      <w:r w:rsidRPr="005E20FA">
        <w:rPr>
          <w:color w:val="212121"/>
          <w:sz w:val="16"/>
          <w:szCs w:val="16"/>
          <w:shd w:val="clear" w:color="auto" w:fill="FFFFFF"/>
        </w:rPr>
        <w:t xml:space="preserve">Yu, J. Q., Doss, M., Codreanu, I., &amp; Zhuang, H. (2012). </w:t>
      </w:r>
      <w:hyperlink r:id="rId126" w:history="1">
        <w:r w:rsidRPr="005B608A">
          <w:rPr>
            <w:rStyle w:val="Hyperlink"/>
            <w:color w:val="auto"/>
            <w:sz w:val="16"/>
            <w:szCs w:val="16"/>
            <w:u w:val="none"/>
            <w:shd w:val="clear" w:color="auto" w:fill="FFFFFF"/>
          </w:rPr>
          <w:t>PET/CT in Patients with Sarcoidosis or IgG4 Disease. </w:t>
        </w:r>
      </w:hyperlink>
      <w:r w:rsidRPr="005B608A">
        <w:rPr>
          <w:i/>
          <w:iCs/>
          <w:sz w:val="16"/>
          <w:szCs w:val="16"/>
        </w:rPr>
        <w:t>PET clinics</w:t>
      </w:r>
      <w:r w:rsidRPr="005E20FA">
        <w:rPr>
          <w:color w:val="212121"/>
          <w:sz w:val="16"/>
          <w:szCs w:val="16"/>
          <w:shd w:val="clear" w:color="auto" w:fill="FFFFFF"/>
        </w:rPr>
        <w:t>,</w:t>
      </w:r>
      <w:r w:rsidRPr="005E20FA">
        <w:rPr>
          <w:rStyle w:val="apple-converted-space"/>
          <w:color w:val="212121"/>
          <w:sz w:val="16"/>
          <w:szCs w:val="16"/>
          <w:shd w:val="clear" w:color="auto" w:fill="FFFFFF"/>
        </w:rPr>
        <w:t> </w:t>
      </w:r>
      <w:r w:rsidRPr="005E20FA">
        <w:rPr>
          <w:i/>
          <w:iCs/>
          <w:color w:val="212121"/>
          <w:sz w:val="16"/>
          <w:szCs w:val="16"/>
        </w:rPr>
        <w:t>7</w:t>
      </w:r>
      <w:r w:rsidRPr="005E20FA">
        <w:rPr>
          <w:color w:val="212121"/>
          <w:sz w:val="16"/>
          <w:szCs w:val="16"/>
          <w:shd w:val="clear" w:color="auto" w:fill="FFFFFF"/>
        </w:rPr>
        <w:t xml:space="preserve">(2), 191–210. Online at: </w:t>
      </w:r>
      <w:hyperlink r:id="rId127" w:history="1">
        <w:r w:rsidRPr="005E20FA">
          <w:rPr>
            <w:rStyle w:val="Hyperlink"/>
            <w:sz w:val="16"/>
            <w:szCs w:val="16"/>
            <w:shd w:val="clear" w:color="auto" w:fill="FFFFFF"/>
          </w:rPr>
          <w:t>https://pubmed.ncbi.nlm.nih.gov/27157236/</w:t>
        </w:r>
      </w:hyperlink>
      <w:r w:rsidRPr="005E20FA">
        <w:rPr>
          <w:color w:val="212121"/>
          <w:sz w:val="16"/>
          <w:szCs w:val="16"/>
          <w:shd w:val="clear" w:color="auto" w:fill="FFFFFF"/>
        </w:rPr>
        <w:t xml:space="preserve"> </w:t>
      </w:r>
    </w:p>
  </w:footnote>
  <w:footnote w:id="118">
    <w:p w14:paraId="45796190" w14:textId="77777777" w:rsidR="00663FBB" w:rsidRDefault="00663FBB" w:rsidP="00A632E9">
      <w:pPr>
        <w:pStyle w:val="FootnoteText"/>
      </w:pPr>
      <w:r w:rsidRPr="005E20FA">
        <w:rPr>
          <w:rStyle w:val="FootnoteReference"/>
          <w:sz w:val="16"/>
          <w:szCs w:val="16"/>
        </w:rPr>
        <w:footnoteRef/>
      </w:r>
      <w:r w:rsidRPr="005E20FA">
        <w:rPr>
          <w:sz w:val="16"/>
          <w:szCs w:val="16"/>
        </w:rPr>
        <w:t xml:space="preserve"> </w:t>
      </w:r>
      <w:r w:rsidRPr="005E20FA">
        <w:rPr>
          <w:i/>
          <w:iCs/>
          <w:sz w:val="16"/>
          <w:szCs w:val="16"/>
        </w:rPr>
        <w:t>Ibid.</w:t>
      </w:r>
      <w:r w:rsidRPr="001A6E19">
        <w:rPr>
          <w:sz w:val="16"/>
          <w:szCs w:val="16"/>
        </w:rPr>
        <w:t xml:space="preserve"> </w:t>
      </w:r>
    </w:p>
  </w:footnote>
  <w:footnote w:id="119">
    <w:p w14:paraId="5CA0ABC0" w14:textId="288C6F21"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Zhuang H, Codreanu I. </w:t>
      </w:r>
      <w:hyperlink r:id="rId128" w:history="1">
        <w:r w:rsidRPr="00F00541">
          <w:rPr>
            <w:rStyle w:val="Hyperlink"/>
            <w:color w:val="auto"/>
            <w:sz w:val="16"/>
            <w:szCs w:val="16"/>
            <w:u w:val="none"/>
          </w:rPr>
          <w:t>Growing applications of FDG PET-CT imaging in non-oncologic conditions.</w:t>
        </w:r>
      </w:hyperlink>
      <w:r w:rsidRPr="00F00541">
        <w:rPr>
          <w:sz w:val="16"/>
          <w:szCs w:val="16"/>
        </w:rPr>
        <w:t xml:space="preserve"> J Biomed </w:t>
      </w:r>
      <w:r w:rsidRPr="006D2330">
        <w:rPr>
          <w:sz w:val="16"/>
          <w:szCs w:val="16"/>
        </w:rPr>
        <w:t xml:space="preserve">Res. 2015;29(3):189-202. doi:10.7555/JBR.29.20140081. Online at: </w:t>
      </w:r>
      <w:hyperlink r:id="rId129" w:history="1">
        <w:r w:rsidRPr="006D2330">
          <w:rPr>
            <w:rStyle w:val="Hyperlink"/>
            <w:sz w:val="16"/>
            <w:szCs w:val="16"/>
          </w:rPr>
          <w:t>https://www.ncbi.nlm.nih.gov/pmc/articles/PMC4449487/</w:t>
        </w:r>
      </w:hyperlink>
      <w:r w:rsidRPr="006D2330">
        <w:rPr>
          <w:sz w:val="16"/>
          <w:szCs w:val="16"/>
        </w:rPr>
        <w:t xml:space="preserve"> </w:t>
      </w:r>
    </w:p>
  </w:footnote>
  <w:footnote w:id="120">
    <w:p w14:paraId="1AE9C7CF"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r w:rsidRPr="006D2330">
        <w:rPr>
          <w:i/>
          <w:iCs/>
          <w:sz w:val="16"/>
          <w:szCs w:val="16"/>
        </w:rPr>
        <w:t>Ibid.</w:t>
      </w:r>
    </w:p>
  </w:footnote>
  <w:footnote w:id="121">
    <w:p w14:paraId="15A308A0" w14:textId="40360EF2"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proofErr w:type="spellStart"/>
      <w:r w:rsidRPr="006D2330">
        <w:rPr>
          <w:sz w:val="16"/>
          <w:szCs w:val="16"/>
        </w:rPr>
        <w:t>Lövblad</w:t>
      </w:r>
      <w:proofErr w:type="spellEnd"/>
      <w:r w:rsidRPr="006D2330">
        <w:rPr>
          <w:sz w:val="16"/>
          <w:szCs w:val="16"/>
        </w:rPr>
        <w:t xml:space="preserve">, K.-O., Bouchez, L., Altrichter, S., Ratib, O., </w:t>
      </w:r>
      <w:proofErr w:type="gramStart"/>
      <w:r w:rsidRPr="006D2330">
        <w:rPr>
          <w:sz w:val="16"/>
          <w:szCs w:val="16"/>
        </w:rPr>
        <w:t>Zaidi ,</w:t>
      </w:r>
      <w:proofErr w:type="gramEnd"/>
      <w:r w:rsidRPr="006D2330">
        <w:rPr>
          <w:sz w:val="16"/>
          <w:szCs w:val="16"/>
        </w:rPr>
        <w:t xml:space="preserve"> H., &amp; Vargas, M. I. (2019, August). </w:t>
      </w:r>
      <w:hyperlink r:id="rId130" w:history="1">
        <w:r w:rsidRPr="00F00541">
          <w:rPr>
            <w:rStyle w:val="Hyperlink"/>
            <w:color w:val="auto"/>
            <w:sz w:val="16"/>
            <w:szCs w:val="16"/>
            <w:u w:val="none"/>
          </w:rPr>
          <w:t>Pet-CT in Neuroradiology .</w:t>
        </w:r>
      </w:hyperlink>
      <w:r w:rsidRPr="00F00541">
        <w:rPr>
          <w:sz w:val="16"/>
          <w:szCs w:val="16"/>
        </w:rPr>
        <w:t xml:space="preserve"> Clinical </w:t>
      </w:r>
      <w:r w:rsidRPr="006D2330">
        <w:rPr>
          <w:sz w:val="16"/>
          <w:szCs w:val="16"/>
        </w:rPr>
        <w:t xml:space="preserve">and Translational Neuroscience. Retrieved February 16, 2022. Online at: </w:t>
      </w:r>
      <w:hyperlink r:id="rId131" w:history="1">
        <w:r w:rsidRPr="006D2330">
          <w:rPr>
            <w:rStyle w:val="Hyperlink"/>
            <w:sz w:val="16"/>
            <w:szCs w:val="16"/>
          </w:rPr>
          <w:t>https://journals.sagepub.com/doi/full/10.1177/2514183X19868147</w:t>
        </w:r>
      </w:hyperlink>
      <w:r w:rsidRPr="006D2330">
        <w:rPr>
          <w:sz w:val="16"/>
          <w:szCs w:val="16"/>
        </w:rPr>
        <w:t xml:space="preserve">   </w:t>
      </w:r>
    </w:p>
  </w:footnote>
  <w:footnote w:id="122">
    <w:p w14:paraId="2A8E8CFC" w14:textId="2A14A760"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proofErr w:type="spellStart"/>
      <w:r w:rsidRPr="006D2330">
        <w:rPr>
          <w:sz w:val="16"/>
          <w:szCs w:val="16"/>
        </w:rPr>
        <w:t>Solnes</w:t>
      </w:r>
      <w:proofErr w:type="spellEnd"/>
      <w:r w:rsidRPr="006D2330">
        <w:rPr>
          <w:sz w:val="16"/>
          <w:szCs w:val="16"/>
        </w:rPr>
        <w:t xml:space="preserve">, L. B., Jones, K. M., Rowe, S. P., </w:t>
      </w:r>
      <w:proofErr w:type="spellStart"/>
      <w:r w:rsidRPr="006D2330">
        <w:rPr>
          <w:sz w:val="16"/>
          <w:szCs w:val="16"/>
        </w:rPr>
        <w:t>Pattanayak</w:t>
      </w:r>
      <w:proofErr w:type="spellEnd"/>
      <w:r w:rsidRPr="006D2330">
        <w:rPr>
          <w:sz w:val="16"/>
          <w:szCs w:val="16"/>
        </w:rPr>
        <w:t xml:space="preserve">, P., Nalluri, A., Venkatesan, A., Probasco, J. C., </w:t>
      </w:r>
      <w:r w:rsidRPr="00F00541">
        <w:rPr>
          <w:sz w:val="16"/>
          <w:szCs w:val="16"/>
        </w:rPr>
        <w:t xml:space="preserve">&amp; Javadi, M. S. (2017). </w:t>
      </w:r>
      <w:hyperlink r:id="rId132" w:history="1">
        <w:r w:rsidRPr="00F00541">
          <w:rPr>
            <w:rStyle w:val="Hyperlink"/>
            <w:color w:val="auto"/>
            <w:sz w:val="16"/>
            <w:szCs w:val="16"/>
            <w:u w:val="none"/>
          </w:rPr>
          <w:t>Diagnostic Value of 18F-FDG PET/CT Versus MRI in the Setting of Antibody-Specific Autoimmune Encephalitis</w:t>
        </w:r>
      </w:hyperlink>
      <w:r w:rsidRPr="00F00541">
        <w:rPr>
          <w:sz w:val="16"/>
          <w:szCs w:val="16"/>
        </w:rPr>
        <w:t xml:space="preserve">. Journal </w:t>
      </w:r>
      <w:r w:rsidRPr="006D2330">
        <w:rPr>
          <w:sz w:val="16"/>
          <w:szCs w:val="16"/>
        </w:rPr>
        <w:t xml:space="preserve">of nuclear </w:t>
      </w:r>
      <w:proofErr w:type="gramStart"/>
      <w:r w:rsidRPr="006D2330">
        <w:rPr>
          <w:sz w:val="16"/>
          <w:szCs w:val="16"/>
        </w:rPr>
        <w:t>medicine :</w:t>
      </w:r>
      <w:proofErr w:type="gramEnd"/>
      <w:r w:rsidRPr="006D2330">
        <w:rPr>
          <w:sz w:val="16"/>
          <w:szCs w:val="16"/>
        </w:rPr>
        <w:t xml:space="preserve"> official publication, Society of Nuclear Medicine, 58(8), 1307–1313. Online at: </w:t>
      </w:r>
      <w:hyperlink r:id="rId133" w:history="1">
        <w:r w:rsidRPr="006D2330">
          <w:rPr>
            <w:rStyle w:val="Hyperlink"/>
            <w:sz w:val="16"/>
            <w:szCs w:val="16"/>
          </w:rPr>
          <w:t>https://pubmed.ncbi.nlm.nih.gov/28209905/</w:t>
        </w:r>
      </w:hyperlink>
      <w:r w:rsidRPr="006D2330">
        <w:rPr>
          <w:sz w:val="16"/>
          <w:szCs w:val="16"/>
        </w:rPr>
        <w:t xml:space="preserve"> </w:t>
      </w:r>
    </w:p>
  </w:footnote>
  <w:footnote w:id="123">
    <w:p w14:paraId="39C3757E"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Katherine </w:t>
      </w:r>
      <w:proofErr w:type="spellStart"/>
      <w:r w:rsidRPr="006D2330">
        <w:rPr>
          <w:sz w:val="16"/>
          <w:szCs w:val="16"/>
        </w:rPr>
        <w:t>Zukotynski</w:t>
      </w:r>
      <w:proofErr w:type="spellEnd"/>
      <w:r w:rsidRPr="006D2330">
        <w:rPr>
          <w:sz w:val="16"/>
          <w:szCs w:val="16"/>
        </w:rPr>
        <w:t xml:space="preserve">, Phillip H. Kuo, David </w:t>
      </w:r>
      <w:proofErr w:type="spellStart"/>
      <w:r w:rsidRPr="006D2330">
        <w:rPr>
          <w:sz w:val="16"/>
          <w:szCs w:val="16"/>
        </w:rPr>
        <w:t>Mikulis</w:t>
      </w:r>
      <w:proofErr w:type="spellEnd"/>
      <w:r w:rsidRPr="006D2330">
        <w:rPr>
          <w:sz w:val="16"/>
          <w:szCs w:val="16"/>
        </w:rPr>
        <w:t xml:space="preserve">, Pedro Rosa-Neto, Antonio P. </w:t>
      </w:r>
      <w:proofErr w:type="spellStart"/>
      <w:r w:rsidRPr="006D2330">
        <w:rPr>
          <w:sz w:val="16"/>
          <w:szCs w:val="16"/>
        </w:rPr>
        <w:t>Strafella</w:t>
      </w:r>
      <w:proofErr w:type="spellEnd"/>
      <w:r w:rsidRPr="006D2330">
        <w:rPr>
          <w:sz w:val="16"/>
          <w:szCs w:val="16"/>
        </w:rPr>
        <w:t xml:space="preserve">, Rathan M. Subramaniam, and Sandra E. American Journal of Roentgenology; Volume 211 | Issue 2 | August 2018. Available online at: </w:t>
      </w:r>
      <w:hyperlink r:id="rId134" w:history="1">
        <w:r w:rsidRPr="006D2330">
          <w:rPr>
            <w:rStyle w:val="Hyperlink"/>
            <w:sz w:val="16"/>
            <w:szCs w:val="16"/>
          </w:rPr>
          <w:t>https://www.ajronline.org/doi/10.2214/AJR.18.19822</w:t>
        </w:r>
      </w:hyperlink>
    </w:p>
  </w:footnote>
  <w:footnote w:id="124">
    <w:p w14:paraId="1A7F235D" w14:textId="32B9BEE2"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proofErr w:type="spellStart"/>
      <w:r w:rsidRPr="006D2330">
        <w:rPr>
          <w:sz w:val="16"/>
          <w:szCs w:val="16"/>
        </w:rPr>
        <w:t>Zukotynski</w:t>
      </w:r>
      <w:proofErr w:type="spellEnd"/>
      <w:r w:rsidRPr="006D2330">
        <w:rPr>
          <w:sz w:val="16"/>
          <w:szCs w:val="16"/>
        </w:rPr>
        <w:t xml:space="preserve">, K., Kuo, P. K., </w:t>
      </w:r>
      <w:proofErr w:type="spellStart"/>
      <w:r w:rsidRPr="006D2330">
        <w:rPr>
          <w:sz w:val="16"/>
          <w:szCs w:val="16"/>
        </w:rPr>
        <w:t>Mikulis</w:t>
      </w:r>
      <w:proofErr w:type="spellEnd"/>
      <w:r w:rsidRPr="006D2330">
        <w:rPr>
          <w:sz w:val="16"/>
          <w:szCs w:val="16"/>
        </w:rPr>
        <w:t xml:space="preserve">, D., Rosa-Neto, P., </w:t>
      </w:r>
      <w:proofErr w:type="spellStart"/>
      <w:r w:rsidRPr="006D2330">
        <w:rPr>
          <w:sz w:val="16"/>
          <w:szCs w:val="16"/>
        </w:rPr>
        <w:t>Strafella</w:t>
      </w:r>
      <w:proofErr w:type="spellEnd"/>
      <w:r w:rsidRPr="006D2330">
        <w:rPr>
          <w:sz w:val="16"/>
          <w:szCs w:val="16"/>
        </w:rPr>
        <w:t xml:space="preserve">, A. P., Subramaniam, R. M., &amp; Black, S. E. (2018, August). </w:t>
      </w:r>
      <w:hyperlink r:id="rId135" w:history="1">
        <w:r w:rsidRPr="00F00541">
          <w:rPr>
            <w:rStyle w:val="Hyperlink"/>
            <w:color w:val="auto"/>
            <w:sz w:val="16"/>
            <w:szCs w:val="16"/>
            <w:u w:val="none"/>
          </w:rPr>
          <w:t>PET/CT of Dementia .</w:t>
        </w:r>
      </w:hyperlink>
      <w:r w:rsidRPr="00F00541">
        <w:rPr>
          <w:sz w:val="16"/>
          <w:szCs w:val="16"/>
        </w:rPr>
        <w:t xml:space="preserve"> </w:t>
      </w:r>
      <w:r w:rsidRPr="006D2330">
        <w:rPr>
          <w:sz w:val="16"/>
          <w:szCs w:val="16"/>
        </w:rPr>
        <w:t xml:space="preserve">Retrieved February 22, 2022. Online at: </w:t>
      </w:r>
      <w:hyperlink r:id="rId136" w:history="1">
        <w:r w:rsidRPr="006D2330">
          <w:rPr>
            <w:rStyle w:val="Hyperlink"/>
            <w:sz w:val="16"/>
            <w:szCs w:val="16"/>
          </w:rPr>
          <w:t>https://www.ajronline.org/doi/pdfplus/10.2214/AJR.18.19822</w:t>
        </w:r>
      </w:hyperlink>
      <w:r w:rsidRPr="006D2330">
        <w:rPr>
          <w:sz w:val="16"/>
          <w:szCs w:val="16"/>
        </w:rPr>
        <w:t xml:space="preserve">   </w:t>
      </w:r>
    </w:p>
  </w:footnote>
  <w:footnote w:id="125">
    <w:p w14:paraId="16C24AE2" w14:textId="4E13C4DC"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lang w:val="es-ES"/>
        </w:rPr>
        <w:t xml:space="preserve"> Marcus C, Mena E, </w:t>
      </w:r>
      <w:proofErr w:type="spellStart"/>
      <w:r w:rsidRPr="006D2330">
        <w:rPr>
          <w:sz w:val="16"/>
          <w:szCs w:val="16"/>
          <w:lang w:val="es-ES"/>
        </w:rPr>
        <w:t>Subramaniam</w:t>
      </w:r>
      <w:proofErr w:type="spellEnd"/>
      <w:r w:rsidRPr="006D2330">
        <w:rPr>
          <w:sz w:val="16"/>
          <w:szCs w:val="16"/>
          <w:lang w:val="es-ES"/>
        </w:rPr>
        <w:t xml:space="preserve"> RM. </w:t>
      </w:r>
      <w:hyperlink r:id="rId137" w:history="1">
        <w:r w:rsidRPr="00F00541">
          <w:rPr>
            <w:rStyle w:val="Hyperlink"/>
            <w:color w:val="auto"/>
            <w:sz w:val="16"/>
            <w:szCs w:val="16"/>
            <w:u w:val="none"/>
          </w:rPr>
          <w:t>Brain PET in the diagnosis of Alzheimer's disease.</w:t>
        </w:r>
      </w:hyperlink>
      <w:r w:rsidRPr="00F00541">
        <w:rPr>
          <w:sz w:val="16"/>
          <w:szCs w:val="16"/>
        </w:rPr>
        <w:t xml:space="preserve"> Clin </w:t>
      </w:r>
      <w:proofErr w:type="spellStart"/>
      <w:r w:rsidRPr="00F00541">
        <w:rPr>
          <w:sz w:val="16"/>
          <w:szCs w:val="16"/>
        </w:rPr>
        <w:t>Nucl</w:t>
      </w:r>
      <w:proofErr w:type="spellEnd"/>
      <w:r w:rsidRPr="00F00541">
        <w:rPr>
          <w:sz w:val="16"/>
          <w:szCs w:val="16"/>
        </w:rPr>
        <w:t xml:space="preserve"> </w:t>
      </w:r>
      <w:r w:rsidRPr="006D2330">
        <w:rPr>
          <w:sz w:val="16"/>
          <w:szCs w:val="16"/>
        </w:rPr>
        <w:t>Med. 2014 Oct;39(10</w:t>
      </w:r>
      <w:proofErr w:type="gramStart"/>
      <w:r w:rsidRPr="006D2330">
        <w:rPr>
          <w:sz w:val="16"/>
          <w:szCs w:val="16"/>
        </w:rPr>
        <w:t>):e</w:t>
      </w:r>
      <w:proofErr w:type="gramEnd"/>
      <w:r w:rsidRPr="006D2330">
        <w:rPr>
          <w:sz w:val="16"/>
          <w:szCs w:val="16"/>
        </w:rPr>
        <w:t xml:space="preserve">413-22; quiz e423-6. </w:t>
      </w:r>
      <w:proofErr w:type="spellStart"/>
      <w:r w:rsidRPr="006D2330">
        <w:rPr>
          <w:sz w:val="16"/>
          <w:szCs w:val="16"/>
        </w:rPr>
        <w:t>doi</w:t>
      </w:r>
      <w:proofErr w:type="spellEnd"/>
      <w:r w:rsidRPr="006D2330">
        <w:rPr>
          <w:sz w:val="16"/>
          <w:szCs w:val="16"/>
        </w:rPr>
        <w:t xml:space="preserve">: 10.1097/RLU.0000000000000547. PMID: 25199063; PMCID: PMC4332800. Online at: </w:t>
      </w:r>
      <w:hyperlink r:id="rId138" w:history="1">
        <w:r w:rsidRPr="006D2330">
          <w:rPr>
            <w:rStyle w:val="Hyperlink"/>
            <w:sz w:val="16"/>
            <w:szCs w:val="16"/>
          </w:rPr>
          <w:t>https://www.ncbi.nlm.nih.gov/pmc/articles/PMC4332800/</w:t>
        </w:r>
      </w:hyperlink>
      <w:r w:rsidRPr="006D2330">
        <w:rPr>
          <w:sz w:val="16"/>
          <w:szCs w:val="16"/>
        </w:rPr>
        <w:t xml:space="preserve"> </w:t>
      </w:r>
    </w:p>
  </w:footnote>
  <w:footnote w:id="126">
    <w:p w14:paraId="3E096E54" w14:textId="1E5FC7D9" w:rsidR="00663FBB" w:rsidRPr="006D2330" w:rsidRDefault="00663FBB" w:rsidP="00ED024C">
      <w:pPr>
        <w:pStyle w:val="FootnoteText"/>
        <w:rPr>
          <w:sz w:val="16"/>
          <w:szCs w:val="16"/>
        </w:rPr>
      </w:pPr>
      <w:r w:rsidRPr="006D2330">
        <w:rPr>
          <w:rStyle w:val="FootnoteReference"/>
          <w:sz w:val="16"/>
          <w:szCs w:val="16"/>
        </w:rPr>
        <w:footnoteRef/>
      </w:r>
      <w:r w:rsidRPr="006D2330">
        <w:rPr>
          <w:sz w:val="16"/>
          <w:szCs w:val="16"/>
        </w:rPr>
        <w:t xml:space="preserve"> </w:t>
      </w:r>
      <w:proofErr w:type="spellStart"/>
      <w:r w:rsidRPr="006D2330">
        <w:rPr>
          <w:sz w:val="16"/>
          <w:szCs w:val="16"/>
        </w:rPr>
        <w:t>Zukotynski</w:t>
      </w:r>
      <w:proofErr w:type="spellEnd"/>
      <w:r w:rsidRPr="006D2330">
        <w:rPr>
          <w:sz w:val="16"/>
          <w:szCs w:val="16"/>
        </w:rPr>
        <w:t xml:space="preserve"> K, Kuo PH, </w:t>
      </w:r>
      <w:proofErr w:type="spellStart"/>
      <w:r w:rsidRPr="006D2330">
        <w:rPr>
          <w:sz w:val="16"/>
          <w:szCs w:val="16"/>
        </w:rPr>
        <w:t>Mikulis</w:t>
      </w:r>
      <w:proofErr w:type="spellEnd"/>
      <w:r w:rsidRPr="006D2330">
        <w:rPr>
          <w:sz w:val="16"/>
          <w:szCs w:val="16"/>
        </w:rPr>
        <w:t xml:space="preserve"> D, Rosa-Neto P, </w:t>
      </w:r>
      <w:proofErr w:type="spellStart"/>
      <w:r w:rsidRPr="006D2330">
        <w:rPr>
          <w:sz w:val="16"/>
          <w:szCs w:val="16"/>
        </w:rPr>
        <w:t>Strafella</w:t>
      </w:r>
      <w:proofErr w:type="spellEnd"/>
      <w:r w:rsidRPr="006D2330">
        <w:rPr>
          <w:sz w:val="16"/>
          <w:szCs w:val="16"/>
        </w:rPr>
        <w:t xml:space="preserve"> AP, Subramaniam RM, Black SE. </w:t>
      </w:r>
      <w:hyperlink r:id="rId139" w:history="1">
        <w:r w:rsidRPr="00216CAA">
          <w:rPr>
            <w:rStyle w:val="Hyperlink"/>
            <w:color w:val="auto"/>
            <w:sz w:val="16"/>
            <w:szCs w:val="16"/>
            <w:u w:val="none"/>
          </w:rPr>
          <w:t>PET/CT of Dementia.</w:t>
        </w:r>
      </w:hyperlink>
      <w:r w:rsidRPr="00216CAA">
        <w:rPr>
          <w:sz w:val="16"/>
          <w:szCs w:val="16"/>
        </w:rPr>
        <w:t xml:space="preserve"> AJR </w:t>
      </w:r>
      <w:r w:rsidRPr="006D2330">
        <w:rPr>
          <w:sz w:val="16"/>
          <w:szCs w:val="16"/>
        </w:rPr>
        <w:t xml:space="preserve">Am J </w:t>
      </w:r>
      <w:proofErr w:type="spellStart"/>
      <w:r w:rsidRPr="006D2330">
        <w:rPr>
          <w:sz w:val="16"/>
          <w:szCs w:val="16"/>
        </w:rPr>
        <w:t>Roentgenol</w:t>
      </w:r>
      <w:proofErr w:type="spellEnd"/>
      <w:r w:rsidRPr="006D2330">
        <w:rPr>
          <w:sz w:val="16"/>
          <w:szCs w:val="16"/>
        </w:rPr>
        <w:t xml:space="preserve">. 2018 Aug;211(2):246-259. </w:t>
      </w:r>
      <w:proofErr w:type="spellStart"/>
      <w:r w:rsidRPr="006D2330">
        <w:rPr>
          <w:sz w:val="16"/>
          <w:szCs w:val="16"/>
        </w:rPr>
        <w:t>doi</w:t>
      </w:r>
      <w:proofErr w:type="spellEnd"/>
      <w:r w:rsidRPr="006D2330">
        <w:rPr>
          <w:sz w:val="16"/>
          <w:szCs w:val="16"/>
        </w:rPr>
        <w:t xml:space="preserve">: 10.2214/AJR.18.19822. </w:t>
      </w:r>
      <w:proofErr w:type="spellStart"/>
      <w:r w:rsidRPr="006D2330">
        <w:rPr>
          <w:sz w:val="16"/>
          <w:szCs w:val="16"/>
        </w:rPr>
        <w:t>Epub</w:t>
      </w:r>
      <w:proofErr w:type="spellEnd"/>
      <w:r w:rsidRPr="006D2330">
        <w:rPr>
          <w:sz w:val="16"/>
          <w:szCs w:val="16"/>
        </w:rPr>
        <w:t xml:space="preserve"> 2018 Jun 27. PMID: 29949415. Available online at: </w:t>
      </w:r>
      <w:hyperlink r:id="rId140" w:history="1">
        <w:r w:rsidRPr="006D2330">
          <w:rPr>
            <w:rStyle w:val="Hyperlink"/>
            <w:sz w:val="16"/>
            <w:szCs w:val="16"/>
          </w:rPr>
          <w:t>https://pubmed.ncbi.nlm.nih.gov/29949415/</w:t>
        </w:r>
      </w:hyperlink>
      <w:r w:rsidRPr="006D2330">
        <w:rPr>
          <w:sz w:val="16"/>
          <w:szCs w:val="16"/>
        </w:rPr>
        <w:t xml:space="preserve"> </w:t>
      </w:r>
    </w:p>
  </w:footnote>
  <w:footnote w:id="127">
    <w:p w14:paraId="0ADA5ECA" w14:textId="77777777" w:rsidR="00663FBB" w:rsidRPr="006D2330" w:rsidRDefault="00663FBB" w:rsidP="00ED024C">
      <w:pPr>
        <w:pStyle w:val="FootnoteText"/>
        <w:rPr>
          <w:sz w:val="16"/>
          <w:szCs w:val="16"/>
        </w:rPr>
      </w:pPr>
      <w:r w:rsidRPr="006D2330">
        <w:rPr>
          <w:rStyle w:val="FootnoteReference"/>
          <w:sz w:val="16"/>
          <w:szCs w:val="16"/>
        </w:rPr>
        <w:footnoteRef/>
      </w:r>
      <w:r w:rsidRPr="006D2330">
        <w:rPr>
          <w:sz w:val="16"/>
          <w:szCs w:val="16"/>
        </w:rPr>
        <w:t xml:space="preserve"> </w:t>
      </w:r>
      <w:r w:rsidRPr="006D2330">
        <w:rPr>
          <w:i/>
          <w:iCs/>
          <w:sz w:val="16"/>
          <w:szCs w:val="16"/>
        </w:rPr>
        <w:t>Ibid.</w:t>
      </w:r>
    </w:p>
  </w:footnote>
  <w:footnote w:id="128">
    <w:p w14:paraId="76732FCA" w14:textId="77777777" w:rsidR="00663FBB" w:rsidRPr="006D2330" w:rsidRDefault="00663FBB" w:rsidP="00ED024C">
      <w:pPr>
        <w:pStyle w:val="FootnoteText"/>
        <w:rPr>
          <w:sz w:val="16"/>
          <w:szCs w:val="16"/>
        </w:rPr>
      </w:pPr>
      <w:r w:rsidRPr="006D2330">
        <w:rPr>
          <w:rStyle w:val="FootnoteReference"/>
          <w:sz w:val="16"/>
          <w:szCs w:val="16"/>
        </w:rPr>
        <w:footnoteRef/>
      </w:r>
      <w:r w:rsidRPr="006D2330">
        <w:rPr>
          <w:sz w:val="16"/>
          <w:szCs w:val="16"/>
        </w:rPr>
        <w:t xml:space="preserve"> </w:t>
      </w:r>
      <w:r w:rsidRPr="006D2330">
        <w:rPr>
          <w:i/>
          <w:iCs/>
          <w:sz w:val="16"/>
          <w:szCs w:val="16"/>
        </w:rPr>
        <w:t>Ibid.</w:t>
      </w:r>
    </w:p>
  </w:footnote>
  <w:footnote w:id="129">
    <w:p w14:paraId="0BF543D1" w14:textId="75455DF5"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Julia C. Prentice &amp; Steven D. Pizer, </w:t>
      </w:r>
      <w:hyperlink r:id="rId141" w:history="1">
        <w:r w:rsidRPr="00216CAA">
          <w:rPr>
            <w:rStyle w:val="Hyperlink"/>
            <w:color w:val="auto"/>
            <w:sz w:val="16"/>
            <w:szCs w:val="16"/>
            <w:u w:val="none"/>
          </w:rPr>
          <w:t>Delayed Access to Health Care and Mortality,</w:t>
        </w:r>
      </w:hyperlink>
      <w:r w:rsidRPr="00216CAA">
        <w:rPr>
          <w:sz w:val="16"/>
          <w:szCs w:val="16"/>
        </w:rPr>
        <w:t xml:space="preserve"> 42 </w:t>
      </w:r>
      <w:r w:rsidRPr="006D2330">
        <w:rPr>
          <w:sz w:val="16"/>
          <w:szCs w:val="16"/>
        </w:rPr>
        <w:t>HEALTH SERVICES RESEARCH</w:t>
      </w:r>
    </w:p>
    <w:p w14:paraId="5B374D44" w14:textId="77777777" w:rsidR="00663FBB" w:rsidRPr="006D2330" w:rsidRDefault="00663FBB" w:rsidP="00A632E9">
      <w:pPr>
        <w:pStyle w:val="FootnoteText"/>
        <w:rPr>
          <w:sz w:val="16"/>
          <w:szCs w:val="16"/>
        </w:rPr>
      </w:pPr>
      <w:r w:rsidRPr="006D2330">
        <w:rPr>
          <w:sz w:val="16"/>
          <w:szCs w:val="16"/>
        </w:rPr>
        <w:t xml:space="preserve">644 (2007), available at </w:t>
      </w:r>
      <w:hyperlink r:id="rId142" w:history="1">
        <w:r w:rsidRPr="006D2330">
          <w:rPr>
            <w:rStyle w:val="Hyperlink"/>
            <w:sz w:val="16"/>
            <w:szCs w:val="16"/>
          </w:rPr>
          <w:t>https://www.ncbi.nlm.nih.gov/pmc/articles/PMC1955366/</w:t>
        </w:r>
      </w:hyperlink>
      <w:r w:rsidRPr="006D2330">
        <w:rPr>
          <w:sz w:val="16"/>
          <w:szCs w:val="16"/>
        </w:rPr>
        <w:t xml:space="preserve"> </w:t>
      </w:r>
    </w:p>
  </w:footnote>
  <w:footnote w:id="130">
    <w:p w14:paraId="739C0736" w14:textId="5BEF241D"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American College of Radiology. </w:t>
      </w:r>
      <w:hyperlink r:id="rId143" w:history="1">
        <w:r w:rsidRPr="00216CAA">
          <w:rPr>
            <w:rStyle w:val="Hyperlink"/>
            <w:i/>
            <w:iCs/>
            <w:color w:val="auto"/>
            <w:sz w:val="16"/>
            <w:szCs w:val="16"/>
            <w:u w:val="none"/>
          </w:rPr>
          <w:t>Early Action Boots Patient Satisfaction</w:t>
        </w:r>
        <w:r w:rsidRPr="00216CAA">
          <w:rPr>
            <w:rStyle w:val="Hyperlink"/>
            <w:color w:val="auto"/>
            <w:sz w:val="16"/>
            <w:szCs w:val="16"/>
            <w:u w:val="none"/>
          </w:rPr>
          <w:t>.</w:t>
        </w:r>
      </w:hyperlink>
      <w:r w:rsidRPr="00216CAA">
        <w:rPr>
          <w:sz w:val="16"/>
          <w:szCs w:val="16"/>
        </w:rPr>
        <w:t xml:space="preserve"> Online </w:t>
      </w:r>
      <w:r w:rsidRPr="006D2330">
        <w:rPr>
          <w:sz w:val="16"/>
          <w:szCs w:val="16"/>
        </w:rPr>
        <w:t xml:space="preserve">at: </w:t>
      </w:r>
      <w:hyperlink r:id="rId144" w:history="1">
        <w:r w:rsidRPr="006D2330">
          <w:rPr>
            <w:rStyle w:val="Hyperlink"/>
            <w:sz w:val="16"/>
            <w:szCs w:val="16"/>
          </w:rPr>
          <w:t>https://www.acr.org/Practice-Management-Quality-Informatics/Imaging-3/Case-Studies/Quality-and-Safety/Early-Action-Boosts-Patient-Satisfaction</w:t>
        </w:r>
      </w:hyperlink>
    </w:p>
  </w:footnote>
  <w:footnote w:id="131">
    <w:p w14:paraId="43CD96D5" w14:textId="511A21DD"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Otani K, Ye S, Chumbler NR, Judy Z, Herrmann PA, Kurz RS. </w:t>
      </w:r>
      <w:hyperlink r:id="rId145" w:history="1">
        <w:r w:rsidRPr="00755C5A">
          <w:rPr>
            <w:rStyle w:val="Hyperlink"/>
            <w:color w:val="auto"/>
            <w:sz w:val="16"/>
            <w:szCs w:val="16"/>
            <w:u w:val="none"/>
          </w:rPr>
          <w:t>The impact of self-rated health status on patient satisfaction integration process.</w:t>
        </w:r>
      </w:hyperlink>
      <w:r w:rsidRPr="00755C5A">
        <w:rPr>
          <w:sz w:val="16"/>
          <w:szCs w:val="16"/>
        </w:rPr>
        <w:t xml:space="preserve"> </w:t>
      </w:r>
      <w:r w:rsidRPr="006D2330">
        <w:rPr>
          <w:sz w:val="16"/>
          <w:szCs w:val="16"/>
        </w:rPr>
        <w:t xml:space="preserve">Journal of Health care Management. 2015;60(3):205-218. Online at: </w:t>
      </w:r>
      <w:hyperlink r:id="rId146" w:history="1">
        <w:r w:rsidRPr="006D2330">
          <w:rPr>
            <w:rStyle w:val="Hyperlink"/>
            <w:sz w:val="16"/>
            <w:szCs w:val="16"/>
          </w:rPr>
          <w:t>https://pubmed.ncbi.nlm.nih.gov/26554265/</w:t>
        </w:r>
      </w:hyperlink>
      <w:r w:rsidRPr="006D2330">
        <w:rPr>
          <w:sz w:val="16"/>
          <w:szCs w:val="16"/>
        </w:rPr>
        <w:t xml:space="preserve"> </w:t>
      </w:r>
    </w:p>
  </w:footnote>
  <w:footnote w:id="132">
    <w:p w14:paraId="0C2D1F20" w14:textId="25013BCE" w:rsidR="00663FBB" w:rsidRPr="00AE584D"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Institute of Medicine (US) Committee on Health Research and the Privacy of Health Information: The HIPAA Privacy Rule; Nass SJ, Levit LA, </w:t>
      </w:r>
      <w:proofErr w:type="spellStart"/>
      <w:r w:rsidRPr="006D2330">
        <w:rPr>
          <w:sz w:val="16"/>
          <w:szCs w:val="16"/>
        </w:rPr>
        <w:t>Gostin</w:t>
      </w:r>
      <w:proofErr w:type="spellEnd"/>
      <w:r w:rsidRPr="006D2330">
        <w:rPr>
          <w:sz w:val="16"/>
          <w:szCs w:val="16"/>
        </w:rPr>
        <w:t xml:space="preserve"> LO, editors. </w:t>
      </w:r>
      <w:hyperlink r:id="rId147" w:history="1">
        <w:r w:rsidRPr="00776AE7">
          <w:rPr>
            <w:rStyle w:val="Hyperlink"/>
            <w:color w:val="auto"/>
            <w:sz w:val="16"/>
            <w:szCs w:val="16"/>
            <w:u w:val="none"/>
          </w:rPr>
          <w:t>Beyond the HIPAA Privacy Rule: Enhancing Privacy, Improving Health Through Research.</w:t>
        </w:r>
      </w:hyperlink>
      <w:r w:rsidRPr="00776AE7">
        <w:rPr>
          <w:sz w:val="16"/>
          <w:szCs w:val="16"/>
        </w:rPr>
        <w:t xml:space="preserve"> Washington </w:t>
      </w:r>
      <w:r w:rsidRPr="006D2330">
        <w:rPr>
          <w:sz w:val="16"/>
          <w:szCs w:val="16"/>
        </w:rPr>
        <w:t xml:space="preserve">(DC): National Academies Press (US); 2009. 3, The Value, Importance, and Oversight of Health Research. Available online at: </w:t>
      </w:r>
      <w:hyperlink r:id="rId148" w:history="1">
        <w:r w:rsidRPr="006D2330">
          <w:rPr>
            <w:rStyle w:val="Hyperlink"/>
            <w:sz w:val="16"/>
            <w:szCs w:val="16"/>
          </w:rPr>
          <w:t>https://www.ncbi.nlm.nih.gov/books/NBK9571/</w:t>
        </w:r>
      </w:hyperlink>
      <w:r w:rsidRPr="00AE584D">
        <w:rPr>
          <w:sz w:val="16"/>
          <w:szCs w:val="16"/>
        </w:rPr>
        <w:t xml:space="preserve"> </w:t>
      </w:r>
    </w:p>
  </w:footnote>
  <w:footnote w:id="133">
    <w:p w14:paraId="3A0FC327" w14:textId="4715DA38"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Online at: </w:t>
      </w:r>
      <w:hyperlink r:id="rId149" w:history="1">
        <w:r w:rsidRPr="006D2330">
          <w:rPr>
            <w:rStyle w:val="Hyperlink"/>
            <w:sz w:val="16"/>
            <w:szCs w:val="16"/>
          </w:rPr>
          <w:t>https://stanfordhealth care.org/medical-tests/p/pet-</w:t>
        </w:r>
        <w:proofErr w:type="spellStart"/>
        <w:r w:rsidRPr="006D2330">
          <w:rPr>
            <w:rStyle w:val="Hyperlink"/>
            <w:sz w:val="16"/>
            <w:szCs w:val="16"/>
          </w:rPr>
          <w:t>ct</w:t>
        </w:r>
        <w:proofErr w:type="spellEnd"/>
        <w:r w:rsidRPr="006D2330">
          <w:rPr>
            <w:rStyle w:val="Hyperlink"/>
            <w:sz w:val="16"/>
            <w:szCs w:val="16"/>
          </w:rPr>
          <w:t>-scan/what-to-expect.html</w:t>
        </w:r>
      </w:hyperlink>
      <w:r w:rsidRPr="006D2330">
        <w:rPr>
          <w:sz w:val="16"/>
          <w:szCs w:val="16"/>
        </w:rPr>
        <w:t xml:space="preserve"> </w:t>
      </w:r>
    </w:p>
  </w:footnote>
  <w:footnote w:id="134">
    <w:p w14:paraId="09BE6F4F" w14:textId="03360C8F"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Saif MW, </w:t>
      </w:r>
      <w:proofErr w:type="spellStart"/>
      <w:r w:rsidRPr="006D2330">
        <w:rPr>
          <w:sz w:val="16"/>
          <w:szCs w:val="16"/>
        </w:rPr>
        <w:t>Tzannou</w:t>
      </w:r>
      <w:proofErr w:type="spellEnd"/>
      <w:r w:rsidRPr="006D2330">
        <w:rPr>
          <w:sz w:val="16"/>
          <w:szCs w:val="16"/>
        </w:rPr>
        <w:t xml:space="preserve"> I, </w:t>
      </w:r>
      <w:proofErr w:type="spellStart"/>
      <w:r w:rsidRPr="006D2330">
        <w:rPr>
          <w:sz w:val="16"/>
          <w:szCs w:val="16"/>
        </w:rPr>
        <w:t>Makrilia</w:t>
      </w:r>
      <w:proofErr w:type="spellEnd"/>
      <w:r w:rsidRPr="006D2330">
        <w:rPr>
          <w:sz w:val="16"/>
          <w:szCs w:val="16"/>
        </w:rPr>
        <w:t xml:space="preserve"> N, Syrigos K. </w:t>
      </w:r>
      <w:hyperlink r:id="rId150" w:history="1">
        <w:r w:rsidRPr="00150993">
          <w:rPr>
            <w:rStyle w:val="Hyperlink"/>
            <w:color w:val="auto"/>
            <w:sz w:val="16"/>
            <w:szCs w:val="16"/>
            <w:u w:val="none"/>
          </w:rPr>
          <w:t>Role and cost effectiveness of PET/CT in management of patients with cancer. Yale</w:t>
        </w:r>
      </w:hyperlink>
      <w:r w:rsidRPr="00150993">
        <w:rPr>
          <w:sz w:val="16"/>
          <w:szCs w:val="16"/>
        </w:rPr>
        <w:t xml:space="preserve"> </w:t>
      </w:r>
      <w:r w:rsidRPr="006D2330">
        <w:rPr>
          <w:sz w:val="16"/>
          <w:szCs w:val="16"/>
        </w:rPr>
        <w:t xml:space="preserve">J Biol Med. 2010 Jun;83(2):53-65. PMID: 20589185; PMCID: PMC2892773. Available online at: </w:t>
      </w:r>
      <w:hyperlink r:id="rId151" w:history="1">
        <w:r w:rsidRPr="006D2330">
          <w:rPr>
            <w:rStyle w:val="Hyperlink"/>
            <w:sz w:val="16"/>
            <w:szCs w:val="16"/>
          </w:rPr>
          <w:t>https://www.ncbi.nlm.nih.gov/pmc/articles/PMC2892773/</w:t>
        </w:r>
      </w:hyperlink>
      <w:r w:rsidRPr="006D2330">
        <w:rPr>
          <w:sz w:val="16"/>
          <w:szCs w:val="16"/>
        </w:rPr>
        <w:t xml:space="preserve"> </w:t>
      </w:r>
    </w:p>
  </w:footnote>
  <w:footnote w:id="135">
    <w:p w14:paraId="69C0EFC1"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r w:rsidRPr="006D2330">
        <w:rPr>
          <w:i/>
          <w:iCs/>
          <w:sz w:val="16"/>
          <w:szCs w:val="16"/>
        </w:rPr>
        <w:t>Ibid.</w:t>
      </w:r>
    </w:p>
  </w:footnote>
  <w:footnote w:id="136">
    <w:p w14:paraId="29BAB8F3"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r w:rsidRPr="006D2330">
        <w:rPr>
          <w:i/>
          <w:iCs/>
          <w:sz w:val="16"/>
          <w:szCs w:val="16"/>
        </w:rPr>
        <w:t>Ibid.</w:t>
      </w:r>
    </w:p>
  </w:footnote>
  <w:footnote w:id="137">
    <w:p w14:paraId="7B560316"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r w:rsidRPr="006D2330">
        <w:rPr>
          <w:i/>
          <w:iCs/>
          <w:sz w:val="16"/>
          <w:szCs w:val="16"/>
        </w:rPr>
        <w:t>Ibid</w:t>
      </w:r>
      <w:r w:rsidRPr="006D2330">
        <w:rPr>
          <w:sz w:val="16"/>
          <w:szCs w:val="16"/>
        </w:rPr>
        <w:t>.</w:t>
      </w:r>
    </w:p>
  </w:footnote>
  <w:footnote w:id="138">
    <w:p w14:paraId="2DC167C4"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The Patient Experience in Imaging Study was conducted in the summer of 2017 by Kantar TNS, in the Netherlands per order of Philips. It was based on prior qualitative research conducted in April-May 2017. Available online at: </w:t>
      </w:r>
      <w:hyperlink r:id="rId152" w:history="1">
        <w:r w:rsidRPr="006D2330">
          <w:rPr>
            <w:rStyle w:val="Hyperlink"/>
            <w:sz w:val="16"/>
            <w:szCs w:val="16"/>
          </w:rPr>
          <w:t>https://Images.philips.com/is/content/PhilipsConsumer/Campaigns/HC20140401_DG/Documents/PEX_in_Imaging_research_11Oct17_FINAL.pdf</w:t>
        </w:r>
      </w:hyperlink>
      <w:r w:rsidRPr="006D2330">
        <w:rPr>
          <w:sz w:val="16"/>
          <w:szCs w:val="16"/>
        </w:rPr>
        <w:t xml:space="preserve">     </w:t>
      </w:r>
    </w:p>
  </w:footnote>
  <w:footnote w:id="139">
    <w:p w14:paraId="6FB69EF2" w14:textId="52B7B965"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Bhanu Prakash, </w:t>
      </w:r>
      <w:hyperlink r:id="rId153" w:history="1">
        <w:r w:rsidRPr="00096CA7">
          <w:rPr>
            <w:rStyle w:val="Hyperlink"/>
            <w:color w:val="auto"/>
            <w:sz w:val="16"/>
            <w:szCs w:val="16"/>
            <w:u w:val="none"/>
          </w:rPr>
          <w:t>Patient Satisfaction,</w:t>
        </w:r>
      </w:hyperlink>
      <w:r w:rsidRPr="006D2330">
        <w:rPr>
          <w:sz w:val="16"/>
          <w:szCs w:val="16"/>
        </w:rPr>
        <w:t xml:space="preserve"> 3 J. CUTANEOUS &amp; AESTHETIC SURGERY 151 (2010), online at: </w:t>
      </w:r>
      <w:hyperlink r:id="rId154" w:history="1">
        <w:r w:rsidRPr="006D2330">
          <w:rPr>
            <w:rStyle w:val="Hyperlink"/>
            <w:sz w:val="16"/>
            <w:szCs w:val="16"/>
          </w:rPr>
          <w:t>https://pubmed.ncbi.nlm.nih.gov/21430827/</w:t>
        </w:r>
      </w:hyperlink>
      <w:r w:rsidRPr="006D2330">
        <w:rPr>
          <w:sz w:val="16"/>
          <w:szCs w:val="16"/>
        </w:rPr>
        <w:t xml:space="preserve"> </w:t>
      </w:r>
    </w:p>
  </w:footnote>
  <w:footnote w:id="140">
    <w:p w14:paraId="4BFC9476" w14:textId="2E5FA083"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lang w:val="es-ES"/>
        </w:rPr>
        <w:t xml:space="preserve"> Hanan </w:t>
      </w:r>
      <w:proofErr w:type="spellStart"/>
      <w:r w:rsidRPr="006D2330">
        <w:rPr>
          <w:sz w:val="16"/>
          <w:szCs w:val="16"/>
          <w:lang w:val="es-ES"/>
        </w:rPr>
        <w:t>Aldosari</w:t>
      </w:r>
      <w:proofErr w:type="spellEnd"/>
      <w:r w:rsidRPr="006D2330">
        <w:rPr>
          <w:sz w:val="16"/>
          <w:szCs w:val="16"/>
          <w:lang w:val="es-ES"/>
        </w:rPr>
        <w:t xml:space="preserve">, </w:t>
      </w:r>
      <w:proofErr w:type="spellStart"/>
      <w:r w:rsidRPr="006D2330">
        <w:rPr>
          <w:sz w:val="16"/>
          <w:szCs w:val="16"/>
          <w:lang w:val="es-ES"/>
        </w:rPr>
        <w:t>Basema</w:t>
      </w:r>
      <w:proofErr w:type="spellEnd"/>
      <w:r w:rsidRPr="006D2330">
        <w:rPr>
          <w:sz w:val="16"/>
          <w:szCs w:val="16"/>
          <w:lang w:val="es-ES"/>
        </w:rPr>
        <w:t xml:space="preserve"> </w:t>
      </w:r>
      <w:proofErr w:type="spellStart"/>
      <w:r w:rsidRPr="006D2330">
        <w:rPr>
          <w:sz w:val="16"/>
          <w:szCs w:val="16"/>
          <w:lang w:val="es-ES"/>
        </w:rPr>
        <w:t>Saddik</w:t>
      </w:r>
      <w:proofErr w:type="spellEnd"/>
      <w:r w:rsidRPr="006D2330">
        <w:rPr>
          <w:sz w:val="16"/>
          <w:szCs w:val="16"/>
          <w:lang w:val="es-ES"/>
        </w:rPr>
        <w:t xml:space="preserve">, </w:t>
      </w:r>
      <w:proofErr w:type="spellStart"/>
      <w:r w:rsidRPr="006D2330">
        <w:rPr>
          <w:sz w:val="16"/>
          <w:szCs w:val="16"/>
          <w:lang w:val="es-ES"/>
        </w:rPr>
        <w:t>Khulud</w:t>
      </w:r>
      <w:proofErr w:type="spellEnd"/>
      <w:r w:rsidRPr="006D2330">
        <w:rPr>
          <w:sz w:val="16"/>
          <w:szCs w:val="16"/>
          <w:lang w:val="es-ES"/>
        </w:rPr>
        <w:t xml:space="preserve"> Al </w:t>
      </w:r>
      <w:proofErr w:type="spellStart"/>
      <w:r w:rsidRPr="006D2330">
        <w:rPr>
          <w:sz w:val="16"/>
          <w:szCs w:val="16"/>
          <w:lang w:val="es-ES"/>
        </w:rPr>
        <w:t>Kadi</w:t>
      </w:r>
      <w:proofErr w:type="spellEnd"/>
      <w:r w:rsidRPr="006D2330">
        <w:rPr>
          <w:sz w:val="16"/>
          <w:szCs w:val="16"/>
          <w:lang w:val="es-ES"/>
        </w:rPr>
        <w:t xml:space="preserve">. </w:t>
      </w:r>
      <w:hyperlink r:id="rId155" w:history="1">
        <w:r w:rsidRPr="00096CA7">
          <w:rPr>
            <w:rStyle w:val="Hyperlink"/>
            <w:color w:val="auto"/>
            <w:sz w:val="16"/>
            <w:szCs w:val="16"/>
            <w:u w:val="none"/>
          </w:rPr>
          <w:t>Impact of picture archiving and communication system (PACS) on radiology staff,</w:t>
        </w:r>
      </w:hyperlink>
      <w:r w:rsidRPr="00096CA7">
        <w:rPr>
          <w:sz w:val="16"/>
          <w:szCs w:val="16"/>
        </w:rPr>
        <w:t xml:space="preserve"> Informatics </w:t>
      </w:r>
      <w:r w:rsidRPr="006D2330">
        <w:rPr>
          <w:sz w:val="16"/>
          <w:szCs w:val="16"/>
        </w:rPr>
        <w:t xml:space="preserve">in Medicine Unlocked, Volume 10, 2018. Online at: </w:t>
      </w:r>
      <w:hyperlink r:id="rId156" w:history="1">
        <w:r w:rsidRPr="006D2330">
          <w:rPr>
            <w:rStyle w:val="Hyperlink"/>
            <w:sz w:val="16"/>
            <w:szCs w:val="16"/>
          </w:rPr>
          <w:t>https://www.sciencedirect.com/science/article/pii/S2352914817301958</w:t>
        </w:r>
      </w:hyperlink>
      <w:r w:rsidRPr="006D2330">
        <w:rPr>
          <w:sz w:val="16"/>
          <w:szCs w:val="16"/>
        </w:rPr>
        <w:t xml:space="preserve"> </w:t>
      </w:r>
    </w:p>
  </w:footnote>
  <w:footnote w:id="141">
    <w:p w14:paraId="33D85819" w14:textId="5028580B" w:rsidR="00663FBB" w:rsidRPr="00AE584D"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O'Malley AS, Grossman JM, Cohen GR, </w:t>
      </w:r>
      <w:r w:rsidRPr="00096CA7">
        <w:rPr>
          <w:sz w:val="16"/>
          <w:szCs w:val="16"/>
        </w:rPr>
        <w:t xml:space="preserve">Kemper NM, Pham HH. </w:t>
      </w:r>
      <w:hyperlink r:id="rId157" w:history="1">
        <w:r w:rsidRPr="00096CA7">
          <w:rPr>
            <w:rStyle w:val="Hyperlink"/>
            <w:color w:val="auto"/>
            <w:sz w:val="16"/>
            <w:szCs w:val="16"/>
            <w:u w:val="none"/>
          </w:rPr>
          <w:t>Are electronic medical records helpful for care coordination? Experiences of physician practices</w:t>
        </w:r>
      </w:hyperlink>
      <w:r w:rsidRPr="00096CA7">
        <w:rPr>
          <w:sz w:val="16"/>
          <w:szCs w:val="16"/>
        </w:rPr>
        <w:t>. </w:t>
      </w:r>
      <w:r w:rsidRPr="00096CA7">
        <w:rPr>
          <w:i/>
          <w:iCs/>
          <w:sz w:val="16"/>
          <w:szCs w:val="16"/>
        </w:rPr>
        <w:t xml:space="preserve">J Gen Intern </w:t>
      </w:r>
      <w:r w:rsidRPr="006D2330">
        <w:rPr>
          <w:i/>
          <w:iCs/>
          <w:sz w:val="16"/>
          <w:szCs w:val="16"/>
        </w:rPr>
        <w:t>Med</w:t>
      </w:r>
      <w:r w:rsidRPr="006D2330">
        <w:rPr>
          <w:sz w:val="16"/>
          <w:szCs w:val="16"/>
        </w:rPr>
        <w:t xml:space="preserve">. 2010;25(3):177-185. doi:10.1007/s11606-009-1195-2. Online at: </w:t>
      </w:r>
      <w:hyperlink r:id="rId158" w:history="1">
        <w:r w:rsidRPr="006D2330">
          <w:rPr>
            <w:rStyle w:val="Hyperlink"/>
            <w:sz w:val="16"/>
            <w:szCs w:val="16"/>
          </w:rPr>
          <w:t>https://www.ncbi.nlm.nih.gov/pmc/articles/PMC2839331/</w:t>
        </w:r>
      </w:hyperlink>
      <w:r w:rsidRPr="00AE584D">
        <w:rPr>
          <w:sz w:val="16"/>
          <w:szCs w:val="16"/>
        </w:rPr>
        <w:t xml:space="preserve"> </w:t>
      </w:r>
    </w:p>
  </w:footnote>
  <w:footnote w:id="142">
    <w:p w14:paraId="0DB879C6" w14:textId="77777777" w:rsidR="00663FBB" w:rsidRDefault="00663FBB" w:rsidP="00A632E9">
      <w:pPr>
        <w:pStyle w:val="FootnoteText"/>
      </w:pPr>
      <w:r w:rsidRPr="00AE584D">
        <w:rPr>
          <w:rStyle w:val="FootnoteReference"/>
          <w:sz w:val="16"/>
          <w:szCs w:val="16"/>
        </w:rPr>
        <w:footnoteRef/>
      </w:r>
      <w:r w:rsidRPr="00AE584D">
        <w:rPr>
          <w:sz w:val="16"/>
          <w:szCs w:val="16"/>
        </w:rPr>
        <w:t xml:space="preserve"> Shields is now using a platform called Podium – a text-based program for patient experience.</w:t>
      </w:r>
    </w:p>
  </w:footnote>
  <w:footnote w:id="143">
    <w:p w14:paraId="276BDDF3" w14:textId="117B93F9"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Kaiser Family Foundation. </w:t>
      </w:r>
      <w:hyperlink r:id="rId159" w:history="1">
        <w:r w:rsidRPr="00244C44">
          <w:rPr>
            <w:rStyle w:val="Hyperlink"/>
            <w:i/>
            <w:iCs/>
            <w:color w:val="auto"/>
            <w:sz w:val="16"/>
            <w:szCs w:val="16"/>
            <w:u w:val="none"/>
          </w:rPr>
          <w:t>America’s Challenges with Health Care Costs</w:t>
        </w:r>
      </w:hyperlink>
      <w:r w:rsidRPr="00244C44">
        <w:rPr>
          <w:sz w:val="16"/>
          <w:szCs w:val="16"/>
        </w:rPr>
        <w:t xml:space="preserve">. </w:t>
      </w:r>
      <w:r w:rsidRPr="006D2330">
        <w:rPr>
          <w:sz w:val="16"/>
          <w:szCs w:val="16"/>
        </w:rPr>
        <w:t xml:space="preserve">December 14, 2021. Online at: </w:t>
      </w:r>
      <w:hyperlink r:id="rId160" w:history="1">
        <w:r w:rsidRPr="006D2330">
          <w:rPr>
            <w:rStyle w:val="Hyperlink"/>
            <w:sz w:val="16"/>
            <w:szCs w:val="16"/>
          </w:rPr>
          <w:t>https://www.kff.org/health-costs/issue-brief/americans-challenges-with-health-care-costs/</w:t>
        </w:r>
      </w:hyperlink>
      <w:r w:rsidRPr="006D2330">
        <w:rPr>
          <w:sz w:val="16"/>
          <w:szCs w:val="16"/>
        </w:rPr>
        <w:t xml:space="preserve">  </w:t>
      </w:r>
    </w:p>
  </w:footnote>
  <w:footnote w:id="144">
    <w:p w14:paraId="702E69BF"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r w:rsidRPr="006D2330">
        <w:rPr>
          <w:i/>
          <w:iCs/>
          <w:sz w:val="16"/>
          <w:szCs w:val="16"/>
        </w:rPr>
        <w:t>Ibid.</w:t>
      </w:r>
    </w:p>
  </w:footnote>
  <w:footnote w:id="145">
    <w:p w14:paraId="3F9BC69D" w14:textId="77777777" w:rsidR="00663FBB" w:rsidRPr="006D2330" w:rsidRDefault="00663FBB" w:rsidP="00A632E9">
      <w:pPr>
        <w:pStyle w:val="FootnoteText"/>
        <w:rPr>
          <w:color w:val="0563C1" w:themeColor="hyperlink"/>
          <w:sz w:val="16"/>
          <w:szCs w:val="16"/>
          <w:u w:val="single"/>
        </w:rPr>
      </w:pPr>
      <w:r w:rsidRPr="006D2330">
        <w:rPr>
          <w:rStyle w:val="FootnoteReference"/>
          <w:sz w:val="16"/>
          <w:szCs w:val="16"/>
        </w:rPr>
        <w:footnoteRef/>
      </w:r>
      <w:r w:rsidRPr="006D2330">
        <w:rPr>
          <w:sz w:val="16"/>
          <w:szCs w:val="16"/>
        </w:rPr>
        <w:t xml:space="preserve"> Available online at: </w:t>
      </w:r>
      <w:hyperlink r:id="rId161" w:history="1">
        <w:r w:rsidRPr="006D2330">
          <w:rPr>
            <w:rStyle w:val="Hyperlink"/>
            <w:sz w:val="16"/>
            <w:szCs w:val="16"/>
          </w:rPr>
          <w:t>https://advis.com/services/independent-diagnostic-testing-facilities/?gclid=CjwKCAiAvaGRBhBlEiwAiY-yMHCMEtjEV0at0jsHbWkZwKZyWZI-ZUwUwvPraR98eltokq-f5V7OwhoCmWwQAvD_BwE</w:t>
        </w:r>
      </w:hyperlink>
    </w:p>
  </w:footnote>
  <w:footnote w:id="146">
    <w:p w14:paraId="561F432F"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Language Line Solutions phone interpreting may also be used in the event the In Demand system is not functioning properly.</w:t>
      </w:r>
    </w:p>
  </w:footnote>
  <w:footnote w:id="147">
    <w:p w14:paraId="08614D3A" w14:textId="77777777" w:rsidR="00663FBB" w:rsidRPr="00E80F2B"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Designated iPads are used for the In Demand interpreting which provides the following: real-time, full motion video and audio over a dedicated high-speed internet connection, wide and width video connection or wireless connection that delivers high quality video images; a sharply delineated image large enough to display the interpreter's face and the participating individual's face; a clear, audible transmission of voices; a choice of female or male interpreter, based on patient preference if requested; adequate training to users on the operation of the video remote interpreting system; and phone interpreting services when needed.</w:t>
      </w:r>
    </w:p>
  </w:footnote>
  <w:footnote w:id="148">
    <w:p w14:paraId="17DC53CF" w14:textId="25F9456E"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r>
        <w:rPr>
          <w:sz w:val="16"/>
          <w:szCs w:val="16"/>
        </w:rPr>
        <w:t>Atrius</w:t>
      </w:r>
      <w:r w:rsidRPr="006D2330">
        <w:rPr>
          <w:sz w:val="16"/>
          <w:szCs w:val="16"/>
        </w:rPr>
        <w:t xml:space="preserve"> </w:t>
      </w:r>
      <w:r>
        <w:rPr>
          <w:sz w:val="16"/>
          <w:szCs w:val="16"/>
        </w:rPr>
        <w:t xml:space="preserve">Health </w:t>
      </w:r>
      <w:r w:rsidRPr="006D2330">
        <w:rPr>
          <w:sz w:val="16"/>
          <w:szCs w:val="16"/>
        </w:rPr>
        <w:t>has documented in its radiology e-consult program that nearly 50 percent of follow-up CTs and MRIs recommended by external imaging facilities can be canceled based on a more comprehensive review of the patient’s medical record and prior imaging.</w:t>
      </w:r>
    </w:p>
  </w:footnote>
  <w:footnote w:id="149">
    <w:p w14:paraId="7A87E657" w14:textId="2D36F89D"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hyperlink r:id="rId162" w:history="1">
        <w:r w:rsidRPr="005B02BC">
          <w:rPr>
            <w:rStyle w:val="Hyperlink"/>
            <w:color w:val="auto"/>
            <w:sz w:val="16"/>
            <w:szCs w:val="16"/>
            <w:u w:val="none"/>
          </w:rPr>
          <w:t>Why Patients Miss Doctor Appointments &amp; How to Decrease No-Shows.</w:t>
        </w:r>
        <w:r w:rsidRPr="005B02BC">
          <w:rPr>
            <w:rStyle w:val="Hyperlink"/>
            <w:color w:val="auto"/>
            <w:sz w:val="16"/>
            <w:szCs w:val="16"/>
          </w:rPr>
          <w:t xml:space="preserve"> </w:t>
        </w:r>
      </w:hyperlink>
      <w:r w:rsidRPr="005B02BC">
        <w:rPr>
          <w:sz w:val="16"/>
          <w:szCs w:val="16"/>
        </w:rPr>
        <w:t xml:space="preserve"> </w:t>
      </w:r>
      <w:r w:rsidRPr="006D2330">
        <w:rPr>
          <w:sz w:val="16"/>
          <w:szCs w:val="16"/>
        </w:rPr>
        <w:t xml:space="preserve">Available online at: </w:t>
      </w:r>
      <w:hyperlink r:id="rId163" w:history="1">
        <w:r w:rsidRPr="006D2330">
          <w:rPr>
            <w:rStyle w:val="Hyperlink"/>
            <w:sz w:val="16"/>
            <w:szCs w:val="16"/>
          </w:rPr>
          <w:t>https://tinehealth.com/2018/01/18/why-patients-miss-doctor-appointments-how-to-decrease-no-shows/</w:t>
        </w:r>
      </w:hyperlink>
      <w:r w:rsidRPr="006D2330">
        <w:rPr>
          <w:sz w:val="16"/>
          <w:szCs w:val="16"/>
        </w:rPr>
        <w:t xml:space="preserve"> </w:t>
      </w:r>
    </w:p>
  </w:footnote>
  <w:footnote w:id="150">
    <w:p w14:paraId="4A9C9602"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40 Allied Drive is a short walk from the Foxboro Event Service and the Franklin/Foxboro Line at the Dedham Corporate Center stop.  The 34E Walpole Center – Forest Hills Bus Station is also walking distance from the Shields MRI Dedham. </w:t>
      </w:r>
    </w:p>
  </w:footnote>
  <w:footnote w:id="151">
    <w:p w14:paraId="7433B50C" w14:textId="3DCC93C8"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“A relationship between travelling further and having worse health outcomes cannot be ruled out and should be considered within the health care services location debate.” Kelly C, Hulme C, Farragher T, Clarke G. </w:t>
      </w:r>
      <w:hyperlink r:id="rId164" w:history="1">
        <w:r w:rsidRPr="00D22EEF">
          <w:rPr>
            <w:rStyle w:val="Hyperlink"/>
            <w:color w:val="auto"/>
            <w:sz w:val="16"/>
            <w:szCs w:val="16"/>
            <w:u w:val="none"/>
          </w:rPr>
          <w:t>Are differences in travel time or distance to health care for adults in global north countries associated with an impact on health outcomes? A systematic review.</w:t>
        </w:r>
      </w:hyperlink>
      <w:r w:rsidRPr="00D22EEF">
        <w:rPr>
          <w:sz w:val="16"/>
          <w:szCs w:val="16"/>
        </w:rPr>
        <w:t xml:space="preserve"> BMJ </w:t>
      </w:r>
      <w:r w:rsidRPr="006D2330">
        <w:rPr>
          <w:sz w:val="16"/>
          <w:szCs w:val="16"/>
        </w:rPr>
        <w:t>Open. 2016;6(11</w:t>
      </w:r>
      <w:proofErr w:type="gramStart"/>
      <w:r w:rsidRPr="006D2330">
        <w:rPr>
          <w:sz w:val="16"/>
          <w:szCs w:val="16"/>
        </w:rPr>
        <w:t>):e</w:t>
      </w:r>
      <w:proofErr w:type="gramEnd"/>
      <w:r w:rsidRPr="006D2330">
        <w:rPr>
          <w:sz w:val="16"/>
          <w:szCs w:val="16"/>
        </w:rPr>
        <w:t xml:space="preserve">013059. Published 2016 Nov 24. doi:10.1136/bmjopen-2016-013059. Online at: </w:t>
      </w:r>
      <w:hyperlink r:id="rId165" w:history="1">
        <w:r w:rsidRPr="006D2330">
          <w:rPr>
            <w:rStyle w:val="Hyperlink"/>
            <w:sz w:val="16"/>
            <w:szCs w:val="16"/>
          </w:rPr>
          <w:t>https://www.ncbi.nlm.nih.gov/pmc/articles/PMC5178808/</w:t>
        </w:r>
      </w:hyperlink>
      <w:r w:rsidRPr="006D2330">
        <w:rPr>
          <w:sz w:val="16"/>
          <w:szCs w:val="16"/>
        </w:rPr>
        <w:t xml:space="preserve"> </w:t>
      </w:r>
    </w:p>
  </w:footnote>
  <w:footnote w:id="152">
    <w:p w14:paraId="7EB583E4"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Syed ST, Gerber BS, Sharp LK. Traveling towards disease: transportation barriers to health care access. J Community Health. 2013;38(5):976-993. doi:10.1007/s10900-013-9681-1. Online at: </w:t>
      </w:r>
      <w:hyperlink r:id="rId166" w:history="1">
        <w:r w:rsidRPr="006D2330">
          <w:rPr>
            <w:rStyle w:val="Hyperlink"/>
            <w:sz w:val="16"/>
            <w:szCs w:val="16"/>
          </w:rPr>
          <w:t>https://www.ncbi.nlm.nih.gov/pmc/articles/PMC4265215/</w:t>
        </w:r>
      </w:hyperlink>
      <w:r w:rsidRPr="006D2330">
        <w:rPr>
          <w:sz w:val="16"/>
          <w:szCs w:val="16"/>
        </w:rPr>
        <w:t xml:space="preserve"> </w:t>
      </w:r>
    </w:p>
  </w:footnote>
  <w:footnote w:id="153">
    <w:p w14:paraId="1491CFD2" w14:textId="77777777" w:rsidR="00663FBB" w:rsidRDefault="00663FBB" w:rsidP="00A632E9">
      <w:pPr>
        <w:pStyle w:val="FootnoteText"/>
      </w:pPr>
      <w:r w:rsidRPr="006D2330">
        <w:rPr>
          <w:rStyle w:val="FootnoteReference"/>
          <w:sz w:val="16"/>
          <w:szCs w:val="16"/>
        </w:rPr>
        <w:footnoteRef/>
      </w:r>
      <w:r w:rsidRPr="006D2330">
        <w:rPr>
          <w:sz w:val="16"/>
          <w:szCs w:val="16"/>
        </w:rPr>
        <w:t xml:space="preserve"> </w:t>
      </w:r>
      <w:r w:rsidRPr="006D2330">
        <w:rPr>
          <w:i/>
          <w:iCs/>
          <w:sz w:val="16"/>
          <w:szCs w:val="16"/>
        </w:rPr>
        <w:t>Ibid.</w:t>
      </w:r>
    </w:p>
  </w:footnote>
  <w:footnote w:id="154">
    <w:p w14:paraId="7F0AD7DB"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proofErr w:type="spellStart"/>
      <w:r w:rsidRPr="006D2330">
        <w:rPr>
          <w:sz w:val="16"/>
          <w:szCs w:val="16"/>
        </w:rPr>
        <w:t>Cureus</w:t>
      </w:r>
      <w:proofErr w:type="spellEnd"/>
      <w:r w:rsidRPr="006D2330">
        <w:rPr>
          <w:sz w:val="16"/>
          <w:szCs w:val="16"/>
        </w:rPr>
        <w:t xml:space="preserve"> is an Open Access medical journal for a new generation of doctors, </w:t>
      </w:r>
      <w:proofErr w:type="gramStart"/>
      <w:r w:rsidRPr="006D2330">
        <w:rPr>
          <w:sz w:val="16"/>
          <w:szCs w:val="16"/>
        </w:rPr>
        <w:t>researchers</w:t>
      </w:r>
      <w:proofErr w:type="gramEnd"/>
      <w:r w:rsidRPr="006D2330">
        <w:rPr>
          <w:sz w:val="16"/>
          <w:szCs w:val="16"/>
        </w:rPr>
        <w:t xml:space="preserve"> and patients. Available online at: </w:t>
      </w:r>
      <w:hyperlink r:id="rId167" w:history="1">
        <w:r w:rsidRPr="006D2330">
          <w:rPr>
            <w:rStyle w:val="Hyperlink"/>
            <w:sz w:val="16"/>
            <w:szCs w:val="16"/>
          </w:rPr>
          <w:t>https://www.cureus.com/about</w:t>
        </w:r>
      </w:hyperlink>
      <w:r w:rsidRPr="006D2330">
        <w:rPr>
          <w:sz w:val="16"/>
          <w:szCs w:val="16"/>
        </w:rPr>
        <w:t xml:space="preserve"> </w:t>
      </w:r>
    </w:p>
  </w:footnote>
  <w:footnote w:id="155">
    <w:p w14:paraId="5E07E0EC"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Social determinants of health (SDOH) are the conditions in the environments where people are born, live, learn, work, play, worship, and age that affect a wide range of health, functioning, and quality-of-life outcomes and risks. Definition available online at: </w:t>
      </w:r>
      <w:hyperlink r:id="rId168" w:history="1">
        <w:r w:rsidRPr="006D2330">
          <w:rPr>
            <w:rStyle w:val="Hyperlink"/>
            <w:sz w:val="16"/>
            <w:szCs w:val="16"/>
          </w:rPr>
          <w:t>https://health.gov/healthypeople/priority-areas/social-determinants-health</w:t>
        </w:r>
      </w:hyperlink>
      <w:r w:rsidRPr="006D2330">
        <w:rPr>
          <w:sz w:val="16"/>
          <w:szCs w:val="16"/>
        </w:rPr>
        <w:t xml:space="preserve"> </w:t>
      </w:r>
    </w:p>
  </w:footnote>
  <w:footnote w:id="156">
    <w:p w14:paraId="6F4C9B04" w14:textId="30BAE069"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Chelak K, Chakole S. </w:t>
      </w:r>
      <w:hyperlink r:id="rId169" w:history="1">
        <w:r w:rsidRPr="0005366E">
          <w:rPr>
            <w:rStyle w:val="Hyperlink"/>
            <w:color w:val="auto"/>
            <w:sz w:val="16"/>
            <w:szCs w:val="16"/>
            <w:u w:val="none"/>
          </w:rPr>
          <w:t>The Role of Social Determinants of Health in Promoting Health Equality: A Narrative Review.</w:t>
        </w:r>
      </w:hyperlink>
      <w:r w:rsidRPr="0005366E">
        <w:rPr>
          <w:sz w:val="16"/>
          <w:szCs w:val="16"/>
        </w:rPr>
        <w:t xml:space="preserve"> </w:t>
      </w:r>
      <w:proofErr w:type="spellStart"/>
      <w:r w:rsidRPr="0005366E">
        <w:rPr>
          <w:sz w:val="16"/>
          <w:szCs w:val="16"/>
        </w:rPr>
        <w:t>Cureus</w:t>
      </w:r>
      <w:proofErr w:type="spellEnd"/>
      <w:r w:rsidRPr="006D2330">
        <w:rPr>
          <w:sz w:val="16"/>
          <w:szCs w:val="16"/>
        </w:rPr>
        <w:t>. 2023 Jan 5;15(1</w:t>
      </w:r>
      <w:proofErr w:type="gramStart"/>
      <w:r w:rsidRPr="006D2330">
        <w:rPr>
          <w:sz w:val="16"/>
          <w:szCs w:val="16"/>
        </w:rPr>
        <w:t>):e</w:t>
      </w:r>
      <w:proofErr w:type="gramEnd"/>
      <w:r w:rsidRPr="006D2330">
        <w:rPr>
          <w:sz w:val="16"/>
          <w:szCs w:val="16"/>
        </w:rPr>
        <w:t xml:space="preserve">33425. </w:t>
      </w:r>
      <w:proofErr w:type="spellStart"/>
      <w:r w:rsidRPr="006D2330">
        <w:rPr>
          <w:sz w:val="16"/>
          <w:szCs w:val="16"/>
        </w:rPr>
        <w:t>doi</w:t>
      </w:r>
      <w:proofErr w:type="spellEnd"/>
      <w:r w:rsidRPr="006D2330">
        <w:rPr>
          <w:sz w:val="16"/>
          <w:szCs w:val="16"/>
        </w:rPr>
        <w:t xml:space="preserve">: 10.7759/cureus.33425. PMID: 36751221; PMCID: PMC9899154. Available online at: </w:t>
      </w:r>
      <w:hyperlink r:id="rId170" w:history="1">
        <w:r w:rsidRPr="006D2330">
          <w:rPr>
            <w:rStyle w:val="Hyperlink"/>
            <w:sz w:val="16"/>
            <w:szCs w:val="16"/>
          </w:rPr>
          <w:t>https://www.ncbi.nlm.nih.gov/pmc/articles/PMC9899154/</w:t>
        </w:r>
      </w:hyperlink>
      <w:r w:rsidRPr="006D2330">
        <w:rPr>
          <w:sz w:val="16"/>
          <w:szCs w:val="16"/>
        </w:rPr>
        <w:t xml:space="preserve"> </w:t>
      </w:r>
    </w:p>
  </w:footnote>
  <w:footnote w:id="157">
    <w:p w14:paraId="68E3EE1F" w14:textId="77777777" w:rsidR="00663FBB" w:rsidRDefault="00663FBB" w:rsidP="00A632E9">
      <w:pPr>
        <w:pStyle w:val="FootnoteText"/>
      </w:pPr>
      <w:r w:rsidRPr="006D2330">
        <w:rPr>
          <w:rStyle w:val="FootnoteReference"/>
          <w:sz w:val="16"/>
          <w:szCs w:val="16"/>
        </w:rPr>
        <w:footnoteRef/>
      </w:r>
      <w:r w:rsidRPr="006D2330">
        <w:rPr>
          <w:sz w:val="16"/>
          <w:szCs w:val="16"/>
        </w:rPr>
        <w:t xml:space="preserve"> Access to transportation is one of the most important social determinants of health (SDOH), according to the CDC.</w:t>
      </w:r>
    </w:p>
  </w:footnote>
  <w:footnote w:id="158">
    <w:p w14:paraId="30254C62" w14:textId="77777777" w:rsidR="00663FBB" w:rsidRPr="00DF3804" w:rsidRDefault="00663FBB" w:rsidP="00A632E9">
      <w:pPr>
        <w:pStyle w:val="FootnoteText"/>
      </w:pPr>
      <w:r w:rsidRPr="00DF3804">
        <w:rPr>
          <w:rStyle w:val="FootnoteReference"/>
          <w:sz w:val="16"/>
          <w:szCs w:val="16"/>
        </w:rPr>
        <w:footnoteRef/>
      </w:r>
      <w:r w:rsidRPr="00DF3804">
        <w:rPr>
          <w:sz w:val="16"/>
          <w:szCs w:val="16"/>
        </w:rPr>
        <w:t xml:space="preserve"> Location information available online at: </w:t>
      </w:r>
      <w:hyperlink r:id="rId171" w:history="1">
        <w:r w:rsidRPr="00DF3804">
          <w:rPr>
            <w:rStyle w:val="Hyperlink"/>
            <w:sz w:val="16"/>
            <w:szCs w:val="16"/>
          </w:rPr>
          <w:t>https://www.atriushealth.org/locations/dedham</w:t>
        </w:r>
      </w:hyperlink>
      <w:r w:rsidRPr="00DF3804">
        <w:rPr>
          <w:sz w:val="16"/>
          <w:szCs w:val="16"/>
        </w:rPr>
        <w:t xml:space="preserve"> </w:t>
      </w:r>
    </w:p>
  </w:footnote>
  <w:footnote w:id="159">
    <w:p w14:paraId="21F016C2" w14:textId="77777777" w:rsidR="00663FBB" w:rsidRPr="00A01310" w:rsidRDefault="00663FBB" w:rsidP="00A632E9">
      <w:pPr>
        <w:pStyle w:val="FootnoteText"/>
        <w:rPr>
          <w:sz w:val="16"/>
          <w:szCs w:val="16"/>
        </w:rPr>
      </w:pPr>
      <w:r w:rsidRPr="00A01310">
        <w:rPr>
          <w:rStyle w:val="FootnoteReference"/>
          <w:sz w:val="16"/>
          <w:szCs w:val="16"/>
        </w:rPr>
        <w:footnoteRef/>
      </w:r>
      <w:r w:rsidRPr="00A01310">
        <w:rPr>
          <w:sz w:val="16"/>
          <w:szCs w:val="16"/>
        </w:rPr>
        <w:t xml:space="preserve"> A copy of the flyer is included herein with this submission. </w:t>
      </w:r>
    </w:p>
  </w:footnote>
  <w:footnote w:id="160">
    <w:p w14:paraId="3CD64555" w14:textId="6949D60B" w:rsidR="00663FBB" w:rsidRPr="00550AA9" w:rsidRDefault="00663FBB">
      <w:pPr>
        <w:pStyle w:val="FootnoteText"/>
        <w:rPr>
          <w:sz w:val="16"/>
          <w:szCs w:val="16"/>
        </w:rPr>
      </w:pPr>
      <w:r w:rsidRPr="00550AA9">
        <w:rPr>
          <w:rStyle w:val="FootnoteReference"/>
          <w:sz w:val="16"/>
          <w:szCs w:val="16"/>
        </w:rPr>
        <w:footnoteRef/>
      </w:r>
      <w:r w:rsidRPr="00550AA9">
        <w:rPr>
          <w:sz w:val="16"/>
          <w:szCs w:val="16"/>
        </w:rPr>
        <w:t xml:space="preserve"> Published on the Shields website at: </w:t>
      </w:r>
      <w:hyperlink r:id="rId172" w:history="1">
        <w:r w:rsidRPr="00550AA9">
          <w:rPr>
            <w:rStyle w:val="Hyperlink"/>
            <w:sz w:val="16"/>
            <w:szCs w:val="16"/>
          </w:rPr>
          <w:t>https://shields.com/location/shields-mri-dedham/</w:t>
        </w:r>
      </w:hyperlink>
      <w:r w:rsidRPr="00550AA9">
        <w:rPr>
          <w:sz w:val="16"/>
          <w:szCs w:val="16"/>
        </w:rPr>
        <w:t xml:space="preserve"> </w:t>
      </w:r>
    </w:p>
  </w:footnote>
  <w:footnote w:id="161">
    <w:p w14:paraId="7D6C4D06" w14:textId="70763B12"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r w:rsidRPr="00316A2B">
        <w:rPr>
          <w:sz w:val="16"/>
          <w:szCs w:val="16"/>
        </w:rPr>
        <w:t>Published on the Shields website at:</w:t>
      </w:r>
      <w:r w:rsidRPr="006D2330">
        <w:rPr>
          <w:sz w:val="16"/>
          <w:szCs w:val="16"/>
        </w:rPr>
        <w:t xml:space="preserve"> </w:t>
      </w:r>
      <w:hyperlink r:id="rId173" w:history="1">
        <w:r w:rsidR="00316A2B" w:rsidRPr="00603039">
          <w:rPr>
            <w:rStyle w:val="Hyperlink"/>
            <w:sz w:val="16"/>
            <w:szCs w:val="16"/>
          </w:rPr>
          <w:t>https://shields.com/location/shields-mri-dedham/</w:t>
        </w:r>
      </w:hyperlink>
      <w:r w:rsidR="00316A2B">
        <w:rPr>
          <w:sz w:val="16"/>
          <w:szCs w:val="16"/>
        </w:rPr>
        <w:t xml:space="preserve"> </w:t>
      </w:r>
    </w:p>
  </w:footnote>
  <w:footnote w:id="162">
    <w:p w14:paraId="3ED3D711" w14:textId="77777777" w:rsidR="00663FBB" w:rsidRPr="006D2330" w:rsidRDefault="00663FBB" w:rsidP="00A632E9">
      <w:pPr>
        <w:jc w:val="both"/>
        <w:rPr>
          <w:rFonts w:ascii="Calibri" w:hAnsi="Calibri" w:cs="Calibri"/>
          <w:sz w:val="16"/>
          <w:szCs w:val="16"/>
        </w:rPr>
      </w:pPr>
      <w:r w:rsidRPr="006D2330">
        <w:rPr>
          <w:rStyle w:val="FootnoteReference"/>
          <w:sz w:val="16"/>
          <w:szCs w:val="16"/>
        </w:rPr>
        <w:footnoteRef/>
      </w:r>
      <w:r w:rsidRPr="006D2330">
        <w:rPr>
          <w:sz w:val="16"/>
          <w:szCs w:val="16"/>
        </w:rPr>
        <w:t xml:space="preserve"> </w:t>
      </w:r>
      <w:r w:rsidRPr="006D2330">
        <w:rPr>
          <w:rFonts w:ascii="Calibri" w:hAnsi="Calibri" w:cs="Calibri"/>
          <w:sz w:val="16"/>
          <w:szCs w:val="16"/>
        </w:rPr>
        <w:t>For detailed information regarding these activities, please see attached exhibit.</w:t>
      </w:r>
    </w:p>
  </w:footnote>
  <w:footnote w:id="163">
    <w:p w14:paraId="72965C8A" w14:textId="603D2B3F" w:rsidR="00663FBB" w:rsidRDefault="00663FBB" w:rsidP="00A632E9">
      <w:pPr>
        <w:pStyle w:val="FootnoteText"/>
      </w:pPr>
      <w:r w:rsidRPr="006D2330">
        <w:rPr>
          <w:rStyle w:val="FootnoteReference"/>
          <w:sz w:val="16"/>
          <w:szCs w:val="16"/>
        </w:rPr>
        <w:footnoteRef/>
      </w:r>
      <w:r w:rsidRPr="006D2330">
        <w:rPr>
          <w:sz w:val="16"/>
          <w:szCs w:val="16"/>
        </w:rPr>
        <w:t xml:space="preserve"> </w:t>
      </w:r>
      <w:bookmarkStart w:id="26" w:name="_Hlk109130172"/>
      <w:r w:rsidRPr="006D2330">
        <w:rPr>
          <w:sz w:val="16"/>
          <w:szCs w:val="16"/>
        </w:rPr>
        <w:t xml:space="preserve">Saif MW, </w:t>
      </w:r>
      <w:proofErr w:type="spellStart"/>
      <w:r w:rsidRPr="006D2330">
        <w:rPr>
          <w:sz w:val="16"/>
          <w:szCs w:val="16"/>
        </w:rPr>
        <w:t>Tzannou</w:t>
      </w:r>
      <w:proofErr w:type="spellEnd"/>
      <w:r w:rsidRPr="006D2330">
        <w:rPr>
          <w:sz w:val="16"/>
          <w:szCs w:val="16"/>
        </w:rPr>
        <w:t xml:space="preserve"> I, </w:t>
      </w:r>
      <w:proofErr w:type="spellStart"/>
      <w:r w:rsidRPr="006D2330">
        <w:rPr>
          <w:sz w:val="16"/>
          <w:szCs w:val="16"/>
        </w:rPr>
        <w:t>Makrilia</w:t>
      </w:r>
      <w:proofErr w:type="spellEnd"/>
      <w:r w:rsidRPr="006D2330">
        <w:rPr>
          <w:sz w:val="16"/>
          <w:szCs w:val="16"/>
        </w:rPr>
        <w:t xml:space="preserve"> N, Syrigos K. </w:t>
      </w:r>
      <w:hyperlink r:id="rId174" w:history="1">
        <w:r w:rsidRPr="00A26399">
          <w:rPr>
            <w:rStyle w:val="Hyperlink"/>
            <w:color w:val="auto"/>
            <w:sz w:val="16"/>
            <w:szCs w:val="16"/>
            <w:u w:val="none"/>
          </w:rPr>
          <w:t>Role and cost effectiveness of PET/CT in management of patients with cancer</w:t>
        </w:r>
      </w:hyperlink>
      <w:r w:rsidRPr="00A26399">
        <w:rPr>
          <w:sz w:val="16"/>
          <w:szCs w:val="16"/>
        </w:rPr>
        <w:t xml:space="preserve">. Yale </w:t>
      </w:r>
      <w:r w:rsidRPr="006D2330">
        <w:rPr>
          <w:sz w:val="16"/>
          <w:szCs w:val="16"/>
        </w:rPr>
        <w:t xml:space="preserve">J Biol Med. 2010 Jun;83(2):53-65. PMID: 20589185; PMCID: PMC2892773. Available online at: </w:t>
      </w:r>
      <w:hyperlink r:id="rId175" w:history="1">
        <w:r w:rsidRPr="006D2330">
          <w:rPr>
            <w:rStyle w:val="Hyperlink"/>
            <w:sz w:val="16"/>
            <w:szCs w:val="16"/>
          </w:rPr>
          <w:t>https://www.ncbi.nlm.nih.gov/pmc/articles/PMC2892773/</w:t>
        </w:r>
      </w:hyperlink>
      <w:bookmarkEnd w:id="26"/>
      <w:r>
        <w:rPr>
          <w:sz w:val="16"/>
          <w:szCs w:val="16"/>
        </w:rPr>
        <w:t xml:space="preserve"> </w:t>
      </w:r>
    </w:p>
  </w:footnote>
  <w:footnote w:id="164">
    <w:p w14:paraId="0D6907E8" w14:textId="2C64D4B7" w:rsidR="00663FBB" w:rsidRDefault="00663FBB" w:rsidP="00A632E9">
      <w:pPr>
        <w:pStyle w:val="FootnoteText"/>
      </w:pPr>
      <w:r>
        <w:rPr>
          <w:rStyle w:val="FootnoteReference"/>
        </w:rPr>
        <w:footnoteRef/>
      </w:r>
      <w:r>
        <w:t xml:space="preserve"> </w:t>
      </w:r>
      <w:r w:rsidRPr="00F6710E">
        <w:rPr>
          <w:sz w:val="16"/>
          <w:szCs w:val="16"/>
        </w:rPr>
        <w:t xml:space="preserve">Daniel I. Levin, CFA, ASA and Nicholas J. Janiga, ASA. </w:t>
      </w:r>
      <w:hyperlink r:id="rId176" w:history="1">
        <w:r w:rsidRPr="00A26399">
          <w:rPr>
            <w:rStyle w:val="Hyperlink"/>
            <w:color w:val="auto"/>
            <w:sz w:val="16"/>
            <w:szCs w:val="16"/>
            <w:u w:val="none"/>
          </w:rPr>
          <w:t>2020 Outlook: Diagnostic Imaging Centers and Radiology Practices</w:t>
        </w:r>
      </w:hyperlink>
      <w:r w:rsidRPr="00A26399">
        <w:rPr>
          <w:sz w:val="16"/>
          <w:szCs w:val="16"/>
        </w:rPr>
        <w:t xml:space="preserve">. Health </w:t>
      </w:r>
      <w:r>
        <w:rPr>
          <w:sz w:val="16"/>
          <w:szCs w:val="16"/>
        </w:rPr>
        <w:t>care</w:t>
      </w:r>
      <w:r w:rsidRPr="00F6710E">
        <w:rPr>
          <w:sz w:val="16"/>
          <w:szCs w:val="16"/>
        </w:rPr>
        <w:t xml:space="preserve"> Appraisers. July 21, 2020, Business Valuation, Compensation Valuation. Online at: </w:t>
      </w:r>
      <w:hyperlink r:id="rId177" w:history="1">
        <w:r w:rsidR="00A26399" w:rsidRPr="004860E7">
          <w:rPr>
            <w:rStyle w:val="Hyperlink"/>
            <w:sz w:val="16"/>
            <w:szCs w:val="16"/>
          </w:rPr>
          <w:t>https://healthcareappraisers.com/2020-outlook-diagnostic-imaging-and-radiology-practices/</w:t>
        </w:r>
      </w:hyperlink>
      <w:r w:rsidRPr="00F6710E">
        <w:rPr>
          <w:sz w:val="16"/>
          <w:szCs w:val="16"/>
        </w:rPr>
        <w:t xml:space="preserve"> </w:t>
      </w:r>
    </w:p>
  </w:footnote>
  <w:footnote w:id="165">
    <w:p w14:paraId="116106CE" w14:textId="0CB89278" w:rsidR="00663FBB" w:rsidRDefault="00663FBB" w:rsidP="00A632E9">
      <w:pPr>
        <w:pStyle w:val="FootnoteText"/>
      </w:pPr>
      <w:r>
        <w:rPr>
          <w:rStyle w:val="FootnoteReference"/>
        </w:rPr>
        <w:footnoteRef/>
      </w:r>
      <w:r>
        <w:t xml:space="preserve"> </w:t>
      </w:r>
      <w:r w:rsidRPr="00FB455D">
        <w:rPr>
          <w:sz w:val="16"/>
          <w:szCs w:val="16"/>
        </w:rPr>
        <w:t xml:space="preserve">Saif MW, </w:t>
      </w:r>
      <w:proofErr w:type="spellStart"/>
      <w:r w:rsidRPr="00FB455D">
        <w:rPr>
          <w:sz w:val="16"/>
          <w:szCs w:val="16"/>
        </w:rPr>
        <w:t>Tzannou</w:t>
      </w:r>
      <w:proofErr w:type="spellEnd"/>
      <w:r w:rsidRPr="00FB455D">
        <w:rPr>
          <w:sz w:val="16"/>
          <w:szCs w:val="16"/>
        </w:rPr>
        <w:t xml:space="preserve"> I, </w:t>
      </w:r>
      <w:proofErr w:type="spellStart"/>
      <w:r w:rsidRPr="00FB455D">
        <w:rPr>
          <w:sz w:val="16"/>
          <w:szCs w:val="16"/>
        </w:rPr>
        <w:t>Makrilia</w:t>
      </w:r>
      <w:proofErr w:type="spellEnd"/>
      <w:r w:rsidRPr="00FB455D">
        <w:rPr>
          <w:sz w:val="16"/>
          <w:szCs w:val="16"/>
        </w:rPr>
        <w:t xml:space="preserve"> N, Syrigos K. </w:t>
      </w:r>
      <w:hyperlink r:id="rId178" w:history="1">
        <w:r w:rsidRPr="002F7EF4">
          <w:rPr>
            <w:rStyle w:val="Hyperlink"/>
            <w:color w:val="auto"/>
            <w:sz w:val="16"/>
            <w:szCs w:val="16"/>
            <w:u w:val="none"/>
          </w:rPr>
          <w:t>Role and cost effectiveness of PET/CT in management of patients with cancer.</w:t>
        </w:r>
      </w:hyperlink>
      <w:r w:rsidRPr="002F7EF4">
        <w:rPr>
          <w:sz w:val="16"/>
          <w:szCs w:val="16"/>
        </w:rPr>
        <w:t xml:space="preserve"> Yale </w:t>
      </w:r>
      <w:r w:rsidRPr="00FB455D">
        <w:rPr>
          <w:sz w:val="16"/>
          <w:szCs w:val="16"/>
        </w:rPr>
        <w:t>J Biol Med. 2010 Jun;83(2):53-65. PMID: 20589185; PMCID: PMC2892773.</w:t>
      </w:r>
      <w:r>
        <w:rPr>
          <w:sz w:val="16"/>
          <w:szCs w:val="16"/>
        </w:rPr>
        <w:t xml:space="preserve"> Available online at: </w:t>
      </w:r>
      <w:hyperlink r:id="rId179" w:history="1">
        <w:r w:rsidRPr="0048358C">
          <w:rPr>
            <w:rStyle w:val="Hyperlink"/>
            <w:sz w:val="16"/>
            <w:szCs w:val="16"/>
          </w:rPr>
          <w:t>https://www.ncbi.nlm.nih.gov/pmc/articles/PMC2892773/</w:t>
        </w:r>
      </w:hyperlink>
    </w:p>
  </w:footnote>
  <w:footnote w:id="166">
    <w:p w14:paraId="524ED72A" w14:textId="77777777" w:rsidR="00663FBB" w:rsidRDefault="00663FBB" w:rsidP="00A632E9">
      <w:pPr>
        <w:pStyle w:val="FootnoteText"/>
      </w:pPr>
      <w:r>
        <w:rPr>
          <w:rStyle w:val="FootnoteReference"/>
        </w:rPr>
        <w:footnoteRef/>
      </w:r>
      <w:r>
        <w:t xml:space="preserve"> </w:t>
      </w:r>
      <w:r w:rsidRPr="00820F54">
        <w:rPr>
          <w:i/>
          <w:iCs/>
          <w:sz w:val="16"/>
          <w:szCs w:val="16"/>
        </w:rPr>
        <w:t>Ibid</w:t>
      </w:r>
      <w:r>
        <w:t>.</w:t>
      </w:r>
    </w:p>
  </w:footnote>
  <w:footnote w:id="167">
    <w:p w14:paraId="35A1474A" w14:textId="46CE3207" w:rsidR="00663FBB" w:rsidRPr="008659F9" w:rsidRDefault="00663FBB" w:rsidP="00A632E9">
      <w:pPr>
        <w:pStyle w:val="FootnoteText"/>
        <w:rPr>
          <w:sz w:val="16"/>
          <w:szCs w:val="16"/>
        </w:rPr>
      </w:pPr>
      <w:r>
        <w:rPr>
          <w:rStyle w:val="FootnoteReference"/>
        </w:rPr>
        <w:footnoteRef/>
      </w:r>
      <w:r>
        <w:t xml:space="preserve"> </w:t>
      </w:r>
      <w:r w:rsidRPr="008659F9">
        <w:rPr>
          <w:sz w:val="16"/>
          <w:szCs w:val="16"/>
        </w:rPr>
        <w:t xml:space="preserve">Robert S. Kaplan and Michael E. Porter. </w:t>
      </w:r>
      <w:hyperlink r:id="rId180" w:history="1">
        <w:r w:rsidRPr="002F7EF4">
          <w:rPr>
            <w:rStyle w:val="Hyperlink"/>
            <w:color w:val="auto"/>
            <w:sz w:val="16"/>
            <w:szCs w:val="16"/>
            <w:u w:val="none"/>
          </w:rPr>
          <w:t>The Big Idea: How to Solve the Cost Crisis in Health Care</w:t>
        </w:r>
      </w:hyperlink>
      <w:r w:rsidRPr="002F7EF4">
        <w:rPr>
          <w:sz w:val="16"/>
          <w:szCs w:val="16"/>
        </w:rPr>
        <w:t xml:space="preserve">. Harvard </w:t>
      </w:r>
      <w:r w:rsidRPr="008659F9">
        <w:rPr>
          <w:sz w:val="16"/>
          <w:szCs w:val="16"/>
        </w:rPr>
        <w:t xml:space="preserve">Business Review Magazine. 2011. Available online at: </w:t>
      </w:r>
      <w:hyperlink r:id="rId181" w:history="1">
        <w:r w:rsidRPr="009A47CC">
          <w:rPr>
            <w:rStyle w:val="Hyperlink"/>
            <w:sz w:val="16"/>
            <w:szCs w:val="16"/>
          </w:rPr>
          <w:t>https://hbr.org/2011/09/how-to-solve-the-cost-crisis-in-health-care</w:t>
        </w:r>
      </w:hyperlink>
      <w:r>
        <w:rPr>
          <w:sz w:val="16"/>
          <w:szCs w:val="16"/>
        </w:rPr>
        <w:t xml:space="preserve"> </w:t>
      </w:r>
    </w:p>
  </w:footnote>
  <w:footnote w:id="168">
    <w:p w14:paraId="0738C458" w14:textId="690E6B7B" w:rsidR="00663FBB" w:rsidRDefault="00663FBB" w:rsidP="00A632E9">
      <w:pPr>
        <w:pStyle w:val="FootnoteText"/>
      </w:pPr>
      <w:r w:rsidRPr="008F7157">
        <w:rPr>
          <w:rStyle w:val="FootnoteReference"/>
          <w:sz w:val="16"/>
          <w:szCs w:val="16"/>
        </w:rPr>
        <w:footnoteRef/>
      </w:r>
      <w:r w:rsidRPr="008F7157">
        <w:rPr>
          <w:sz w:val="16"/>
          <w:szCs w:val="16"/>
        </w:rPr>
        <w:t xml:space="preserve"> </w:t>
      </w:r>
      <w:r>
        <w:rPr>
          <w:sz w:val="16"/>
          <w:szCs w:val="16"/>
        </w:rPr>
        <w:t>Atrius</w:t>
      </w:r>
      <w:r w:rsidRPr="008F7157">
        <w:rPr>
          <w:sz w:val="16"/>
          <w:szCs w:val="16"/>
        </w:rPr>
        <w:t xml:space="preserve"> </w:t>
      </w:r>
      <w:r>
        <w:rPr>
          <w:sz w:val="16"/>
          <w:szCs w:val="16"/>
        </w:rPr>
        <w:t xml:space="preserve">Health </w:t>
      </w:r>
      <w:r w:rsidRPr="008F7157">
        <w:rPr>
          <w:sz w:val="16"/>
          <w:szCs w:val="16"/>
        </w:rPr>
        <w:t xml:space="preserve">has a site located at 1 Lyons Street, Dedham. </w:t>
      </w:r>
    </w:p>
  </w:footnote>
  <w:footnote w:id="169">
    <w:p w14:paraId="282F78B5" w14:textId="3E6ABBE4" w:rsidR="00663FBB" w:rsidRDefault="00663FBB" w:rsidP="00BA086C">
      <w:pPr>
        <w:pStyle w:val="FootnoteText"/>
      </w:pPr>
      <w:r w:rsidRPr="00165241">
        <w:rPr>
          <w:rStyle w:val="FootnoteReference"/>
          <w:sz w:val="16"/>
          <w:szCs w:val="16"/>
        </w:rPr>
        <w:footnoteRef/>
      </w:r>
      <w:r w:rsidRPr="00165241">
        <w:rPr>
          <w:sz w:val="16"/>
          <w:szCs w:val="16"/>
        </w:rPr>
        <w:t xml:space="preserve"> Warwick Anderson, </w:t>
      </w:r>
      <w:hyperlink r:id="rId182" w:history="1">
        <w:r w:rsidRPr="002F7EF4">
          <w:rPr>
            <w:rStyle w:val="Hyperlink"/>
            <w:color w:val="auto"/>
            <w:sz w:val="16"/>
            <w:szCs w:val="16"/>
            <w:u w:val="none"/>
          </w:rPr>
          <w:t>“With the right kind of research, we can reduce health-care costs.”</w:t>
        </w:r>
      </w:hyperlink>
      <w:r w:rsidRPr="002F7EF4">
        <w:rPr>
          <w:sz w:val="16"/>
          <w:szCs w:val="16"/>
        </w:rPr>
        <w:t xml:space="preserve"> The </w:t>
      </w:r>
      <w:r w:rsidRPr="00165241">
        <w:rPr>
          <w:sz w:val="16"/>
          <w:szCs w:val="16"/>
        </w:rPr>
        <w:t xml:space="preserve">Conversation. July 28, 2014. Available online at: </w:t>
      </w:r>
      <w:hyperlink r:id="rId183" w:history="1">
        <w:r w:rsidRPr="00165241">
          <w:rPr>
            <w:rStyle w:val="Hyperlink"/>
            <w:sz w:val="16"/>
            <w:szCs w:val="16"/>
          </w:rPr>
          <w:t>https://theconversation.com/with-the-right-kind-of-research-we-can-reduce-health-care-costs-28898</w:t>
        </w:r>
      </w:hyperlink>
      <w:r w:rsidRPr="00165241">
        <w:rPr>
          <w:sz w:val="18"/>
          <w:szCs w:val="18"/>
        </w:rPr>
        <w:t xml:space="preserve"> </w:t>
      </w:r>
    </w:p>
  </w:footnote>
  <w:footnote w:id="170">
    <w:p w14:paraId="40369198" w14:textId="77777777" w:rsidR="00663FBB" w:rsidRPr="00040365" w:rsidRDefault="00663FBB" w:rsidP="00BA086C">
      <w:pPr>
        <w:pStyle w:val="FootnoteText"/>
        <w:rPr>
          <w:sz w:val="16"/>
          <w:szCs w:val="16"/>
        </w:rPr>
      </w:pPr>
      <w:r w:rsidRPr="00040365">
        <w:rPr>
          <w:rStyle w:val="FootnoteReference"/>
          <w:sz w:val="16"/>
          <w:szCs w:val="16"/>
        </w:rPr>
        <w:footnoteRef/>
      </w:r>
      <w:r w:rsidRPr="00040365">
        <w:rPr>
          <w:sz w:val="16"/>
          <w:szCs w:val="16"/>
        </w:rPr>
        <w:t xml:space="preserve"> Such as curative intent surgery and radiation therapy in patients demonstrated by PET to have advanced disease.</w:t>
      </w:r>
    </w:p>
  </w:footnote>
  <w:footnote w:id="171">
    <w:p w14:paraId="087C45E5" w14:textId="73ECA0A8" w:rsidR="00663FBB" w:rsidRDefault="00663FBB" w:rsidP="00BA086C">
      <w:pPr>
        <w:pStyle w:val="FootnoteText"/>
      </w:pPr>
      <w:r w:rsidRPr="00346F49">
        <w:rPr>
          <w:rStyle w:val="FootnoteReference"/>
          <w:sz w:val="16"/>
          <w:szCs w:val="16"/>
        </w:rPr>
        <w:footnoteRef/>
      </w:r>
      <w:r w:rsidRPr="00346F49">
        <w:rPr>
          <w:sz w:val="16"/>
          <w:szCs w:val="16"/>
        </w:rPr>
        <w:t xml:space="preserve"> Fischer BM, Siegel BA, Weber WA, von Bremen K, Beyer T, </w:t>
      </w:r>
      <w:proofErr w:type="spellStart"/>
      <w:r w:rsidRPr="00346F49">
        <w:rPr>
          <w:sz w:val="16"/>
          <w:szCs w:val="16"/>
        </w:rPr>
        <w:t>Kalemis</w:t>
      </w:r>
      <w:proofErr w:type="spellEnd"/>
      <w:r w:rsidRPr="00346F49">
        <w:rPr>
          <w:sz w:val="16"/>
          <w:szCs w:val="16"/>
        </w:rPr>
        <w:t xml:space="preserve"> A.</w:t>
      </w:r>
      <w:r w:rsidRPr="002F7EF4">
        <w:rPr>
          <w:sz w:val="16"/>
          <w:szCs w:val="16"/>
        </w:rPr>
        <w:t xml:space="preserve"> </w:t>
      </w:r>
      <w:hyperlink r:id="rId184" w:history="1">
        <w:r w:rsidRPr="002F7EF4">
          <w:rPr>
            <w:rStyle w:val="Hyperlink"/>
            <w:color w:val="auto"/>
            <w:sz w:val="16"/>
            <w:szCs w:val="16"/>
            <w:u w:val="none"/>
          </w:rPr>
          <w:t>PET/CT is a cost-effective tool against cancer: synergy supersedes singularity.</w:t>
        </w:r>
      </w:hyperlink>
      <w:r w:rsidRPr="002F7EF4">
        <w:rPr>
          <w:sz w:val="16"/>
          <w:szCs w:val="16"/>
        </w:rPr>
        <w:t xml:space="preserve"> </w:t>
      </w:r>
      <w:proofErr w:type="spellStart"/>
      <w:r w:rsidRPr="002F7EF4">
        <w:rPr>
          <w:sz w:val="16"/>
          <w:szCs w:val="16"/>
        </w:rPr>
        <w:t>Eur</w:t>
      </w:r>
      <w:proofErr w:type="spellEnd"/>
      <w:r w:rsidRPr="002F7EF4">
        <w:rPr>
          <w:sz w:val="16"/>
          <w:szCs w:val="16"/>
        </w:rPr>
        <w:t xml:space="preserve"> J </w:t>
      </w:r>
      <w:proofErr w:type="spellStart"/>
      <w:r w:rsidRPr="002F7EF4">
        <w:rPr>
          <w:sz w:val="16"/>
          <w:szCs w:val="16"/>
        </w:rPr>
        <w:t>Nucl</w:t>
      </w:r>
      <w:proofErr w:type="spellEnd"/>
      <w:r w:rsidRPr="002F7EF4">
        <w:rPr>
          <w:sz w:val="16"/>
          <w:szCs w:val="16"/>
        </w:rPr>
        <w:t xml:space="preserve"> </w:t>
      </w:r>
      <w:r w:rsidRPr="00346F49">
        <w:rPr>
          <w:sz w:val="16"/>
          <w:szCs w:val="16"/>
        </w:rPr>
        <w:t xml:space="preserve">Med Mol Imaging. 2016 Sep;43(10):1749-52. </w:t>
      </w:r>
      <w:proofErr w:type="spellStart"/>
      <w:r w:rsidRPr="00346F49">
        <w:rPr>
          <w:sz w:val="16"/>
          <w:szCs w:val="16"/>
        </w:rPr>
        <w:t>doi</w:t>
      </w:r>
      <w:proofErr w:type="spellEnd"/>
      <w:r w:rsidRPr="00346F49">
        <w:rPr>
          <w:sz w:val="16"/>
          <w:szCs w:val="16"/>
        </w:rPr>
        <w:t xml:space="preserve">: 10.1007/s00259-016-3414-5. </w:t>
      </w:r>
      <w:proofErr w:type="spellStart"/>
      <w:r w:rsidRPr="00346F49">
        <w:rPr>
          <w:sz w:val="16"/>
          <w:szCs w:val="16"/>
        </w:rPr>
        <w:t>Epub</w:t>
      </w:r>
      <w:proofErr w:type="spellEnd"/>
      <w:r w:rsidRPr="00346F49">
        <w:rPr>
          <w:sz w:val="16"/>
          <w:szCs w:val="16"/>
        </w:rPr>
        <w:t xml:space="preserve"> 2016 May 13. PMID: 27178271; PMCID: PMC4969342.</w:t>
      </w:r>
      <w:r>
        <w:rPr>
          <w:sz w:val="16"/>
          <w:szCs w:val="16"/>
        </w:rPr>
        <w:t xml:space="preserve"> Available online at: </w:t>
      </w:r>
      <w:hyperlink r:id="rId185" w:history="1">
        <w:r w:rsidRPr="002E5687">
          <w:rPr>
            <w:rStyle w:val="Hyperlink"/>
            <w:sz w:val="16"/>
            <w:szCs w:val="16"/>
          </w:rPr>
          <w:t>https://www.ncbi.nlm.nih.gov/pmc/articles/PMC4969342/</w:t>
        </w:r>
      </w:hyperlink>
      <w:r>
        <w:rPr>
          <w:sz w:val="16"/>
          <w:szCs w:val="16"/>
        </w:rPr>
        <w:t xml:space="preserve"> </w:t>
      </w:r>
    </w:p>
  </w:footnote>
  <w:footnote w:id="172">
    <w:p w14:paraId="22921538" w14:textId="77777777" w:rsidR="00663FBB" w:rsidRDefault="00663FBB" w:rsidP="00BA086C">
      <w:pPr>
        <w:pStyle w:val="FootnoteText"/>
      </w:pPr>
      <w:r w:rsidRPr="004509DB">
        <w:rPr>
          <w:rStyle w:val="FootnoteReference"/>
          <w:sz w:val="16"/>
          <w:szCs w:val="16"/>
        </w:rPr>
        <w:footnoteRef/>
      </w:r>
      <w:r w:rsidRPr="004509DB">
        <w:rPr>
          <w:sz w:val="16"/>
          <w:szCs w:val="16"/>
        </w:rPr>
        <w:t xml:space="preserve"> </w:t>
      </w:r>
      <w:r w:rsidRPr="004509DB">
        <w:rPr>
          <w:i/>
          <w:iCs/>
          <w:sz w:val="16"/>
          <w:szCs w:val="16"/>
        </w:rPr>
        <w:t>Ibid.</w:t>
      </w:r>
      <w:r w:rsidRPr="004509DB">
        <w:rPr>
          <w:sz w:val="16"/>
          <w:szCs w:val="16"/>
        </w:rPr>
        <w:t xml:space="preserve"> </w:t>
      </w:r>
    </w:p>
  </w:footnote>
  <w:footnote w:id="173">
    <w:p w14:paraId="27D10B02" w14:textId="1629842B"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hyperlink r:id="rId186" w:history="1">
        <w:r w:rsidRPr="00394462">
          <w:rPr>
            <w:rStyle w:val="Hyperlink"/>
            <w:color w:val="auto"/>
            <w:sz w:val="16"/>
            <w:szCs w:val="16"/>
            <w:u w:val="none"/>
          </w:rPr>
          <w:t>The Geriatric Emergency Department Guidelines Task Force, Geriatric Emergency Department Guidelines</w:t>
        </w:r>
      </w:hyperlink>
      <w:r w:rsidRPr="00394462">
        <w:rPr>
          <w:sz w:val="16"/>
          <w:szCs w:val="16"/>
        </w:rPr>
        <w:t xml:space="preserve">. American </w:t>
      </w:r>
      <w:r w:rsidRPr="006D2330">
        <w:rPr>
          <w:sz w:val="16"/>
          <w:szCs w:val="16"/>
        </w:rPr>
        <w:t xml:space="preserve">College of Emergency Physicians, The American Geriatrics Society, Emergency Nurses Association, and the Society for Academic Emergency Medicine. Online at: </w:t>
      </w:r>
      <w:hyperlink r:id="rId187" w:history="1">
        <w:r w:rsidRPr="006D2330">
          <w:rPr>
            <w:rStyle w:val="Hyperlink"/>
            <w:sz w:val="16"/>
            <w:szCs w:val="16"/>
          </w:rPr>
          <w:t>https://www.acep.org/globalassets/uploads/uploaded-files/acep/clinical-and-practice-management/resources/geriatrics/geri_ed_guidelines_final.pdf</w:t>
        </w:r>
      </w:hyperlink>
      <w:r w:rsidRPr="006D2330">
        <w:rPr>
          <w:sz w:val="16"/>
          <w:szCs w:val="16"/>
        </w:rPr>
        <w:t xml:space="preserve"> </w:t>
      </w:r>
    </w:p>
  </w:footnote>
  <w:footnote w:id="174">
    <w:p w14:paraId="19A0178F" w14:textId="182F6392"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r>
        <w:rPr>
          <w:sz w:val="16"/>
          <w:szCs w:val="16"/>
        </w:rPr>
        <w:t>Atrius</w:t>
      </w:r>
      <w:r w:rsidRPr="006D2330">
        <w:rPr>
          <w:sz w:val="16"/>
          <w:szCs w:val="16"/>
        </w:rPr>
        <w:t xml:space="preserve"> </w:t>
      </w:r>
      <w:r>
        <w:rPr>
          <w:sz w:val="16"/>
          <w:szCs w:val="16"/>
        </w:rPr>
        <w:t xml:space="preserve">Health </w:t>
      </w:r>
      <w:r w:rsidRPr="006D2330">
        <w:rPr>
          <w:sz w:val="16"/>
          <w:szCs w:val="16"/>
        </w:rPr>
        <w:t xml:space="preserve">partners with its patients to support care for the entire family across the spectrum of the care they provide. Most of </w:t>
      </w:r>
      <w:r>
        <w:rPr>
          <w:sz w:val="16"/>
          <w:szCs w:val="16"/>
        </w:rPr>
        <w:t>Atrius Health</w:t>
      </w:r>
      <w:r w:rsidRPr="006D2330">
        <w:rPr>
          <w:sz w:val="16"/>
          <w:szCs w:val="16"/>
        </w:rPr>
        <w:t xml:space="preserve">’s practice sites have a care facilitator on staff who can connect patients with community-based resources. They also have community health workers, nurse case managers, and social workers on staff who can assist patients with their needs. Some examples of assistance that Atrius </w:t>
      </w:r>
      <w:r>
        <w:rPr>
          <w:sz w:val="16"/>
          <w:szCs w:val="16"/>
        </w:rPr>
        <w:t xml:space="preserve">Health </w:t>
      </w:r>
      <w:r w:rsidRPr="006D2330">
        <w:rPr>
          <w:sz w:val="16"/>
          <w:szCs w:val="16"/>
        </w:rPr>
        <w:t xml:space="preserve">has provided for their patients include: coordinating multiple medical appointments to cut down on the number of trips a patient has to make to Atrius </w:t>
      </w:r>
      <w:r>
        <w:rPr>
          <w:sz w:val="16"/>
          <w:szCs w:val="16"/>
        </w:rPr>
        <w:t xml:space="preserve">Health </w:t>
      </w:r>
      <w:r w:rsidRPr="006D2330">
        <w:rPr>
          <w:sz w:val="16"/>
          <w:szCs w:val="16"/>
        </w:rPr>
        <w:t>offices or the hospital; helping patients get on a waitlist for affordable housing; providing information on how and where to access food banks; assisting families in obtaining SNAP benefits (food stamps) or getting benefits reinstated if they’ve lost access; arranging transportation to and from medical appointments (if eligible); and helping with securing emergency shelter.</w:t>
      </w:r>
    </w:p>
  </w:footnote>
  <w:footnote w:id="175">
    <w:p w14:paraId="2DB47588" w14:textId="0730D322" w:rsidR="00663FBB" w:rsidRPr="007B1DE2"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w:t>
      </w:r>
      <w:proofErr w:type="gramStart"/>
      <w:r w:rsidRPr="006D2330">
        <w:rPr>
          <w:sz w:val="16"/>
          <w:szCs w:val="16"/>
        </w:rPr>
        <w:t>Nelson  KM</w:t>
      </w:r>
      <w:proofErr w:type="gramEnd"/>
      <w:r w:rsidRPr="006D2330">
        <w:rPr>
          <w:sz w:val="16"/>
          <w:szCs w:val="16"/>
        </w:rPr>
        <w:t xml:space="preserve">, Helfrich  C, Sun  H,  et al.  </w:t>
      </w:r>
      <w:hyperlink r:id="rId188" w:history="1">
        <w:r w:rsidRPr="00394462">
          <w:rPr>
            <w:rStyle w:val="Hyperlink"/>
            <w:color w:val="auto"/>
            <w:sz w:val="16"/>
            <w:szCs w:val="16"/>
            <w:u w:val="none"/>
          </w:rPr>
          <w:t xml:space="preserve">Implementation of the patient-centered medical home: associations with patient satisfaction, quality of care, staff burnout, and hospital and emergency department Use. </w:t>
        </w:r>
      </w:hyperlink>
      <w:r w:rsidRPr="00394462">
        <w:rPr>
          <w:sz w:val="16"/>
          <w:szCs w:val="16"/>
        </w:rPr>
        <w:t xml:space="preserve"> JAMA </w:t>
      </w:r>
      <w:r w:rsidRPr="006D2330">
        <w:rPr>
          <w:sz w:val="16"/>
          <w:szCs w:val="16"/>
        </w:rPr>
        <w:t xml:space="preserve">Intern Med. 2014;174(8):1350–8. Available online at: </w:t>
      </w:r>
      <w:hyperlink r:id="rId189" w:history="1">
        <w:r w:rsidRPr="006D2330">
          <w:rPr>
            <w:rStyle w:val="Hyperlink"/>
            <w:sz w:val="16"/>
            <w:szCs w:val="16"/>
          </w:rPr>
          <w:t>https://jamanetwork.com/journals/jamainternalmedicine/article-abstract/1881931</w:t>
        </w:r>
      </w:hyperlink>
      <w:r>
        <w:rPr>
          <w:sz w:val="16"/>
          <w:szCs w:val="16"/>
        </w:rPr>
        <w:t xml:space="preserve"> </w:t>
      </w:r>
    </w:p>
  </w:footnote>
  <w:footnote w:id="176">
    <w:p w14:paraId="2C1AFBEC"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Please see </w:t>
      </w:r>
      <w:proofErr w:type="spellStart"/>
      <w:r w:rsidRPr="006D2330">
        <w:rPr>
          <w:sz w:val="16"/>
          <w:szCs w:val="16"/>
        </w:rPr>
        <w:t>Veralon’s</w:t>
      </w:r>
      <w:proofErr w:type="spellEnd"/>
      <w:r w:rsidRPr="006D2330">
        <w:rPr>
          <w:sz w:val="16"/>
          <w:szCs w:val="16"/>
        </w:rPr>
        <w:t xml:space="preserve"> Capital Expenditures findings in section III of the attached CPA report. </w:t>
      </w:r>
    </w:p>
  </w:footnote>
  <w:footnote w:id="177">
    <w:p w14:paraId="223F5CC3" w14:textId="77777777" w:rsidR="00663FBB" w:rsidRDefault="00663FBB" w:rsidP="00A632E9">
      <w:pPr>
        <w:pStyle w:val="FootnoteText"/>
      </w:pPr>
      <w:r w:rsidRPr="006D2330">
        <w:rPr>
          <w:rStyle w:val="FootnoteReference"/>
          <w:sz w:val="16"/>
          <w:szCs w:val="16"/>
        </w:rPr>
        <w:footnoteRef/>
      </w:r>
      <w:r w:rsidRPr="006D2330">
        <w:rPr>
          <w:sz w:val="16"/>
          <w:szCs w:val="16"/>
        </w:rPr>
        <w:t xml:space="preserve"> </w:t>
      </w:r>
      <w:r w:rsidRPr="006D2330">
        <w:rPr>
          <w:i/>
          <w:iCs/>
          <w:sz w:val="16"/>
          <w:szCs w:val="16"/>
        </w:rPr>
        <w:t>Ibid.</w:t>
      </w:r>
    </w:p>
  </w:footnote>
  <w:footnote w:id="178">
    <w:p w14:paraId="73D65803"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Compound Annual Growth Rate.</w:t>
      </w:r>
    </w:p>
  </w:footnote>
  <w:footnote w:id="179">
    <w:p w14:paraId="00FB6D9E" w14:textId="77777777"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The projected bad debt expenses that are notably higher in Year 1 account for Medicare and Medicaid services that are not anticipated to be reimbursable for the first month of operations of the Proposed Project until accreditation is obtained from the American College of Radiology (“ACR”).</w:t>
      </w:r>
    </w:p>
  </w:footnote>
  <w:footnote w:id="180">
    <w:p w14:paraId="48A90A0F" w14:textId="770BEA3F" w:rsidR="00663FBB" w:rsidRPr="006D2330"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For reference, the operating expenses for Year 1 are calculated to be $69,577.  Please see CPA analysis for further content. </w:t>
      </w:r>
    </w:p>
  </w:footnote>
  <w:footnote w:id="181">
    <w:p w14:paraId="17F3BC1E" w14:textId="77777777" w:rsidR="00663FBB" w:rsidRPr="00566A7D" w:rsidRDefault="00663FBB" w:rsidP="00A632E9">
      <w:pPr>
        <w:pStyle w:val="FootnoteText"/>
        <w:rPr>
          <w:sz w:val="16"/>
          <w:szCs w:val="16"/>
        </w:rPr>
      </w:pPr>
      <w:r w:rsidRPr="006D2330">
        <w:rPr>
          <w:rStyle w:val="FootnoteReference"/>
          <w:sz w:val="16"/>
          <w:szCs w:val="16"/>
        </w:rPr>
        <w:footnoteRef/>
      </w:r>
      <w:r w:rsidRPr="006D2330">
        <w:rPr>
          <w:sz w:val="16"/>
          <w:szCs w:val="16"/>
        </w:rPr>
        <w:t xml:space="preserve"> Institute of Medicine (US) Committee on Understanding and Eliminating Racial and Ethnic Disparities in Health Care. Smedley BD, Stith AY, Nelson AR, editors. Unequal treatment: confronting racial and ethnic disparities in health care. Washington (DC): National Academies Press (US); 2002. Access to this study is referenced online at: </w:t>
      </w:r>
      <w:hyperlink r:id="rId190" w:anchor="2" w:history="1">
        <w:r w:rsidRPr="006D2330">
          <w:rPr>
            <w:rStyle w:val="Hyperlink"/>
            <w:sz w:val="16"/>
            <w:szCs w:val="16"/>
          </w:rPr>
          <w:t>https://wayback.archive-it.org/5774/20220414155345/https://www.healthypeople.gov/2020/topics-objectives/topic/social-determinants-health/interventions-resources/access-to-health#2</w:t>
        </w:r>
      </w:hyperlink>
      <w:r w:rsidRPr="00566A7D">
        <w:rPr>
          <w:sz w:val="16"/>
          <w:szCs w:val="16"/>
        </w:rPr>
        <w:t xml:space="preserve"> </w:t>
      </w:r>
    </w:p>
  </w:footnote>
  <w:footnote w:id="182">
    <w:p w14:paraId="2BBB0D2C" w14:textId="646EF185" w:rsidR="00663FBB" w:rsidRPr="006D2330" w:rsidRDefault="00663FBB">
      <w:pPr>
        <w:pStyle w:val="FootnoteText"/>
        <w:rPr>
          <w:sz w:val="16"/>
          <w:szCs w:val="16"/>
        </w:rPr>
      </w:pPr>
      <w:r w:rsidRPr="006D2330">
        <w:rPr>
          <w:rStyle w:val="FootnoteReference"/>
          <w:sz w:val="16"/>
          <w:szCs w:val="16"/>
        </w:rPr>
        <w:footnoteRef/>
      </w:r>
      <w:r w:rsidRPr="006D2330">
        <w:rPr>
          <w:sz w:val="16"/>
          <w:szCs w:val="16"/>
        </w:rPr>
        <w:t xml:space="preserve"> </w:t>
      </w:r>
      <w:hyperlink r:id="rId191" w:anchor="about" w:history="1">
        <w:r w:rsidRPr="00366158">
          <w:rPr>
            <w:rStyle w:val="Hyperlink"/>
            <w:color w:val="auto"/>
            <w:sz w:val="16"/>
            <w:szCs w:val="16"/>
            <w:u w:val="none"/>
          </w:rPr>
          <w:t>Access to Health Services Workgroup</w:t>
        </w:r>
      </w:hyperlink>
      <w:r w:rsidRPr="00366158">
        <w:rPr>
          <w:sz w:val="16"/>
          <w:szCs w:val="16"/>
        </w:rPr>
        <w:t xml:space="preserve"> </w:t>
      </w:r>
      <w:r w:rsidRPr="006D2330">
        <w:rPr>
          <w:sz w:val="16"/>
          <w:szCs w:val="16"/>
        </w:rPr>
        <w:t xml:space="preserve">a program of the US Department of Health and Human Services, Office of Disease Prevention and Health Promotion. Information available online at: </w:t>
      </w:r>
      <w:hyperlink r:id="rId192" w:anchor="about" w:history="1">
        <w:r w:rsidRPr="006D2330">
          <w:rPr>
            <w:rStyle w:val="Hyperlink"/>
            <w:sz w:val="16"/>
            <w:szCs w:val="16"/>
          </w:rPr>
          <w:t>https://health.gov/healthypeople/about/workgroups/access-health-services-workgroup#about</w:t>
        </w:r>
      </w:hyperlink>
      <w:r w:rsidRPr="006D2330">
        <w:rPr>
          <w:sz w:val="16"/>
          <w:szCs w:val="16"/>
        </w:rPr>
        <w:t xml:space="preserve"> </w:t>
      </w:r>
    </w:p>
  </w:footnote>
  <w:footnote w:id="183">
    <w:p w14:paraId="37D99734" w14:textId="3D2775A2" w:rsidR="00663FBB" w:rsidRPr="006D2330" w:rsidRDefault="00663FBB">
      <w:pPr>
        <w:pStyle w:val="FootnoteText"/>
        <w:rPr>
          <w:sz w:val="16"/>
          <w:szCs w:val="16"/>
        </w:rPr>
      </w:pPr>
      <w:r w:rsidRPr="006D2330">
        <w:rPr>
          <w:rStyle w:val="FootnoteReference"/>
          <w:sz w:val="16"/>
          <w:szCs w:val="16"/>
        </w:rPr>
        <w:footnoteRef/>
      </w:r>
      <w:r w:rsidRPr="006D2330">
        <w:rPr>
          <w:i/>
          <w:iCs/>
          <w:sz w:val="16"/>
          <w:szCs w:val="16"/>
        </w:rPr>
        <w:t xml:space="preserve"> Ibid.</w:t>
      </w:r>
    </w:p>
  </w:footnote>
  <w:footnote w:id="184">
    <w:p w14:paraId="349109E9" w14:textId="7C7D3ABB" w:rsidR="00663FBB" w:rsidRPr="006D2330" w:rsidRDefault="00663FBB">
      <w:pPr>
        <w:pStyle w:val="FootnoteText"/>
        <w:rPr>
          <w:sz w:val="16"/>
          <w:szCs w:val="16"/>
        </w:rPr>
      </w:pPr>
      <w:r w:rsidRPr="006D2330">
        <w:rPr>
          <w:rStyle w:val="FootnoteReference"/>
          <w:sz w:val="16"/>
          <w:szCs w:val="16"/>
        </w:rPr>
        <w:footnoteRef/>
      </w:r>
      <w:r w:rsidRPr="006D2330">
        <w:rPr>
          <w:sz w:val="16"/>
          <w:szCs w:val="16"/>
        </w:rPr>
        <w:t xml:space="preserve"> 2021 National Healthcare Quality and Disparities Report [Internet]. Rockville (MD): Agency for Healthcare Research and Quality (US); 2021 Dec. </w:t>
      </w:r>
      <w:hyperlink r:id="rId193" w:history="1">
        <w:r w:rsidRPr="007C5941">
          <w:rPr>
            <w:rStyle w:val="Hyperlink"/>
            <w:color w:val="auto"/>
            <w:sz w:val="16"/>
            <w:szCs w:val="16"/>
            <w:u w:val="none"/>
          </w:rPr>
          <w:t>ACCESS TO HEALTHCARE AND DISPARITIES IN ACCESS</w:t>
        </w:r>
      </w:hyperlink>
      <w:r w:rsidRPr="007C5941">
        <w:rPr>
          <w:sz w:val="16"/>
          <w:szCs w:val="16"/>
        </w:rPr>
        <w:t>. </w:t>
      </w:r>
      <w:r w:rsidRPr="006D2330">
        <w:rPr>
          <w:sz w:val="16"/>
          <w:szCs w:val="16"/>
        </w:rPr>
        <w:t xml:space="preserve">Available from: </w:t>
      </w:r>
      <w:hyperlink r:id="rId194" w:history="1">
        <w:r w:rsidRPr="006D2330">
          <w:rPr>
            <w:rStyle w:val="Hyperlink"/>
            <w:sz w:val="16"/>
            <w:szCs w:val="16"/>
          </w:rPr>
          <w:t>https://www.ncbi.nlm.nih.gov/books/NBK578537/</w:t>
        </w:r>
      </w:hyperlink>
      <w:r w:rsidRPr="006D2330">
        <w:rPr>
          <w:sz w:val="16"/>
          <w:szCs w:val="16"/>
        </w:rPr>
        <w:t xml:space="preserve"> </w:t>
      </w:r>
    </w:p>
  </w:footnote>
  <w:footnote w:id="185">
    <w:p w14:paraId="7C848198" w14:textId="69FD3C52" w:rsidR="00663FBB" w:rsidRDefault="00663FBB" w:rsidP="00A632E9">
      <w:pPr>
        <w:pStyle w:val="FootnoteText"/>
      </w:pPr>
      <w:r w:rsidRPr="006D2330">
        <w:rPr>
          <w:rStyle w:val="FootnoteReference"/>
          <w:sz w:val="16"/>
          <w:szCs w:val="16"/>
        </w:rPr>
        <w:footnoteRef/>
      </w:r>
      <w:r w:rsidRPr="006D2330">
        <w:rPr>
          <w:sz w:val="16"/>
          <w:szCs w:val="16"/>
        </w:rPr>
        <w:t xml:space="preserve"> Office of Disease Prevention and Health Promotion. </w:t>
      </w:r>
      <w:hyperlink r:id="rId195" w:anchor="2" w:history="1">
        <w:r w:rsidRPr="007C5941">
          <w:rPr>
            <w:rStyle w:val="Hyperlink"/>
            <w:color w:val="auto"/>
            <w:sz w:val="16"/>
            <w:szCs w:val="16"/>
            <w:u w:val="none"/>
          </w:rPr>
          <w:t>Healthy People 2020. Access to Health Services.</w:t>
        </w:r>
      </w:hyperlink>
      <w:r w:rsidRPr="007C5941">
        <w:rPr>
          <w:sz w:val="16"/>
          <w:szCs w:val="16"/>
        </w:rPr>
        <w:t xml:space="preserve"> Available </w:t>
      </w:r>
      <w:r w:rsidRPr="006D2330">
        <w:rPr>
          <w:sz w:val="16"/>
          <w:szCs w:val="16"/>
        </w:rPr>
        <w:t xml:space="preserve">online at: </w:t>
      </w:r>
      <w:hyperlink r:id="rId196" w:anchor="2" w:history="1">
        <w:r w:rsidRPr="006D2330">
          <w:rPr>
            <w:rStyle w:val="Hyperlink"/>
            <w:sz w:val="16"/>
            <w:szCs w:val="16"/>
          </w:rPr>
          <w:t>https://wayback.archive-it.org/5774/20220414155345/https://www.healthypeople.gov/2020/topics-objectives/topic/social-determinants-health/interventions-resources/access-to-health#2</w:t>
        </w:r>
      </w:hyperlink>
      <w:r w:rsidRPr="006D233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919F" w14:textId="3760ABA0" w:rsidR="00663FBB" w:rsidRPr="00627DA3" w:rsidRDefault="00663FBB" w:rsidP="0019203D">
    <w:pPr>
      <w:tabs>
        <w:tab w:val="center" w:pos="4680"/>
        <w:tab w:val="right" w:pos="9360"/>
      </w:tabs>
      <w:spacing w:after="0" w:line="240" w:lineRule="auto"/>
      <w:rPr>
        <w:kern w:val="0"/>
        <w14:ligatures w14:val="none"/>
      </w:rPr>
    </w:pPr>
    <w:r w:rsidRPr="00627DA3">
      <w:rPr>
        <w:kern w:val="0"/>
        <w14:ligatures w14:val="none"/>
      </w:rPr>
      <w:t xml:space="preserve">Shields and </w:t>
    </w:r>
    <w:r>
      <w:rPr>
        <w:kern w:val="0"/>
        <w14:ligatures w14:val="none"/>
      </w:rPr>
      <w:t>Atrius</w:t>
    </w:r>
    <w:r w:rsidRPr="00627DA3">
      <w:rPr>
        <w:kern w:val="0"/>
        <w14:ligatures w14:val="none"/>
      </w:rPr>
      <w:t xml:space="preserve"> </w:t>
    </w:r>
    <w:r w:rsidR="00F03F1F">
      <w:rPr>
        <w:kern w:val="0"/>
        <w14:ligatures w14:val="none"/>
      </w:rPr>
      <w:t xml:space="preserve">Health </w:t>
    </w:r>
    <w:r w:rsidRPr="00627DA3">
      <w:rPr>
        <w:kern w:val="0"/>
        <w14:ligatures w14:val="none"/>
      </w:rPr>
      <w:t>PET</w:t>
    </w:r>
    <w:r w:rsidR="00566F9B">
      <w:rPr>
        <w:kern w:val="0"/>
        <w14:ligatures w14:val="none"/>
      </w:rPr>
      <w:t>/</w:t>
    </w:r>
    <w:r w:rsidRPr="00627DA3">
      <w:rPr>
        <w:kern w:val="0"/>
        <w14:ligatures w14:val="none"/>
      </w:rPr>
      <w:t xml:space="preserve">CT at Dedham, LLC                                                                        </w:t>
    </w:r>
    <w:r>
      <w:rPr>
        <w:kern w:val="0"/>
        <w14:ligatures w14:val="none"/>
      </w:rPr>
      <w:t xml:space="preserve">           </w:t>
    </w:r>
    <w:r w:rsidR="00F03F1F">
      <w:rPr>
        <w:kern w:val="0"/>
        <w14:ligatures w14:val="none"/>
      </w:rPr>
      <w:t>Nar</w:t>
    </w:r>
    <w:r w:rsidRPr="00627DA3">
      <w:rPr>
        <w:kern w:val="0"/>
        <w14:ligatures w14:val="none"/>
      </w:rPr>
      <w:t xml:space="preserve">rative </w:t>
    </w:r>
  </w:p>
  <w:p w14:paraId="61FFA7A0" w14:textId="77777777" w:rsidR="00663FBB" w:rsidRDefault="00663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2A0"/>
    <w:multiLevelType w:val="hybridMultilevel"/>
    <w:tmpl w:val="9A203A74"/>
    <w:lvl w:ilvl="0" w:tplc="AABEDC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96176"/>
    <w:multiLevelType w:val="hybridMultilevel"/>
    <w:tmpl w:val="5AC00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8CA3278"/>
    <w:multiLevelType w:val="hybridMultilevel"/>
    <w:tmpl w:val="5F6AC4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FF629E"/>
    <w:multiLevelType w:val="hybridMultilevel"/>
    <w:tmpl w:val="E7CC37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A33C3"/>
    <w:multiLevelType w:val="hybridMultilevel"/>
    <w:tmpl w:val="19648F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60835401"/>
    <w:multiLevelType w:val="hybridMultilevel"/>
    <w:tmpl w:val="2EBEA35A"/>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42680E"/>
    <w:multiLevelType w:val="hybridMultilevel"/>
    <w:tmpl w:val="FF7E1F30"/>
    <w:lvl w:ilvl="0" w:tplc="C6E6EDBC">
      <w:start w:val="1"/>
      <w:numFmt w:val="upp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226FD9"/>
    <w:multiLevelType w:val="hybridMultilevel"/>
    <w:tmpl w:val="CCFEB3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494565">
    <w:abstractNumId w:val="3"/>
  </w:num>
  <w:num w:numId="2" w16cid:durableId="1519929932">
    <w:abstractNumId w:val="5"/>
  </w:num>
  <w:num w:numId="3" w16cid:durableId="1635867049">
    <w:abstractNumId w:val="2"/>
  </w:num>
  <w:num w:numId="4" w16cid:durableId="1227496809">
    <w:abstractNumId w:val="6"/>
  </w:num>
  <w:num w:numId="5" w16cid:durableId="81731480">
    <w:abstractNumId w:val="4"/>
  </w:num>
  <w:num w:numId="6" w16cid:durableId="534082707">
    <w:abstractNumId w:val="1"/>
  </w:num>
  <w:num w:numId="7" w16cid:durableId="2001154443">
    <w:abstractNumId w:val="7"/>
  </w:num>
  <w:num w:numId="8" w16cid:durableId="13842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3D"/>
    <w:rsid w:val="00002928"/>
    <w:rsid w:val="000066BD"/>
    <w:rsid w:val="0001168E"/>
    <w:rsid w:val="00012F62"/>
    <w:rsid w:val="00014463"/>
    <w:rsid w:val="00014DAA"/>
    <w:rsid w:val="000168E0"/>
    <w:rsid w:val="00023853"/>
    <w:rsid w:val="00024864"/>
    <w:rsid w:val="000325FC"/>
    <w:rsid w:val="000339BB"/>
    <w:rsid w:val="00035983"/>
    <w:rsid w:val="00040365"/>
    <w:rsid w:val="00040B22"/>
    <w:rsid w:val="000427D5"/>
    <w:rsid w:val="000429E6"/>
    <w:rsid w:val="00043915"/>
    <w:rsid w:val="000447C1"/>
    <w:rsid w:val="000476FD"/>
    <w:rsid w:val="00050645"/>
    <w:rsid w:val="0005096C"/>
    <w:rsid w:val="00052D01"/>
    <w:rsid w:val="0005366E"/>
    <w:rsid w:val="000551AE"/>
    <w:rsid w:val="00057E14"/>
    <w:rsid w:val="000600D8"/>
    <w:rsid w:val="000603BA"/>
    <w:rsid w:val="000612F6"/>
    <w:rsid w:val="00061456"/>
    <w:rsid w:val="00062C57"/>
    <w:rsid w:val="0006361D"/>
    <w:rsid w:val="00063A0A"/>
    <w:rsid w:val="0006426F"/>
    <w:rsid w:val="00073F7E"/>
    <w:rsid w:val="000742F0"/>
    <w:rsid w:val="0007528F"/>
    <w:rsid w:val="00075955"/>
    <w:rsid w:val="00081CDE"/>
    <w:rsid w:val="00082F4C"/>
    <w:rsid w:val="000853B0"/>
    <w:rsid w:val="000864A7"/>
    <w:rsid w:val="000864F9"/>
    <w:rsid w:val="00086593"/>
    <w:rsid w:val="00086CA7"/>
    <w:rsid w:val="000907E4"/>
    <w:rsid w:val="00096CA7"/>
    <w:rsid w:val="000A2D4C"/>
    <w:rsid w:val="000A35A8"/>
    <w:rsid w:val="000A7A5F"/>
    <w:rsid w:val="000A7FED"/>
    <w:rsid w:val="000B0B07"/>
    <w:rsid w:val="000B15F9"/>
    <w:rsid w:val="000B21AC"/>
    <w:rsid w:val="000B34D0"/>
    <w:rsid w:val="000B7279"/>
    <w:rsid w:val="000C3B1C"/>
    <w:rsid w:val="000C3D91"/>
    <w:rsid w:val="000C5BE9"/>
    <w:rsid w:val="000C5CBD"/>
    <w:rsid w:val="000D1BE0"/>
    <w:rsid w:val="000D4376"/>
    <w:rsid w:val="000D45FD"/>
    <w:rsid w:val="000E0C23"/>
    <w:rsid w:val="000E1CC2"/>
    <w:rsid w:val="000E21DB"/>
    <w:rsid w:val="000E334A"/>
    <w:rsid w:val="000E3B84"/>
    <w:rsid w:val="000E3C61"/>
    <w:rsid w:val="000E4DCE"/>
    <w:rsid w:val="000F047F"/>
    <w:rsid w:val="000F0E25"/>
    <w:rsid w:val="000F460B"/>
    <w:rsid w:val="000F47E5"/>
    <w:rsid w:val="001003CD"/>
    <w:rsid w:val="00104C0F"/>
    <w:rsid w:val="00104C38"/>
    <w:rsid w:val="001123F1"/>
    <w:rsid w:val="00115ED6"/>
    <w:rsid w:val="00116A62"/>
    <w:rsid w:val="00117322"/>
    <w:rsid w:val="00121B13"/>
    <w:rsid w:val="00121B55"/>
    <w:rsid w:val="00124C02"/>
    <w:rsid w:val="00125504"/>
    <w:rsid w:val="00130352"/>
    <w:rsid w:val="001309B1"/>
    <w:rsid w:val="0013129C"/>
    <w:rsid w:val="0013320D"/>
    <w:rsid w:val="001334A3"/>
    <w:rsid w:val="001342B8"/>
    <w:rsid w:val="001359AE"/>
    <w:rsid w:val="00136A86"/>
    <w:rsid w:val="0013786E"/>
    <w:rsid w:val="00137C91"/>
    <w:rsid w:val="00140F57"/>
    <w:rsid w:val="00141A1F"/>
    <w:rsid w:val="00150993"/>
    <w:rsid w:val="00152E92"/>
    <w:rsid w:val="001530F9"/>
    <w:rsid w:val="001531EF"/>
    <w:rsid w:val="0015339A"/>
    <w:rsid w:val="00156574"/>
    <w:rsid w:val="001601ED"/>
    <w:rsid w:val="00161C32"/>
    <w:rsid w:val="0016352F"/>
    <w:rsid w:val="00164516"/>
    <w:rsid w:val="00164C65"/>
    <w:rsid w:val="00165241"/>
    <w:rsid w:val="00165B54"/>
    <w:rsid w:val="001724FF"/>
    <w:rsid w:val="00183BEE"/>
    <w:rsid w:val="00183E08"/>
    <w:rsid w:val="001844C0"/>
    <w:rsid w:val="0019088B"/>
    <w:rsid w:val="0019203D"/>
    <w:rsid w:val="0019390A"/>
    <w:rsid w:val="00194C74"/>
    <w:rsid w:val="001A23C3"/>
    <w:rsid w:val="001A2AEB"/>
    <w:rsid w:val="001A4DAD"/>
    <w:rsid w:val="001A681F"/>
    <w:rsid w:val="001A7BB2"/>
    <w:rsid w:val="001A7BC7"/>
    <w:rsid w:val="001B19E0"/>
    <w:rsid w:val="001B1BE4"/>
    <w:rsid w:val="001B1D10"/>
    <w:rsid w:val="001B4BE1"/>
    <w:rsid w:val="001B5AE4"/>
    <w:rsid w:val="001B650A"/>
    <w:rsid w:val="001C0112"/>
    <w:rsid w:val="001C0E95"/>
    <w:rsid w:val="001C4657"/>
    <w:rsid w:val="001C620F"/>
    <w:rsid w:val="001C65BC"/>
    <w:rsid w:val="001D3727"/>
    <w:rsid w:val="001D4ECA"/>
    <w:rsid w:val="001D5644"/>
    <w:rsid w:val="001D7119"/>
    <w:rsid w:val="001E09ED"/>
    <w:rsid w:val="001E220E"/>
    <w:rsid w:val="001E2427"/>
    <w:rsid w:val="001E33E6"/>
    <w:rsid w:val="001E3818"/>
    <w:rsid w:val="001F1B6D"/>
    <w:rsid w:val="001F2DE2"/>
    <w:rsid w:val="001F3DE7"/>
    <w:rsid w:val="001F5C55"/>
    <w:rsid w:val="001F6B79"/>
    <w:rsid w:val="00203CE1"/>
    <w:rsid w:val="00211714"/>
    <w:rsid w:val="00215D95"/>
    <w:rsid w:val="00216CAA"/>
    <w:rsid w:val="00216F8D"/>
    <w:rsid w:val="0021703D"/>
    <w:rsid w:val="002256A6"/>
    <w:rsid w:val="00227FFD"/>
    <w:rsid w:val="002338C6"/>
    <w:rsid w:val="00236D14"/>
    <w:rsid w:val="0023782E"/>
    <w:rsid w:val="00241A0F"/>
    <w:rsid w:val="00244C44"/>
    <w:rsid w:val="0025088B"/>
    <w:rsid w:val="00253114"/>
    <w:rsid w:val="00253402"/>
    <w:rsid w:val="002551F8"/>
    <w:rsid w:val="00263157"/>
    <w:rsid w:val="00266075"/>
    <w:rsid w:val="00275BA2"/>
    <w:rsid w:val="00276283"/>
    <w:rsid w:val="002762D7"/>
    <w:rsid w:val="00277ABA"/>
    <w:rsid w:val="00283255"/>
    <w:rsid w:val="00283B83"/>
    <w:rsid w:val="00283E5C"/>
    <w:rsid w:val="00286789"/>
    <w:rsid w:val="002907E0"/>
    <w:rsid w:val="002A03E6"/>
    <w:rsid w:val="002A0DAD"/>
    <w:rsid w:val="002A3DA0"/>
    <w:rsid w:val="002A48F7"/>
    <w:rsid w:val="002A7BB4"/>
    <w:rsid w:val="002B3BDE"/>
    <w:rsid w:val="002B765A"/>
    <w:rsid w:val="002C25AF"/>
    <w:rsid w:val="002C3060"/>
    <w:rsid w:val="002C3646"/>
    <w:rsid w:val="002D0DC2"/>
    <w:rsid w:val="002D0E39"/>
    <w:rsid w:val="002D2B01"/>
    <w:rsid w:val="002D3D73"/>
    <w:rsid w:val="002D6FDF"/>
    <w:rsid w:val="002E2CA2"/>
    <w:rsid w:val="002E39F4"/>
    <w:rsid w:val="002E4D68"/>
    <w:rsid w:val="002E67B4"/>
    <w:rsid w:val="002E7630"/>
    <w:rsid w:val="002F153D"/>
    <w:rsid w:val="002F3FF7"/>
    <w:rsid w:val="002F66E9"/>
    <w:rsid w:val="002F7EF4"/>
    <w:rsid w:val="003048C9"/>
    <w:rsid w:val="00314ACE"/>
    <w:rsid w:val="003162BE"/>
    <w:rsid w:val="00316A2B"/>
    <w:rsid w:val="00317436"/>
    <w:rsid w:val="00317459"/>
    <w:rsid w:val="003179E7"/>
    <w:rsid w:val="00317B28"/>
    <w:rsid w:val="00321E5A"/>
    <w:rsid w:val="00323B8A"/>
    <w:rsid w:val="00333AAD"/>
    <w:rsid w:val="00333E4D"/>
    <w:rsid w:val="003341C1"/>
    <w:rsid w:val="003345E0"/>
    <w:rsid w:val="00336F2C"/>
    <w:rsid w:val="00337012"/>
    <w:rsid w:val="003408B3"/>
    <w:rsid w:val="0034319B"/>
    <w:rsid w:val="00344D25"/>
    <w:rsid w:val="00346F29"/>
    <w:rsid w:val="00346F49"/>
    <w:rsid w:val="0035235E"/>
    <w:rsid w:val="00352428"/>
    <w:rsid w:val="00354B93"/>
    <w:rsid w:val="00357586"/>
    <w:rsid w:val="003576A0"/>
    <w:rsid w:val="0036314D"/>
    <w:rsid w:val="00363244"/>
    <w:rsid w:val="0036465C"/>
    <w:rsid w:val="00364C6A"/>
    <w:rsid w:val="0036559A"/>
    <w:rsid w:val="00366158"/>
    <w:rsid w:val="00371D10"/>
    <w:rsid w:val="003720C9"/>
    <w:rsid w:val="00372C7E"/>
    <w:rsid w:val="00374CC5"/>
    <w:rsid w:val="0038200E"/>
    <w:rsid w:val="00385596"/>
    <w:rsid w:val="00387D67"/>
    <w:rsid w:val="0039387E"/>
    <w:rsid w:val="00394462"/>
    <w:rsid w:val="00394D55"/>
    <w:rsid w:val="0039584B"/>
    <w:rsid w:val="00395D26"/>
    <w:rsid w:val="00396413"/>
    <w:rsid w:val="0039664D"/>
    <w:rsid w:val="003A00FA"/>
    <w:rsid w:val="003A1753"/>
    <w:rsid w:val="003A2463"/>
    <w:rsid w:val="003A3B10"/>
    <w:rsid w:val="003A73A9"/>
    <w:rsid w:val="003A7FDC"/>
    <w:rsid w:val="003B0BAF"/>
    <w:rsid w:val="003B1FF6"/>
    <w:rsid w:val="003B3091"/>
    <w:rsid w:val="003B5FF3"/>
    <w:rsid w:val="003C0898"/>
    <w:rsid w:val="003C0A8D"/>
    <w:rsid w:val="003C1F0A"/>
    <w:rsid w:val="003C1F18"/>
    <w:rsid w:val="003C3CDE"/>
    <w:rsid w:val="003D3524"/>
    <w:rsid w:val="003D3AC4"/>
    <w:rsid w:val="003D6BF2"/>
    <w:rsid w:val="003E1597"/>
    <w:rsid w:val="003E1FD0"/>
    <w:rsid w:val="003E3A56"/>
    <w:rsid w:val="003E67BF"/>
    <w:rsid w:val="003E7DCA"/>
    <w:rsid w:val="003F43A6"/>
    <w:rsid w:val="003F4BAF"/>
    <w:rsid w:val="003F64B8"/>
    <w:rsid w:val="0040001F"/>
    <w:rsid w:val="00400A82"/>
    <w:rsid w:val="00401B40"/>
    <w:rsid w:val="00402A12"/>
    <w:rsid w:val="00407E31"/>
    <w:rsid w:val="0042212E"/>
    <w:rsid w:val="00422316"/>
    <w:rsid w:val="00426114"/>
    <w:rsid w:val="00426AD3"/>
    <w:rsid w:val="004304F0"/>
    <w:rsid w:val="0043090F"/>
    <w:rsid w:val="00431B95"/>
    <w:rsid w:val="00431EC4"/>
    <w:rsid w:val="004335B5"/>
    <w:rsid w:val="004407CA"/>
    <w:rsid w:val="00442869"/>
    <w:rsid w:val="0044318C"/>
    <w:rsid w:val="004431F0"/>
    <w:rsid w:val="00443F2E"/>
    <w:rsid w:val="0044416D"/>
    <w:rsid w:val="004504B0"/>
    <w:rsid w:val="004509DB"/>
    <w:rsid w:val="00451608"/>
    <w:rsid w:val="00453799"/>
    <w:rsid w:val="00454531"/>
    <w:rsid w:val="00456ACD"/>
    <w:rsid w:val="00460790"/>
    <w:rsid w:val="0046413E"/>
    <w:rsid w:val="004642E6"/>
    <w:rsid w:val="00465989"/>
    <w:rsid w:val="004714F5"/>
    <w:rsid w:val="0047339B"/>
    <w:rsid w:val="004759CB"/>
    <w:rsid w:val="00476FAF"/>
    <w:rsid w:val="00477D02"/>
    <w:rsid w:val="00482091"/>
    <w:rsid w:val="004834DD"/>
    <w:rsid w:val="0048392D"/>
    <w:rsid w:val="00491111"/>
    <w:rsid w:val="0049519C"/>
    <w:rsid w:val="004A1D94"/>
    <w:rsid w:val="004A364D"/>
    <w:rsid w:val="004B083F"/>
    <w:rsid w:val="004B5F6F"/>
    <w:rsid w:val="004B61D6"/>
    <w:rsid w:val="004B68A7"/>
    <w:rsid w:val="004C2B03"/>
    <w:rsid w:val="004C38AF"/>
    <w:rsid w:val="004C559E"/>
    <w:rsid w:val="004C6BAE"/>
    <w:rsid w:val="004C79D2"/>
    <w:rsid w:val="004D51EC"/>
    <w:rsid w:val="004D63CC"/>
    <w:rsid w:val="004D6FEB"/>
    <w:rsid w:val="004E08EC"/>
    <w:rsid w:val="004E0B4C"/>
    <w:rsid w:val="004E1262"/>
    <w:rsid w:val="004E38D3"/>
    <w:rsid w:val="004E567A"/>
    <w:rsid w:val="004F36C8"/>
    <w:rsid w:val="004F4DEF"/>
    <w:rsid w:val="004F7D75"/>
    <w:rsid w:val="005049DD"/>
    <w:rsid w:val="00504C53"/>
    <w:rsid w:val="0050520D"/>
    <w:rsid w:val="00512D88"/>
    <w:rsid w:val="005154D2"/>
    <w:rsid w:val="0051622A"/>
    <w:rsid w:val="0052063D"/>
    <w:rsid w:val="00522981"/>
    <w:rsid w:val="00527E51"/>
    <w:rsid w:val="005336CA"/>
    <w:rsid w:val="00534234"/>
    <w:rsid w:val="0053759E"/>
    <w:rsid w:val="005400E5"/>
    <w:rsid w:val="00541CE0"/>
    <w:rsid w:val="00545BE2"/>
    <w:rsid w:val="00546577"/>
    <w:rsid w:val="00546E64"/>
    <w:rsid w:val="00550AA9"/>
    <w:rsid w:val="00552E21"/>
    <w:rsid w:val="00553AC7"/>
    <w:rsid w:val="00557B0A"/>
    <w:rsid w:val="005604E0"/>
    <w:rsid w:val="00561DC5"/>
    <w:rsid w:val="0056231F"/>
    <w:rsid w:val="005634FA"/>
    <w:rsid w:val="00564BDA"/>
    <w:rsid w:val="00566A7D"/>
    <w:rsid w:val="00566F9B"/>
    <w:rsid w:val="00567A13"/>
    <w:rsid w:val="0057163A"/>
    <w:rsid w:val="00572171"/>
    <w:rsid w:val="00576A6D"/>
    <w:rsid w:val="00577259"/>
    <w:rsid w:val="00580515"/>
    <w:rsid w:val="00580520"/>
    <w:rsid w:val="00581600"/>
    <w:rsid w:val="00593DA1"/>
    <w:rsid w:val="00596C65"/>
    <w:rsid w:val="00597426"/>
    <w:rsid w:val="005978D1"/>
    <w:rsid w:val="005A02EE"/>
    <w:rsid w:val="005A1169"/>
    <w:rsid w:val="005A2FBC"/>
    <w:rsid w:val="005A4156"/>
    <w:rsid w:val="005A4D40"/>
    <w:rsid w:val="005A789F"/>
    <w:rsid w:val="005B02BC"/>
    <w:rsid w:val="005B0CFF"/>
    <w:rsid w:val="005B3331"/>
    <w:rsid w:val="005B346F"/>
    <w:rsid w:val="005B608A"/>
    <w:rsid w:val="005B7BCD"/>
    <w:rsid w:val="005C03F3"/>
    <w:rsid w:val="005C07D2"/>
    <w:rsid w:val="005C0ADE"/>
    <w:rsid w:val="005C2805"/>
    <w:rsid w:val="005C3C76"/>
    <w:rsid w:val="005C62B0"/>
    <w:rsid w:val="005C728D"/>
    <w:rsid w:val="005D00D1"/>
    <w:rsid w:val="005D6A0C"/>
    <w:rsid w:val="005D7DDD"/>
    <w:rsid w:val="005E02C6"/>
    <w:rsid w:val="005E20FA"/>
    <w:rsid w:val="005E3894"/>
    <w:rsid w:val="005E4952"/>
    <w:rsid w:val="005E627A"/>
    <w:rsid w:val="005E7178"/>
    <w:rsid w:val="005E792B"/>
    <w:rsid w:val="005F1ABD"/>
    <w:rsid w:val="005F2D31"/>
    <w:rsid w:val="005F2ED0"/>
    <w:rsid w:val="005F4248"/>
    <w:rsid w:val="005F48EA"/>
    <w:rsid w:val="00600903"/>
    <w:rsid w:val="006014AA"/>
    <w:rsid w:val="006021FA"/>
    <w:rsid w:val="00603E12"/>
    <w:rsid w:val="006137E9"/>
    <w:rsid w:val="0061685E"/>
    <w:rsid w:val="00617203"/>
    <w:rsid w:val="00620C25"/>
    <w:rsid w:val="0063226A"/>
    <w:rsid w:val="006340C9"/>
    <w:rsid w:val="006362E5"/>
    <w:rsid w:val="00636565"/>
    <w:rsid w:val="00636F06"/>
    <w:rsid w:val="00642D59"/>
    <w:rsid w:val="00643B3A"/>
    <w:rsid w:val="00645C6D"/>
    <w:rsid w:val="00647C28"/>
    <w:rsid w:val="006521D0"/>
    <w:rsid w:val="00652A32"/>
    <w:rsid w:val="00653265"/>
    <w:rsid w:val="00654492"/>
    <w:rsid w:val="00654CFE"/>
    <w:rsid w:val="00660E75"/>
    <w:rsid w:val="00661C99"/>
    <w:rsid w:val="00663FBB"/>
    <w:rsid w:val="00664A8D"/>
    <w:rsid w:val="006657DF"/>
    <w:rsid w:val="0067107B"/>
    <w:rsid w:val="00672A6D"/>
    <w:rsid w:val="0067314B"/>
    <w:rsid w:val="006763C4"/>
    <w:rsid w:val="00676CDA"/>
    <w:rsid w:val="00681D18"/>
    <w:rsid w:val="00682738"/>
    <w:rsid w:val="006911C3"/>
    <w:rsid w:val="00691C53"/>
    <w:rsid w:val="00693925"/>
    <w:rsid w:val="00695F59"/>
    <w:rsid w:val="0069655B"/>
    <w:rsid w:val="00697208"/>
    <w:rsid w:val="00697AEB"/>
    <w:rsid w:val="006A090B"/>
    <w:rsid w:val="006A56C4"/>
    <w:rsid w:val="006A6035"/>
    <w:rsid w:val="006A6391"/>
    <w:rsid w:val="006B197E"/>
    <w:rsid w:val="006B4048"/>
    <w:rsid w:val="006B47DD"/>
    <w:rsid w:val="006C1233"/>
    <w:rsid w:val="006C79A2"/>
    <w:rsid w:val="006C7E50"/>
    <w:rsid w:val="006C7FCB"/>
    <w:rsid w:val="006D1978"/>
    <w:rsid w:val="006D2330"/>
    <w:rsid w:val="006D5960"/>
    <w:rsid w:val="006D62EA"/>
    <w:rsid w:val="006D655C"/>
    <w:rsid w:val="006D75FE"/>
    <w:rsid w:val="006D7D87"/>
    <w:rsid w:val="006E08CF"/>
    <w:rsid w:val="006E1CE7"/>
    <w:rsid w:val="006E3628"/>
    <w:rsid w:val="006F24A4"/>
    <w:rsid w:val="006F4167"/>
    <w:rsid w:val="006F693E"/>
    <w:rsid w:val="00701590"/>
    <w:rsid w:val="00705979"/>
    <w:rsid w:val="007064B5"/>
    <w:rsid w:val="007119CC"/>
    <w:rsid w:val="0071299B"/>
    <w:rsid w:val="00716E4D"/>
    <w:rsid w:val="00716EC7"/>
    <w:rsid w:val="00720573"/>
    <w:rsid w:val="0072096F"/>
    <w:rsid w:val="00721C6D"/>
    <w:rsid w:val="0073184A"/>
    <w:rsid w:val="0073252E"/>
    <w:rsid w:val="00733A40"/>
    <w:rsid w:val="0073444E"/>
    <w:rsid w:val="00736D02"/>
    <w:rsid w:val="0073788A"/>
    <w:rsid w:val="0074176C"/>
    <w:rsid w:val="00743839"/>
    <w:rsid w:val="0074495E"/>
    <w:rsid w:val="00745B60"/>
    <w:rsid w:val="00746FAD"/>
    <w:rsid w:val="0075027B"/>
    <w:rsid w:val="00750BBF"/>
    <w:rsid w:val="00751998"/>
    <w:rsid w:val="00755C5A"/>
    <w:rsid w:val="00764B19"/>
    <w:rsid w:val="007663C5"/>
    <w:rsid w:val="007667FB"/>
    <w:rsid w:val="00766DF5"/>
    <w:rsid w:val="00767AC4"/>
    <w:rsid w:val="00771D27"/>
    <w:rsid w:val="00776AE7"/>
    <w:rsid w:val="007807BF"/>
    <w:rsid w:val="00781BCA"/>
    <w:rsid w:val="007826A1"/>
    <w:rsid w:val="00786706"/>
    <w:rsid w:val="00786D28"/>
    <w:rsid w:val="00791B19"/>
    <w:rsid w:val="00792FBB"/>
    <w:rsid w:val="00796E49"/>
    <w:rsid w:val="007A1912"/>
    <w:rsid w:val="007A6794"/>
    <w:rsid w:val="007B664C"/>
    <w:rsid w:val="007B745A"/>
    <w:rsid w:val="007C320F"/>
    <w:rsid w:val="007C423C"/>
    <w:rsid w:val="007C509E"/>
    <w:rsid w:val="007C5941"/>
    <w:rsid w:val="007C7E4C"/>
    <w:rsid w:val="007D2907"/>
    <w:rsid w:val="007D47EF"/>
    <w:rsid w:val="007D56BB"/>
    <w:rsid w:val="007D62D8"/>
    <w:rsid w:val="007D75BA"/>
    <w:rsid w:val="007E1B82"/>
    <w:rsid w:val="007E1E87"/>
    <w:rsid w:val="007E32CC"/>
    <w:rsid w:val="007E4E91"/>
    <w:rsid w:val="007E590F"/>
    <w:rsid w:val="007F07BE"/>
    <w:rsid w:val="007F0AA8"/>
    <w:rsid w:val="007F14CF"/>
    <w:rsid w:val="007F28BC"/>
    <w:rsid w:val="007F585D"/>
    <w:rsid w:val="007F5E0E"/>
    <w:rsid w:val="007F6BB9"/>
    <w:rsid w:val="007F7DC5"/>
    <w:rsid w:val="00800BAB"/>
    <w:rsid w:val="00800F86"/>
    <w:rsid w:val="0080280A"/>
    <w:rsid w:val="00805CDF"/>
    <w:rsid w:val="00814E89"/>
    <w:rsid w:val="008175FE"/>
    <w:rsid w:val="00825D80"/>
    <w:rsid w:val="00830BA3"/>
    <w:rsid w:val="00833C85"/>
    <w:rsid w:val="008407CC"/>
    <w:rsid w:val="00843943"/>
    <w:rsid w:val="00852460"/>
    <w:rsid w:val="00853520"/>
    <w:rsid w:val="00857079"/>
    <w:rsid w:val="00857ADB"/>
    <w:rsid w:val="0086681B"/>
    <w:rsid w:val="008800AD"/>
    <w:rsid w:val="00880F59"/>
    <w:rsid w:val="008812F0"/>
    <w:rsid w:val="00885805"/>
    <w:rsid w:val="00885A8F"/>
    <w:rsid w:val="008867EB"/>
    <w:rsid w:val="008875D8"/>
    <w:rsid w:val="0088772D"/>
    <w:rsid w:val="00890C97"/>
    <w:rsid w:val="00890DAF"/>
    <w:rsid w:val="00891227"/>
    <w:rsid w:val="00892117"/>
    <w:rsid w:val="00892AE6"/>
    <w:rsid w:val="00893371"/>
    <w:rsid w:val="0089356E"/>
    <w:rsid w:val="00895743"/>
    <w:rsid w:val="008966A6"/>
    <w:rsid w:val="008966F5"/>
    <w:rsid w:val="00897806"/>
    <w:rsid w:val="008A0B04"/>
    <w:rsid w:val="008A1D79"/>
    <w:rsid w:val="008A5F7B"/>
    <w:rsid w:val="008A66DC"/>
    <w:rsid w:val="008A6EE8"/>
    <w:rsid w:val="008A7F63"/>
    <w:rsid w:val="008B0972"/>
    <w:rsid w:val="008B4040"/>
    <w:rsid w:val="008B6A07"/>
    <w:rsid w:val="008C02A2"/>
    <w:rsid w:val="008C1DBA"/>
    <w:rsid w:val="008C2480"/>
    <w:rsid w:val="008C55BC"/>
    <w:rsid w:val="008D01ED"/>
    <w:rsid w:val="008D204C"/>
    <w:rsid w:val="008D2C71"/>
    <w:rsid w:val="008D5044"/>
    <w:rsid w:val="008D5513"/>
    <w:rsid w:val="008D57D4"/>
    <w:rsid w:val="008D7392"/>
    <w:rsid w:val="008E0859"/>
    <w:rsid w:val="008E0B33"/>
    <w:rsid w:val="008E14B1"/>
    <w:rsid w:val="008E67FD"/>
    <w:rsid w:val="008E69EF"/>
    <w:rsid w:val="008F1EB9"/>
    <w:rsid w:val="008F2343"/>
    <w:rsid w:val="008F57C9"/>
    <w:rsid w:val="008F7BF7"/>
    <w:rsid w:val="00901E1A"/>
    <w:rsid w:val="00902741"/>
    <w:rsid w:val="00902AFB"/>
    <w:rsid w:val="00903F41"/>
    <w:rsid w:val="00904821"/>
    <w:rsid w:val="0090707B"/>
    <w:rsid w:val="00912085"/>
    <w:rsid w:val="00912D97"/>
    <w:rsid w:val="00913030"/>
    <w:rsid w:val="009131B7"/>
    <w:rsid w:val="0091644A"/>
    <w:rsid w:val="00920551"/>
    <w:rsid w:val="00923D00"/>
    <w:rsid w:val="00926611"/>
    <w:rsid w:val="00930236"/>
    <w:rsid w:val="00931558"/>
    <w:rsid w:val="00933E1E"/>
    <w:rsid w:val="00942367"/>
    <w:rsid w:val="00943A38"/>
    <w:rsid w:val="00944982"/>
    <w:rsid w:val="009476AF"/>
    <w:rsid w:val="00950793"/>
    <w:rsid w:val="00951A52"/>
    <w:rsid w:val="0095537B"/>
    <w:rsid w:val="00963C3C"/>
    <w:rsid w:val="0097427A"/>
    <w:rsid w:val="00976414"/>
    <w:rsid w:val="009764E5"/>
    <w:rsid w:val="009800F3"/>
    <w:rsid w:val="009821ED"/>
    <w:rsid w:val="00985316"/>
    <w:rsid w:val="00985834"/>
    <w:rsid w:val="00986C2E"/>
    <w:rsid w:val="009874A0"/>
    <w:rsid w:val="00994EEA"/>
    <w:rsid w:val="00995FF3"/>
    <w:rsid w:val="00997E4D"/>
    <w:rsid w:val="009A0B3F"/>
    <w:rsid w:val="009A13D0"/>
    <w:rsid w:val="009A54A1"/>
    <w:rsid w:val="009A5975"/>
    <w:rsid w:val="009B109B"/>
    <w:rsid w:val="009B2403"/>
    <w:rsid w:val="009B6552"/>
    <w:rsid w:val="009C001C"/>
    <w:rsid w:val="009C304B"/>
    <w:rsid w:val="009C36BC"/>
    <w:rsid w:val="009C429A"/>
    <w:rsid w:val="009C4F57"/>
    <w:rsid w:val="009D3BFB"/>
    <w:rsid w:val="009D439A"/>
    <w:rsid w:val="009D4B88"/>
    <w:rsid w:val="009D5F86"/>
    <w:rsid w:val="009D7202"/>
    <w:rsid w:val="009D77FD"/>
    <w:rsid w:val="009E1420"/>
    <w:rsid w:val="009E4191"/>
    <w:rsid w:val="009E43B1"/>
    <w:rsid w:val="009E4909"/>
    <w:rsid w:val="009E5CD0"/>
    <w:rsid w:val="009F0C90"/>
    <w:rsid w:val="009F14C4"/>
    <w:rsid w:val="009F179C"/>
    <w:rsid w:val="009F4B04"/>
    <w:rsid w:val="009F59E5"/>
    <w:rsid w:val="009F799E"/>
    <w:rsid w:val="00A018D3"/>
    <w:rsid w:val="00A044E3"/>
    <w:rsid w:val="00A064E2"/>
    <w:rsid w:val="00A0796D"/>
    <w:rsid w:val="00A10529"/>
    <w:rsid w:val="00A130A8"/>
    <w:rsid w:val="00A13E2A"/>
    <w:rsid w:val="00A17F93"/>
    <w:rsid w:val="00A217A8"/>
    <w:rsid w:val="00A22C7C"/>
    <w:rsid w:val="00A2349E"/>
    <w:rsid w:val="00A26399"/>
    <w:rsid w:val="00A27390"/>
    <w:rsid w:val="00A27520"/>
    <w:rsid w:val="00A309B8"/>
    <w:rsid w:val="00A31EA5"/>
    <w:rsid w:val="00A34094"/>
    <w:rsid w:val="00A35E3D"/>
    <w:rsid w:val="00A36157"/>
    <w:rsid w:val="00A3619C"/>
    <w:rsid w:val="00A36568"/>
    <w:rsid w:val="00A4183C"/>
    <w:rsid w:val="00A41CE3"/>
    <w:rsid w:val="00A47876"/>
    <w:rsid w:val="00A5017D"/>
    <w:rsid w:val="00A57F88"/>
    <w:rsid w:val="00A632E9"/>
    <w:rsid w:val="00A639C7"/>
    <w:rsid w:val="00A65D4C"/>
    <w:rsid w:val="00A70454"/>
    <w:rsid w:val="00A70BF7"/>
    <w:rsid w:val="00A72286"/>
    <w:rsid w:val="00A76ADF"/>
    <w:rsid w:val="00A779E2"/>
    <w:rsid w:val="00A878EA"/>
    <w:rsid w:val="00A87E7D"/>
    <w:rsid w:val="00A904DC"/>
    <w:rsid w:val="00A93BB6"/>
    <w:rsid w:val="00A9657C"/>
    <w:rsid w:val="00A971FC"/>
    <w:rsid w:val="00AA2035"/>
    <w:rsid w:val="00AA609A"/>
    <w:rsid w:val="00AA7D47"/>
    <w:rsid w:val="00AB3E49"/>
    <w:rsid w:val="00AB520F"/>
    <w:rsid w:val="00AB6866"/>
    <w:rsid w:val="00AC0B7D"/>
    <w:rsid w:val="00AC188A"/>
    <w:rsid w:val="00AC1EB5"/>
    <w:rsid w:val="00AC2FF8"/>
    <w:rsid w:val="00AC5B43"/>
    <w:rsid w:val="00AC614A"/>
    <w:rsid w:val="00AC768E"/>
    <w:rsid w:val="00AC7C8E"/>
    <w:rsid w:val="00AD0915"/>
    <w:rsid w:val="00AD0DD5"/>
    <w:rsid w:val="00AD1879"/>
    <w:rsid w:val="00AD3396"/>
    <w:rsid w:val="00AD56F1"/>
    <w:rsid w:val="00AE3B42"/>
    <w:rsid w:val="00AE3EEF"/>
    <w:rsid w:val="00AE519E"/>
    <w:rsid w:val="00AF04FC"/>
    <w:rsid w:val="00AF225D"/>
    <w:rsid w:val="00AF2E40"/>
    <w:rsid w:val="00AF3C35"/>
    <w:rsid w:val="00AF5748"/>
    <w:rsid w:val="00AF6B79"/>
    <w:rsid w:val="00B011B8"/>
    <w:rsid w:val="00B01907"/>
    <w:rsid w:val="00B0215B"/>
    <w:rsid w:val="00B03EFF"/>
    <w:rsid w:val="00B04AD9"/>
    <w:rsid w:val="00B051FE"/>
    <w:rsid w:val="00B05D08"/>
    <w:rsid w:val="00B07819"/>
    <w:rsid w:val="00B12FED"/>
    <w:rsid w:val="00B13CC0"/>
    <w:rsid w:val="00B15353"/>
    <w:rsid w:val="00B169BD"/>
    <w:rsid w:val="00B206A2"/>
    <w:rsid w:val="00B23FD7"/>
    <w:rsid w:val="00B2559D"/>
    <w:rsid w:val="00B307AD"/>
    <w:rsid w:val="00B30CB0"/>
    <w:rsid w:val="00B30FC1"/>
    <w:rsid w:val="00B32059"/>
    <w:rsid w:val="00B32459"/>
    <w:rsid w:val="00B342D3"/>
    <w:rsid w:val="00B40EDE"/>
    <w:rsid w:val="00B43106"/>
    <w:rsid w:val="00B433AD"/>
    <w:rsid w:val="00B4443B"/>
    <w:rsid w:val="00B45678"/>
    <w:rsid w:val="00B547B2"/>
    <w:rsid w:val="00B557F2"/>
    <w:rsid w:val="00B57709"/>
    <w:rsid w:val="00B57BCB"/>
    <w:rsid w:val="00B7045E"/>
    <w:rsid w:val="00B767F9"/>
    <w:rsid w:val="00B8056D"/>
    <w:rsid w:val="00B85753"/>
    <w:rsid w:val="00B91884"/>
    <w:rsid w:val="00B921C6"/>
    <w:rsid w:val="00B95149"/>
    <w:rsid w:val="00B95581"/>
    <w:rsid w:val="00B97DA4"/>
    <w:rsid w:val="00BA086C"/>
    <w:rsid w:val="00BA2D98"/>
    <w:rsid w:val="00BA4B27"/>
    <w:rsid w:val="00BB0A1C"/>
    <w:rsid w:val="00BB1161"/>
    <w:rsid w:val="00BB312E"/>
    <w:rsid w:val="00BB3EA5"/>
    <w:rsid w:val="00BB5898"/>
    <w:rsid w:val="00BB6522"/>
    <w:rsid w:val="00BB7001"/>
    <w:rsid w:val="00BC00EE"/>
    <w:rsid w:val="00BC0A8A"/>
    <w:rsid w:val="00BC0C76"/>
    <w:rsid w:val="00BC2205"/>
    <w:rsid w:val="00BC5AD7"/>
    <w:rsid w:val="00BD0402"/>
    <w:rsid w:val="00BD1550"/>
    <w:rsid w:val="00BD674C"/>
    <w:rsid w:val="00BD69E0"/>
    <w:rsid w:val="00BE2DA5"/>
    <w:rsid w:val="00BE35BB"/>
    <w:rsid w:val="00BE6D65"/>
    <w:rsid w:val="00BE78CD"/>
    <w:rsid w:val="00BF1308"/>
    <w:rsid w:val="00BF380F"/>
    <w:rsid w:val="00BF56A2"/>
    <w:rsid w:val="00C0354F"/>
    <w:rsid w:val="00C03A7B"/>
    <w:rsid w:val="00C07445"/>
    <w:rsid w:val="00C0767E"/>
    <w:rsid w:val="00C1345F"/>
    <w:rsid w:val="00C141D8"/>
    <w:rsid w:val="00C148EE"/>
    <w:rsid w:val="00C16BCA"/>
    <w:rsid w:val="00C17020"/>
    <w:rsid w:val="00C17464"/>
    <w:rsid w:val="00C242F4"/>
    <w:rsid w:val="00C304AF"/>
    <w:rsid w:val="00C31286"/>
    <w:rsid w:val="00C3568C"/>
    <w:rsid w:val="00C37756"/>
    <w:rsid w:val="00C3777C"/>
    <w:rsid w:val="00C4006F"/>
    <w:rsid w:val="00C40D63"/>
    <w:rsid w:val="00C412B7"/>
    <w:rsid w:val="00C41DAA"/>
    <w:rsid w:val="00C44F2A"/>
    <w:rsid w:val="00C468C9"/>
    <w:rsid w:val="00C47D8D"/>
    <w:rsid w:val="00C5179B"/>
    <w:rsid w:val="00C5261D"/>
    <w:rsid w:val="00C53381"/>
    <w:rsid w:val="00C53888"/>
    <w:rsid w:val="00C55765"/>
    <w:rsid w:val="00C55B42"/>
    <w:rsid w:val="00C5657F"/>
    <w:rsid w:val="00C568A8"/>
    <w:rsid w:val="00C63162"/>
    <w:rsid w:val="00C63419"/>
    <w:rsid w:val="00C674E8"/>
    <w:rsid w:val="00C72750"/>
    <w:rsid w:val="00C7383A"/>
    <w:rsid w:val="00C741E8"/>
    <w:rsid w:val="00C76139"/>
    <w:rsid w:val="00C81F99"/>
    <w:rsid w:val="00C831F6"/>
    <w:rsid w:val="00C83316"/>
    <w:rsid w:val="00C856C6"/>
    <w:rsid w:val="00C86BDE"/>
    <w:rsid w:val="00C9329F"/>
    <w:rsid w:val="00CA31EA"/>
    <w:rsid w:val="00CA3D5E"/>
    <w:rsid w:val="00CA72E0"/>
    <w:rsid w:val="00CA789A"/>
    <w:rsid w:val="00CA7C6E"/>
    <w:rsid w:val="00CB0E0D"/>
    <w:rsid w:val="00CB195A"/>
    <w:rsid w:val="00CB196C"/>
    <w:rsid w:val="00CC29D1"/>
    <w:rsid w:val="00CC6D68"/>
    <w:rsid w:val="00CD0818"/>
    <w:rsid w:val="00CD11D5"/>
    <w:rsid w:val="00CD14E7"/>
    <w:rsid w:val="00CD2306"/>
    <w:rsid w:val="00CD2A3A"/>
    <w:rsid w:val="00CD574B"/>
    <w:rsid w:val="00CD71EB"/>
    <w:rsid w:val="00CE401C"/>
    <w:rsid w:val="00CE4FB7"/>
    <w:rsid w:val="00CE502B"/>
    <w:rsid w:val="00CE59F8"/>
    <w:rsid w:val="00CE6C08"/>
    <w:rsid w:val="00CF3778"/>
    <w:rsid w:val="00CF45B4"/>
    <w:rsid w:val="00CF705F"/>
    <w:rsid w:val="00D000B1"/>
    <w:rsid w:val="00D01F63"/>
    <w:rsid w:val="00D03362"/>
    <w:rsid w:val="00D040D9"/>
    <w:rsid w:val="00D06403"/>
    <w:rsid w:val="00D06AC9"/>
    <w:rsid w:val="00D10F70"/>
    <w:rsid w:val="00D14B3B"/>
    <w:rsid w:val="00D16CB6"/>
    <w:rsid w:val="00D17283"/>
    <w:rsid w:val="00D21268"/>
    <w:rsid w:val="00D22EEF"/>
    <w:rsid w:val="00D23E43"/>
    <w:rsid w:val="00D24C42"/>
    <w:rsid w:val="00D2525F"/>
    <w:rsid w:val="00D25779"/>
    <w:rsid w:val="00D2790D"/>
    <w:rsid w:val="00D32762"/>
    <w:rsid w:val="00D32CDF"/>
    <w:rsid w:val="00D33950"/>
    <w:rsid w:val="00D356F3"/>
    <w:rsid w:val="00D35F36"/>
    <w:rsid w:val="00D36642"/>
    <w:rsid w:val="00D36850"/>
    <w:rsid w:val="00D37417"/>
    <w:rsid w:val="00D402CF"/>
    <w:rsid w:val="00D41BED"/>
    <w:rsid w:val="00D458D8"/>
    <w:rsid w:val="00D47F3B"/>
    <w:rsid w:val="00D52ADC"/>
    <w:rsid w:val="00D54256"/>
    <w:rsid w:val="00D557E3"/>
    <w:rsid w:val="00D62B97"/>
    <w:rsid w:val="00D6456C"/>
    <w:rsid w:val="00D6519A"/>
    <w:rsid w:val="00D66809"/>
    <w:rsid w:val="00D66A34"/>
    <w:rsid w:val="00D67D6D"/>
    <w:rsid w:val="00D7210D"/>
    <w:rsid w:val="00D73DEB"/>
    <w:rsid w:val="00D7483D"/>
    <w:rsid w:val="00D75037"/>
    <w:rsid w:val="00D77E4C"/>
    <w:rsid w:val="00D92098"/>
    <w:rsid w:val="00D935A7"/>
    <w:rsid w:val="00D95E78"/>
    <w:rsid w:val="00DA0DFD"/>
    <w:rsid w:val="00DA23FB"/>
    <w:rsid w:val="00DA332B"/>
    <w:rsid w:val="00DA4F7C"/>
    <w:rsid w:val="00DA66F1"/>
    <w:rsid w:val="00DB1E3F"/>
    <w:rsid w:val="00DB3445"/>
    <w:rsid w:val="00DB39D9"/>
    <w:rsid w:val="00DB5D45"/>
    <w:rsid w:val="00DB5FE7"/>
    <w:rsid w:val="00DC58C9"/>
    <w:rsid w:val="00DC62D4"/>
    <w:rsid w:val="00DD3F38"/>
    <w:rsid w:val="00DD7722"/>
    <w:rsid w:val="00DE37F9"/>
    <w:rsid w:val="00DE4833"/>
    <w:rsid w:val="00DF0477"/>
    <w:rsid w:val="00DF13FA"/>
    <w:rsid w:val="00E01725"/>
    <w:rsid w:val="00E02906"/>
    <w:rsid w:val="00E02CAF"/>
    <w:rsid w:val="00E03A87"/>
    <w:rsid w:val="00E047AF"/>
    <w:rsid w:val="00E04850"/>
    <w:rsid w:val="00E04E2D"/>
    <w:rsid w:val="00E06D00"/>
    <w:rsid w:val="00E12D60"/>
    <w:rsid w:val="00E142C9"/>
    <w:rsid w:val="00E14E1F"/>
    <w:rsid w:val="00E1649B"/>
    <w:rsid w:val="00E16DDD"/>
    <w:rsid w:val="00E20ABB"/>
    <w:rsid w:val="00E24ADB"/>
    <w:rsid w:val="00E27279"/>
    <w:rsid w:val="00E27606"/>
    <w:rsid w:val="00E31C0D"/>
    <w:rsid w:val="00E33CA2"/>
    <w:rsid w:val="00E33EA5"/>
    <w:rsid w:val="00E34F87"/>
    <w:rsid w:val="00E35660"/>
    <w:rsid w:val="00E3580E"/>
    <w:rsid w:val="00E363DB"/>
    <w:rsid w:val="00E419A9"/>
    <w:rsid w:val="00E51660"/>
    <w:rsid w:val="00E54498"/>
    <w:rsid w:val="00E548A5"/>
    <w:rsid w:val="00E561D0"/>
    <w:rsid w:val="00E63523"/>
    <w:rsid w:val="00E63A4B"/>
    <w:rsid w:val="00E6572B"/>
    <w:rsid w:val="00E66847"/>
    <w:rsid w:val="00E72147"/>
    <w:rsid w:val="00E73F14"/>
    <w:rsid w:val="00E74474"/>
    <w:rsid w:val="00E82C00"/>
    <w:rsid w:val="00E9024E"/>
    <w:rsid w:val="00E909D0"/>
    <w:rsid w:val="00E91FF6"/>
    <w:rsid w:val="00E967DA"/>
    <w:rsid w:val="00E96C27"/>
    <w:rsid w:val="00EA28AE"/>
    <w:rsid w:val="00EA62DF"/>
    <w:rsid w:val="00EB4757"/>
    <w:rsid w:val="00EB4C6D"/>
    <w:rsid w:val="00EC1AA5"/>
    <w:rsid w:val="00ED024C"/>
    <w:rsid w:val="00ED0D62"/>
    <w:rsid w:val="00ED1845"/>
    <w:rsid w:val="00ED2CB5"/>
    <w:rsid w:val="00ED2E58"/>
    <w:rsid w:val="00ED381D"/>
    <w:rsid w:val="00ED3E85"/>
    <w:rsid w:val="00ED5FF2"/>
    <w:rsid w:val="00ED65D0"/>
    <w:rsid w:val="00EE0135"/>
    <w:rsid w:val="00EE2463"/>
    <w:rsid w:val="00EE6216"/>
    <w:rsid w:val="00EF07F3"/>
    <w:rsid w:val="00EF0FF1"/>
    <w:rsid w:val="00EF7A00"/>
    <w:rsid w:val="00F00541"/>
    <w:rsid w:val="00F020D5"/>
    <w:rsid w:val="00F02CB5"/>
    <w:rsid w:val="00F03F1F"/>
    <w:rsid w:val="00F10479"/>
    <w:rsid w:val="00F12C13"/>
    <w:rsid w:val="00F1332C"/>
    <w:rsid w:val="00F143C9"/>
    <w:rsid w:val="00F17530"/>
    <w:rsid w:val="00F21E92"/>
    <w:rsid w:val="00F250EE"/>
    <w:rsid w:val="00F25677"/>
    <w:rsid w:val="00F2724E"/>
    <w:rsid w:val="00F31F17"/>
    <w:rsid w:val="00F3376D"/>
    <w:rsid w:val="00F36B2E"/>
    <w:rsid w:val="00F413F1"/>
    <w:rsid w:val="00F42D45"/>
    <w:rsid w:val="00F43322"/>
    <w:rsid w:val="00F43841"/>
    <w:rsid w:val="00F46618"/>
    <w:rsid w:val="00F46A02"/>
    <w:rsid w:val="00F4786B"/>
    <w:rsid w:val="00F55A9F"/>
    <w:rsid w:val="00F60014"/>
    <w:rsid w:val="00F6259A"/>
    <w:rsid w:val="00F6353D"/>
    <w:rsid w:val="00F64868"/>
    <w:rsid w:val="00F652BE"/>
    <w:rsid w:val="00F660EA"/>
    <w:rsid w:val="00F6680F"/>
    <w:rsid w:val="00F66C10"/>
    <w:rsid w:val="00F672D7"/>
    <w:rsid w:val="00F73694"/>
    <w:rsid w:val="00F74D15"/>
    <w:rsid w:val="00F76105"/>
    <w:rsid w:val="00F80A2B"/>
    <w:rsid w:val="00F81FC1"/>
    <w:rsid w:val="00F84410"/>
    <w:rsid w:val="00F86E15"/>
    <w:rsid w:val="00F87653"/>
    <w:rsid w:val="00F96FE6"/>
    <w:rsid w:val="00F9722A"/>
    <w:rsid w:val="00FB2D3C"/>
    <w:rsid w:val="00FB717C"/>
    <w:rsid w:val="00FC1B84"/>
    <w:rsid w:val="00FC3981"/>
    <w:rsid w:val="00FC64D6"/>
    <w:rsid w:val="00FD0A27"/>
    <w:rsid w:val="00FD0C59"/>
    <w:rsid w:val="00FD4F3B"/>
    <w:rsid w:val="00FD6440"/>
    <w:rsid w:val="00FE4EAD"/>
    <w:rsid w:val="00FE78C4"/>
    <w:rsid w:val="00FF1F6A"/>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FC561"/>
  <w15:chartTrackingRefBased/>
  <w15:docId w15:val="{711D19AE-05C7-40FA-9014-E0F256A1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03D"/>
  </w:style>
  <w:style w:type="paragraph" w:styleId="Footer">
    <w:name w:val="footer"/>
    <w:basedOn w:val="Normal"/>
    <w:link w:val="FooterChar"/>
    <w:uiPriority w:val="99"/>
    <w:unhideWhenUsed/>
    <w:rsid w:val="00192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03D"/>
  </w:style>
  <w:style w:type="paragraph" w:styleId="FootnoteText">
    <w:name w:val="footnote text"/>
    <w:basedOn w:val="Normal"/>
    <w:link w:val="FootnoteTextChar"/>
    <w:uiPriority w:val="99"/>
    <w:semiHidden/>
    <w:unhideWhenUsed/>
    <w:rsid w:val="001920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03D"/>
    <w:rPr>
      <w:sz w:val="20"/>
      <w:szCs w:val="20"/>
    </w:rPr>
  </w:style>
  <w:style w:type="paragraph" w:styleId="CommentText">
    <w:name w:val="annotation text"/>
    <w:basedOn w:val="Normal"/>
    <w:link w:val="CommentTextChar"/>
    <w:uiPriority w:val="99"/>
    <w:unhideWhenUsed/>
    <w:rsid w:val="0019203D"/>
    <w:pPr>
      <w:spacing w:line="240" w:lineRule="auto"/>
    </w:pPr>
    <w:rPr>
      <w:sz w:val="20"/>
      <w:szCs w:val="20"/>
    </w:rPr>
  </w:style>
  <w:style w:type="character" w:customStyle="1" w:styleId="CommentTextChar">
    <w:name w:val="Comment Text Char"/>
    <w:basedOn w:val="DefaultParagraphFont"/>
    <w:link w:val="CommentText"/>
    <w:uiPriority w:val="99"/>
    <w:rsid w:val="0019203D"/>
    <w:rPr>
      <w:sz w:val="20"/>
      <w:szCs w:val="20"/>
    </w:rPr>
  </w:style>
  <w:style w:type="character" w:styleId="FootnoteReference">
    <w:name w:val="footnote reference"/>
    <w:basedOn w:val="DefaultParagraphFont"/>
    <w:uiPriority w:val="99"/>
    <w:semiHidden/>
    <w:unhideWhenUsed/>
    <w:rsid w:val="0019203D"/>
    <w:rPr>
      <w:vertAlign w:val="superscript"/>
    </w:rPr>
  </w:style>
  <w:style w:type="character" w:styleId="Hyperlink">
    <w:name w:val="Hyperlink"/>
    <w:basedOn w:val="DefaultParagraphFont"/>
    <w:uiPriority w:val="99"/>
    <w:unhideWhenUsed/>
    <w:rsid w:val="0019203D"/>
    <w:rPr>
      <w:color w:val="0563C1" w:themeColor="hyperlink"/>
      <w:u w:val="single"/>
    </w:rPr>
  </w:style>
  <w:style w:type="character" w:styleId="CommentReference">
    <w:name w:val="annotation reference"/>
    <w:basedOn w:val="DefaultParagraphFont"/>
    <w:uiPriority w:val="99"/>
    <w:semiHidden/>
    <w:unhideWhenUsed/>
    <w:rsid w:val="0019203D"/>
    <w:rPr>
      <w:sz w:val="16"/>
      <w:szCs w:val="16"/>
    </w:rPr>
  </w:style>
  <w:style w:type="table" w:styleId="TableGrid">
    <w:name w:val="Table Grid"/>
    <w:basedOn w:val="TableNormal"/>
    <w:uiPriority w:val="39"/>
    <w:rsid w:val="001920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632E9"/>
  </w:style>
  <w:style w:type="paragraph" w:styleId="CommentSubject">
    <w:name w:val="annotation subject"/>
    <w:basedOn w:val="CommentText"/>
    <w:next w:val="CommentText"/>
    <w:link w:val="CommentSubjectChar"/>
    <w:uiPriority w:val="99"/>
    <w:semiHidden/>
    <w:unhideWhenUsed/>
    <w:rsid w:val="00A632E9"/>
    <w:rPr>
      <w:b/>
      <w:bCs/>
    </w:rPr>
  </w:style>
  <w:style w:type="character" w:customStyle="1" w:styleId="CommentSubjectChar">
    <w:name w:val="Comment Subject Char"/>
    <w:basedOn w:val="CommentTextChar"/>
    <w:link w:val="CommentSubject"/>
    <w:uiPriority w:val="99"/>
    <w:semiHidden/>
    <w:rsid w:val="00A632E9"/>
    <w:rPr>
      <w:b/>
      <w:bCs/>
      <w:sz w:val="20"/>
      <w:szCs w:val="20"/>
    </w:rPr>
  </w:style>
  <w:style w:type="character" w:customStyle="1" w:styleId="UnresolvedMention1">
    <w:name w:val="Unresolved Mention1"/>
    <w:basedOn w:val="DefaultParagraphFont"/>
    <w:uiPriority w:val="99"/>
    <w:semiHidden/>
    <w:unhideWhenUsed/>
    <w:rsid w:val="00165241"/>
    <w:rPr>
      <w:color w:val="605E5C"/>
      <w:shd w:val="clear" w:color="auto" w:fill="E1DFDD"/>
    </w:rPr>
  </w:style>
  <w:style w:type="character" w:styleId="FollowedHyperlink">
    <w:name w:val="FollowedHyperlink"/>
    <w:basedOn w:val="DefaultParagraphFont"/>
    <w:uiPriority w:val="99"/>
    <w:semiHidden/>
    <w:unhideWhenUsed/>
    <w:rsid w:val="0052063D"/>
    <w:rPr>
      <w:color w:val="954F72" w:themeColor="followedHyperlink"/>
      <w:u w:val="single"/>
    </w:rPr>
  </w:style>
  <w:style w:type="paragraph" w:styleId="ListParagraph">
    <w:name w:val="List Paragraph"/>
    <w:basedOn w:val="Normal"/>
    <w:uiPriority w:val="34"/>
    <w:qFormat/>
    <w:rsid w:val="000A7A5F"/>
    <w:pPr>
      <w:ind w:left="720"/>
      <w:contextualSpacing/>
    </w:pPr>
  </w:style>
  <w:style w:type="paragraph" w:styleId="BalloonText">
    <w:name w:val="Balloon Text"/>
    <w:basedOn w:val="Normal"/>
    <w:link w:val="BalloonTextChar"/>
    <w:uiPriority w:val="99"/>
    <w:semiHidden/>
    <w:unhideWhenUsed/>
    <w:rsid w:val="00893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56E"/>
    <w:rPr>
      <w:rFonts w:ascii="Segoe UI" w:hAnsi="Segoe UI" w:cs="Segoe UI"/>
      <w:sz w:val="18"/>
      <w:szCs w:val="18"/>
    </w:rPr>
  </w:style>
  <w:style w:type="character" w:customStyle="1" w:styleId="UnresolvedMention2">
    <w:name w:val="Unresolved Mention2"/>
    <w:basedOn w:val="DefaultParagraphFont"/>
    <w:uiPriority w:val="99"/>
    <w:semiHidden/>
    <w:unhideWhenUsed/>
    <w:rsid w:val="002D0E39"/>
    <w:rPr>
      <w:color w:val="605E5C"/>
      <w:shd w:val="clear" w:color="auto" w:fill="E1DFDD"/>
    </w:rPr>
  </w:style>
  <w:style w:type="paragraph" w:styleId="Revision">
    <w:name w:val="Revision"/>
    <w:hidden/>
    <w:uiPriority w:val="99"/>
    <w:semiHidden/>
    <w:rsid w:val="00BB1161"/>
    <w:pPr>
      <w:spacing w:after="0" w:line="240" w:lineRule="auto"/>
    </w:pPr>
  </w:style>
  <w:style w:type="character" w:styleId="UnresolvedMention">
    <w:name w:val="Unresolved Mention"/>
    <w:basedOn w:val="DefaultParagraphFont"/>
    <w:uiPriority w:val="99"/>
    <w:semiHidden/>
    <w:unhideWhenUsed/>
    <w:rsid w:val="00316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673">
      <w:bodyDiv w:val="1"/>
      <w:marLeft w:val="0"/>
      <w:marRight w:val="0"/>
      <w:marTop w:val="0"/>
      <w:marBottom w:val="0"/>
      <w:divBdr>
        <w:top w:val="none" w:sz="0" w:space="0" w:color="auto"/>
        <w:left w:val="none" w:sz="0" w:space="0" w:color="auto"/>
        <w:bottom w:val="none" w:sz="0" w:space="0" w:color="auto"/>
        <w:right w:val="none" w:sz="0" w:space="0" w:color="auto"/>
      </w:divBdr>
    </w:div>
    <w:div w:id="305353917">
      <w:bodyDiv w:val="1"/>
      <w:marLeft w:val="0"/>
      <w:marRight w:val="0"/>
      <w:marTop w:val="0"/>
      <w:marBottom w:val="0"/>
      <w:divBdr>
        <w:top w:val="none" w:sz="0" w:space="0" w:color="auto"/>
        <w:left w:val="none" w:sz="0" w:space="0" w:color="auto"/>
        <w:bottom w:val="none" w:sz="0" w:space="0" w:color="auto"/>
        <w:right w:val="none" w:sz="0" w:space="0" w:color="auto"/>
      </w:divBdr>
    </w:div>
    <w:div w:id="384380566">
      <w:bodyDiv w:val="1"/>
      <w:marLeft w:val="0"/>
      <w:marRight w:val="0"/>
      <w:marTop w:val="0"/>
      <w:marBottom w:val="0"/>
      <w:divBdr>
        <w:top w:val="none" w:sz="0" w:space="0" w:color="auto"/>
        <w:left w:val="none" w:sz="0" w:space="0" w:color="auto"/>
        <w:bottom w:val="none" w:sz="0" w:space="0" w:color="auto"/>
        <w:right w:val="none" w:sz="0" w:space="0" w:color="auto"/>
      </w:divBdr>
    </w:div>
    <w:div w:id="658776330">
      <w:bodyDiv w:val="1"/>
      <w:marLeft w:val="0"/>
      <w:marRight w:val="0"/>
      <w:marTop w:val="0"/>
      <w:marBottom w:val="0"/>
      <w:divBdr>
        <w:top w:val="none" w:sz="0" w:space="0" w:color="auto"/>
        <w:left w:val="none" w:sz="0" w:space="0" w:color="auto"/>
        <w:bottom w:val="none" w:sz="0" w:space="0" w:color="auto"/>
        <w:right w:val="none" w:sz="0" w:space="0" w:color="auto"/>
      </w:divBdr>
    </w:div>
    <w:div w:id="8028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17" Type="http://schemas.openxmlformats.org/officeDocument/2006/relationships/hyperlink" Target="https://www.ncbi.nlm.nih.gov/pmc/articles/PMC4449487/" TargetMode="External"/><Relationship Id="rId21" Type="http://schemas.openxmlformats.org/officeDocument/2006/relationships/hyperlink" Target="https://anticancer360.com/what-is-a-fdg-pet-scan-and-why-does-it-matter/" TargetMode="External"/><Relationship Id="rId42" Type="http://schemas.openxmlformats.org/officeDocument/2006/relationships/hyperlink" Target="https://www.mass.gov/lists/cancer-incidence-statewide-reports" TargetMode="External"/><Relationship Id="rId63" Type="http://schemas.openxmlformats.org/officeDocument/2006/relationships/hyperlink" Target="https://www.rwjf.org/en/library/research/2013/03/how-can-early-treatment-of-serious-mental-illness-improve-lives-.html" TargetMode="External"/><Relationship Id="rId84" Type="http://schemas.openxmlformats.org/officeDocument/2006/relationships/hyperlink" Target="https://journals.sagepub.com/doi/full/10.1177/2514183X19868147." TargetMode="External"/><Relationship Id="rId138" Type="http://schemas.openxmlformats.org/officeDocument/2006/relationships/hyperlink" Target="https://www.ncbi.nlm.nih.gov/pmc/articles/PMC4332800/" TargetMode="External"/><Relationship Id="rId159" Type="http://schemas.openxmlformats.org/officeDocument/2006/relationships/hyperlink" Target="https://www.kff.org/health-costs/issue-brief/americans-challenges-with-health-care-costs/" TargetMode="External"/><Relationship Id="rId170" Type="http://schemas.openxmlformats.org/officeDocument/2006/relationships/hyperlink" Target="https://www.ncbi.nlm.nih.gov/pmc/articles/PMC9899154/" TargetMode="External"/><Relationship Id="rId191" Type="http://schemas.openxmlformats.org/officeDocument/2006/relationships/hyperlink" Target="https://health.gov/healthypeople/about/workgroups/access-health-services-workgroup" TargetMode="External"/><Relationship Id="rId107" Type="http://schemas.openxmlformats.org/officeDocument/2006/relationships/hyperlink" Target="https://pubmed.ncbi.nlm.nih.gov/26247005/" TargetMode="External"/><Relationship Id="rId11" Type="http://schemas.openxmlformats.org/officeDocument/2006/relationships/hyperlink" Target="https://theconversation.com/with-the-right-kind-of-research-we-can-reduce-health-care-costs-28898" TargetMode="External"/><Relationship Id="rId32" Type="http://schemas.openxmlformats.org/officeDocument/2006/relationships/hyperlink" Target="https://www.sciencedirect.com/science/article/pii/S0749379713006429" TargetMode="External"/><Relationship Id="rId53" Type="http://schemas.openxmlformats.org/officeDocument/2006/relationships/hyperlink" Target="https://alz-journals.onlinelibrary.wiley.com/doi/10.1002/alz.12068" TargetMode="External"/><Relationship Id="rId74" Type="http://schemas.openxmlformats.org/officeDocument/2006/relationships/hyperlink" Target="https://www.uhcprovider.com/content/dam/provider/docs/public/prior-auth/radiology/Site-Care-Outpatient-MRCT-Svcs-FAQ-Commercial.pdf" TargetMode="External"/><Relationship Id="rId128" Type="http://schemas.openxmlformats.org/officeDocument/2006/relationships/hyperlink" Target="https://www.ncbi.nlm.nih.gov/pmc/articles/PMC4449487/" TargetMode="External"/><Relationship Id="rId149" Type="http://schemas.openxmlformats.org/officeDocument/2006/relationships/hyperlink" Target="https://stanfordhealthcare.org/medical-tests/p/pet-ct-scan/what-to-expect.html" TargetMode="External"/><Relationship Id="rId5" Type="http://schemas.openxmlformats.org/officeDocument/2006/relationships/hyperlink" Target="https://www.aamc.org/news/recent-breakthroughs-alzheimer-s-research-provide-hope-patients" TargetMode="External"/><Relationship Id="rId95" Type="http://schemas.openxmlformats.org/officeDocument/2006/relationships/hyperlink" Target="https://www.ncbi.nlm.nih.gov/pmc/articles/PMC4969342/" TargetMode="External"/><Relationship Id="rId160" Type="http://schemas.openxmlformats.org/officeDocument/2006/relationships/hyperlink" Target="https://www.kff.org/health-costs/issue-brief/americans-challenges-with-health-care-costs/" TargetMode="External"/><Relationship Id="rId181" Type="http://schemas.openxmlformats.org/officeDocument/2006/relationships/hyperlink" Target="https://hbr.org/2011/09/how-to-solve-the-cost-crisis-in-health-care" TargetMode="External"/><Relationship Id="rId22" Type="http://schemas.openxmlformats.org/officeDocument/2006/relationships/hyperlink" Target="http://pep.donahue-institute.org/downloads/2015/new/UMDI_LongTermPopulationProjectionsReport_2015%2004%20_29.pdf" TargetMode="External"/><Relationship Id="rId43" Type="http://schemas.openxmlformats.org/officeDocument/2006/relationships/hyperlink" Target="https://www.mass.gov/lists/cancer-incidence-statewide-reports" TargetMode="External"/><Relationship Id="rId64" Type="http://schemas.openxmlformats.org/officeDocument/2006/relationships/hyperlink" Target="https://www.rwjf.org/en/library/research/2013/03/how-can-early-treatment-of-serious-mental-illness-improve-lives-.html" TargetMode="External"/><Relationship Id="rId118" Type="http://schemas.openxmlformats.org/officeDocument/2006/relationships/hyperlink" Target="https://pubmed.ncbi.nlm.nih.gov/11105929/" TargetMode="External"/><Relationship Id="rId139" Type="http://schemas.openxmlformats.org/officeDocument/2006/relationships/hyperlink" Target="https://pubmed.ncbi.nlm.nih.gov/29949415/" TargetMode="External"/><Relationship Id="rId85" Type="http://schemas.openxmlformats.org/officeDocument/2006/relationships/hyperlink" Target="https://journals.sagepub.com/doi/full/10.1177/2514183X19868147" TargetMode="External"/><Relationship Id="rId150" Type="http://schemas.openxmlformats.org/officeDocument/2006/relationships/hyperlink" Target="https://www.ncbi.nlm.nih.gov/pmc/articles/PMC2892773/" TargetMode="External"/><Relationship Id="rId171" Type="http://schemas.openxmlformats.org/officeDocument/2006/relationships/hyperlink" Target="https://www.atriushealth.org/locations/dedham" TargetMode="External"/><Relationship Id="rId192" Type="http://schemas.openxmlformats.org/officeDocument/2006/relationships/hyperlink" Target="https://health.gov/healthypeople/about/workgroups/access-health-services-workgroup" TargetMode="External"/><Relationship Id="rId12" Type="http://schemas.openxmlformats.org/officeDocument/2006/relationships/hyperlink" Target="https://www.ncbi.nlm.nih.gov/pmc/articles/PMC4969342/" TargetMode="External"/><Relationship Id="rId33" Type="http://schemas.openxmlformats.org/officeDocument/2006/relationships/hyperlink" Target="https://www.ncbi.nlm.nih.gov/pmc/articles/PMC1500929/" TargetMode="External"/><Relationship Id="rId108" Type="http://schemas.openxmlformats.org/officeDocument/2006/relationships/hyperlink" Target="https://pubmed.ncbi.nlm.nih.gov/22108734/" TargetMode="External"/><Relationship Id="rId129" Type="http://schemas.openxmlformats.org/officeDocument/2006/relationships/hyperlink" Target="https://www.ncbi.nlm.nih.gov/pmc/articles/PMC4449487/" TargetMode="External"/><Relationship Id="rId54" Type="http://schemas.openxmlformats.org/officeDocument/2006/relationships/hyperlink" Target="https://www.census.gov/library/stories/2019/12/by-2030-all-baby-boomers-will-be-age-65-or-older.html" TargetMode="External"/><Relationship Id="rId75" Type="http://schemas.openxmlformats.org/officeDocument/2006/relationships/hyperlink" Target="https://static.cigna.com/assets/chcp/pdf/coveragePolicies/medical/mm_0550_coveragepositioncriteria_SOC_HTR.pdf" TargetMode="External"/><Relationship Id="rId96" Type="http://schemas.openxmlformats.org/officeDocument/2006/relationships/hyperlink" Target="https://www.ncbi.nlm.nih.gov/pmc/articles/PMC4969342/" TargetMode="External"/><Relationship Id="rId140" Type="http://schemas.openxmlformats.org/officeDocument/2006/relationships/hyperlink" Target="https://pubmed.ncbi.nlm.nih.gov/29949415/" TargetMode="External"/><Relationship Id="rId161" Type="http://schemas.openxmlformats.org/officeDocument/2006/relationships/hyperlink" Target="https://advis.com/services/independent-diagnostic-testing-facilities/?gclid=CjwKCAiAvaGRBhBlEiwAiY-yMHCMEtjEV0at0jsHbWkZwKZyWZI-ZUwUwvPraR98eltokq-f5V7OwhoCmWwQAvD_BwE" TargetMode="External"/><Relationship Id="rId182" Type="http://schemas.openxmlformats.org/officeDocument/2006/relationships/hyperlink" Target="https://theconversation.com/with-the-right-kind-of-research-we-can-reduce-health-care-costs-28898" TargetMode="External"/><Relationship Id="rId6" Type="http://schemas.openxmlformats.org/officeDocument/2006/relationships/hyperlink" Target="https://www.nia.nih.gov/health/alzheimers/dementia-research-and-clinical-trials" TargetMode="External"/><Relationship Id="rId23" Type="http://schemas.openxmlformats.org/officeDocument/2006/relationships/hyperlink" Target="https://www.mass.gov/files/documents/2016/07/wb/healthy-aging-data-report.pdf" TargetMode="External"/><Relationship Id="rId119" Type="http://schemas.openxmlformats.org/officeDocument/2006/relationships/hyperlink" Target="https://pubmed.ncbi.nlm.nih.gov/11105929/" TargetMode="External"/><Relationship Id="rId44" Type="http://schemas.openxmlformats.org/officeDocument/2006/relationships/hyperlink" Target="https://pubmed.ncbi.nlm.nih.gov/29184622/" TargetMode="External"/><Relationship Id="rId65" Type="http://schemas.openxmlformats.org/officeDocument/2006/relationships/hyperlink" Target="https://pubmed.ncbi.nlm.nih.gov/26614881/" TargetMode="External"/><Relationship Id="rId86" Type="http://schemas.openxmlformats.org/officeDocument/2006/relationships/hyperlink" Target="https://jnm.snmjournals.org/content/58/7/1058" TargetMode="External"/><Relationship Id="rId130" Type="http://schemas.openxmlformats.org/officeDocument/2006/relationships/hyperlink" Target="https://journals.sagepub.com/doi/full/10.1177/2514183X19868147" TargetMode="External"/><Relationship Id="rId151" Type="http://schemas.openxmlformats.org/officeDocument/2006/relationships/hyperlink" Target="https://www.ncbi.nlm.nih.gov/pmc/articles/PMC2892773/" TargetMode="External"/><Relationship Id="rId172" Type="http://schemas.openxmlformats.org/officeDocument/2006/relationships/hyperlink" Target="https://shields.com/location/shields-mri-dedham/" TargetMode="External"/><Relationship Id="rId193" Type="http://schemas.openxmlformats.org/officeDocument/2006/relationships/hyperlink" Target="https://www.ncbi.nlm.nih.gov/books/NBK578537/" TargetMode="External"/><Relationship Id="rId13" Type="http://schemas.openxmlformats.org/officeDocument/2006/relationships/hyperlink" Target="https://www.ncbi.nlm.nih.gov/pmc/articles/PMC4969342/" TargetMode="External"/><Relationship Id="rId109" Type="http://schemas.openxmlformats.org/officeDocument/2006/relationships/hyperlink" Target="https://pubmed.ncbi.nlm.nih.gov/22108734/" TargetMode="External"/><Relationship Id="rId34" Type="http://schemas.openxmlformats.org/officeDocument/2006/relationships/hyperlink" Target="https://www.ncbi.nlm.nih.gov/pmc/articles/PMC1500929/" TargetMode="External"/><Relationship Id="rId50" Type="http://schemas.openxmlformats.org/officeDocument/2006/relationships/hyperlink" Target="https://pubmed.ncbi.nlm.nih.gov/24791083/" TargetMode="External"/><Relationship Id="rId55" Type="http://schemas.openxmlformats.org/officeDocument/2006/relationships/hyperlink" Target="https://www.alz.org/professionals/public-health/state-overview/massachusetts" TargetMode="External"/><Relationship Id="rId76" Type="http://schemas.openxmlformats.org/officeDocument/2006/relationships/hyperlink" Target="https://www.anthem.com/dam/medpolicies/abcbs/active/guidelines/gl_pw_c191757.html" TargetMode="External"/><Relationship Id="rId97" Type="http://schemas.openxmlformats.org/officeDocument/2006/relationships/hyperlink" Target="https://www.carestream.com/blog/2017/12/26/diagnostic-imaging-and-early-detection-of-cancer/" TargetMode="External"/><Relationship Id="rId104" Type="http://schemas.openxmlformats.org/officeDocument/2006/relationships/hyperlink" Target="https://stanfordhealthcare.org/medical-tests/p/pet-ct-scan/what-to-expect/pet-ct-scan-for-cancer.html" TargetMode="External"/><Relationship Id="rId120" Type="http://schemas.openxmlformats.org/officeDocument/2006/relationships/hyperlink" Target="https://www.ncbi.nlm.nih.gov/pmc/articles/PMC4449487/" TargetMode="External"/><Relationship Id="rId125" Type="http://schemas.openxmlformats.org/officeDocument/2006/relationships/hyperlink" Target="https://pubmed.ncbi.nlm.nih.gov/23154474/" TargetMode="External"/><Relationship Id="rId141" Type="http://schemas.openxmlformats.org/officeDocument/2006/relationships/hyperlink" Target="https://www.ncbi.nlm.nih.gov/pmc/articles/PMC1955366/" TargetMode="External"/><Relationship Id="rId146" Type="http://schemas.openxmlformats.org/officeDocument/2006/relationships/hyperlink" Target="https://pubmed.ncbi.nlm.nih.gov/26554265/" TargetMode="External"/><Relationship Id="rId167" Type="http://schemas.openxmlformats.org/officeDocument/2006/relationships/hyperlink" Target="https://www.cureus.com/about" TargetMode="External"/><Relationship Id="rId188" Type="http://schemas.openxmlformats.org/officeDocument/2006/relationships/hyperlink" Target="https://jamanetwork.com/journals/jamainternalmedicine/article-abstract/1881931" TargetMode="External"/><Relationship Id="rId7" Type="http://schemas.openxmlformats.org/officeDocument/2006/relationships/hyperlink" Target="https://pubmed.ncbi.nlm.nih.gov/21718326/" TargetMode="External"/><Relationship Id="rId71" Type="http://schemas.openxmlformats.org/officeDocument/2006/relationships/hyperlink" Target="https://www.radiologyinfo.org/en/info/pet" TargetMode="External"/><Relationship Id="rId92" Type="http://schemas.openxmlformats.org/officeDocument/2006/relationships/hyperlink" Target="https://www.cancer.org/healthy/find-cancer-early/american-cancer-society-guidelines-for-the-early-detection-of-cancer.html" TargetMode="External"/><Relationship Id="rId162" Type="http://schemas.openxmlformats.org/officeDocument/2006/relationships/hyperlink" Target="https://tinehealth.com/2018/01/18/why-patients-miss-doctor-appointments-how-to-decrease-no-shows/" TargetMode="External"/><Relationship Id="rId183" Type="http://schemas.openxmlformats.org/officeDocument/2006/relationships/hyperlink" Target="https://theconversation.com/with-the-right-kind-of-research-we-can-reduce-health-care-costs-28898" TargetMode="External"/><Relationship Id="rId2" Type="http://schemas.openxmlformats.org/officeDocument/2006/relationships/hyperlink" Target="https://www.cdc.gov/aging/publications/chronic-diseases-brief.html" TargetMode="External"/><Relationship Id="rId29" Type="http://schemas.openxmlformats.org/officeDocument/2006/relationships/hyperlink" Target="https://www.thelancet.com/journals/eclinm/article/PIIS2589-5370(21)00314-X/fulltext" TargetMode="External"/><Relationship Id="rId24" Type="http://schemas.openxmlformats.org/officeDocument/2006/relationships/hyperlink" Target="https://www.medicalnewstoday.com/articles/154877" TargetMode="External"/><Relationship Id="rId40" Type="http://schemas.openxmlformats.org/officeDocument/2006/relationships/hyperlink" Target="https://doi.org/10.1002/cncr.34157" TargetMode="External"/><Relationship Id="rId45" Type="http://schemas.openxmlformats.org/officeDocument/2006/relationships/hyperlink" Target="https://pubmed.ncbi.nlm.nih.gov/29184622/" TargetMode="External"/><Relationship Id="rId66" Type="http://schemas.openxmlformats.org/officeDocument/2006/relationships/hyperlink" Target="https://pubmed.ncbi.nlm.nih.gov/26614881/" TargetMode="External"/><Relationship Id="rId87" Type="http://schemas.openxmlformats.org/officeDocument/2006/relationships/hyperlink" Target="https://jnm.snmjournals.org/content/58/7/1058" TargetMode="External"/><Relationship Id="rId110" Type="http://schemas.openxmlformats.org/officeDocument/2006/relationships/hyperlink" Target="https://www.ncbi.nlm.nih.gov/pmc/articles/PMC2828569/" TargetMode="External"/><Relationship Id="rId115" Type="http://schemas.openxmlformats.org/officeDocument/2006/relationships/hyperlink" Target="https://pubmed.ncbi.nlm.nih.gov/11286301/" TargetMode="External"/><Relationship Id="rId131" Type="http://schemas.openxmlformats.org/officeDocument/2006/relationships/hyperlink" Target="https://journals.sagepub.com/doi/full/10.1177/2514183X19868147" TargetMode="External"/><Relationship Id="rId136" Type="http://schemas.openxmlformats.org/officeDocument/2006/relationships/hyperlink" Target="https://www.ajronline.org/doi/pdfplus/10.2214/AJR.18.19822" TargetMode="External"/><Relationship Id="rId157" Type="http://schemas.openxmlformats.org/officeDocument/2006/relationships/hyperlink" Target="https://www.ncbi.nlm.nih.gov/pmc/articles/PMC2839331/" TargetMode="External"/><Relationship Id="rId178" Type="http://schemas.openxmlformats.org/officeDocument/2006/relationships/hyperlink" Target="https://www.ncbi.nlm.nih.gov/pmc/articles/PMC2892773/" TargetMode="External"/><Relationship Id="rId61" Type="http://schemas.openxmlformats.org/officeDocument/2006/relationships/hyperlink" Target="https://www.who.int/news-room/detail/03-02-2017-early-cancer-diagnosis-saves-lives-cuts-treatment-costs" TargetMode="External"/><Relationship Id="rId82" Type="http://schemas.openxmlformats.org/officeDocument/2006/relationships/hyperlink" Target="https://www.ncbi.nlm.nih.gov/pmc/articles/PMC3692287/" TargetMode="External"/><Relationship Id="rId152" Type="http://schemas.openxmlformats.org/officeDocument/2006/relationships/hyperlink" Target="https://Images.philips.com/is/content/PhilipsConsumer/Campaigns/HC20140401_DG/Documents/PEX_in_Imaging_research_11Oct17_FINAL.pdf" TargetMode="External"/><Relationship Id="rId173" Type="http://schemas.openxmlformats.org/officeDocument/2006/relationships/hyperlink" Target="https://shields.com/location/shields-mri-dedham/" TargetMode="External"/><Relationship Id="rId194" Type="http://schemas.openxmlformats.org/officeDocument/2006/relationships/hyperlink" Target="https://www.ncbi.nlm.nih.gov/books/NBK578537/" TargetMode="External"/><Relationship Id="rId19" Type="http://schemas.openxmlformats.org/officeDocument/2006/relationships/hyperlink" Target="https://www.radiologytoday.net/archive/rt1219p22.shtml" TargetMode="External"/><Relationship Id="rId14" Type="http://schemas.openxmlformats.org/officeDocument/2006/relationships/hyperlink" Target="https://www.anixter.com/content/dam/anixter/resources/brochures/anixter-iaap-health%20care-best-practices-report-en.pdf" TargetMode="External"/><Relationship Id="rId30" Type="http://schemas.openxmlformats.org/officeDocument/2006/relationships/hyperlink" Target="https://www.thelancet.com/journals/eclinm/article/PIIS2589-5370(21)00314-X/fulltext" TargetMode="External"/><Relationship Id="rId35" Type="http://schemas.openxmlformats.org/officeDocument/2006/relationships/hyperlink" Target="https://www.ncbi.nlm.nih.gov/pmc/articles/PMC1500929/" TargetMode="External"/><Relationship Id="rId56" Type="http://schemas.openxmlformats.org/officeDocument/2006/relationships/hyperlink" Target="https://www.alz.org/professionals/public-health/state-overview/massachusetts" TargetMode="External"/><Relationship Id="rId77" Type="http://schemas.openxmlformats.org/officeDocument/2006/relationships/hyperlink" Target="https://theconversation.com/with-the-right-kind-of-research-we-can-reduce-health-care-costs-28898" TargetMode="External"/><Relationship Id="rId100" Type="http://schemas.openxmlformats.org/officeDocument/2006/relationships/hyperlink" Target="https://www.ncbi.nlm.nih.gov/pmc/articles/PMC1255942/" TargetMode="External"/><Relationship Id="rId105" Type="http://schemas.openxmlformats.org/officeDocument/2006/relationships/hyperlink" Target="https://stanfordhealthcare.org/medical-tests/p/pet-ct-scan/what-to-expect/pet-ct-scan-for-cancer.html" TargetMode="External"/><Relationship Id="rId126" Type="http://schemas.openxmlformats.org/officeDocument/2006/relationships/hyperlink" Target="https://pubmed.ncbi.nlm.nih.gov/27157236/" TargetMode="External"/><Relationship Id="rId147" Type="http://schemas.openxmlformats.org/officeDocument/2006/relationships/hyperlink" Target="https://www.ncbi.nlm.nih.gov/books/NBK9571/" TargetMode="External"/><Relationship Id="rId168" Type="http://schemas.openxmlformats.org/officeDocument/2006/relationships/hyperlink" Target="https://health.gov/healthypeople/priority-areas/social-determinants-health" TargetMode="External"/><Relationship Id="rId8" Type="http://schemas.openxmlformats.org/officeDocument/2006/relationships/hyperlink" Target="https://pubmed.ncbi.nlm.nih.gov/21718326/" TargetMode="External"/><Relationship Id="rId51" Type="http://schemas.openxmlformats.org/officeDocument/2006/relationships/hyperlink" Target="https://pubmed.ncbi.nlm.nih.gov/24791083/" TargetMode="External"/><Relationship Id="rId72" Type="http://schemas.openxmlformats.org/officeDocument/2006/relationships/hyperlink" Target="https://www.hfma.org/payment-reimbursement-and-managed-care/pricing/52656/" TargetMode="External"/><Relationship Id="rId93" Type="http://schemas.openxmlformats.org/officeDocument/2006/relationships/hyperlink" Target="https://www.cdc.gov/cancer/dcpc/prevention/screening.htm" TargetMode="External"/><Relationship Id="rId98" Type="http://schemas.openxmlformats.org/officeDocument/2006/relationships/hyperlink" Target="https://www.carestream.com/blog/2017/12/26/diagnostic-imaging-and-early-detection-of-cancer/" TargetMode="External"/><Relationship Id="rId121" Type="http://schemas.openxmlformats.org/officeDocument/2006/relationships/hyperlink" Target="https://www.ncbi.nlm.nih.gov/pmc/articles/PMC4449487/" TargetMode="External"/><Relationship Id="rId142" Type="http://schemas.openxmlformats.org/officeDocument/2006/relationships/hyperlink" Target="https://www.ncbi.nlm.nih.gov/pmc/articles/PMC1955366/" TargetMode="External"/><Relationship Id="rId163" Type="http://schemas.openxmlformats.org/officeDocument/2006/relationships/hyperlink" Target="https://tinehealth.com/2018/01/18/why-patients-miss-doctor-appointments-how-to-decrease-no-shows/" TargetMode="External"/><Relationship Id="rId184" Type="http://schemas.openxmlformats.org/officeDocument/2006/relationships/hyperlink" Target="https://www.ncbi.nlm.nih.gov/pmc/articles/PMC4969342/" TargetMode="External"/><Relationship Id="rId189" Type="http://schemas.openxmlformats.org/officeDocument/2006/relationships/hyperlink" Target="https://jamanetwork.com/journals/jamainternalmedicine/article-abstract/1881931" TargetMode="External"/><Relationship Id="rId3" Type="http://schemas.openxmlformats.org/officeDocument/2006/relationships/hyperlink" Target="https://www.ncbi.nlm.nih.gov/books/NBK338593/" TargetMode="External"/><Relationship Id="rId25" Type="http://schemas.openxmlformats.org/officeDocument/2006/relationships/hyperlink" Target="https://www.medicalnewstoday.com/articles/154877" TargetMode="External"/><Relationship Id="rId46" Type="http://schemas.openxmlformats.org/officeDocument/2006/relationships/hyperlink" Target="https://newsroom.heart.org/news/heart-disease" TargetMode="External"/><Relationship Id="rId67" Type="http://schemas.openxmlformats.org/officeDocument/2006/relationships/hyperlink" Target="http://www.who.int/healthsystems/service_delivery_techbrief1.pdf" TargetMode="External"/><Relationship Id="rId116" Type="http://schemas.openxmlformats.org/officeDocument/2006/relationships/hyperlink" Target="https://www.ncbi.nlm.nih.gov/pmc/articles/PMC4449487/" TargetMode="External"/><Relationship Id="rId137" Type="http://schemas.openxmlformats.org/officeDocument/2006/relationships/hyperlink" Target="https://www.ncbi.nlm.nih.gov/pmc/articles/PMC4332800/" TargetMode="External"/><Relationship Id="rId158" Type="http://schemas.openxmlformats.org/officeDocument/2006/relationships/hyperlink" Target="https://www.ncbi.nlm.nih.gov/pmc/articles/PMC2839331/" TargetMode="External"/><Relationship Id="rId20" Type="http://schemas.openxmlformats.org/officeDocument/2006/relationships/hyperlink" Target="https://stanfordhealthcare.org/medical-tests/p/pet-ct-scan/what-to-expect.html" TargetMode="External"/><Relationship Id="rId41" Type="http://schemas.openxmlformats.org/officeDocument/2006/relationships/hyperlink" Target="https://www.cancer.org/research/cancer-facts-statistics/all-cancer-facts-figures/2024-cancer-facts-figures.html" TargetMode="External"/><Relationship Id="rId62" Type="http://schemas.openxmlformats.org/officeDocument/2006/relationships/hyperlink" Target="https://www.who.int/news-room/detail/03-02-2017-early-cancer-diagnosis-saves-lives-cuts-treatment-costs" TargetMode="External"/><Relationship Id="rId83" Type="http://schemas.openxmlformats.org/officeDocument/2006/relationships/hyperlink" Target="https://www.radiologyinfo.org/en/info/pet" TargetMode="External"/><Relationship Id="rId88" Type="http://schemas.openxmlformats.org/officeDocument/2006/relationships/hyperlink" Target="http://dx.doi.org/10.15585/mmwr.mm6936a4" TargetMode="External"/><Relationship Id="rId111" Type="http://schemas.openxmlformats.org/officeDocument/2006/relationships/hyperlink" Target="https://www.ncbi.nlm.nih.gov/pmc/articles/PMC2828569/" TargetMode="External"/><Relationship Id="rId132" Type="http://schemas.openxmlformats.org/officeDocument/2006/relationships/hyperlink" Target="https://pubmed.ncbi.nlm.nih.gov/28209905/" TargetMode="External"/><Relationship Id="rId153" Type="http://schemas.openxmlformats.org/officeDocument/2006/relationships/hyperlink" Target="https://pubmed.ncbi.nlm.nih.gov/21430827/" TargetMode="External"/><Relationship Id="rId174" Type="http://schemas.openxmlformats.org/officeDocument/2006/relationships/hyperlink" Target="https://www.ncbi.nlm.nih.gov/pmc/articles/PMC2892773/" TargetMode="External"/><Relationship Id="rId179" Type="http://schemas.openxmlformats.org/officeDocument/2006/relationships/hyperlink" Target="https://www.ncbi.nlm.nih.gov/pmc/articles/PMC2892773/" TargetMode="External"/><Relationship Id="rId195" Type="http://schemas.openxmlformats.org/officeDocument/2006/relationships/hyperlink" Target="https://wayback.archive-it.org/5774/20220414155345/https:/www.healthypeople.gov/2020/topics-objectives/topic/social-determinants-health/interventions-resources/access-to-health" TargetMode="External"/><Relationship Id="rId190" Type="http://schemas.openxmlformats.org/officeDocument/2006/relationships/hyperlink" Target="https://wayback.archive-it.org/5774/20220414155345/https://www.healthypeople.gov/2020/topics-objectives/topic/social-determinants-health/interventions-resources/access-to-health" TargetMode="External"/><Relationship Id="rId15" Type="http://schemas.openxmlformats.org/officeDocument/2006/relationships/hyperlink" Target="https://www.anixter.com/content/dam/anixter/resources/brochures/anixter-iaap-healthcare-best-practices-report-en.pdf" TargetMode="External"/><Relationship Id="rId36" Type="http://schemas.openxmlformats.org/officeDocument/2006/relationships/hyperlink" Target="https://www.ncbi.nlm.nih.gov/pmc/articles/PMC1500929/" TargetMode="External"/><Relationship Id="rId57" Type="http://schemas.openxmlformats.org/officeDocument/2006/relationships/hyperlink" Target="http://www.alz.org" TargetMode="External"/><Relationship Id="rId106" Type="http://schemas.openxmlformats.org/officeDocument/2006/relationships/hyperlink" Target="https://pubmed.ncbi.nlm.nih.gov/26247005/" TargetMode="External"/><Relationship Id="rId127" Type="http://schemas.openxmlformats.org/officeDocument/2006/relationships/hyperlink" Target="https://pubmed.ncbi.nlm.nih.gov/27157236/" TargetMode="External"/><Relationship Id="rId10" Type="http://schemas.openxmlformats.org/officeDocument/2006/relationships/hyperlink" Target="https://theconversation.com/with-the-right-kind-of-research-we-can-reduce-health-care-costs-28898" TargetMode="External"/><Relationship Id="rId31" Type="http://schemas.openxmlformats.org/officeDocument/2006/relationships/hyperlink" Target="https://www.sciencedirect.com/science/article/pii/S0749379713006429" TargetMode="External"/><Relationship Id="rId52" Type="http://schemas.openxmlformats.org/officeDocument/2006/relationships/hyperlink" Target="https://alz-journals.onlinelibrary.wiley.com/doi/10.1002/alz.12068" TargetMode="External"/><Relationship Id="rId73" Type="http://schemas.openxmlformats.org/officeDocument/2006/relationships/hyperlink" Target="https://www.hfma.org/payment-reimbursement-and-managed-care/pricing/52656/" TargetMode="External"/><Relationship Id="rId78" Type="http://schemas.openxmlformats.org/officeDocument/2006/relationships/hyperlink" Target="https://theconversation.com/with-the-right-kind-of-research-we-can-reduce-health-care-costs-28898" TargetMode="External"/><Relationship Id="rId94" Type="http://schemas.openxmlformats.org/officeDocument/2006/relationships/hyperlink" Target="https://www.cdc.gov/cancer/dcpc/prevention/screening.htm" TargetMode="External"/><Relationship Id="rId99" Type="http://schemas.openxmlformats.org/officeDocument/2006/relationships/hyperlink" Target="https://stanfordhealthcare.org/medical-tests/p/pet-ct-scan/what-to-expect.html" TargetMode="External"/><Relationship Id="rId101" Type="http://schemas.openxmlformats.org/officeDocument/2006/relationships/hyperlink" Target="https://www.ncbi.nlm.nih.gov/pmc/articles/PMC1255942/" TargetMode="External"/><Relationship Id="rId122" Type="http://schemas.openxmlformats.org/officeDocument/2006/relationships/hyperlink" Target="https://pubmed.ncbi.nlm.nih.gov/22785499/" TargetMode="External"/><Relationship Id="rId143" Type="http://schemas.openxmlformats.org/officeDocument/2006/relationships/hyperlink" Target="https://www.acr.org/Practice-Management-Quality-Informatics/Imaging-3/Case-Studies/Quality-and-Safety/Early-Action-Boosts-Patient-Satisfaction" TargetMode="External"/><Relationship Id="rId148" Type="http://schemas.openxmlformats.org/officeDocument/2006/relationships/hyperlink" Target="https://www.ncbi.nlm.nih.gov/books/NBK9571/" TargetMode="External"/><Relationship Id="rId164" Type="http://schemas.openxmlformats.org/officeDocument/2006/relationships/hyperlink" Target="https://www.ncbi.nlm.nih.gov/pmc/articles/PMC5178808/" TargetMode="External"/><Relationship Id="rId169" Type="http://schemas.openxmlformats.org/officeDocument/2006/relationships/hyperlink" Target="https://www.ncbi.nlm.nih.gov/pmc/articles/PMC9899154/" TargetMode="External"/><Relationship Id="rId185" Type="http://schemas.openxmlformats.org/officeDocument/2006/relationships/hyperlink" Target="https://www.ncbi.nlm.nih.gov/pmc/articles/PMC4969342/" TargetMode="External"/><Relationship Id="rId4" Type="http://schemas.openxmlformats.org/officeDocument/2006/relationships/hyperlink" Target="https://www.ncbi.nlm.nih.gov/books/NBK338593/" TargetMode="External"/><Relationship Id="rId9" Type="http://schemas.openxmlformats.org/officeDocument/2006/relationships/hyperlink" Target="https://advis.com/services/independent-diagnostic-testing-facilities/?gclid=CjwKCAiAvaGRBhBlEiwAiY-yMHCMEtjEV0at0jsHbWkZwKZyWZI-ZUwUwvPraR98eltokq-f5V7OwhoCmWwQAvD_BwE" TargetMode="External"/><Relationship Id="rId180" Type="http://schemas.openxmlformats.org/officeDocument/2006/relationships/hyperlink" Target="https://hbr.org/2011/09/how-to-solve-the-cost-crisis-in-health-care" TargetMode="External"/><Relationship Id="rId26" Type="http://schemas.openxmlformats.org/officeDocument/2006/relationships/hyperlink" Target="https://my.clevelandclinic.org/health/diagnostics/10123-pet-scan" TargetMode="External"/><Relationship Id="rId47" Type="http://schemas.openxmlformats.org/officeDocument/2006/relationships/hyperlink" Target="https://newsroom.heart.org/news/heart-disease" TargetMode="External"/><Relationship Id="rId68" Type="http://schemas.openxmlformats.org/officeDocument/2006/relationships/hyperlink" Target="http://www.who.int/healthsystems/service_delivery_techbrief1.pdf" TargetMode="External"/><Relationship Id="rId89" Type="http://schemas.openxmlformats.org/officeDocument/2006/relationships/hyperlink" Target="http://dx.doi.org/10.15585/mmwr.mm6936a4" TargetMode="External"/><Relationship Id="rId112" Type="http://schemas.openxmlformats.org/officeDocument/2006/relationships/hyperlink" Target="https://www.ncbi.nlm.nih.gov/books/NBK570631/" TargetMode="External"/><Relationship Id="rId133" Type="http://schemas.openxmlformats.org/officeDocument/2006/relationships/hyperlink" Target="https://pubmed.ncbi.nlm.nih.gov/28209905/" TargetMode="External"/><Relationship Id="rId154" Type="http://schemas.openxmlformats.org/officeDocument/2006/relationships/hyperlink" Target="https://pubmed.ncbi.nlm.nih.gov/21430827/" TargetMode="External"/><Relationship Id="rId175" Type="http://schemas.openxmlformats.org/officeDocument/2006/relationships/hyperlink" Target="https://www.ncbi.nlm.nih.gov/pmc/articles/PMC2892773/" TargetMode="External"/><Relationship Id="rId196" Type="http://schemas.openxmlformats.org/officeDocument/2006/relationships/hyperlink" Target="https://wayback.archive-it.org/5774/20220414155345/https://www.healthypeople.gov/2020/topics-objectives/topic/social-determinants-health/interventions-resources/access-to-health" TargetMode="External"/><Relationship Id="rId16" Type="http://schemas.openxmlformats.org/officeDocument/2006/relationships/hyperlink" Target="https://www.mass.gov/doc/population-projections-methods-umdi-massdot/download" TargetMode="External"/><Relationship Id="rId37" Type="http://schemas.openxmlformats.org/officeDocument/2006/relationships/hyperlink" Target="https://www.cancer.org/research/acs-research-news/facts-and-figures-2024.html" TargetMode="External"/><Relationship Id="rId58" Type="http://schemas.openxmlformats.org/officeDocument/2006/relationships/hyperlink" Target="http://www.alz.org" TargetMode="External"/><Relationship Id="rId79" Type="http://schemas.openxmlformats.org/officeDocument/2006/relationships/hyperlink" Target="https://www.ncbi.nlm.nih.gov/pmc/articles/PMC4969342/" TargetMode="External"/><Relationship Id="rId102" Type="http://schemas.openxmlformats.org/officeDocument/2006/relationships/hyperlink" Target="https://www.ncbi.nlm.nih.gov/pmc/articles/PMC9867792/" TargetMode="External"/><Relationship Id="rId123" Type="http://schemas.openxmlformats.org/officeDocument/2006/relationships/hyperlink" Target="https://pubmed.ncbi.nlm.nih.gov/22785499/" TargetMode="External"/><Relationship Id="rId144" Type="http://schemas.openxmlformats.org/officeDocument/2006/relationships/hyperlink" Target="https://www.acr.org/Practice-Management-Quality-Informatics/Imaging-3/Case-Studies/Quality-and-Safety/Early-Action-Boosts-Patient-Satisfaction" TargetMode="External"/><Relationship Id="rId90" Type="http://schemas.openxmlformats.org/officeDocument/2006/relationships/hyperlink" Target="http://dx.doi.org/10.15585/mmwr.mm6936a4" TargetMode="External"/><Relationship Id="rId165" Type="http://schemas.openxmlformats.org/officeDocument/2006/relationships/hyperlink" Target="https://www.ncbi.nlm.nih.gov/pmc/articles/PMC5178808/" TargetMode="External"/><Relationship Id="rId186" Type="http://schemas.openxmlformats.org/officeDocument/2006/relationships/hyperlink" Target="https://www.acep.org/globalassets/uploads/uploaded-files/acep/clinical-and-practice-management/resources/geriatrics/geri_ed_guidelines_final.pdf" TargetMode="External"/><Relationship Id="rId27" Type="http://schemas.openxmlformats.org/officeDocument/2006/relationships/hyperlink" Target="https://pubmed.ncbi.nlm.nih.gov/18528470/" TargetMode="External"/><Relationship Id="rId48" Type="http://schemas.openxmlformats.org/officeDocument/2006/relationships/hyperlink" Target="https://www.mass.gov/behavioral-risk-factor-surveillance" TargetMode="External"/><Relationship Id="rId69" Type="http://schemas.openxmlformats.org/officeDocument/2006/relationships/hyperlink" Target="https://healthcareappraisers.com/2020-outlook-diagnostic-imaging-and-radiology-practices/" TargetMode="External"/><Relationship Id="rId113" Type="http://schemas.openxmlformats.org/officeDocument/2006/relationships/hyperlink" Target="https://www.ncbi.nlm.nih.gov/books/NBK570631/" TargetMode="External"/><Relationship Id="rId134" Type="http://schemas.openxmlformats.org/officeDocument/2006/relationships/hyperlink" Target="https://www.ajronline.org/doi/10.2214/AJR.18.19822" TargetMode="External"/><Relationship Id="rId80" Type="http://schemas.openxmlformats.org/officeDocument/2006/relationships/hyperlink" Target="https://www.ncbi.nlm.nih.gov/pmc/articles/PMC4969342/" TargetMode="External"/><Relationship Id="rId155" Type="http://schemas.openxmlformats.org/officeDocument/2006/relationships/hyperlink" Target="https://www.sciencedirect.com/science/article/pii/S2352914817301958" TargetMode="External"/><Relationship Id="rId176" Type="http://schemas.openxmlformats.org/officeDocument/2006/relationships/hyperlink" Target="https://healthcareappraisers.com/2020-outlook-diagnostic-imaging-and-radiology-practices/" TargetMode="External"/><Relationship Id="rId17" Type="http://schemas.openxmlformats.org/officeDocument/2006/relationships/hyperlink" Target="https://www.investopedia.com/terms/r/rateofreturn.asp" TargetMode="External"/><Relationship Id="rId38" Type="http://schemas.openxmlformats.org/officeDocument/2006/relationships/hyperlink" Target="https://www.cancer.org/research/acs-research-news/facts-and-figures-2024.html" TargetMode="External"/><Relationship Id="rId59" Type="http://schemas.openxmlformats.org/officeDocument/2006/relationships/hyperlink" Target="https://www.scie.org.uk/dementia/symptoms/diagnosis/early-diagnosis.asp" TargetMode="External"/><Relationship Id="rId103" Type="http://schemas.openxmlformats.org/officeDocument/2006/relationships/hyperlink" Target="https://www.ncbi.nlm.nih.gov/pmc/articles/PMC9867792/" TargetMode="External"/><Relationship Id="rId124" Type="http://schemas.openxmlformats.org/officeDocument/2006/relationships/hyperlink" Target="https://pubmed.ncbi.nlm.nih.gov/23154474/" TargetMode="External"/><Relationship Id="rId70" Type="http://schemas.openxmlformats.org/officeDocument/2006/relationships/hyperlink" Target="https://healthcareappraisers.com/2020-outlook-diagnostic-imaging-and-radiology-practices/" TargetMode="External"/><Relationship Id="rId91" Type="http://schemas.openxmlformats.org/officeDocument/2006/relationships/hyperlink" Target="http://dx.doi.org/10.15585/mmwr.mm6936a4" TargetMode="External"/><Relationship Id="rId145" Type="http://schemas.openxmlformats.org/officeDocument/2006/relationships/hyperlink" Target="https://pubmed.ncbi.nlm.nih.gov/26554265/" TargetMode="External"/><Relationship Id="rId166" Type="http://schemas.openxmlformats.org/officeDocument/2006/relationships/hyperlink" Target="https://www.ncbi.nlm.nih.gov/pmc/articles/PMC4265215/" TargetMode="External"/><Relationship Id="rId187" Type="http://schemas.openxmlformats.org/officeDocument/2006/relationships/hyperlink" Target="https://www.acep.org/globalassets/uploads/uploaded-files/acep/clinical-and-practice-management/resources/geriatrics/geri_ed_guidelines_final.pdf" TargetMode="External"/><Relationship Id="rId1" Type="http://schemas.openxmlformats.org/officeDocument/2006/relationships/hyperlink" Target="https://shields.com/location/shields-mri-dedham/" TargetMode="External"/><Relationship Id="rId28" Type="http://schemas.openxmlformats.org/officeDocument/2006/relationships/hyperlink" Target="https://pubmed.ncbi.nlm.nih.gov/18528470/" TargetMode="External"/><Relationship Id="rId49" Type="http://schemas.openxmlformats.org/officeDocument/2006/relationships/hyperlink" Target="https://www.cdc.gov/nchs/pressroom/sosmap/heart_disease_mortality/heart_disease.htm" TargetMode="External"/><Relationship Id="rId114" Type="http://schemas.openxmlformats.org/officeDocument/2006/relationships/hyperlink" Target="https://pubmed.ncbi.nlm.nih.gov/11286301/" TargetMode="External"/><Relationship Id="rId60" Type="http://schemas.openxmlformats.org/officeDocument/2006/relationships/hyperlink" Target="https://www.newchoicehealth.com/pet-scan/cost" TargetMode="External"/><Relationship Id="rId81" Type="http://schemas.openxmlformats.org/officeDocument/2006/relationships/hyperlink" Target="https://www.ncbi.nlm.nih.gov/pmc/articles/PMC3692287/" TargetMode="External"/><Relationship Id="rId135" Type="http://schemas.openxmlformats.org/officeDocument/2006/relationships/hyperlink" Target="https://www.ajronline.org/doi/pdfplus/10.2214/AJR.18.19822" TargetMode="External"/><Relationship Id="rId156" Type="http://schemas.openxmlformats.org/officeDocument/2006/relationships/hyperlink" Target="https://www.sciencedirect.com/science/article/pii/S2352914817301958" TargetMode="External"/><Relationship Id="rId177" Type="http://schemas.openxmlformats.org/officeDocument/2006/relationships/hyperlink" Target="https://healthcareappraisers.com/2020-outlook-diagnostic-imaging-and-radiology-practices/" TargetMode="External"/><Relationship Id="rId18" Type="http://schemas.openxmlformats.org/officeDocument/2006/relationships/hyperlink" Target="https://www.investopedia.com/terms/c/cagr.asp" TargetMode="External"/><Relationship Id="rId39" Type="http://schemas.openxmlformats.org/officeDocument/2006/relationships/hyperlink" Target="https://doi.org/10.1002/cncr.34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A193-05D8-41F1-9893-F371C963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34</Pages>
  <Words>11697</Words>
  <Characters>67710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Pasay Vaughan</dc:creator>
  <cp:keywords/>
  <dc:description/>
  <cp:lastModifiedBy>Marks, Brett (DPH)</cp:lastModifiedBy>
  <cp:revision>61</cp:revision>
  <cp:lastPrinted>2024-03-18T16:15:00Z</cp:lastPrinted>
  <dcterms:created xsi:type="dcterms:W3CDTF">2024-03-19T13:57:00Z</dcterms:created>
  <dcterms:modified xsi:type="dcterms:W3CDTF">2024-04-05T15:46:00Z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c2242cda-fa53-40e6-a71e-592c16fe4743</vt:lpwstr>
  </property>
</Properties>
</file>