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CC2E4" w14:textId="77777777" w:rsidR="00683873" w:rsidRPr="00683873" w:rsidRDefault="00683873" w:rsidP="00683873">
      <w:pPr>
        <w:rPr>
          <w:b/>
          <w:bCs/>
        </w:rPr>
      </w:pPr>
      <w:r w:rsidRPr="00683873">
        <w:rPr>
          <w:b/>
          <w:bCs/>
        </w:rPr>
        <w:t>2.1 Project Description</w:t>
      </w:r>
    </w:p>
    <w:p w14:paraId="46ED6351" w14:textId="77777777" w:rsidR="00683873" w:rsidRDefault="00683873" w:rsidP="00683873"/>
    <w:p w14:paraId="1C080700" w14:textId="5D4375F7" w:rsidR="00683873" w:rsidRDefault="00CB07C8" w:rsidP="00CB07C8">
      <w:pPr>
        <w:jc w:val="both"/>
      </w:pPr>
      <w:r>
        <w:t>Sturdy Memorial Hospital, Inc.</w:t>
      </w:r>
      <w:r w:rsidR="00683873">
        <w:t xml:space="preserve"> (“Applicant”), located at </w:t>
      </w:r>
      <w:r>
        <w:t>211 Park Street, Attleboro, MA 02703</w:t>
      </w:r>
      <w:r w:rsidR="00683873">
        <w:t xml:space="preserve">, is filing a Notice of Transfer of Site (“Notice”) with the Massachusetts Department of Public Health (“Department”) for </w:t>
      </w:r>
      <w:r>
        <w:t>Sturdy Memorial Hospital</w:t>
      </w:r>
      <w:r w:rsidR="00683873">
        <w:t xml:space="preserve"> (“</w:t>
      </w:r>
      <w:r>
        <w:t>Sturdy</w:t>
      </w:r>
      <w:r w:rsidR="00683873">
        <w:t xml:space="preserve">” or “Hospital”), located at </w:t>
      </w:r>
      <w:r>
        <w:t>the same address</w:t>
      </w:r>
      <w:r w:rsidR="00683873">
        <w:t xml:space="preserve"> to relocate </w:t>
      </w:r>
      <w:r>
        <w:t>one</w:t>
      </w:r>
      <w:r w:rsidR="00683873">
        <w:t xml:space="preserve"> procedure room from the Hospital’s satellite location, </w:t>
      </w:r>
      <w:r>
        <w:t>Sturdy Health Center</w:t>
      </w:r>
      <w:r w:rsidR="00683873">
        <w:t xml:space="preserve">, located at </w:t>
      </w:r>
      <w:r>
        <w:t>200 Cope</w:t>
      </w:r>
      <w:r w:rsidR="00DC75BB">
        <w:t>land Road, Mansfield, M</w:t>
      </w:r>
      <w:r w:rsidR="00893A69">
        <w:t>A</w:t>
      </w:r>
      <w:r w:rsidR="00DC75BB">
        <w:t xml:space="preserve"> 02048</w:t>
      </w:r>
      <w:r>
        <w:t xml:space="preserve"> </w:t>
      </w:r>
      <w:r w:rsidR="00683873">
        <w:t xml:space="preserve"> (“</w:t>
      </w:r>
      <w:r w:rsidR="00DC013D">
        <w:t>Satellite</w:t>
      </w:r>
      <w:r w:rsidR="00683873">
        <w:t>”)</w:t>
      </w:r>
      <w:r w:rsidR="00DC013D">
        <w:t xml:space="preserve"> to the Hospital’s main campus</w:t>
      </w:r>
      <w:r w:rsidR="00DC75BB">
        <w:t xml:space="preserve"> (“Proposed Transfer”)</w:t>
      </w:r>
      <w:r w:rsidR="00683873">
        <w:t xml:space="preserve">. The Proposed </w:t>
      </w:r>
      <w:r w:rsidR="00DC75BB">
        <w:t>Transfer</w:t>
      </w:r>
      <w:r w:rsidR="00683873">
        <w:t xml:space="preserve"> is </w:t>
      </w:r>
      <w:r w:rsidR="00B10D50">
        <w:t xml:space="preserve">being </w:t>
      </w:r>
      <w:r w:rsidR="00C37E4A">
        <w:t xml:space="preserve">sought </w:t>
      </w:r>
      <w:r w:rsidR="00683873">
        <w:t>to maintain</w:t>
      </w:r>
      <w:r w:rsidR="00893A69">
        <w:t xml:space="preserve"> timely</w:t>
      </w:r>
      <w:r w:rsidR="00683873">
        <w:t xml:space="preserve"> access </w:t>
      </w:r>
      <w:r w:rsidR="00DC013D">
        <w:t>to outpatient pain management</w:t>
      </w:r>
      <w:r w:rsidR="00FC0F69">
        <w:t xml:space="preserve"> services</w:t>
      </w:r>
      <w:r w:rsidR="00DC013D">
        <w:t xml:space="preserve"> </w:t>
      </w:r>
      <w:r w:rsidR="00683873">
        <w:t xml:space="preserve">for the Applicant’s </w:t>
      </w:r>
      <w:r w:rsidR="00E749DE">
        <w:t>P</w:t>
      </w:r>
      <w:r w:rsidR="00683873">
        <w:t xml:space="preserve">atient </w:t>
      </w:r>
      <w:r w:rsidR="00E749DE">
        <w:t>P</w:t>
      </w:r>
      <w:r w:rsidR="00683873">
        <w:t xml:space="preserve">anel. To that end, the Applicant respectfully requests the Department </w:t>
      </w:r>
      <w:r w:rsidR="00FC0F69">
        <w:t xml:space="preserve">find that this transfer </w:t>
      </w:r>
      <w:r w:rsidR="00683873">
        <w:t xml:space="preserve">does not require a </w:t>
      </w:r>
      <w:proofErr w:type="spellStart"/>
      <w:r w:rsidR="00683873">
        <w:t>DoN</w:t>
      </w:r>
      <w:proofErr w:type="spellEnd"/>
      <w:r w:rsidR="00683873">
        <w:t xml:space="preserve">, either as a Substantial Capital Expenditure or Substantial Change in Service, pursuant to 105 CMR 100.715 </w:t>
      </w:r>
      <w:proofErr w:type="gramStart"/>
      <w:r w:rsidR="00683873">
        <w:t>in order for</w:t>
      </w:r>
      <w:proofErr w:type="gramEnd"/>
      <w:r w:rsidR="00683873">
        <w:t xml:space="preserve"> the Applicant to move forward with the proposed change in designated location.</w:t>
      </w:r>
    </w:p>
    <w:p w14:paraId="7B01460A" w14:textId="77777777" w:rsidR="00683873" w:rsidRDefault="00683873" w:rsidP="00683873"/>
    <w:p w14:paraId="7AE8F2ED" w14:textId="77777777" w:rsidR="00683873" w:rsidRPr="00683873" w:rsidRDefault="00683873" w:rsidP="00683873">
      <w:pPr>
        <w:rPr>
          <w:b/>
          <w:bCs/>
        </w:rPr>
      </w:pPr>
      <w:r w:rsidRPr="00683873">
        <w:rPr>
          <w:b/>
          <w:bCs/>
        </w:rPr>
        <w:t>8.</w:t>
      </w:r>
      <w:r w:rsidRPr="00683873">
        <w:rPr>
          <w:b/>
          <w:bCs/>
        </w:rPr>
        <w:tab/>
        <w:t>Transfer of Site</w:t>
      </w:r>
    </w:p>
    <w:p w14:paraId="55BC73B2" w14:textId="77777777" w:rsidR="00683873" w:rsidRDefault="00683873" w:rsidP="00683873"/>
    <w:p w14:paraId="39AF4869" w14:textId="77777777" w:rsidR="00683873" w:rsidRPr="00CB07C8" w:rsidRDefault="00683873" w:rsidP="00683873">
      <w:pPr>
        <w:rPr>
          <w:b/>
          <w:bCs/>
        </w:rPr>
      </w:pPr>
      <w:r w:rsidRPr="00CB07C8">
        <w:rPr>
          <w:b/>
          <w:bCs/>
        </w:rPr>
        <w:t>8.4</w:t>
      </w:r>
      <w:r w:rsidRPr="00CB07C8">
        <w:rPr>
          <w:b/>
          <w:bCs/>
        </w:rPr>
        <w:tab/>
        <w:t>Compare the scope of the project for each element below.</w:t>
      </w:r>
    </w:p>
    <w:p w14:paraId="2D3CC0E2" w14:textId="77777777" w:rsidR="002F399F" w:rsidRDefault="002F399F" w:rsidP="00683873">
      <w:pPr>
        <w:rPr>
          <w:b/>
          <w:bCs/>
        </w:rPr>
      </w:pPr>
    </w:p>
    <w:p w14:paraId="1479A855" w14:textId="5908449B" w:rsidR="00683873" w:rsidRPr="00CB07C8" w:rsidRDefault="00683873" w:rsidP="002F399F">
      <w:pPr>
        <w:jc w:val="both"/>
        <w:rPr>
          <w:b/>
          <w:bCs/>
        </w:rPr>
      </w:pPr>
      <w:r w:rsidRPr="00CB07C8">
        <w:rPr>
          <w:b/>
          <w:bCs/>
        </w:rPr>
        <w:t>In compliance with the requirements set forth at 105 C.M.R. 100.745(D) and the Determination of Need Application form, the following information is provided relative to the transfer of site request:</w:t>
      </w:r>
    </w:p>
    <w:p w14:paraId="1A3B8399" w14:textId="77777777" w:rsidR="00683873" w:rsidRDefault="00683873" w:rsidP="00683873"/>
    <w:p w14:paraId="4C929798" w14:textId="0C191489" w:rsidR="00D55AD2" w:rsidRDefault="00683873" w:rsidP="00D55AD2">
      <w:pPr>
        <w:pStyle w:val="ListParagraph"/>
        <w:numPr>
          <w:ilvl w:val="0"/>
          <w:numId w:val="3"/>
        </w:numPr>
        <w:jc w:val="both"/>
      </w:pPr>
      <w:r w:rsidRPr="00683873">
        <w:rPr>
          <w:b/>
          <w:bCs/>
        </w:rPr>
        <w:t>Gross Square Feet (“GSF”).</w:t>
      </w:r>
      <w:r>
        <w:t xml:space="preserve"> </w:t>
      </w:r>
      <w:r w:rsidR="00DC013D">
        <w:t xml:space="preserve">The procedure room at the Satellite is </w:t>
      </w:r>
      <w:r w:rsidR="00893A69">
        <w:t xml:space="preserve">100 </w:t>
      </w:r>
      <w:r w:rsidR="001E60C7">
        <w:t>GSF</w:t>
      </w:r>
      <w:r>
        <w:t xml:space="preserve">. </w:t>
      </w:r>
      <w:r w:rsidR="007641BB">
        <w:t>The proposed</w:t>
      </w:r>
      <w:r>
        <w:t xml:space="preserve"> procedure room </w:t>
      </w:r>
      <w:r w:rsidR="007641BB">
        <w:t xml:space="preserve">to be </w:t>
      </w:r>
      <w:r>
        <w:t xml:space="preserve">located at </w:t>
      </w:r>
      <w:r w:rsidR="00DC013D">
        <w:t>Sturdy</w:t>
      </w:r>
      <w:r>
        <w:t xml:space="preserve"> will </w:t>
      </w:r>
      <w:r w:rsidR="00B00111">
        <w:t>be 244</w:t>
      </w:r>
      <w:r w:rsidR="00D55AD2">
        <w:t xml:space="preserve"> </w:t>
      </w:r>
      <w:r>
        <w:t>GSF.</w:t>
      </w:r>
    </w:p>
    <w:p w14:paraId="4493A4F0" w14:textId="77777777" w:rsidR="00D55AD2" w:rsidRDefault="00D55AD2" w:rsidP="00D55AD2">
      <w:pPr>
        <w:pStyle w:val="ListParagraph"/>
        <w:jc w:val="both"/>
      </w:pPr>
    </w:p>
    <w:p w14:paraId="1FB95164" w14:textId="5BEDCB06" w:rsidR="00D55AD2" w:rsidRPr="00D55AD2" w:rsidRDefault="00683873" w:rsidP="00D55AD2">
      <w:pPr>
        <w:pStyle w:val="ListParagraph"/>
        <w:numPr>
          <w:ilvl w:val="0"/>
          <w:numId w:val="3"/>
        </w:numPr>
        <w:jc w:val="both"/>
      </w:pPr>
      <w:r w:rsidRPr="00D55AD2">
        <w:rPr>
          <w:b/>
          <w:bCs/>
        </w:rPr>
        <w:t>Primary Service Area Towns Served.</w:t>
      </w:r>
      <w:r>
        <w:t xml:space="preserve"> </w:t>
      </w:r>
      <w:r w:rsidRPr="00D55AD2">
        <w:t xml:space="preserve">The </w:t>
      </w:r>
      <w:r w:rsidR="00DC013D" w:rsidRPr="00D55AD2">
        <w:t>Primary Service Area towns served by Sturdy are</w:t>
      </w:r>
      <w:r w:rsidR="00D55AD2" w:rsidRPr="00D55AD2">
        <w:t xml:space="preserve"> Attleboro, North Attleboro, Norton, Mansfield, and Plainville. The Primary Service Area towns served by the Satellite are Attleboro, Mansfield, Norton, North Attleboro, Taunton</w:t>
      </w:r>
    </w:p>
    <w:p w14:paraId="1B6F3F37" w14:textId="4A06B67B" w:rsidR="00683873" w:rsidRDefault="00683873" w:rsidP="00DC013D">
      <w:pPr>
        <w:jc w:val="both"/>
      </w:pPr>
    </w:p>
    <w:p w14:paraId="7FB63319" w14:textId="395195A6" w:rsidR="00683873" w:rsidRPr="00C37E4A" w:rsidRDefault="00683873" w:rsidP="00DC013D">
      <w:pPr>
        <w:pStyle w:val="ListParagraph"/>
        <w:numPr>
          <w:ilvl w:val="0"/>
          <w:numId w:val="3"/>
        </w:numPr>
        <w:jc w:val="both"/>
      </w:pPr>
      <w:r w:rsidRPr="00683873">
        <w:rPr>
          <w:b/>
          <w:bCs/>
        </w:rPr>
        <w:t>Patient Population Demographics.</w:t>
      </w:r>
    </w:p>
    <w:p w14:paraId="3F02EF08" w14:textId="77777777" w:rsidR="00B10D50" w:rsidRDefault="00B10D50" w:rsidP="00C37E4A">
      <w:pPr>
        <w:pStyle w:val="ListParagraph"/>
      </w:pPr>
    </w:p>
    <w:p w14:paraId="3519EF6D" w14:textId="4E73747D" w:rsidR="00B10D50" w:rsidRDefault="00B10D50" w:rsidP="00C37E4A">
      <w:pPr>
        <w:ind w:left="720"/>
        <w:jc w:val="both"/>
      </w:pPr>
      <w:r>
        <w:t xml:space="preserve">The below table provides the demographic data of the FY2023 patient populations served by the procedure room in Mansfield that Sturdy seeks to transfer and by the existing pain management clinic located at Sturdy’s main campus. </w:t>
      </w:r>
    </w:p>
    <w:p w14:paraId="7DE57597" w14:textId="77777777" w:rsidR="001E60C7" w:rsidRDefault="001E60C7" w:rsidP="00C37E4A">
      <w:pPr>
        <w:ind w:left="720"/>
        <w:jc w:val="both"/>
      </w:pPr>
    </w:p>
    <w:p w14:paraId="4CA43468" w14:textId="77777777" w:rsidR="001E60C7" w:rsidRDefault="001E60C7" w:rsidP="00C37E4A">
      <w:pPr>
        <w:ind w:left="720"/>
        <w:jc w:val="both"/>
      </w:pPr>
    </w:p>
    <w:p w14:paraId="61775E98" w14:textId="77777777" w:rsidR="001E60C7" w:rsidRDefault="001E60C7" w:rsidP="00C37E4A">
      <w:pPr>
        <w:ind w:left="720"/>
        <w:jc w:val="both"/>
      </w:pPr>
    </w:p>
    <w:p w14:paraId="0CDC9B68" w14:textId="77777777" w:rsidR="001E60C7" w:rsidRDefault="001E60C7" w:rsidP="00C37E4A">
      <w:pPr>
        <w:ind w:left="720"/>
        <w:jc w:val="both"/>
      </w:pPr>
    </w:p>
    <w:p w14:paraId="42C11A31" w14:textId="77777777" w:rsidR="001E60C7" w:rsidRDefault="001E60C7" w:rsidP="00C37E4A">
      <w:pPr>
        <w:ind w:left="720"/>
        <w:jc w:val="both"/>
      </w:pPr>
    </w:p>
    <w:p w14:paraId="52E96138" w14:textId="77777777" w:rsidR="001E60C7" w:rsidRDefault="001E60C7" w:rsidP="00C37E4A">
      <w:pPr>
        <w:ind w:left="720"/>
        <w:jc w:val="both"/>
      </w:pPr>
    </w:p>
    <w:p w14:paraId="60F0082E" w14:textId="77777777" w:rsidR="001E60C7" w:rsidRDefault="001E60C7" w:rsidP="00C37E4A">
      <w:pPr>
        <w:ind w:left="720"/>
        <w:jc w:val="both"/>
      </w:pPr>
    </w:p>
    <w:p w14:paraId="2C728348" w14:textId="77777777" w:rsidR="001E60C7" w:rsidRDefault="001E60C7" w:rsidP="00C37E4A">
      <w:pPr>
        <w:ind w:left="720"/>
        <w:jc w:val="both"/>
      </w:pPr>
    </w:p>
    <w:p w14:paraId="1F1A42A9" w14:textId="77777777" w:rsidR="001E60C7" w:rsidRDefault="001E60C7" w:rsidP="00C37E4A">
      <w:pPr>
        <w:ind w:left="720"/>
        <w:jc w:val="both"/>
      </w:pPr>
    </w:p>
    <w:p w14:paraId="2C1FDB52" w14:textId="77777777" w:rsidR="001E60C7" w:rsidRDefault="001E60C7" w:rsidP="00C37E4A">
      <w:pPr>
        <w:ind w:left="720"/>
        <w:jc w:val="both"/>
      </w:pPr>
    </w:p>
    <w:p w14:paraId="38FD4C45" w14:textId="77777777" w:rsidR="001E60C7" w:rsidRDefault="001E60C7" w:rsidP="00C37E4A">
      <w:pPr>
        <w:ind w:left="720"/>
        <w:jc w:val="both"/>
      </w:pPr>
    </w:p>
    <w:p w14:paraId="576DF551" w14:textId="77777777" w:rsidR="001E60C7" w:rsidRDefault="001E60C7" w:rsidP="00C37E4A">
      <w:pPr>
        <w:ind w:left="720"/>
        <w:jc w:val="both"/>
      </w:pPr>
    </w:p>
    <w:p w14:paraId="45AD56DC" w14:textId="04CF104F" w:rsidR="001E60C7" w:rsidRPr="001E60C7" w:rsidRDefault="001E60C7" w:rsidP="00C37E4A">
      <w:pPr>
        <w:ind w:left="720"/>
        <w:jc w:val="both"/>
        <w:rPr>
          <w:b/>
          <w:bCs/>
        </w:rPr>
      </w:pPr>
      <w:r>
        <w:rPr>
          <w:b/>
          <w:bCs/>
        </w:rPr>
        <w:lastRenderedPageBreak/>
        <w:t>Table 1: Patient Population</w:t>
      </w:r>
    </w:p>
    <w:p w14:paraId="69506C6D" w14:textId="77777777" w:rsidR="001F1894" w:rsidRDefault="001F1894" w:rsidP="001F1894">
      <w:pPr>
        <w:pStyle w:val="ListParagraph"/>
      </w:pP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0"/>
        <w:gridCol w:w="2250"/>
        <w:gridCol w:w="3150"/>
      </w:tblGrid>
      <w:tr w:rsidR="001F1894" w14:paraId="55E3178A" w14:textId="77777777" w:rsidTr="00577D4C">
        <w:trPr>
          <w:cantSplit/>
          <w:trHeight w:val="341"/>
          <w:tblHeader/>
        </w:trPr>
        <w:tc>
          <w:tcPr>
            <w:tcW w:w="3330" w:type="dxa"/>
            <w:shd w:val="clear" w:color="auto" w:fill="DEEAF6" w:themeFill="accent5" w:themeFillTint="33"/>
            <w:noWrap/>
            <w:tcMar>
              <w:top w:w="0" w:type="dxa"/>
              <w:left w:w="108" w:type="dxa"/>
              <w:bottom w:w="0" w:type="dxa"/>
              <w:right w:w="108" w:type="dxa"/>
            </w:tcMar>
            <w:vAlign w:val="bottom"/>
            <w:hideMark/>
          </w:tcPr>
          <w:p w14:paraId="56D2A397" w14:textId="77777777" w:rsidR="001F1894" w:rsidRPr="00893A69" w:rsidRDefault="001F1894">
            <w:pPr>
              <w:pStyle w:val="xmsonormal"/>
            </w:pPr>
            <w:r w:rsidRPr="00893A69">
              <w:rPr>
                <w:b/>
                <w:bCs/>
                <w:color w:val="000000"/>
              </w:rPr>
              <w:t>Data</w:t>
            </w:r>
          </w:p>
        </w:tc>
        <w:tc>
          <w:tcPr>
            <w:tcW w:w="2250" w:type="dxa"/>
            <w:shd w:val="clear" w:color="auto" w:fill="DEEAF6" w:themeFill="accent5" w:themeFillTint="33"/>
            <w:tcMar>
              <w:top w:w="0" w:type="dxa"/>
              <w:left w:w="108" w:type="dxa"/>
              <w:bottom w:w="0" w:type="dxa"/>
              <w:right w:w="108" w:type="dxa"/>
            </w:tcMar>
            <w:vAlign w:val="bottom"/>
            <w:hideMark/>
          </w:tcPr>
          <w:p w14:paraId="69DAB73D" w14:textId="073C1506" w:rsidR="001F1894" w:rsidRPr="00893A69" w:rsidRDefault="00B10D50" w:rsidP="00C37E4A">
            <w:pPr>
              <w:pStyle w:val="xmsonormal"/>
              <w:jc w:val="right"/>
            </w:pPr>
            <w:r>
              <w:rPr>
                <w:b/>
                <w:bCs/>
                <w:color w:val="000000"/>
              </w:rPr>
              <w:t xml:space="preserve">Sturdy’s </w:t>
            </w:r>
            <w:r w:rsidR="00FC0F69">
              <w:rPr>
                <w:b/>
                <w:bCs/>
                <w:color w:val="000000"/>
              </w:rPr>
              <w:t>Satellite</w:t>
            </w:r>
          </w:p>
        </w:tc>
        <w:tc>
          <w:tcPr>
            <w:tcW w:w="3150" w:type="dxa"/>
            <w:shd w:val="clear" w:color="auto" w:fill="DEEAF6" w:themeFill="accent5" w:themeFillTint="33"/>
            <w:tcMar>
              <w:top w:w="0" w:type="dxa"/>
              <w:left w:w="108" w:type="dxa"/>
              <w:bottom w:w="0" w:type="dxa"/>
              <w:right w:w="108" w:type="dxa"/>
            </w:tcMar>
            <w:vAlign w:val="bottom"/>
            <w:hideMark/>
          </w:tcPr>
          <w:p w14:paraId="06B481C5" w14:textId="1C07F77B" w:rsidR="001F1894" w:rsidRPr="00893A69" w:rsidRDefault="00FC0F69" w:rsidP="00C37E4A">
            <w:pPr>
              <w:pStyle w:val="xmsonormal"/>
              <w:jc w:val="right"/>
            </w:pPr>
            <w:r>
              <w:rPr>
                <w:b/>
                <w:bCs/>
                <w:color w:val="000000"/>
              </w:rPr>
              <w:t xml:space="preserve">Sturdy’s Existing </w:t>
            </w:r>
            <w:r w:rsidR="001F1894" w:rsidRPr="00893A69">
              <w:rPr>
                <w:b/>
                <w:bCs/>
                <w:color w:val="000000"/>
              </w:rPr>
              <w:t>Pain M</w:t>
            </w:r>
            <w:r w:rsidR="00893A69" w:rsidRPr="00893A69">
              <w:rPr>
                <w:b/>
                <w:bCs/>
                <w:color w:val="000000"/>
              </w:rPr>
              <w:t>anagement</w:t>
            </w:r>
            <w:r w:rsidR="001F1894" w:rsidRPr="00893A69">
              <w:rPr>
                <w:b/>
                <w:bCs/>
                <w:color w:val="000000"/>
              </w:rPr>
              <w:t xml:space="preserve"> </w:t>
            </w:r>
            <w:r w:rsidR="00C46578">
              <w:rPr>
                <w:b/>
                <w:bCs/>
                <w:color w:val="000000"/>
              </w:rPr>
              <w:t>Service</w:t>
            </w:r>
          </w:p>
        </w:tc>
      </w:tr>
      <w:tr w:rsidR="001F1894" w14:paraId="4F16B114" w14:textId="77777777" w:rsidTr="00577D4C">
        <w:trPr>
          <w:cantSplit/>
          <w:trHeight w:val="300"/>
        </w:trPr>
        <w:tc>
          <w:tcPr>
            <w:tcW w:w="3330" w:type="dxa"/>
            <w:noWrap/>
            <w:tcMar>
              <w:top w:w="0" w:type="dxa"/>
              <w:left w:w="108" w:type="dxa"/>
              <w:bottom w:w="0" w:type="dxa"/>
              <w:right w:w="108" w:type="dxa"/>
            </w:tcMar>
            <w:vAlign w:val="center"/>
            <w:hideMark/>
          </w:tcPr>
          <w:p w14:paraId="133EAB52" w14:textId="71D43797" w:rsidR="001F1894" w:rsidRPr="00893A69" w:rsidRDefault="001F1894">
            <w:pPr>
              <w:pStyle w:val="xmsonormal"/>
              <w:ind w:firstLine="440"/>
            </w:pPr>
            <w:r w:rsidRPr="00893A69">
              <w:rPr>
                <w:color w:val="000000"/>
              </w:rPr>
              <w:t>Age:</w:t>
            </w:r>
            <w:r w:rsidR="009B4348" w:rsidRPr="00893A69">
              <w:rPr>
                <w:color w:val="000000"/>
              </w:rPr>
              <w:t xml:space="preserve"> </w:t>
            </w:r>
            <w:r w:rsidRPr="00893A69">
              <w:rPr>
                <w:color w:val="000000"/>
              </w:rPr>
              <w:t>0-18</w:t>
            </w:r>
          </w:p>
        </w:tc>
        <w:tc>
          <w:tcPr>
            <w:tcW w:w="2250" w:type="dxa"/>
            <w:noWrap/>
            <w:tcMar>
              <w:top w:w="0" w:type="dxa"/>
              <w:left w:w="108" w:type="dxa"/>
              <w:bottom w:w="0" w:type="dxa"/>
              <w:right w:w="108" w:type="dxa"/>
            </w:tcMar>
            <w:vAlign w:val="bottom"/>
            <w:hideMark/>
          </w:tcPr>
          <w:p w14:paraId="663F228F" w14:textId="77777777" w:rsidR="001F1894" w:rsidRPr="00893A69" w:rsidRDefault="001F1894" w:rsidP="005401A5">
            <w:pPr>
              <w:pStyle w:val="xmsonormal"/>
              <w:jc w:val="right"/>
            </w:pPr>
            <w:r w:rsidRPr="00893A69">
              <w:rPr>
                <w:color w:val="000000"/>
              </w:rPr>
              <w:t>0</w:t>
            </w:r>
          </w:p>
        </w:tc>
        <w:tc>
          <w:tcPr>
            <w:tcW w:w="3150" w:type="dxa"/>
            <w:noWrap/>
            <w:tcMar>
              <w:top w:w="0" w:type="dxa"/>
              <w:left w:w="108" w:type="dxa"/>
              <w:bottom w:w="0" w:type="dxa"/>
              <w:right w:w="108" w:type="dxa"/>
            </w:tcMar>
            <w:vAlign w:val="bottom"/>
            <w:hideMark/>
          </w:tcPr>
          <w:p w14:paraId="1F1DA384" w14:textId="28808593" w:rsidR="001F1894" w:rsidRPr="00893A69" w:rsidRDefault="00C37E4A" w:rsidP="005401A5">
            <w:pPr>
              <w:pStyle w:val="xmsonormal"/>
              <w:jc w:val="right"/>
            </w:pPr>
            <w:r>
              <w:t>&lt;11</w:t>
            </w:r>
            <w:r>
              <w:rPr>
                <w:rStyle w:val="FootnoteReference"/>
              </w:rPr>
              <w:footnoteReference w:id="1"/>
            </w:r>
          </w:p>
        </w:tc>
      </w:tr>
      <w:tr w:rsidR="001F1894" w14:paraId="311717DD" w14:textId="77777777" w:rsidTr="00577D4C">
        <w:trPr>
          <w:cantSplit/>
          <w:trHeight w:val="300"/>
        </w:trPr>
        <w:tc>
          <w:tcPr>
            <w:tcW w:w="3330" w:type="dxa"/>
            <w:noWrap/>
            <w:tcMar>
              <w:top w:w="0" w:type="dxa"/>
              <w:left w:w="108" w:type="dxa"/>
              <w:bottom w:w="0" w:type="dxa"/>
              <w:right w:w="108" w:type="dxa"/>
            </w:tcMar>
            <w:vAlign w:val="center"/>
            <w:hideMark/>
          </w:tcPr>
          <w:p w14:paraId="349439F6" w14:textId="77777777" w:rsidR="001F1894" w:rsidRPr="00893A69" w:rsidRDefault="001F1894">
            <w:pPr>
              <w:pStyle w:val="xmsonormal"/>
              <w:ind w:firstLine="440"/>
            </w:pPr>
            <w:r w:rsidRPr="00893A69">
              <w:rPr>
                <w:color w:val="000000"/>
              </w:rPr>
              <w:t>Age: 19-45</w:t>
            </w:r>
          </w:p>
        </w:tc>
        <w:tc>
          <w:tcPr>
            <w:tcW w:w="2250" w:type="dxa"/>
            <w:noWrap/>
            <w:tcMar>
              <w:top w:w="0" w:type="dxa"/>
              <w:left w:w="108" w:type="dxa"/>
              <w:bottom w:w="0" w:type="dxa"/>
              <w:right w:w="108" w:type="dxa"/>
            </w:tcMar>
            <w:vAlign w:val="bottom"/>
            <w:hideMark/>
          </w:tcPr>
          <w:p w14:paraId="35806936" w14:textId="77777777" w:rsidR="001F1894" w:rsidRPr="00893A69" w:rsidRDefault="001F1894" w:rsidP="005401A5">
            <w:pPr>
              <w:pStyle w:val="xmsonormal"/>
              <w:jc w:val="right"/>
            </w:pPr>
            <w:r w:rsidRPr="00893A69">
              <w:rPr>
                <w:color w:val="000000"/>
              </w:rPr>
              <w:t>386</w:t>
            </w:r>
          </w:p>
        </w:tc>
        <w:tc>
          <w:tcPr>
            <w:tcW w:w="3150" w:type="dxa"/>
            <w:noWrap/>
            <w:tcMar>
              <w:top w:w="0" w:type="dxa"/>
              <w:left w:w="108" w:type="dxa"/>
              <w:bottom w:w="0" w:type="dxa"/>
              <w:right w:w="108" w:type="dxa"/>
            </w:tcMar>
            <w:vAlign w:val="bottom"/>
            <w:hideMark/>
          </w:tcPr>
          <w:p w14:paraId="1A51041A" w14:textId="0F6EAF2B" w:rsidR="001F1894" w:rsidRPr="00893A69" w:rsidRDefault="001F1894" w:rsidP="005401A5">
            <w:pPr>
              <w:pStyle w:val="xmsonormal"/>
              <w:jc w:val="right"/>
            </w:pPr>
            <w:r w:rsidRPr="00893A69">
              <w:rPr>
                <w:color w:val="000000"/>
              </w:rPr>
              <w:t>24</w:t>
            </w:r>
            <w:r w:rsidR="00893A69">
              <w:rPr>
                <w:color w:val="000000"/>
              </w:rPr>
              <w:t>9</w:t>
            </w:r>
          </w:p>
        </w:tc>
      </w:tr>
      <w:tr w:rsidR="001F1894" w14:paraId="7593A33D" w14:textId="77777777" w:rsidTr="00577D4C">
        <w:trPr>
          <w:cantSplit/>
          <w:trHeight w:val="300"/>
        </w:trPr>
        <w:tc>
          <w:tcPr>
            <w:tcW w:w="3330" w:type="dxa"/>
            <w:noWrap/>
            <w:tcMar>
              <w:top w:w="0" w:type="dxa"/>
              <w:left w:w="108" w:type="dxa"/>
              <w:bottom w:w="0" w:type="dxa"/>
              <w:right w:w="108" w:type="dxa"/>
            </w:tcMar>
            <w:vAlign w:val="center"/>
            <w:hideMark/>
          </w:tcPr>
          <w:p w14:paraId="5DFB3886" w14:textId="77777777" w:rsidR="001F1894" w:rsidRPr="00893A69" w:rsidRDefault="001F1894">
            <w:pPr>
              <w:pStyle w:val="xmsonormal"/>
              <w:ind w:firstLine="440"/>
            </w:pPr>
            <w:r w:rsidRPr="00893A69">
              <w:rPr>
                <w:color w:val="000000"/>
              </w:rPr>
              <w:t>Age: 46 - 65</w:t>
            </w:r>
          </w:p>
        </w:tc>
        <w:tc>
          <w:tcPr>
            <w:tcW w:w="2250" w:type="dxa"/>
            <w:noWrap/>
            <w:tcMar>
              <w:top w:w="0" w:type="dxa"/>
              <w:left w:w="108" w:type="dxa"/>
              <w:bottom w:w="0" w:type="dxa"/>
              <w:right w:w="108" w:type="dxa"/>
            </w:tcMar>
            <w:vAlign w:val="bottom"/>
            <w:hideMark/>
          </w:tcPr>
          <w:p w14:paraId="09B45236" w14:textId="77777777" w:rsidR="001F1894" w:rsidRPr="00893A69" w:rsidRDefault="001F1894" w:rsidP="005401A5">
            <w:pPr>
              <w:pStyle w:val="xmsonormal"/>
              <w:jc w:val="right"/>
            </w:pPr>
            <w:r w:rsidRPr="00893A69">
              <w:rPr>
                <w:color w:val="000000"/>
              </w:rPr>
              <w:t>999</w:t>
            </w:r>
          </w:p>
        </w:tc>
        <w:tc>
          <w:tcPr>
            <w:tcW w:w="3150" w:type="dxa"/>
            <w:noWrap/>
            <w:tcMar>
              <w:top w:w="0" w:type="dxa"/>
              <w:left w:w="108" w:type="dxa"/>
              <w:bottom w:w="0" w:type="dxa"/>
              <w:right w:w="108" w:type="dxa"/>
            </w:tcMar>
            <w:vAlign w:val="bottom"/>
            <w:hideMark/>
          </w:tcPr>
          <w:p w14:paraId="65C299D0" w14:textId="77777777" w:rsidR="001F1894" w:rsidRPr="00893A69" w:rsidRDefault="001F1894" w:rsidP="005401A5">
            <w:pPr>
              <w:pStyle w:val="xmsonormal"/>
              <w:jc w:val="right"/>
            </w:pPr>
            <w:r w:rsidRPr="00893A69">
              <w:rPr>
                <w:color w:val="000000"/>
              </w:rPr>
              <w:t>776</w:t>
            </w:r>
          </w:p>
        </w:tc>
      </w:tr>
      <w:tr w:rsidR="001F1894" w14:paraId="37781354" w14:textId="77777777" w:rsidTr="00577D4C">
        <w:trPr>
          <w:cantSplit/>
          <w:trHeight w:val="300"/>
        </w:trPr>
        <w:tc>
          <w:tcPr>
            <w:tcW w:w="3330" w:type="dxa"/>
            <w:noWrap/>
            <w:tcMar>
              <w:top w:w="0" w:type="dxa"/>
              <w:left w:w="108" w:type="dxa"/>
              <w:bottom w:w="0" w:type="dxa"/>
              <w:right w:w="108" w:type="dxa"/>
            </w:tcMar>
            <w:vAlign w:val="center"/>
            <w:hideMark/>
          </w:tcPr>
          <w:p w14:paraId="3BEA63D4" w14:textId="77777777" w:rsidR="001F1894" w:rsidRPr="00893A69" w:rsidRDefault="001F1894">
            <w:pPr>
              <w:pStyle w:val="xmsonormal"/>
              <w:ind w:firstLine="440"/>
            </w:pPr>
            <w:r w:rsidRPr="00893A69">
              <w:rPr>
                <w:color w:val="000000"/>
              </w:rPr>
              <w:t>Age: 65+</w:t>
            </w:r>
          </w:p>
        </w:tc>
        <w:tc>
          <w:tcPr>
            <w:tcW w:w="2250" w:type="dxa"/>
            <w:noWrap/>
            <w:tcMar>
              <w:top w:w="0" w:type="dxa"/>
              <w:left w:w="108" w:type="dxa"/>
              <w:bottom w:w="0" w:type="dxa"/>
              <w:right w:w="108" w:type="dxa"/>
            </w:tcMar>
            <w:vAlign w:val="bottom"/>
            <w:hideMark/>
          </w:tcPr>
          <w:p w14:paraId="2A04A1D8" w14:textId="77777777" w:rsidR="001F1894" w:rsidRPr="00893A69" w:rsidRDefault="001F1894" w:rsidP="005401A5">
            <w:pPr>
              <w:pStyle w:val="xmsonormal"/>
              <w:jc w:val="right"/>
            </w:pPr>
            <w:r w:rsidRPr="00893A69">
              <w:rPr>
                <w:color w:val="000000"/>
              </w:rPr>
              <w:t>1,015</w:t>
            </w:r>
          </w:p>
        </w:tc>
        <w:tc>
          <w:tcPr>
            <w:tcW w:w="3150" w:type="dxa"/>
            <w:noWrap/>
            <w:tcMar>
              <w:top w:w="0" w:type="dxa"/>
              <w:left w:w="108" w:type="dxa"/>
              <w:bottom w:w="0" w:type="dxa"/>
              <w:right w:w="108" w:type="dxa"/>
            </w:tcMar>
            <w:vAlign w:val="bottom"/>
            <w:hideMark/>
          </w:tcPr>
          <w:p w14:paraId="0EC1AF8B" w14:textId="77777777" w:rsidR="001F1894" w:rsidRPr="00893A69" w:rsidRDefault="001F1894" w:rsidP="005401A5">
            <w:pPr>
              <w:pStyle w:val="xmsonormal"/>
              <w:jc w:val="right"/>
            </w:pPr>
            <w:r w:rsidRPr="00893A69">
              <w:rPr>
                <w:color w:val="000000"/>
              </w:rPr>
              <w:t>787</w:t>
            </w:r>
          </w:p>
        </w:tc>
      </w:tr>
      <w:tr w:rsidR="001F1894" w14:paraId="6CBD7784" w14:textId="77777777" w:rsidTr="00577D4C">
        <w:trPr>
          <w:cantSplit/>
          <w:trHeight w:val="300"/>
        </w:trPr>
        <w:tc>
          <w:tcPr>
            <w:tcW w:w="3330" w:type="dxa"/>
            <w:noWrap/>
            <w:tcMar>
              <w:top w:w="0" w:type="dxa"/>
              <w:left w:w="108" w:type="dxa"/>
              <w:bottom w:w="0" w:type="dxa"/>
              <w:right w:w="108" w:type="dxa"/>
            </w:tcMar>
            <w:vAlign w:val="center"/>
            <w:hideMark/>
          </w:tcPr>
          <w:p w14:paraId="07A20751" w14:textId="71037C3E" w:rsidR="001F1894" w:rsidRPr="00893A69" w:rsidRDefault="009B4348">
            <w:pPr>
              <w:pStyle w:val="xmsonormal"/>
              <w:ind w:firstLine="440"/>
            </w:pPr>
            <w:r w:rsidRPr="00893A69">
              <w:rPr>
                <w:color w:val="000000"/>
              </w:rPr>
              <w:t xml:space="preserve">Gender: </w:t>
            </w:r>
            <w:r w:rsidR="001F1894" w:rsidRPr="00893A69">
              <w:rPr>
                <w:color w:val="000000"/>
              </w:rPr>
              <w:t>Male</w:t>
            </w:r>
          </w:p>
        </w:tc>
        <w:tc>
          <w:tcPr>
            <w:tcW w:w="2250" w:type="dxa"/>
            <w:noWrap/>
            <w:tcMar>
              <w:top w:w="0" w:type="dxa"/>
              <w:left w:w="108" w:type="dxa"/>
              <w:bottom w:w="0" w:type="dxa"/>
              <w:right w:w="108" w:type="dxa"/>
            </w:tcMar>
            <w:vAlign w:val="bottom"/>
            <w:hideMark/>
          </w:tcPr>
          <w:p w14:paraId="6DFF577C" w14:textId="77777777" w:rsidR="001F1894" w:rsidRPr="00893A69" w:rsidRDefault="001F1894" w:rsidP="005401A5">
            <w:pPr>
              <w:pStyle w:val="xmsonormal"/>
              <w:jc w:val="right"/>
            </w:pPr>
            <w:r w:rsidRPr="00893A69">
              <w:rPr>
                <w:color w:val="000000"/>
              </w:rPr>
              <w:t>664</w:t>
            </w:r>
          </w:p>
        </w:tc>
        <w:tc>
          <w:tcPr>
            <w:tcW w:w="3150" w:type="dxa"/>
            <w:noWrap/>
            <w:tcMar>
              <w:top w:w="0" w:type="dxa"/>
              <w:left w:w="108" w:type="dxa"/>
              <w:bottom w:w="0" w:type="dxa"/>
              <w:right w:w="108" w:type="dxa"/>
            </w:tcMar>
            <w:vAlign w:val="bottom"/>
            <w:hideMark/>
          </w:tcPr>
          <w:p w14:paraId="77CC1E90" w14:textId="77777777" w:rsidR="001F1894" w:rsidRPr="00893A69" w:rsidRDefault="001F1894" w:rsidP="005401A5">
            <w:pPr>
              <w:pStyle w:val="xmsonormal"/>
              <w:jc w:val="right"/>
            </w:pPr>
            <w:r w:rsidRPr="00893A69">
              <w:rPr>
                <w:color w:val="000000"/>
              </w:rPr>
              <w:t>737</w:t>
            </w:r>
          </w:p>
        </w:tc>
      </w:tr>
      <w:tr w:rsidR="001F1894" w14:paraId="7E4183CB" w14:textId="77777777" w:rsidTr="00577D4C">
        <w:trPr>
          <w:cantSplit/>
          <w:trHeight w:val="300"/>
        </w:trPr>
        <w:tc>
          <w:tcPr>
            <w:tcW w:w="3330" w:type="dxa"/>
            <w:noWrap/>
            <w:tcMar>
              <w:top w:w="0" w:type="dxa"/>
              <w:left w:w="108" w:type="dxa"/>
              <w:bottom w:w="0" w:type="dxa"/>
              <w:right w:w="108" w:type="dxa"/>
            </w:tcMar>
            <w:vAlign w:val="center"/>
            <w:hideMark/>
          </w:tcPr>
          <w:p w14:paraId="3B9EF0E0" w14:textId="39F112FD" w:rsidR="001F1894" w:rsidRPr="00893A69" w:rsidRDefault="009B4348">
            <w:pPr>
              <w:pStyle w:val="xmsonormal"/>
              <w:ind w:firstLine="440"/>
            </w:pPr>
            <w:r w:rsidRPr="00893A69">
              <w:rPr>
                <w:color w:val="000000"/>
              </w:rPr>
              <w:t xml:space="preserve">Gender: </w:t>
            </w:r>
            <w:r w:rsidR="001F1894" w:rsidRPr="00893A69">
              <w:rPr>
                <w:color w:val="000000"/>
              </w:rPr>
              <w:t xml:space="preserve">Female </w:t>
            </w:r>
          </w:p>
        </w:tc>
        <w:tc>
          <w:tcPr>
            <w:tcW w:w="2250" w:type="dxa"/>
            <w:noWrap/>
            <w:tcMar>
              <w:top w:w="0" w:type="dxa"/>
              <w:left w:w="108" w:type="dxa"/>
              <w:bottom w:w="0" w:type="dxa"/>
              <w:right w:w="108" w:type="dxa"/>
            </w:tcMar>
            <w:vAlign w:val="bottom"/>
            <w:hideMark/>
          </w:tcPr>
          <w:p w14:paraId="5B8B86D5" w14:textId="77777777" w:rsidR="001F1894" w:rsidRPr="00893A69" w:rsidRDefault="001F1894" w:rsidP="005401A5">
            <w:pPr>
              <w:pStyle w:val="xmsonormal"/>
              <w:jc w:val="right"/>
            </w:pPr>
            <w:r w:rsidRPr="00893A69">
              <w:rPr>
                <w:color w:val="000000"/>
              </w:rPr>
              <w:t>1,736</w:t>
            </w:r>
          </w:p>
        </w:tc>
        <w:tc>
          <w:tcPr>
            <w:tcW w:w="3150" w:type="dxa"/>
            <w:noWrap/>
            <w:tcMar>
              <w:top w:w="0" w:type="dxa"/>
              <w:left w:w="108" w:type="dxa"/>
              <w:bottom w:w="0" w:type="dxa"/>
              <w:right w:w="108" w:type="dxa"/>
            </w:tcMar>
            <w:vAlign w:val="bottom"/>
            <w:hideMark/>
          </w:tcPr>
          <w:p w14:paraId="12C081D5" w14:textId="77777777" w:rsidR="001F1894" w:rsidRPr="00893A69" w:rsidRDefault="001F1894" w:rsidP="005401A5">
            <w:pPr>
              <w:pStyle w:val="xmsonormal"/>
              <w:jc w:val="right"/>
            </w:pPr>
            <w:r w:rsidRPr="00893A69">
              <w:rPr>
                <w:color w:val="000000"/>
              </w:rPr>
              <w:t>1,075</w:t>
            </w:r>
          </w:p>
        </w:tc>
      </w:tr>
      <w:tr w:rsidR="001F1894" w14:paraId="27E20E7D" w14:textId="77777777" w:rsidTr="00577D4C">
        <w:trPr>
          <w:cantSplit/>
          <w:trHeight w:val="300"/>
        </w:trPr>
        <w:tc>
          <w:tcPr>
            <w:tcW w:w="3330" w:type="dxa"/>
            <w:noWrap/>
            <w:tcMar>
              <w:top w:w="0" w:type="dxa"/>
              <w:left w:w="108" w:type="dxa"/>
              <w:bottom w:w="0" w:type="dxa"/>
              <w:right w:w="108" w:type="dxa"/>
            </w:tcMar>
            <w:vAlign w:val="bottom"/>
            <w:hideMark/>
          </w:tcPr>
          <w:p w14:paraId="38DA1304" w14:textId="75BEA3A4" w:rsidR="001F1894" w:rsidRPr="00893A69" w:rsidRDefault="009B4348">
            <w:pPr>
              <w:pStyle w:val="xmsonormal"/>
              <w:ind w:firstLine="440"/>
            </w:pPr>
            <w:r w:rsidRPr="00893A69">
              <w:rPr>
                <w:color w:val="000000"/>
              </w:rPr>
              <w:t xml:space="preserve">Race: </w:t>
            </w:r>
            <w:r w:rsidR="001F1894" w:rsidRPr="00893A69">
              <w:rPr>
                <w:color w:val="000000"/>
              </w:rPr>
              <w:t>Black or African American</w:t>
            </w:r>
          </w:p>
        </w:tc>
        <w:tc>
          <w:tcPr>
            <w:tcW w:w="2250" w:type="dxa"/>
            <w:noWrap/>
            <w:tcMar>
              <w:top w:w="0" w:type="dxa"/>
              <w:left w:w="108" w:type="dxa"/>
              <w:bottom w:w="0" w:type="dxa"/>
              <w:right w:w="108" w:type="dxa"/>
            </w:tcMar>
            <w:vAlign w:val="bottom"/>
            <w:hideMark/>
          </w:tcPr>
          <w:p w14:paraId="21184A09" w14:textId="77777777" w:rsidR="001F1894" w:rsidRPr="00893A69" w:rsidRDefault="001F1894" w:rsidP="005401A5">
            <w:pPr>
              <w:pStyle w:val="xmsonormal"/>
              <w:jc w:val="right"/>
            </w:pPr>
            <w:r w:rsidRPr="00893A69">
              <w:rPr>
                <w:color w:val="000000"/>
              </w:rPr>
              <w:t>56</w:t>
            </w:r>
          </w:p>
        </w:tc>
        <w:tc>
          <w:tcPr>
            <w:tcW w:w="3150" w:type="dxa"/>
            <w:noWrap/>
            <w:tcMar>
              <w:top w:w="0" w:type="dxa"/>
              <w:left w:w="108" w:type="dxa"/>
              <w:bottom w:w="0" w:type="dxa"/>
              <w:right w:w="108" w:type="dxa"/>
            </w:tcMar>
            <w:vAlign w:val="bottom"/>
            <w:hideMark/>
          </w:tcPr>
          <w:p w14:paraId="3BDCFCFB" w14:textId="77777777" w:rsidR="001F1894" w:rsidRPr="00893A69" w:rsidRDefault="001F1894" w:rsidP="005401A5">
            <w:pPr>
              <w:pStyle w:val="xmsonormal"/>
              <w:jc w:val="right"/>
            </w:pPr>
            <w:r w:rsidRPr="00893A69">
              <w:rPr>
                <w:color w:val="000000"/>
              </w:rPr>
              <w:t>49</w:t>
            </w:r>
          </w:p>
        </w:tc>
      </w:tr>
      <w:tr w:rsidR="001F1894" w14:paraId="028C730B" w14:textId="77777777" w:rsidTr="00577D4C">
        <w:trPr>
          <w:cantSplit/>
          <w:trHeight w:val="300"/>
        </w:trPr>
        <w:tc>
          <w:tcPr>
            <w:tcW w:w="3330" w:type="dxa"/>
            <w:noWrap/>
            <w:tcMar>
              <w:top w:w="0" w:type="dxa"/>
              <w:left w:w="108" w:type="dxa"/>
              <w:bottom w:w="0" w:type="dxa"/>
              <w:right w:w="108" w:type="dxa"/>
            </w:tcMar>
            <w:vAlign w:val="bottom"/>
            <w:hideMark/>
          </w:tcPr>
          <w:p w14:paraId="52080B46" w14:textId="16279A77" w:rsidR="001F1894" w:rsidRPr="00893A69" w:rsidRDefault="009B4348">
            <w:pPr>
              <w:pStyle w:val="xmsonormal"/>
              <w:ind w:firstLine="440"/>
            </w:pPr>
            <w:r w:rsidRPr="00893A69">
              <w:rPr>
                <w:color w:val="000000"/>
              </w:rPr>
              <w:t xml:space="preserve">Race: </w:t>
            </w:r>
            <w:r w:rsidR="001F1894" w:rsidRPr="00893A69">
              <w:rPr>
                <w:color w:val="000000"/>
              </w:rPr>
              <w:t>Other</w:t>
            </w:r>
            <w:r w:rsidR="00865A41" w:rsidRPr="00893A69">
              <w:rPr>
                <w:rStyle w:val="FootnoteReference"/>
                <w:color w:val="000000"/>
              </w:rPr>
              <w:footnoteReference w:id="2"/>
            </w:r>
          </w:p>
        </w:tc>
        <w:tc>
          <w:tcPr>
            <w:tcW w:w="2250" w:type="dxa"/>
            <w:noWrap/>
            <w:tcMar>
              <w:top w:w="0" w:type="dxa"/>
              <w:left w:w="108" w:type="dxa"/>
              <w:bottom w:w="0" w:type="dxa"/>
              <w:right w:w="108" w:type="dxa"/>
            </w:tcMar>
            <w:vAlign w:val="bottom"/>
            <w:hideMark/>
          </w:tcPr>
          <w:p w14:paraId="19A55F30" w14:textId="08B600C5" w:rsidR="001F1894" w:rsidRPr="00893A69" w:rsidRDefault="009B4348" w:rsidP="005401A5">
            <w:pPr>
              <w:pStyle w:val="xmsonormal"/>
              <w:jc w:val="right"/>
            </w:pPr>
            <w:r w:rsidRPr="00893A69">
              <w:t>35</w:t>
            </w:r>
          </w:p>
        </w:tc>
        <w:tc>
          <w:tcPr>
            <w:tcW w:w="3150" w:type="dxa"/>
            <w:noWrap/>
            <w:tcMar>
              <w:top w:w="0" w:type="dxa"/>
              <w:left w:w="108" w:type="dxa"/>
              <w:bottom w:w="0" w:type="dxa"/>
              <w:right w:w="108" w:type="dxa"/>
            </w:tcMar>
            <w:vAlign w:val="bottom"/>
            <w:hideMark/>
          </w:tcPr>
          <w:p w14:paraId="78417758" w14:textId="61B885BD" w:rsidR="001F1894" w:rsidRPr="00893A69" w:rsidRDefault="009B4348" w:rsidP="005401A5">
            <w:pPr>
              <w:pStyle w:val="xmsonormal"/>
              <w:jc w:val="right"/>
            </w:pPr>
            <w:r w:rsidRPr="00893A69">
              <w:t>13</w:t>
            </w:r>
          </w:p>
        </w:tc>
      </w:tr>
      <w:tr w:rsidR="001F1894" w14:paraId="0B014FAA" w14:textId="77777777" w:rsidTr="00577D4C">
        <w:trPr>
          <w:cantSplit/>
          <w:trHeight w:val="300"/>
        </w:trPr>
        <w:tc>
          <w:tcPr>
            <w:tcW w:w="3330" w:type="dxa"/>
            <w:noWrap/>
            <w:tcMar>
              <w:top w:w="0" w:type="dxa"/>
              <w:left w:w="108" w:type="dxa"/>
              <w:bottom w:w="0" w:type="dxa"/>
              <w:right w:w="108" w:type="dxa"/>
            </w:tcMar>
            <w:vAlign w:val="bottom"/>
            <w:hideMark/>
          </w:tcPr>
          <w:p w14:paraId="61261B13" w14:textId="6F7BB3FF" w:rsidR="001F1894" w:rsidRPr="00893A69" w:rsidRDefault="009B4348">
            <w:pPr>
              <w:pStyle w:val="xmsonormal"/>
              <w:ind w:firstLine="440"/>
            </w:pPr>
            <w:r w:rsidRPr="00893A69">
              <w:rPr>
                <w:color w:val="000000"/>
              </w:rPr>
              <w:t xml:space="preserve">Race: </w:t>
            </w:r>
            <w:r w:rsidR="001F1894" w:rsidRPr="00893A69">
              <w:rPr>
                <w:color w:val="000000"/>
              </w:rPr>
              <w:t xml:space="preserve">Asian/Asian Indian </w:t>
            </w:r>
          </w:p>
        </w:tc>
        <w:tc>
          <w:tcPr>
            <w:tcW w:w="2250" w:type="dxa"/>
            <w:noWrap/>
            <w:tcMar>
              <w:top w:w="0" w:type="dxa"/>
              <w:left w:w="108" w:type="dxa"/>
              <w:bottom w:w="0" w:type="dxa"/>
              <w:right w:w="108" w:type="dxa"/>
            </w:tcMar>
            <w:vAlign w:val="bottom"/>
            <w:hideMark/>
          </w:tcPr>
          <w:p w14:paraId="0DE99CF2" w14:textId="1A95DBE9" w:rsidR="001F1894" w:rsidRPr="00893A69" w:rsidRDefault="001F1894" w:rsidP="005401A5">
            <w:pPr>
              <w:pStyle w:val="xmsonormal"/>
              <w:jc w:val="right"/>
            </w:pPr>
            <w:r w:rsidRPr="00893A69">
              <w:rPr>
                <w:color w:val="000000"/>
              </w:rPr>
              <w:t>43</w:t>
            </w:r>
          </w:p>
        </w:tc>
        <w:tc>
          <w:tcPr>
            <w:tcW w:w="3150" w:type="dxa"/>
            <w:noWrap/>
            <w:tcMar>
              <w:top w:w="0" w:type="dxa"/>
              <w:left w:w="108" w:type="dxa"/>
              <w:bottom w:w="0" w:type="dxa"/>
              <w:right w:w="108" w:type="dxa"/>
            </w:tcMar>
            <w:vAlign w:val="bottom"/>
            <w:hideMark/>
          </w:tcPr>
          <w:p w14:paraId="5636AFC0" w14:textId="77777777" w:rsidR="001F1894" w:rsidRPr="00893A69" w:rsidRDefault="001F1894" w:rsidP="005401A5">
            <w:pPr>
              <w:pStyle w:val="xmsonormal"/>
              <w:jc w:val="right"/>
            </w:pPr>
            <w:r w:rsidRPr="00893A69">
              <w:rPr>
                <w:color w:val="000000"/>
              </w:rPr>
              <w:t>28</w:t>
            </w:r>
          </w:p>
        </w:tc>
      </w:tr>
      <w:tr w:rsidR="001F1894" w14:paraId="60A891DA" w14:textId="77777777" w:rsidTr="00577D4C">
        <w:trPr>
          <w:cantSplit/>
          <w:trHeight w:val="300"/>
        </w:trPr>
        <w:tc>
          <w:tcPr>
            <w:tcW w:w="3330" w:type="dxa"/>
            <w:noWrap/>
            <w:tcMar>
              <w:top w:w="0" w:type="dxa"/>
              <w:left w:w="108" w:type="dxa"/>
              <w:bottom w:w="0" w:type="dxa"/>
              <w:right w:w="108" w:type="dxa"/>
            </w:tcMar>
            <w:vAlign w:val="bottom"/>
            <w:hideMark/>
          </w:tcPr>
          <w:p w14:paraId="599C98DD" w14:textId="3B487614" w:rsidR="001F1894" w:rsidRPr="00893A69" w:rsidRDefault="009B4348">
            <w:pPr>
              <w:pStyle w:val="xmsonormal"/>
              <w:ind w:firstLine="440"/>
            </w:pPr>
            <w:r w:rsidRPr="00893A69">
              <w:rPr>
                <w:color w:val="000000"/>
              </w:rPr>
              <w:t xml:space="preserve">Race: </w:t>
            </w:r>
            <w:r w:rsidR="001F1894" w:rsidRPr="00893A69">
              <w:rPr>
                <w:color w:val="000000"/>
              </w:rPr>
              <w:t>White</w:t>
            </w:r>
          </w:p>
        </w:tc>
        <w:tc>
          <w:tcPr>
            <w:tcW w:w="2250" w:type="dxa"/>
            <w:noWrap/>
            <w:tcMar>
              <w:top w:w="0" w:type="dxa"/>
              <w:left w:w="108" w:type="dxa"/>
              <w:bottom w:w="0" w:type="dxa"/>
              <w:right w:w="108" w:type="dxa"/>
            </w:tcMar>
            <w:vAlign w:val="bottom"/>
            <w:hideMark/>
          </w:tcPr>
          <w:p w14:paraId="67A14627" w14:textId="77777777" w:rsidR="001F1894" w:rsidRPr="00893A69" w:rsidRDefault="001F1894" w:rsidP="005401A5">
            <w:pPr>
              <w:pStyle w:val="xmsonormal"/>
              <w:jc w:val="right"/>
            </w:pPr>
            <w:r w:rsidRPr="00893A69">
              <w:rPr>
                <w:color w:val="000000"/>
              </w:rPr>
              <w:t>2,266</w:t>
            </w:r>
          </w:p>
        </w:tc>
        <w:tc>
          <w:tcPr>
            <w:tcW w:w="3150" w:type="dxa"/>
            <w:noWrap/>
            <w:tcMar>
              <w:top w:w="0" w:type="dxa"/>
              <w:left w:w="108" w:type="dxa"/>
              <w:bottom w:w="0" w:type="dxa"/>
              <w:right w:w="108" w:type="dxa"/>
            </w:tcMar>
            <w:vAlign w:val="bottom"/>
            <w:hideMark/>
          </w:tcPr>
          <w:p w14:paraId="310D2747" w14:textId="77777777" w:rsidR="001F1894" w:rsidRPr="00893A69" w:rsidRDefault="001F1894" w:rsidP="005401A5">
            <w:pPr>
              <w:pStyle w:val="xmsonormal"/>
              <w:jc w:val="right"/>
            </w:pPr>
            <w:r w:rsidRPr="00893A69">
              <w:rPr>
                <w:color w:val="000000"/>
              </w:rPr>
              <w:t>1,721</w:t>
            </w:r>
          </w:p>
        </w:tc>
      </w:tr>
      <w:tr w:rsidR="001F1894" w14:paraId="1C1F68C9" w14:textId="77777777" w:rsidTr="00577D4C">
        <w:trPr>
          <w:cantSplit/>
          <w:trHeight w:val="300"/>
        </w:trPr>
        <w:tc>
          <w:tcPr>
            <w:tcW w:w="3330" w:type="dxa"/>
            <w:shd w:val="clear" w:color="auto" w:fill="DEEAF6" w:themeFill="accent5" w:themeFillTint="33"/>
            <w:noWrap/>
            <w:tcMar>
              <w:top w:w="0" w:type="dxa"/>
              <w:left w:w="108" w:type="dxa"/>
              <w:bottom w:w="0" w:type="dxa"/>
              <w:right w:w="108" w:type="dxa"/>
            </w:tcMar>
            <w:vAlign w:val="center"/>
            <w:hideMark/>
          </w:tcPr>
          <w:p w14:paraId="3DF047D7" w14:textId="77777777" w:rsidR="001F1894" w:rsidRPr="00893A69" w:rsidRDefault="001F1894">
            <w:pPr>
              <w:pStyle w:val="xmsonormal"/>
              <w:ind w:firstLine="440"/>
            </w:pPr>
            <w:r w:rsidRPr="00893A69">
              <w:rPr>
                <w:color w:val="000000"/>
              </w:rPr>
              <w:t>Total</w:t>
            </w:r>
          </w:p>
        </w:tc>
        <w:tc>
          <w:tcPr>
            <w:tcW w:w="2250" w:type="dxa"/>
            <w:shd w:val="clear" w:color="auto" w:fill="DEEAF6" w:themeFill="accent5" w:themeFillTint="33"/>
            <w:noWrap/>
            <w:tcMar>
              <w:top w:w="0" w:type="dxa"/>
              <w:left w:w="108" w:type="dxa"/>
              <w:bottom w:w="0" w:type="dxa"/>
              <w:right w:w="108" w:type="dxa"/>
            </w:tcMar>
            <w:vAlign w:val="bottom"/>
            <w:hideMark/>
          </w:tcPr>
          <w:p w14:paraId="4600CF4F" w14:textId="77777777" w:rsidR="001F1894" w:rsidRPr="00893A69" w:rsidRDefault="001F1894" w:rsidP="005401A5">
            <w:pPr>
              <w:pStyle w:val="xmsonormal"/>
              <w:jc w:val="right"/>
            </w:pPr>
            <w:r w:rsidRPr="00893A69">
              <w:rPr>
                <w:color w:val="000000"/>
              </w:rPr>
              <w:t>2,400</w:t>
            </w:r>
          </w:p>
        </w:tc>
        <w:tc>
          <w:tcPr>
            <w:tcW w:w="3150" w:type="dxa"/>
            <w:shd w:val="clear" w:color="auto" w:fill="DEEAF6" w:themeFill="accent5" w:themeFillTint="33"/>
            <w:noWrap/>
            <w:tcMar>
              <w:top w:w="0" w:type="dxa"/>
              <w:left w:w="108" w:type="dxa"/>
              <w:bottom w:w="0" w:type="dxa"/>
              <w:right w:w="108" w:type="dxa"/>
            </w:tcMar>
            <w:vAlign w:val="bottom"/>
            <w:hideMark/>
          </w:tcPr>
          <w:p w14:paraId="281DD920" w14:textId="77777777" w:rsidR="001F1894" w:rsidRPr="00893A69" w:rsidRDefault="001F1894" w:rsidP="005401A5">
            <w:pPr>
              <w:pStyle w:val="xmsonormal"/>
              <w:jc w:val="right"/>
            </w:pPr>
            <w:r w:rsidRPr="00893A69">
              <w:rPr>
                <w:color w:val="000000"/>
              </w:rPr>
              <w:t>1,812</w:t>
            </w:r>
          </w:p>
        </w:tc>
      </w:tr>
    </w:tbl>
    <w:p w14:paraId="23A6EB58" w14:textId="5AAAD6BD" w:rsidR="007D655D" w:rsidRPr="007D655D" w:rsidRDefault="007D655D" w:rsidP="007D655D">
      <w:pPr>
        <w:jc w:val="both"/>
      </w:pPr>
    </w:p>
    <w:p w14:paraId="784B5605" w14:textId="18A5510D" w:rsidR="007C28A9" w:rsidRDefault="00683873" w:rsidP="007C28A9">
      <w:pPr>
        <w:pStyle w:val="ListParagraph"/>
        <w:numPr>
          <w:ilvl w:val="0"/>
          <w:numId w:val="3"/>
        </w:numPr>
        <w:jc w:val="both"/>
      </w:pPr>
      <w:r w:rsidRPr="001B2F0C">
        <w:rPr>
          <w:b/>
          <w:bCs/>
        </w:rPr>
        <w:t>Patient Access.</w:t>
      </w:r>
      <w:r>
        <w:t xml:space="preserve"> </w:t>
      </w:r>
      <w:r w:rsidR="007D655D">
        <w:t>The Proposed Transfer</w:t>
      </w:r>
      <w:r w:rsidR="00FC0F69">
        <w:t xml:space="preserve"> will result in the relocation of the right to operate one procedure room from the Satellite in Mansfield to Sturdy’s main campus in Attleboro. The Satellite procedure room is currently used for rheumatology procedures. Upon relocation of the right to operate, patients will continue to have access to rheumatology procedures in Mansfield as the existing space will be utilized by a physician practice to provide the same procedures that are currently provided. The transition of this space from hospital licensed to a physician practice will offer the same services in a lower cost setting for patients. By relocating the Hospital’s right to operate the procedure room to Attleb</w:t>
      </w:r>
      <w:r w:rsidR="00C50621">
        <w:t>oro for the provision of pain management services, the Hospital</w:t>
      </w:r>
      <w:r w:rsidR="007D655D">
        <w:t xml:space="preserve"> will significantly improve access to pain management </w:t>
      </w:r>
      <w:r w:rsidR="00FC0F69">
        <w:t xml:space="preserve">services </w:t>
      </w:r>
      <w:r w:rsidR="007D655D">
        <w:t xml:space="preserve">for </w:t>
      </w:r>
      <w:r w:rsidR="00C50621">
        <w:t>its</w:t>
      </w:r>
      <w:r w:rsidR="007D655D">
        <w:t xml:space="preserve"> </w:t>
      </w:r>
      <w:r w:rsidR="0096683B">
        <w:t>Patient Panel</w:t>
      </w:r>
      <w:r w:rsidR="007C28A9">
        <w:t xml:space="preserve"> and ensure the community has continued, timely access to pain management care. </w:t>
      </w:r>
      <w:r w:rsidR="00C50621">
        <w:t xml:space="preserve">The Hospital currently has one procedure room to provide patients with pain management services. By relocating the right to operate the Satellite procedure room, the Hospital will be able to provide services in two procedure rooms. </w:t>
      </w:r>
      <w:r w:rsidR="001B2F0C">
        <w:t xml:space="preserve">The second procedure room will allow </w:t>
      </w:r>
      <w:r w:rsidR="00320707">
        <w:t>Sturdy</w:t>
      </w:r>
      <w:r w:rsidR="001B2F0C">
        <w:t xml:space="preserve"> to better manage wait times by reducing the amount of time in between cases </w:t>
      </w:r>
      <w:proofErr w:type="gramStart"/>
      <w:r w:rsidR="001B2F0C">
        <w:t>as a result of</w:t>
      </w:r>
      <w:proofErr w:type="gramEnd"/>
      <w:r w:rsidR="001B2F0C">
        <w:t xml:space="preserve"> cleaning and turnover. This more efficient use of clinical staffing is expected to</w:t>
      </w:r>
      <w:r w:rsidR="00E749DE">
        <w:t xml:space="preserve"> reduce</w:t>
      </w:r>
      <w:r w:rsidR="001B2F0C">
        <w:t xml:space="preserve"> patient wait times</w:t>
      </w:r>
      <w:r w:rsidR="00E749DE">
        <w:t xml:space="preserve">, in turn allowing a modest increase </w:t>
      </w:r>
      <w:proofErr w:type="gramStart"/>
      <w:r w:rsidR="00E749DE">
        <w:t>to</w:t>
      </w:r>
      <w:proofErr w:type="gramEnd"/>
      <w:r w:rsidR="00E749DE">
        <w:t xml:space="preserve"> overall procedure volume. </w:t>
      </w:r>
    </w:p>
    <w:p w14:paraId="03926E6F" w14:textId="77777777" w:rsidR="00DC013D" w:rsidRDefault="00DC013D" w:rsidP="00DC013D">
      <w:pPr>
        <w:pStyle w:val="ListParagraph"/>
        <w:jc w:val="both"/>
      </w:pPr>
    </w:p>
    <w:p w14:paraId="54CED241" w14:textId="12288FF4" w:rsidR="00683873" w:rsidRDefault="00683873" w:rsidP="00AC5B00">
      <w:pPr>
        <w:pStyle w:val="ListParagraph"/>
        <w:numPr>
          <w:ilvl w:val="0"/>
          <w:numId w:val="3"/>
        </w:numPr>
        <w:jc w:val="both"/>
      </w:pPr>
      <w:r w:rsidRPr="00683873">
        <w:rPr>
          <w:b/>
          <w:bCs/>
        </w:rPr>
        <w:t>Impact on Price.</w:t>
      </w:r>
      <w:r>
        <w:t xml:space="preserve"> </w:t>
      </w:r>
      <w:r w:rsidR="00AC5B00">
        <w:t xml:space="preserve">The Proposed </w:t>
      </w:r>
      <w:r w:rsidR="00C46578">
        <w:t xml:space="preserve">Transfer </w:t>
      </w:r>
      <w:r w:rsidR="00AC5B00">
        <w:t xml:space="preserve">will not impact price. There will be no change in contracts or in payor reimbursement </w:t>
      </w:r>
      <w:r w:rsidR="005401A5">
        <w:t xml:space="preserve">for the pain management services provided at Sturdy </w:t>
      </w:r>
      <w:proofErr w:type="gramStart"/>
      <w:r w:rsidR="00AC5B00">
        <w:t>as a result of</w:t>
      </w:r>
      <w:proofErr w:type="gramEnd"/>
      <w:r w:rsidR="00AC5B00">
        <w:t xml:space="preserve"> the Proposed Transfer. </w:t>
      </w:r>
      <w:r w:rsidR="00B00111">
        <w:t>Conversely</w:t>
      </w:r>
      <w:r w:rsidR="00C50621">
        <w:t>, the rheumatology procedures at the Satellite will be reimbursed at lower rates when operated by a physician practice compared to the reimbursement currently received as a hospital-based service.</w:t>
      </w:r>
      <w:r w:rsidR="00AC5B00">
        <w:t xml:space="preserve"> </w:t>
      </w:r>
    </w:p>
    <w:p w14:paraId="1B0F14D2" w14:textId="77777777" w:rsidR="00D55AD2" w:rsidRDefault="00D55AD2" w:rsidP="00DC013D">
      <w:pPr>
        <w:jc w:val="both"/>
      </w:pPr>
    </w:p>
    <w:p w14:paraId="458E09C2" w14:textId="21907DB1" w:rsidR="00683873" w:rsidRDefault="00683873" w:rsidP="00AC5B00">
      <w:pPr>
        <w:pStyle w:val="ListParagraph"/>
        <w:numPr>
          <w:ilvl w:val="0"/>
          <w:numId w:val="3"/>
        </w:numPr>
        <w:jc w:val="both"/>
      </w:pPr>
      <w:r w:rsidRPr="00DC013D">
        <w:rPr>
          <w:b/>
          <w:bCs/>
        </w:rPr>
        <w:t>Total Medical Expenditure.</w:t>
      </w:r>
      <w:r>
        <w:t xml:space="preserve"> </w:t>
      </w:r>
      <w:r w:rsidR="005401A5">
        <w:t>As noted above, pain management services costs will not be impacted.</w:t>
      </w:r>
      <w:r w:rsidR="00AC5B00">
        <w:t xml:space="preserve"> Sturdy currently offers outpatient pain management treatment options and will </w:t>
      </w:r>
      <w:r w:rsidR="00AC5B00">
        <w:lastRenderedPageBreak/>
        <w:t xml:space="preserve">leverage existing resources to operate the second procedure room. This represents an efficient use of resources to </w:t>
      </w:r>
      <w:r w:rsidR="00E749DE">
        <w:t>improve access</w:t>
      </w:r>
      <w:r w:rsidR="00AC5B00">
        <w:t xml:space="preserve"> and better serve the Hospital’s Patient Panel. </w:t>
      </w:r>
    </w:p>
    <w:p w14:paraId="737D23BA" w14:textId="77777777" w:rsidR="00DC013D" w:rsidRDefault="00DC013D" w:rsidP="00AC5B00">
      <w:pPr>
        <w:jc w:val="both"/>
      </w:pPr>
    </w:p>
    <w:p w14:paraId="3C825C90" w14:textId="32776AC7" w:rsidR="00DC013D" w:rsidRDefault="00683873" w:rsidP="00C37E4A">
      <w:pPr>
        <w:pStyle w:val="ListParagraph"/>
        <w:numPr>
          <w:ilvl w:val="0"/>
          <w:numId w:val="3"/>
        </w:numPr>
        <w:jc w:val="both"/>
      </w:pPr>
      <w:r w:rsidRPr="00683873">
        <w:rPr>
          <w:b/>
          <w:bCs/>
        </w:rPr>
        <w:t>Provider Costs.</w:t>
      </w:r>
      <w:r>
        <w:t xml:space="preserve"> The</w:t>
      </w:r>
      <w:r w:rsidR="00AC5B00">
        <w:t xml:space="preserve"> P</w:t>
      </w:r>
      <w:r>
        <w:t xml:space="preserve">roposed </w:t>
      </w:r>
      <w:r w:rsidR="007C28A9">
        <w:t>T</w:t>
      </w:r>
      <w:r>
        <w:t xml:space="preserve">ransfer </w:t>
      </w:r>
      <w:r w:rsidR="007C28A9">
        <w:t xml:space="preserve">will minimally increase operating costs </w:t>
      </w:r>
      <w:proofErr w:type="gramStart"/>
      <w:r w:rsidR="007C28A9">
        <w:t>as a result of</w:t>
      </w:r>
      <w:proofErr w:type="gramEnd"/>
      <w:r w:rsidR="007C28A9">
        <w:t xml:space="preserve"> the supplies needed for the additional procedures as well as staff hours for insurance authorizations. However, as the second procedure room will be used to improve operating efficiency and will not significantly increase the volume of cases performed, additional clinical staff will not be required. </w:t>
      </w:r>
    </w:p>
    <w:p w14:paraId="2226CF01" w14:textId="77777777" w:rsidR="00683873" w:rsidRDefault="00683873" w:rsidP="00683873"/>
    <w:p w14:paraId="7AA01576" w14:textId="6E877CD7" w:rsidR="005401A5" w:rsidRDefault="00683873" w:rsidP="00A77A15">
      <w:pPr>
        <w:pStyle w:val="ListParagraph"/>
        <w:numPr>
          <w:ilvl w:val="0"/>
          <w:numId w:val="3"/>
        </w:numPr>
        <w:jc w:val="both"/>
      </w:pPr>
      <w:r w:rsidRPr="007D655D">
        <w:rPr>
          <w:b/>
          <w:bCs/>
        </w:rPr>
        <w:t>Description.</w:t>
      </w:r>
      <w:r>
        <w:t xml:space="preserve">  </w:t>
      </w:r>
      <w:r w:rsidR="00893A69">
        <w:t xml:space="preserve">Sturdy Memorial Hospital seeks to transfer its authority to operate one (1) outpatient operating room from its satellite, Sturdy Health Center, to the Hospital’s </w:t>
      </w:r>
      <w:r w:rsidR="00E749DE">
        <w:t>m</w:t>
      </w:r>
      <w:r w:rsidR="00893A69">
        <w:t xml:space="preserve">ain </w:t>
      </w:r>
      <w:r w:rsidR="00E749DE">
        <w:t>c</w:t>
      </w:r>
      <w:r w:rsidR="00893A69">
        <w:t>ampus</w:t>
      </w:r>
      <w:r w:rsidR="005401A5">
        <w:t xml:space="preserve"> in Attleboro</w:t>
      </w:r>
      <w:r w:rsidR="00893A69">
        <w:t xml:space="preserve">. The operating room </w:t>
      </w:r>
      <w:r w:rsidR="00E749DE">
        <w:t>at issue</w:t>
      </w:r>
      <w:r w:rsidR="00893A69">
        <w:t xml:space="preserve"> will </w:t>
      </w:r>
      <w:proofErr w:type="gramStart"/>
      <w:r w:rsidR="00893A69">
        <w:t>be located in</w:t>
      </w:r>
      <w:proofErr w:type="gramEnd"/>
      <w:r w:rsidR="00893A69">
        <w:t xml:space="preserve"> the Hospital’s </w:t>
      </w:r>
      <w:r w:rsidR="00F11569">
        <w:t xml:space="preserve">newly constructed pain management </w:t>
      </w:r>
      <w:r w:rsidR="00320707">
        <w:t>service (“Service)”</w:t>
      </w:r>
      <w:r w:rsidR="00F11569">
        <w:t xml:space="preserve">. </w:t>
      </w:r>
      <w:r w:rsidR="00B10D50">
        <w:t xml:space="preserve">The building which will house the </w:t>
      </w:r>
      <w:r w:rsidR="00320707">
        <w:t>Service</w:t>
      </w:r>
      <w:r w:rsidR="00B10D50">
        <w:t xml:space="preserve"> is expected to open for patient care </w:t>
      </w:r>
      <w:r w:rsidR="009B00AE">
        <w:t>Summer 2025.</w:t>
      </w:r>
      <w:r w:rsidR="00B10D50">
        <w:t xml:space="preserve"> Sturdy plans to open the </w:t>
      </w:r>
      <w:r w:rsidR="00320707">
        <w:t xml:space="preserve">Service </w:t>
      </w:r>
      <w:r w:rsidR="00B10D50">
        <w:t xml:space="preserve">with both procedure rooms fully staffed. </w:t>
      </w:r>
      <w:r w:rsidR="00570A39">
        <w:t xml:space="preserve">Because the procedure room in Mansfield will shift to a physician practice separate from this request, there will be no disruption to the services provided related to this request. </w:t>
      </w:r>
    </w:p>
    <w:p w14:paraId="00EA90FB" w14:textId="77777777" w:rsidR="005401A5" w:rsidRDefault="005401A5" w:rsidP="005401A5">
      <w:pPr>
        <w:pStyle w:val="ListParagraph"/>
        <w:jc w:val="both"/>
      </w:pPr>
    </w:p>
    <w:p w14:paraId="28A64708" w14:textId="30BBC213" w:rsidR="005401A5" w:rsidRDefault="00B35A51" w:rsidP="005401A5">
      <w:pPr>
        <w:pStyle w:val="ListParagraph"/>
        <w:jc w:val="both"/>
      </w:pPr>
      <w:r>
        <w:t>The</w:t>
      </w:r>
      <w:r w:rsidR="005401A5">
        <w:t xml:space="preserve"> Proposed </w:t>
      </w:r>
      <w:r w:rsidR="000371B3">
        <w:t>Transfer</w:t>
      </w:r>
      <w:r>
        <w:t>’s capital expenditure</w:t>
      </w:r>
      <w:r w:rsidR="005401A5">
        <w:t xml:space="preserve"> is $3,460,000. This capital expenditure represents the construction costs associated with the </w:t>
      </w:r>
      <w:r w:rsidR="00320707">
        <w:t>Service</w:t>
      </w:r>
      <w:r w:rsidR="005401A5">
        <w:t xml:space="preserve">. </w:t>
      </w:r>
      <w:proofErr w:type="gramStart"/>
      <w:r>
        <w:t>In order to</w:t>
      </w:r>
      <w:proofErr w:type="gramEnd"/>
      <w:r>
        <w:t xml:space="preserve"> be considered </w:t>
      </w:r>
      <w:r w:rsidR="000371B3">
        <w:t>s</w:t>
      </w:r>
      <w:r>
        <w:t xml:space="preserve">ubstantial </w:t>
      </w:r>
      <w:r w:rsidR="000371B3">
        <w:t>c</w:t>
      </w:r>
      <w:r>
        <w:t xml:space="preserve">apital </w:t>
      </w:r>
      <w:r w:rsidR="000371B3">
        <w:t>e</w:t>
      </w:r>
      <w:r>
        <w:t xml:space="preserve">xpenditure, the Proposed </w:t>
      </w:r>
      <w:r w:rsidR="00320707">
        <w:t>Transfer</w:t>
      </w:r>
      <w:r>
        <w:t xml:space="preserve"> would need to </w:t>
      </w:r>
      <w:r w:rsidR="000371B3">
        <w:t xml:space="preserve">meet or </w:t>
      </w:r>
      <w:r>
        <w:t xml:space="preserve">exceed the current threshold for hospital outpatient projects. At the time of this writing, the threshold </w:t>
      </w:r>
      <w:r w:rsidR="00C37E4A">
        <w:t xml:space="preserve">for significant capital expenditures </w:t>
      </w:r>
      <w:r>
        <w:t xml:space="preserve">is $42,651,387. As the Proposed Transfer’s cost </w:t>
      </w:r>
      <w:r w:rsidR="000371B3">
        <w:t xml:space="preserve">does not exceed </w:t>
      </w:r>
      <w:r w:rsidR="00C37E4A">
        <w:t>the minimum threshold amount</w:t>
      </w:r>
      <w:r w:rsidR="000371B3">
        <w:t xml:space="preserve">, it </w:t>
      </w:r>
      <w:r w:rsidR="00C37E4A">
        <w:t>does not meet the requirement to be considered a</w:t>
      </w:r>
      <w:r w:rsidR="000371B3">
        <w:t xml:space="preserve"> </w:t>
      </w:r>
      <w:r w:rsidR="00594C9C">
        <w:t>s</w:t>
      </w:r>
      <w:r w:rsidR="000371B3">
        <w:t xml:space="preserve">ubstantial </w:t>
      </w:r>
      <w:r w:rsidR="00594C9C">
        <w:t>c</w:t>
      </w:r>
      <w:r w:rsidR="000371B3">
        <w:t xml:space="preserve">apital </w:t>
      </w:r>
      <w:r w:rsidR="00594C9C">
        <w:t>e</w:t>
      </w:r>
      <w:r w:rsidR="000371B3">
        <w:t xml:space="preserve">xpenditure. Further, </w:t>
      </w:r>
      <w:r w:rsidR="005401A5" w:rsidRPr="002F399F">
        <w:t>the Proposed Transfer is not a substantial change in service because Sturdy is not increasing total the number of procedure rooms on its hospital license.</w:t>
      </w:r>
      <w:r w:rsidR="005401A5">
        <w:t xml:space="preserve"> </w:t>
      </w:r>
      <w:r w:rsidR="00594C9C">
        <w:t xml:space="preserve">Under </w:t>
      </w:r>
      <w:proofErr w:type="spellStart"/>
      <w:r w:rsidR="00594C9C">
        <w:t>DoN</w:t>
      </w:r>
      <w:proofErr w:type="spellEnd"/>
      <w:r w:rsidR="00594C9C">
        <w:t xml:space="preserve"> regulations, the</w:t>
      </w:r>
      <w:r w:rsidR="000371B3">
        <w:t xml:space="preserve"> expansion, addition, or conversion to ambulatory surgery</w:t>
      </w:r>
      <w:r w:rsidR="00594C9C">
        <w:t xml:space="preserve"> is considered a substantial change in service</w:t>
      </w:r>
      <w:r w:rsidR="000371B3">
        <w:t>. As the Proposed Transfer will not expand</w:t>
      </w:r>
      <w:r w:rsidR="00594C9C">
        <w:t xml:space="preserve">, add to, or convert </w:t>
      </w:r>
      <w:r w:rsidR="000371B3">
        <w:t xml:space="preserve">the Hospital’s outpatient surgical service, the Proposed Transfer should not be considered a substantial change in service. </w:t>
      </w:r>
      <w:r w:rsidR="005401A5">
        <w:t xml:space="preserve">Therefore, </w:t>
      </w:r>
      <w:r w:rsidR="007641BB">
        <w:t xml:space="preserve">the Applicant respectfully requests a finding by the Department that the Proposed Transfer is not a substantial capital expenditure, nor a change in service, and accordingly does not first require a Notice of Determination of Need. </w:t>
      </w:r>
    </w:p>
    <w:p w14:paraId="716B62C2" w14:textId="77777777" w:rsidR="005401A5" w:rsidRDefault="005401A5" w:rsidP="00C37E4A">
      <w:pPr>
        <w:pStyle w:val="ListParagraph"/>
        <w:jc w:val="both"/>
      </w:pPr>
    </w:p>
    <w:p w14:paraId="3EDB6ED3" w14:textId="77777777" w:rsidR="005401A5" w:rsidRDefault="005401A5" w:rsidP="005401A5">
      <w:pPr>
        <w:pStyle w:val="ListParagraph"/>
        <w:jc w:val="both"/>
      </w:pPr>
    </w:p>
    <w:p w14:paraId="2D10C5E9" w14:textId="77777777" w:rsidR="005401A5" w:rsidRDefault="005401A5" w:rsidP="005401A5">
      <w:pPr>
        <w:pStyle w:val="ListParagraph"/>
        <w:jc w:val="both"/>
      </w:pPr>
    </w:p>
    <w:p w14:paraId="2755232F" w14:textId="77777777" w:rsidR="005401A5" w:rsidRDefault="005401A5" w:rsidP="00C37E4A">
      <w:pPr>
        <w:pStyle w:val="ListParagraph"/>
        <w:jc w:val="both"/>
      </w:pPr>
    </w:p>
    <w:p w14:paraId="1E8B9C23" w14:textId="77777777" w:rsidR="005401A5" w:rsidRDefault="005401A5" w:rsidP="00C37E4A">
      <w:pPr>
        <w:pStyle w:val="ListParagraph"/>
        <w:jc w:val="both"/>
      </w:pPr>
    </w:p>
    <w:p w14:paraId="324711A9" w14:textId="24F62A95" w:rsidR="00A77A15" w:rsidRPr="00A77A15" w:rsidRDefault="00B61FF8" w:rsidP="00A77A15">
      <w:pPr>
        <w:pStyle w:val="ListParagraph"/>
        <w:jc w:val="both"/>
      </w:pPr>
      <w:r>
        <w:t xml:space="preserve"> </w:t>
      </w:r>
    </w:p>
    <w:sectPr w:rsidR="00A77A15" w:rsidRPr="00A77A15">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EAE1B6" w14:textId="77777777" w:rsidR="00FB6268" w:rsidRDefault="00FB6268" w:rsidP="00865A41">
      <w:r>
        <w:separator/>
      </w:r>
    </w:p>
  </w:endnote>
  <w:endnote w:type="continuationSeparator" w:id="0">
    <w:p w14:paraId="2B063EC4" w14:textId="77777777" w:rsidR="00FB6268" w:rsidRDefault="00FB6268" w:rsidP="00865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3C694" w14:textId="657A06B5" w:rsidR="00830EAB" w:rsidRDefault="00830EAB">
    <w:pPr>
      <w:pStyle w:val="Footer"/>
    </w:pPr>
    <w:r>
      <w:fldChar w:fldCharType="begin"/>
    </w:r>
    <w:r w:rsidRPr="00830EAB">
      <w:rPr>
        <w:rStyle w:val="DocID"/>
      </w:rPr>
      <w:instrText xml:space="preserve"> DOCPROPERTY DOCXDOCID DMS=NetDocuments Format=HB: &lt;&lt;ID&gt;&gt;.&lt;&lt;VER&gt;&gt; PRESERVELOCATION \* MERGEFORMAT </w:instrText>
    </w:r>
    <w:r>
      <w:fldChar w:fldCharType="separate"/>
    </w:r>
    <w:r w:rsidRPr="00830EAB">
      <w:rPr>
        <w:rStyle w:val="DocID"/>
      </w:rPr>
      <w:t>HB: 4881-8134-4429.5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B94EE" w14:textId="142FE891" w:rsidR="00830EAB" w:rsidRDefault="00830EAB">
    <w:pPr>
      <w:pStyle w:val="Footer"/>
    </w:pPr>
    <w:r>
      <w:fldChar w:fldCharType="begin"/>
    </w:r>
    <w:r w:rsidRPr="00830EAB">
      <w:rPr>
        <w:rStyle w:val="DocID"/>
      </w:rPr>
      <w:instrText xml:space="preserve"> DOCPROPERTY DOCXDOCID DMS=NetDocuments Format=HB: &lt;&lt;ID&gt;&gt;.&lt;&lt;VER&gt;&gt; PRESERVELOCATION \* MERGEFORMAT </w:instrText>
    </w:r>
    <w:r>
      <w:fldChar w:fldCharType="separate"/>
    </w:r>
    <w:r w:rsidRPr="00830EAB">
      <w:rPr>
        <w:rStyle w:val="DocID"/>
      </w:rPr>
      <w:t>HB: 4881-8134-4429.5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66E44" w14:textId="50953566" w:rsidR="00830EAB" w:rsidRDefault="00830EAB">
    <w:pPr>
      <w:pStyle w:val="Footer"/>
    </w:pPr>
    <w:r>
      <w:fldChar w:fldCharType="begin"/>
    </w:r>
    <w:r w:rsidRPr="00830EAB">
      <w:rPr>
        <w:rStyle w:val="DocID"/>
      </w:rPr>
      <w:instrText xml:space="preserve"> DOCPROPERTY DOCXDOCID DMS=NetDocuments Format=HB: &lt;&lt;ID&gt;&gt;.&lt;&lt;VER&gt;&gt; PRESERVELOCATION \* MERGEFORMAT </w:instrText>
    </w:r>
    <w:r>
      <w:fldChar w:fldCharType="separate"/>
    </w:r>
    <w:r w:rsidRPr="00830EAB">
      <w:rPr>
        <w:rStyle w:val="DocID"/>
      </w:rPr>
      <w:t>HB: 4881-8134-4429.5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5DD8B6" w14:textId="77777777" w:rsidR="00FB6268" w:rsidRDefault="00FB6268" w:rsidP="00865A41">
      <w:r>
        <w:separator/>
      </w:r>
    </w:p>
  </w:footnote>
  <w:footnote w:type="continuationSeparator" w:id="0">
    <w:p w14:paraId="5070EDB6" w14:textId="77777777" w:rsidR="00FB6268" w:rsidRDefault="00FB6268" w:rsidP="00865A41">
      <w:r>
        <w:continuationSeparator/>
      </w:r>
    </w:p>
  </w:footnote>
  <w:footnote w:id="1">
    <w:p w14:paraId="65912640" w14:textId="0C09E6DF" w:rsidR="00C37E4A" w:rsidRDefault="00C37E4A">
      <w:pPr>
        <w:pStyle w:val="FootnoteText"/>
      </w:pPr>
      <w:r>
        <w:rPr>
          <w:rStyle w:val="FootnoteReference"/>
        </w:rPr>
        <w:footnoteRef/>
      </w:r>
      <w:r>
        <w:t xml:space="preserve"> </w:t>
      </w:r>
      <w:r w:rsidRPr="00C37E4A">
        <w:rPr>
          <w:sz w:val="18"/>
          <w:szCs w:val="18"/>
        </w:rPr>
        <w:t xml:space="preserve">To protect patient confidentiality, patient counts of 11 or less have been combined in a related category to maintain the correct patient total and replaced with the notation “&lt;11”. </w:t>
      </w:r>
    </w:p>
  </w:footnote>
  <w:footnote w:id="2">
    <w:p w14:paraId="47E63007" w14:textId="0DB7BE4E" w:rsidR="00865A41" w:rsidRDefault="00865A41">
      <w:pPr>
        <w:pStyle w:val="FootnoteText"/>
      </w:pPr>
      <w:r>
        <w:rPr>
          <w:rStyle w:val="FootnoteReference"/>
        </w:rPr>
        <w:footnoteRef/>
      </w:r>
      <w:r>
        <w:t xml:space="preserve"> Includes race categories not separately noted as well as patient declinations and unknown</w:t>
      </w:r>
      <w:r w:rsidR="00C37E4A">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F785F"/>
    <w:multiLevelType w:val="hybridMultilevel"/>
    <w:tmpl w:val="F3406236"/>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9A11E8"/>
    <w:multiLevelType w:val="hybridMultilevel"/>
    <w:tmpl w:val="4694F2FE"/>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5A6790"/>
    <w:multiLevelType w:val="hybridMultilevel"/>
    <w:tmpl w:val="1C64B38E"/>
    <w:lvl w:ilvl="0" w:tplc="BF74627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8853397">
    <w:abstractNumId w:val="1"/>
  </w:num>
  <w:num w:numId="2" w16cid:durableId="1548293194">
    <w:abstractNumId w:val="0"/>
  </w:num>
  <w:num w:numId="3" w16cid:durableId="819883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873"/>
    <w:rsid w:val="000371B3"/>
    <w:rsid w:val="000B5302"/>
    <w:rsid w:val="001B2F0C"/>
    <w:rsid w:val="001E60C7"/>
    <w:rsid w:val="001F1894"/>
    <w:rsid w:val="002C10FB"/>
    <w:rsid w:val="002F399F"/>
    <w:rsid w:val="00320707"/>
    <w:rsid w:val="00366C2D"/>
    <w:rsid w:val="00387694"/>
    <w:rsid w:val="005401A5"/>
    <w:rsid w:val="00570A39"/>
    <w:rsid w:val="00577D4C"/>
    <w:rsid w:val="00587776"/>
    <w:rsid w:val="00594C9C"/>
    <w:rsid w:val="00683873"/>
    <w:rsid w:val="007641BB"/>
    <w:rsid w:val="007A381E"/>
    <w:rsid w:val="007B42A8"/>
    <w:rsid w:val="007C28A9"/>
    <w:rsid w:val="007D655D"/>
    <w:rsid w:val="007F3FEF"/>
    <w:rsid w:val="007F4606"/>
    <w:rsid w:val="00830EAB"/>
    <w:rsid w:val="00865A41"/>
    <w:rsid w:val="00893A69"/>
    <w:rsid w:val="0096683B"/>
    <w:rsid w:val="009B00AE"/>
    <w:rsid w:val="009B4348"/>
    <w:rsid w:val="00A77A15"/>
    <w:rsid w:val="00AC5B00"/>
    <w:rsid w:val="00AE2C53"/>
    <w:rsid w:val="00AF7927"/>
    <w:rsid w:val="00B00111"/>
    <w:rsid w:val="00B10D50"/>
    <w:rsid w:val="00B35A51"/>
    <w:rsid w:val="00B61FF8"/>
    <w:rsid w:val="00BE4DEC"/>
    <w:rsid w:val="00C31B08"/>
    <w:rsid w:val="00C37E4A"/>
    <w:rsid w:val="00C46578"/>
    <w:rsid w:val="00C50621"/>
    <w:rsid w:val="00CB07C8"/>
    <w:rsid w:val="00D55AD2"/>
    <w:rsid w:val="00DC013D"/>
    <w:rsid w:val="00DC75BB"/>
    <w:rsid w:val="00E36749"/>
    <w:rsid w:val="00E749DE"/>
    <w:rsid w:val="00F11569"/>
    <w:rsid w:val="00FB6268"/>
    <w:rsid w:val="00FC0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D0DF4"/>
  <w15:chartTrackingRefBased/>
  <w15:docId w15:val="{F659CC08-4F6A-490F-94FB-E4E753E80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B08"/>
    <w:pPr>
      <w:suppressAutoHyphens/>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C31B08"/>
    <w:pPr>
      <w:suppressAutoHyphens w:val="0"/>
      <w:spacing w:after="240"/>
      <w:outlineLvl w:val="0"/>
    </w:pPr>
    <w:rPr>
      <w:snapToGrid w:val="0"/>
    </w:rPr>
  </w:style>
  <w:style w:type="paragraph" w:styleId="Heading2">
    <w:name w:val="heading 2"/>
    <w:basedOn w:val="Normal"/>
    <w:next w:val="Normal"/>
    <w:link w:val="Heading2Char"/>
    <w:uiPriority w:val="1"/>
    <w:qFormat/>
    <w:rsid w:val="00C31B08"/>
    <w:pPr>
      <w:suppressAutoHyphens w:val="0"/>
      <w:spacing w:after="240"/>
      <w:outlineLvl w:val="1"/>
    </w:pPr>
    <w:rPr>
      <w:snapToGrid w:val="0"/>
    </w:rPr>
  </w:style>
  <w:style w:type="paragraph" w:styleId="Heading3">
    <w:name w:val="heading 3"/>
    <w:basedOn w:val="Normal"/>
    <w:next w:val="Normal"/>
    <w:link w:val="Heading3Char"/>
    <w:uiPriority w:val="1"/>
    <w:qFormat/>
    <w:rsid w:val="00C31B08"/>
    <w:pPr>
      <w:suppressAutoHyphens w:val="0"/>
      <w:spacing w:after="240"/>
      <w:outlineLvl w:val="2"/>
    </w:pPr>
    <w:rPr>
      <w:snapToGrid w:val="0"/>
    </w:rPr>
  </w:style>
  <w:style w:type="paragraph" w:styleId="Heading4">
    <w:name w:val="heading 4"/>
    <w:basedOn w:val="Normal"/>
    <w:next w:val="Normal"/>
    <w:link w:val="Heading4Char"/>
    <w:uiPriority w:val="1"/>
    <w:qFormat/>
    <w:rsid w:val="00C31B08"/>
    <w:pPr>
      <w:suppressAutoHyphens w:val="0"/>
      <w:spacing w:after="240"/>
      <w:outlineLvl w:val="3"/>
    </w:pPr>
    <w:rPr>
      <w:snapToGrid w:val="0"/>
    </w:rPr>
  </w:style>
  <w:style w:type="paragraph" w:styleId="Heading5">
    <w:name w:val="heading 5"/>
    <w:basedOn w:val="Normal"/>
    <w:next w:val="Normal"/>
    <w:link w:val="Heading5Char"/>
    <w:uiPriority w:val="1"/>
    <w:qFormat/>
    <w:rsid w:val="00C31B08"/>
    <w:pPr>
      <w:suppressAutoHyphens w:val="0"/>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uppressAutoHyphens w:val="0"/>
      <w:spacing w:after="240"/>
      <w:outlineLvl w:val="5"/>
    </w:pPr>
  </w:style>
  <w:style w:type="paragraph" w:styleId="Heading7">
    <w:name w:val="heading 7"/>
    <w:basedOn w:val="Normal"/>
    <w:next w:val="Normal"/>
    <w:link w:val="Heading7Char"/>
    <w:uiPriority w:val="1"/>
    <w:qFormat/>
    <w:rsid w:val="00C31B08"/>
    <w:pPr>
      <w:tabs>
        <w:tab w:val="num" w:pos="2520"/>
      </w:tabs>
      <w:suppressAutoHyphens w:val="0"/>
      <w:spacing w:after="240"/>
      <w:outlineLvl w:val="6"/>
    </w:pPr>
  </w:style>
  <w:style w:type="paragraph" w:styleId="Heading8">
    <w:name w:val="heading 8"/>
    <w:basedOn w:val="Normal"/>
    <w:next w:val="Normal"/>
    <w:link w:val="Heading8Char"/>
    <w:uiPriority w:val="1"/>
    <w:qFormat/>
    <w:rsid w:val="00C31B08"/>
    <w:pPr>
      <w:tabs>
        <w:tab w:val="num" w:pos="2880"/>
      </w:tabs>
      <w:suppressAutoHyphens w:val="0"/>
      <w:spacing w:after="240"/>
      <w:outlineLvl w:val="7"/>
    </w:pPr>
  </w:style>
  <w:style w:type="paragraph" w:styleId="Heading9">
    <w:name w:val="heading 9"/>
    <w:basedOn w:val="Normal"/>
    <w:next w:val="Normal"/>
    <w:link w:val="Heading9Char"/>
    <w:uiPriority w:val="1"/>
    <w:qFormat/>
    <w:rsid w:val="00C31B08"/>
    <w:pPr>
      <w:tabs>
        <w:tab w:val="num" w:pos="3240"/>
      </w:tabs>
      <w:suppressAutoHyphens w:val="0"/>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
    <w:name w:val="HBb"/>
    <w:basedOn w:val="Normal"/>
    <w:uiPriority w:val="1"/>
    <w:qFormat/>
    <w:rsid w:val="00C31B08"/>
    <w:pPr>
      <w:spacing w:after="240"/>
      <w:ind w:firstLine="720"/>
    </w:pPr>
  </w:style>
  <w:style w:type="paragraph" w:customStyle="1" w:styleId="HBbd">
    <w:name w:val="HBbd"/>
    <w:basedOn w:val="Normal"/>
    <w:uiPriority w:val="1"/>
    <w:qFormat/>
    <w:rsid w:val="00C31B08"/>
    <w:pPr>
      <w:spacing w:line="480" w:lineRule="auto"/>
      <w:ind w:firstLine="720"/>
    </w:pPr>
  </w:style>
  <w:style w:type="paragraph" w:customStyle="1" w:styleId="HBbj">
    <w:name w:val="HBbj"/>
    <w:basedOn w:val="Normal"/>
    <w:uiPriority w:val="1"/>
    <w:qFormat/>
    <w:rsid w:val="00C31B08"/>
    <w:pPr>
      <w:spacing w:after="240"/>
      <w:ind w:firstLine="720"/>
      <w:jc w:val="both"/>
    </w:pPr>
  </w:style>
  <w:style w:type="paragraph" w:customStyle="1" w:styleId="HBbjd">
    <w:name w:val="HBbjd"/>
    <w:basedOn w:val="Normal"/>
    <w:uiPriority w:val="1"/>
    <w:qFormat/>
    <w:rsid w:val="00C31B08"/>
    <w:pPr>
      <w:spacing w:line="480" w:lineRule="auto"/>
      <w:ind w:firstLine="720"/>
      <w:jc w:val="both"/>
    </w:pPr>
  </w:style>
  <w:style w:type="paragraph" w:customStyle="1" w:styleId="HBbl">
    <w:name w:val="HBbl"/>
    <w:basedOn w:val="Normal"/>
    <w:uiPriority w:val="1"/>
    <w:qFormat/>
    <w:rsid w:val="00C31B08"/>
    <w:pPr>
      <w:spacing w:after="240"/>
    </w:pPr>
  </w:style>
  <w:style w:type="paragraph" w:customStyle="1" w:styleId="HBbl1">
    <w:name w:val="HBbl1"/>
    <w:basedOn w:val="Normal"/>
    <w:uiPriority w:val="1"/>
    <w:qFormat/>
    <w:rsid w:val="00C31B08"/>
    <w:pPr>
      <w:spacing w:after="240"/>
      <w:ind w:left="720"/>
    </w:pPr>
  </w:style>
  <w:style w:type="paragraph" w:customStyle="1" w:styleId="HBbl1d">
    <w:name w:val="HBbl1d"/>
    <w:basedOn w:val="Normal"/>
    <w:uiPriority w:val="1"/>
    <w:qFormat/>
    <w:rsid w:val="00C31B08"/>
    <w:pPr>
      <w:spacing w:line="480" w:lineRule="auto"/>
      <w:ind w:left="720"/>
    </w:pPr>
  </w:style>
  <w:style w:type="paragraph" w:customStyle="1" w:styleId="HBbl1j">
    <w:name w:val="HBbl1j"/>
    <w:basedOn w:val="Normal"/>
    <w:uiPriority w:val="1"/>
    <w:qFormat/>
    <w:rsid w:val="00C31B08"/>
    <w:pPr>
      <w:spacing w:after="240"/>
      <w:ind w:left="720"/>
      <w:jc w:val="both"/>
    </w:pPr>
  </w:style>
  <w:style w:type="paragraph" w:customStyle="1" w:styleId="HBbl1jD">
    <w:name w:val="HBbl1jD"/>
    <w:basedOn w:val="Normal"/>
    <w:uiPriority w:val="1"/>
    <w:qFormat/>
    <w:rsid w:val="00C31B08"/>
    <w:pPr>
      <w:spacing w:line="480" w:lineRule="auto"/>
      <w:ind w:left="720"/>
      <w:jc w:val="both"/>
    </w:pPr>
  </w:style>
  <w:style w:type="paragraph" w:customStyle="1" w:styleId="HBbld">
    <w:name w:val="HBbld"/>
    <w:basedOn w:val="Normal"/>
    <w:uiPriority w:val="1"/>
    <w:qFormat/>
    <w:rsid w:val="00C31B08"/>
    <w:pPr>
      <w:spacing w:line="480" w:lineRule="auto"/>
    </w:pPr>
  </w:style>
  <w:style w:type="paragraph" w:customStyle="1" w:styleId="HBblj">
    <w:name w:val="HBblj"/>
    <w:basedOn w:val="Normal"/>
    <w:uiPriority w:val="1"/>
    <w:qFormat/>
    <w:rsid w:val="00C31B08"/>
    <w:pPr>
      <w:spacing w:after="240"/>
      <w:jc w:val="both"/>
    </w:pPr>
  </w:style>
  <w:style w:type="paragraph" w:customStyle="1" w:styleId="HBbljd">
    <w:name w:val="HBbljd"/>
    <w:basedOn w:val="Normal"/>
    <w:uiPriority w:val="1"/>
    <w:qFormat/>
    <w:rsid w:val="00C31B08"/>
    <w:pPr>
      <w:spacing w:line="480" w:lineRule="auto"/>
      <w:jc w:val="both"/>
    </w:pPr>
  </w:style>
  <w:style w:type="paragraph" w:customStyle="1" w:styleId="HBbul">
    <w:name w:val="HBbul"/>
    <w:basedOn w:val="Normal"/>
    <w:uiPriority w:val="1"/>
    <w:qFormat/>
    <w:rsid w:val="00C31B08"/>
    <w:pPr>
      <w:keepLines/>
      <w:numPr>
        <w:numId w:val="1"/>
      </w:numPr>
      <w:spacing w:before="120" w:after="120"/>
    </w:pPr>
    <w:rPr>
      <w:sz w:val="18"/>
    </w:rPr>
  </w:style>
  <w:style w:type="paragraph" w:customStyle="1" w:styleId="HBh">
    <w:name w:val="HBh"/>
    <w:basedOn w:val="Normal"/>
    <w:uiPriority w:val="1"/>
    <w:qFormat/>
    <w:rsid w:val="00C31B08"/>
    <w:pPr>
      <w:spacing w:after="240"/>
      <w:ind w:left="720" w:hanging="720"/>
    </w:pPr>
  </w:style>
  <w:style w:type="paragraph" w:customStyle="1" w:styleId="HBhd">
    <w:name w:val="HBhd"/>
    <w:basedOn w:val="Normal"/>
    <w:uiPriority w:val="1"/>
    <w:qFormat/>
    <w:rsid w:val="00C31B08"/>
    <w:pPr>
      <w:spacing w:line="480" w:lineRule="auto"/>
      <w:ind w:left="720" w:hanging="720"/>
    </w:pPr>
  </w:style>
  <w:style w:type="paragraph" w:customStyle="1" w:styleId="HBq">
    <w:name w:val="HBq"/>
    <w:basedOn w:val="Normal"/>
    <w:uiPriority w:val="1"/>
    <w:qFormat/>
    <w:rsid w:val="00C31B08"/>
    <w:pPr>
      <w:spacing w:after="240"/>
      <w:ind w:left="720" w:right="720"/>
    </w:pPr>
  </w:style>
  <w:style w:type="paragraph" w:customStyle="1" w:styleId="HBqj">
    <w:name w:val="HBqj"/>
    <w:basedOn w:val="Normal"/>
    <w:uiPriority w:val="1"/>
    <w:qFormat/>
    <w:rsid w:val="00C31B08"/>
    <w:pPr>
      <w:spacing w:after="240"/>
      <w:ind w:left="720" w:right="720"/>
      <w:jc w:val="both"/>
    </w:pPr>
  </w:style>
  <w:style w:type="paragraph" w:customStyle="1" w:styleId="HBsbul">
    <w:name w:val="HBsbul"/>
    <w:basedOn w:val="Normal"/>
    <w:uiPriority w:val="1"/>
    <w:qFormat/>
    <w:rsid w:val="00C31B08"/>
    <w:pPr>
      <w:numPr>
        <w:numId w:val="2"/>
      </w:numPr>
      <w:spacing w:after="120"/>
    </w:pPr>
    <w:rPr>
      <w:sz w:val="18"/>
    </w:rPr>
  </w:style>
  <w:style w:type="paragraph" w:customStyle="1" w:styleId="HBsig">
    <w:name w:val="HBsig"/>
    <w:basedOn w:val="Normal"/>
    <w:uiPriority w:val="1"/>
    <w:qFormat/>
    <w:rsid w:val="00C31B08"/>
    <w:pPr>
      <w:keepNext/>
      <w:tabs>
        <w:tab w:val="right" w:pos="9216"/>
      </w:tabs>
      <w:ind w:left="4320"/>
    </w:pPr>
  </w:style>
  <w:style w:type="paragraph" w:customStyle="1" w:styleId="HBsl">
    <w:name w:val="HBsl"/>
    <w:basedOn w:val="Normal"/>
    <w:next w:val="HBb"/>
    <w:uiPriority w:val="1"/>
    <w:qFormat/>
    <w:rsid w:val="00C31B08"/>
    <w:pPr>
      <w:keepNext/>
      <w:spacing w:after="240"/>
    </w:pPr>
    <w:rPr>
      <w:u w:val="single"/>
    </w:rPr>
  </w:style>
  <w:style w:type="paragraph" w:customStyle="1" w:styleId="HBslb">
    <w:name w:val="HBslb"/>
    <w:basedOn w:val="Normal"/>
    <w:next w:val="Normal"/>
    <w:uiPriority w:val="1"/>
    <w:qFormat/>
    <w:rsid w:val="00C31B08"/>
    <w:pPr>
      <w:keepNext/>
      <w:suppressAutoHyphens w:val="0"/>
      <w:spacing w:after="240"/>
      <w:outlineLvl w:val="1"/>
    </w:pPr>
    <w:rPr>
      <w:b/>
      <w:u w:val="single"/>
    </w:rPr>
  </w:style>
  <w:style w:type="paragraph" w:customStyle="1" w:styleId="HBsn">
    <w:name w:val="HBsn"/>
    <w:basedOn w:val="Normal"/>
    <w:uiPriority w:val="1"/>
    <w:qFormat/>
    <w:rsid w:val="00C31B08"/>
    <w:pPr>
      <w:keepNext/>
      <w:spacing w:before="960" w:after="240"/>
      <w:ind w:left="4320"/>
      <w:contextualSpacing/>
    </w:pPr>
  </w:style>
  <w:style w:type="paragraph" w:customStyle="1" w:styleId="HBtb2">
    <w:name w:val="HBtb2"/>
    <w:basedOn w:val="Normal"/>
    <w:uiPriority w:val="1"/>
    <w:qFormat/>
    <w:rsid w:val="00C31B08"/>
    <w:pPr>
      <w:keepNext/>
      <w:spacing w:after="240"/>
      <w:jc w:val="center"/>
      <w:outlineLvl w:val="0"/>
    </w:pPr>
    <w:rPr>
      <w:b/>
    </w:rPr>
  </w:style>
  <w:style w:type="paragraph" w:customStyle="1" w:styleId="HBtbu">
    <w:name w:val="HBtbu"/>
    <w:basedOn w:val="Normal"/>
    <w:uiPriority w:val="1"/>
    <w:qFormat/>
    <w:rsid w:val="00C31B08"/>
    <w:pPr>
      <w:keepNext/>
      <w:spacing w:after="240"/>
      <w:jc w:val="center"/>
      <w:outlineLvl w:val="0"/>
    </w:pPr>
    <w:rPr>
      <w:b/>
      <w:u w:val="single"/>
    </w:rPr>
  </w:style>
  <w:style w:type="paragraph" w:customStyle="1" w:styleId="HBtbu3">
    <w:name w:val="HBtbu3"/>
    <w:basedOn w:val="Normal"/>
    <w:uiPriority w:val="1"/>
    <w:qFormat/>
    <w:rsid w:val="00C31B08"/>
    <w:pPr>
      <w:keepNext/>
      <w:suppressAutoHyphens w:val="0"/>
      <w:spacing w:after="480"/>
      <w:jc w:val="center"/>
      <w:outlineLvl w:val="0"/>
    </w:pPr>
    <w:rPr>
      <w:b/>
      <w:u w:val="single"/>
    </w:rPr>
  </w:style>
  <w:style w:type="paragraph" w:customStyle="1" w:styleId="HBtu2">
    <w:name w:val="HBtu2"/>
    <w:basedOn w:val="Normal"/>
    <w:uiPriority w:val="1"/>
    <w:qFormat/>
    <w:rsid w:val="00C31B08"/>
    <w:pPr>
      <w:keepNext/>
      <w:spacing w:after="240"/>
      <w:jc w:val="center"/>
      <w:outlineLvl w:val="0"/>
    </w:pPr>
    <w:rPr>
      <w:u w:val="single"/>
    </w:rPr>
  </w:style>
  <w:style w:type="character" w:customStyle="1" w:styleId="Heading1Char">
    <w:name w:val="Heading 1 Char"/>
    <w:link w:val="Heading1"/>
    <w:uiPriority w:val="1"/>
    <w:rsid w:val="00C31B08"/>
    <w:rPr>
      <w:rFonts w:ascii="Times New Roman" w:eastAsia="Times New Roman" w:hAnsi="Times New Roman" w:cs="Times New Roman"/>
      <w:snapToGrid w:val="0"/>
      <w:sz w:val="24"/>
      <w:szCs w:val="24"/>
    </w:rPr>
  </w:style>
  <w:style w:type="character" w:customStyle="1" w:styleId="Heading2Char">
    <w:name w:val="Heading 2 Char"/>
    <w:link w:val="Heading2"/>
    <w:uiPriority w:val="1"/>
    <w:rsid w:val="00C31B08"/>
    <w:rPr>
      <w:rFonts w:ascii="Times New Roman" w:eastAsia="Times New Roman" w:hAnsi="Times New Roman" w:cs="Times New Roman"/>
      <w:snapToGrid w:val="0"/>
      <w:sz w:val="24"/>
      <w:szCs w:val="24"/>
    </w:rPr>
  </w:style>
  <w:style w:type="character" w:customStyle="1" w:styleId="Heading3Char">
    <w:name w:val="Heading 3 Char"/>
    <w:link w:val="Heading3"/>
    <w:uiPriority w:val="1"/>
    <w:rsid w:val="00C31B08"/>
    <w:rPr>
      <w:rFonts w:ascii="Times New Roman" w:eastAsia="Times New Roman" w:hAnsi="Times New Roman" w:cs="Times New Roman"/>
      <w:snapToGrid w:val="0"/>
      <w:sz w:val="24"/>
      <w:szCs w:val="24"/>
    </w:rPr>
  </w:style>
  <w:style w:type="character" w:customStyle="1" w:styleId="Heading4Char">
    <w:name w:val="Heading 4 Char"/>
    <w:link w:val="Heading4"/>
    <w:uiPriority w:val="1"/>
    <w:rsid w:val="00C31B08"/>
    <w:rPr>
      <w:rFonts w:ascii="Times New Roman" w:eastAsia="Times New Roman" w:hAnsi="Times New Roman" w:cs="Times New Roman"/>
      <w:snapToGrid w:val="0"/>
      <w:sz w:val="24"/>
      <w:szCs w:val="24"/>
    </w:rPr>
  </w:style>
  <w:style w:type="character" w:customStyle="1" w:styleId="Heading5Char">
    <w:name w:val="Heading 5 Char"/>
    <w:link w:val="Heading5"/>
    <w:uiPriority w:val="1"/>
    <w:rsid w:val="00C31B08"/>
    <w:rPr>
      <w:rFonts w:ascii="Times New Roman" w:eastAsia="Times New Roman" w:hAnsi="Times New Roman" w:cs="Times New Roman"/>
      <w:snapToGrid w:val="0"/>
      <w:sz w:val="24"/>
      <w:szCs w:val="24"/>
    </w:rPr>
  </w:style>
  <w:style w:type="character" w:customStyle="1" w:styleId="Heading6Char">
    <w:name w:val="Heading 6 Char"/>
    <w:link w:val="Heading6"/>
    <w:uiPriority w:val="1"/>
    <w:rsid w:val="00C31B08"/>
    <w:rPr>
      <w:rFonts w:ascii="Times New Roman" w:eastAsia="Times New Roman" w:hAnsi="Times New Roman" w:cs="Times New Roman"/>
      <w:sz w:val="24"/>
      <w:szCs w:val="24"/>
    </w:rPr>
  </w:style>
  <w:style w:type="character" w:customStyle="1" w:styleId="Heading7Char">
    <w:name w:val="Heading 7 Char"/>
    <w:link w:val="Heading7"/>
    <w:uiPriority w:val="1"/>
    <w:rsid w:val="00C31B08"/>
    <w:rPr>
      <w:rFonts w:ascii="Times New Roman" w:eastAsia="Times New Roman" w:hAnsi="Times New Roman" w:cs="Times New Roman"/>
      <w:sz w:val="24"/>
      <w:szCs w:val="24"/>
    </w:rPr>
  </w:style>
  <w:style w:type="character" w:customStyle="1" w:styleId="Heading8Char">
    <w:name w:val="Heading 8 Char"/>
    <w:link w:val="Heading8"/>
    <w:uiPriority w:val="1"/>
    <w:rsid w:val="00C31B08"/>
    <w:rPr>
      <w:rFonts w:ascii="Times New Roman" w:eastAsia="Times New Roman" w:hAnsi="Times New Roman" w:cs="Times New Roman"/>
      <w:sz w:val="24"/>
      <w:szCs w:val="24"/>
    </w:rPr>
  </w:style>
  <w:style w:type="character" w:customStyle="1" w:styleId="Heading9Char">
    <w:name w:val="Heading 9 Char"/>
    <w:link w:val="Heading9"/>
    <w:uiPriority w:val="1"/>
    <w:rsid w:val="00C31B08"/>
    <w:rPr>
      <w:rFonts w:ascii="Times New Roman" w:eastAsia="Times New Roman" w:hAnsi="Times New Roman" w:cs="Times New Roman"/>
      <w:sz w:val="24"/>
      <w:szCs w:val="24"/>
    </w:rPr>
  </w:style>
  <w:style w:type="paragraph" w:customStyle="1" w:styleId="MarysStyle">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customStyle="1" w:styleId="TitleChar">
    <w:name w:val="Title Char"/>
    <w:link w:val="Title"/>
    <w:uiPriority w:val="1"/>
    <w:rsid w:val="00C31B08"/>
    <w:rPr>
      <w:rFonts w:ascii="Times New Roman" w:eastAsia="Times New Roman" w:hAnsi="Times New Roman" w:cs="Arial"/>
      <w:b/>
      <w:bCs/>
      <w:kern w:val="28"/>
      <w:sz w:val="36"/>
      <w:szCs w:val="32"/>
    </w:rPr>
  </w:style>
  <w:style w:type="paragraph" w:styleId="ListParagraph">
    <w:name w:val="List Paragraph"/>
    <w:basedOn w:val="Normal"/>
    <w:uiPriority w:val="34"/>
    <w:qFormat/>
    <w:rsid w:val="00683873"/>
    <w:pPr>
      <w:ind w:left="720"/>
      <w:contextualSpacing/>
    </w:pPr>
  </w:style>
  <w:style w:type="paragraph" w:customStyle="1" w:styleId="xmsonormal">
    <w:name w:val="x_msonormal"/>
    <w:basedOn w:val="Normal"/>
    <w:rsid w:val="00D55AD2"/>
    <w:pPr>
      <w:suppressAutoHyphens w:val="0"/>
    </w:pPr>
    <w:rPr>
      <w:rFonts w:ascii="Calibri" w:eastAsiaTheme="minorHAnsi" w:hAnsi="Calibri" w:cs="Calibri"/>
      <w:kern w:val="0"/>
      <w:sz w:val="20"/>
      <w:szCs w:val="20"/>
      <w14:ligatures w14:val="none"/>
    </w:rPr>
  </w:style>
  <w:style w:type="paragraph" w:styleId="FootnoteText">
    <w:name w:val="footnote text"/>
    <w:basedOn w:val="Normal"/>
    <w:link w:val="FootnoteTextChar"/>
    <w:uiPriority w:val="99"/>
    <w:semiHidden/>
    <w:unhideWhenUsed/>
    <w:rsid w:val="00865A41"/>
    <w:rPr>
      <w:sz w:val="20"/>
      <w:szCs w:val="20"/>
    </w:rPr>
  </w:style>
  <w:style w:type="character" w:customStyle="1" w:styleId="FootnoteTextChar">
    <w:name w:val="Footnote Text Char"/>
    <w:basedOn w:val="DefaultParagraphFont"/>
    <w:link w:val="FootnoteText"/>
    <w:uiPriority w:val="99"/>
    <w:semiHidden/>
    <w:rsid w:val="00865A41"/>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865A41"/>
    <w:rPr>
      <w:vertAlign w:val="superscript"/>
    </w:rPr>
  </w:style>
  <w:style w:type="character" w:styleId="CommentReference">
    <w:name w:val="annotation reference"/>
    <w:basedOn w:val="DefaultParagraphFont"/>
    <w:uiPriority w:val="99"/>
    <w:semiHidden/>
    <w:unhideWhenUsed/>
    <w:rsid w:val="00893A69"/>
    <w:rPr>
      <w:sz w:val="16"/>
      <w:szCs w:val="16"/>
    </w:rPr>
  </w:style>
  <w:style w:type="paragraph" w:styleId="CommentText">
    <w:name w:val="annotation text"/>
    <w:basedOn w:val="Normal"/>
    <w:link w:val="CommentTextChar"/>
    <w:uiPriority w:val="99"/>
    <w:unhideWhenUsed/>
    <w:rsid w:val="00893A69"/>
    <w:rPr>
      <w:sz w:val="20"/>
      <w:szCs w:val="20"/>
    </w:rPr>
  </w:style>
  <w:style w:type="character" w:customStyle="1" w:styleId="CommentTextChar">
    <w:name w:val="Comment Text Char"/>
    <w:basedOn w:val="DefaultParagraphFont"/>
    <w:link w:val="CommentText"/>
    <w:uiPriority w:val="99"/>
    <w:rsid w:val="00893A6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3A69"/>
    <w:rPr>
      <w:b/>
      <w:bCs/>
    </w:rPr>
  </w:style>
  <w:style w:type="character" w:customStyle="1" w:styleId="CommentSubjectChar">
    <w:name w:val="Comment Subject Char"/>
    <w:basedOn w:val="CommentTextChar"/>
    <w:link w:val="CommentSubject"/>
    <w:uiPriority w:val="99"/>
    <w:semiHidden/>
    <w:rsid w:val="00893A69"/>
    <w:rPr>
      <w:rFonts w:ascii="Times New Roman" w:hAnsi="Times New Roman" w:cs="Times New Roman"/>
      <w:b/>
      <w:bCs/>
      <w:sz w:val="20"/>
      <w:szCs w:val="20"/>
    </w:rPr>
  </w:style>
  <w:style w:type="paragraph" w:styleId="Revision">
    <w:name w:val="Revision"/>
    <w:hidden/>
    <w:uiPriority w:val="99"/>
    <w:semiHidden/>
    <w:rsid w:val="00FC0F69"/>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830EAB"/>
    <w:pPr>
      <w:tabs>
        <w:tab w:val="center" w:pos="4680"/>
        <w:tab w:val="right" w:pos="9360"/>
      </w:tabs>
    </w:pPr>
  </w:style>
  <w:style w:type="character" w:customStyle="1" w:styleId="HeaderChar">
    <w:name w:val="Header Char"/>
    <w:basedOn w:val="DefaultParagraphFont"/>
    <w:link w:val="Header"/>
    <w:uiPriority w:val="99"/>
    <w:rsid w:val="00830EAB"/>
    <w:rPr>
      <w:rFonts w:ascii="Times New Roman" w:hAnsi="Times New Roman" w:cs="Times New Roman"/>
      <w:sz w:val="24"/>
      <w:szCs w:val="24"/>
    </w:rPr>
  </w:style>
  <w:style w:type="paragraph" w:styleId="Footer">
    <w:name w:val="footer"/>
    <w:basedOn w:val="Normal"/>
    <w:link w:val="FooterChar"/>
    <w:uiPriority w:val="99"/>
    <w:unhideWhenUsed/>
    <w:rsid w:val="00830EAB"/>
    <w:pPr>
      <w:tabs>
        <w:tab w:val="center" w:pos="4680"/>
        <w:tab w:val="right" w:pos="9360"/>
      </w:tabs>
    </w:pPr>
  </w:style>
  <w:style w:type="character" w:customStyle="1" w:styleId="FooterChar">
    <w:name w:val="Footer Char"/>
    <w:basedOn w:val="DefaultParagraphFont"/>
    <w:link w:val="Footer"/>
    <w:uiPriority w:val="99"/>
    <w:rsid w:val="00830EAB"/>
    <w:rPr>
      <w:rFonts w:ascii="Times New Roman" w:hAnsi="Times New Roman" w:cs="Times New Roman"/>
      <w:sz w:val="24"/>
      <w:szCs w:val="24"/>
    </w:rPr>
  </w:style>
  <w:style w:type="character" w:customStyle="1" w:styleId="DocID">
    <w:name w:val="DocID"/>
    <w:basedOn w:val="DefaultParagraphFont"/>
    <w:uiPriority w:val="1"/>
    <w:rsid w:val="00830EAB"/>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631522">
      <w:bodyDiv w:val="1"/>
      <w:marLeft w:val="0"/>
      <w:marRight w:val="0"/>
      <w:marTop w:val="0"/>
      <w:marBottom w:val="0"/>
      <w:divBdr>
        <w:top w:val="none" w:sz="0" w:space="0" w:color="auto"/>
        <w:left w:val="none" w:sz="0" w:space="0" w:color="auto"/>
        <w:bottom w:val="none" w:sz="0" w:space="0" w:color="auto"/>
        <w:right w:val="none" w:sz="0" w:space="0" w:color="auto"/>
      </w:divBdr>
    </w:div>
    <w:div w:id="204177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51B5C-FBC3-48DE-9F41-DF6B343BA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1035</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Ciolfi, Kasey</dc:creator>
  <cp:keywords/>
  <dc:description/>
  <cp:lastModifiedBy>Marks, Brett (DPH)</cp:lastModifiedBy>
  <cp:revision>4</cp:revision>
  <dcterms:created xsi:type="dcterms:W3CDTF">2024-04-10T15:40:00Z</dcterms:created>
  <dcterms:modified xsi:type="dcterms:W3CDTF">2024-06-27T13:27:00Z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4881-8134-4429</vt:lpwstr>
  </property>
  <property fmtid="{D5CDD505-2E9C-101B-9397-08002B2CF9AE}" pid="3" name="DOCXDOCID">
    <vt:lpwstr>HB: 4881-8134-4429.5</vt:lpwstr>
  </property>
  <property fmtid="{D5CDD505-2E9C-101B-9397-08002B2CF9AE}" pid="4" name="DocXLocation">
    <vt:lpwstr>Every Page</vt:lpwstr>
  </property>
  <property fmtid="{D5CDD505-2E9C-101B-9397-08002B2CF9AE}" pid="5" name="DocXFormat">
    <vt:lpwstr>HB DocID w/ver w/HB Label</vt:lpwstr>
  </property>
</Properties>
</file>