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CD4C4" w14:textId="09B275B0" w:rsidR="000E59CA" w:rsidRPr="00D604E6" w:rsidRDefault="000E59CA" w:rsidP="000E59CA">
      <w:pPr>
        <w:rPr>
          <w:b/>
          <w:bCs/>
        </w:rPr>
      </w:pPr>
      <w:r w:rsidRPr="00D604E6">
        <w:rPr>
          <w:b/>
          <w:bCs/>
        </w:rPr>
        <w:t>2. Project Descripti</w:t>
      </w:r>
      <w:r>
        <w:rPr>
          <w:b/>
          <w:bCs/>
        </w:rPr>
        <w:t>o</w:t>
      </w:r>
      <w:r w:rsidR="00517D23">
        <w:rPr>
          <w:b/>
          <w:bCs/>
        </w:rPr>
        <w:t>n</w:t>
      </w:r>
    </w:p>
    <w:p w14:paraId="55CDA34E" w14:textId="77777777" w:rsidR="00C05B77" w:rsidRDefault="000E59CA" w:rsidP="000E59CA">
      <w:pPr>
        <w:autoSpaceDE w:val="0"/>
        <w:autoSpaceDN w:val="0"/>
        <w:adjustRightInd w:val="0"/>
        <w:spacing w:after="0" w:line="240" w:lineRule="auto"/>
        <w:jc w:val="both"/>
        <w:rPr>
          <w:rFonts w:ascii="Calibri" w:hAnsi="Calibri" w:cs="Calibri"/>
        </w:rPr>
      </w:pPr>
      <w:r>
        <w:rPr>
          <w:rFonts w:ascii="Calibri" w:hAnsi="Calibri" w:cs="Calibri"/>
        </w:rPr>
        <w:t>Tufts Medicine: Shields PET-CT</w:t>
      </w:r>
      <w:r w:rsidRPr="002E1070">
        <w:rPr>
          <w:rFonts w:ascii="Calibri" w:hAnsi="Calibri" w:cs="Calibri"/>
        </w:rPr>
        <w:t>, LLC (“Applicant”</w:t>
      </w:r>
      <w:r>
        <w:rPr>
          <w:rFonts w:ascii="Calibri" w:hAnsi="Calibri" w:cs="Calibri"/>
        </w:rPr>
        <w:t>)</w:t>
      </w:r>
      <w:r w:rsidRPr="002E1070">
        <w:rPr>
          <w:rFonts w:ascii="Calibri" w:hAnsi="Calibri" w:cs="Calibri"/>
        </w:rPr>
        <w:t xml:space="preserve"> located at 700 Congress Street, Suite 204, Quincy, Massachusetts 02169 is filing a Determination of Need Application (“Application”) with the Massachusetts Department of Public Health (“DPH”) for the establishment of a licensed clinic to provide part-time </w:t>
      </w:r>
      <w:r>
        <w:rPr>
          <w:rFonts w:ascii="Calibri" w:hAnsi="Calibri" w:cs="Calibri"/>
        </w:rPr>
        <w:t xml:space="preserve">mobile </w:t>
      </w:r>
      <w:r w:rsidRPr="002E1070">
        <w:rPr>
          <w:rFonts w:ascii="Calibri" w:hAnsi="Calibri" w:cs="Calibri"/>
        </w:rPr>
        <w:t xml:space="preserve">positron emission tomography (“PET”) – computed tomography (“CT”) </w:t>
      </w:r>
      <w:r>
        <w:rPr>
          <w:rFonts w:ascii="Calibri" w:hAnsi="Calibri" w:cs="Calibri"/>
        </w:rPr>
        <w:t xml:space="preserve">(together “PET-CT”) </w:t>
      </w:r>
      <w:r w:rsidRPr="002E1070">
        <w:rPr>
          <w:rFonts w:ascii="Calibri" w:hAnsi="Calibri" w:cs="Calibri"/>
        </w:rPr>
        <w:t xml:space="preserve">diagnostic imaging services. Specifically, the </w:t>
      </w:r>
      <w:r>
        <w:rPr>
          <w:rFonts w:ascii="Calibri" w:hAnsi="Calibri" w:cs="Calibri"/>
        </w:rPr>
        <w:t xml:space="preserve">mobile </w:t>
      </w:r>
      <w:r w:rsidRPr="002E1070">
        <w:rPr>
          <w:rFonts w:ascii="Calibri" w:hAnsi="Calibri" w:cs="Calibri"/>
        </w:rPr>
        <w:t xml:space="preserve">PET-CT </w:t>
      </w:r>
      <w:r>
        <w:rPr>
          <w:rFonts w:ascii="Calibri" w:hAnsi="Calibri" w:cs="Calibri"/>
        </w:rPr>
        <w:t>unit</w:t>
      </w:r>
      <w:r w:rsidRPr="002E1070">
        <w:rPr>
          <w:rFonts w:ascii="Calibri" w:hAnsi="Calibri" w:cs="Calibri"/>
        </w:rPr>
        <w:t xml:space="preserve"> will be located </w:t>
      </w:r>
      <w:r w:rsidR="00B06C20">
        <w:rPr>
          <w:rFonts w:ascii="Calibri" w:hAnsi="Calibri" w:cs="Calibri"/>
        </w:rPr>
        <w:t xml:space="preserve">at </w:t>
      </w:r>
      <w:r w:rsidR="00332245">
        <w:rPr>
          <w:rFonts w:ascii="Calibri" w:hAnsi="Calibri" w:cs="Calibri"/>
        </w:rPr>
        <w:t>the MelroseWakefield Medical Building whose address is</w:t>
      </w:r>
      <w:r w:rsidRPr="002E1070">
        <w:rPr>
          <w:rFonts w:ascii="Calibri" w:hAnsi="Calibri" w:cs="Calibri"/>
        </w:rPr>
        <w:t xml:space="preserve"> </w:t>
      </w:r>
      <w:r w:rsidR="00332245" w:rsidRPr="00C35CE9">
        <w:rPr>
          <w:rFonts w:ascii="Calibri" w:hAnsi="Calibri" w:cs="Calibri"/>
        </w:rPr>
        <w:t>888 Main Street, Wakefield (the “PET/CT Site”</w:t>
      </w:r>
      <w:r w:rsidR="00332245">
        <w:rPr>
          <w:rFonts w:ascii="Calibri" w:hAnsi="Calibri" w:cs="Calibri"/>
        </w:rPr>
        <w:t>)</w:t>
      </w:r>
      <w:r w:rsidR="00136DC8">
        <w:rPr>
          <w:rFonts w:ascii="Calibri" w:hAnsi="Calibri" w:cs="Calibri"/>
        </w:rPr>
        <w:t xml:space="preserve"> </w:t>
      </w:r>
      <w:r>
        <w:rPr>
          <w:rFonts w:ascii="Calibri" w:hAnsi="Calibri" w:cs="Calibri"/>
        </w:rPr>
        <w:t xml:space="preserve">and will operate one day per week </w:t>
      </w:r>
      <w:r w:rsidRPr="002E1070">
        <w:rPr>
          <w:rFonts w:ascii="Calibri" w:hAnsi="Calibri" w:cs="Calibri"/>
        </w:rPr>
        <w:t>(“Proposed Project</w:t>
      </w:r>
      <w:r>
        <w:rPr>
          <w:rFonts w:ascii="Calibri" w:hAnsi="Calibri" w:cs="Calibri"/>
        </w:rPr>
        <w:t xml:space="preserve">”).  </w:t>
      </w:r>
    </w:p>
    <w:p w14:paraId="640F0F7A" w14:textId="77777777" w:rsidR="00C05B77" w:rsidRDefault="00C05B77" w:rsidP="000E59CA">
      <w:pPr>
        <w:autoSpaceDE w:val="0"/>
        <w:autoSpaceDN w:val="0"/>
        <w:adjustRightInd w:val="0"/>
        <w:spacing w:after="0" w:line="240" w:lineRule="auto"/>
        <w:jc w:val="both"/>
        <w:rPr>
          <w:rFonts w:ascii="Calibri" w:hAnsi="Calibri" w:cs="Calibri"/>
        </w:rPr>
      </w:pPr>
    </w:p>
    <w:p w14:paraId="2C0719F2" w14:textId="7FE63930" w:rsidR="000E59CA" w:rsidRPr="00565056" w:rsidRDefault="00C02A7E" w:rsidP="000E59CA">
      <w:pPr>
        <w:autoSpaceDE w:val="0"/>
        <w:autoSpaceDN w:val="0"/>
        <w:adjustRightInd w:val="0"/>
        <w:spacing w:after="0" w:line="240" w:lineRule="auto"/>
        <w:jc w:val="both"/>
        <w:rPr>
          <w:bCs/>
        </w:rPr>
      </w:pPr>
      <w:r>
        <w:rPr>
          <w:rFonts w:ascii="Calibri" w:hAnsi="Calibri" w:cs="Calibri"/>
        </w:rPr>
        <w:t xml:space="preserve">The Applicant is a newly formed joint venture between MelroseWakefield Hospital (“MWH”) and Shields, named </w:t>
      </w:r>
      <w:r w:rsidRPr="00980E50">
        <w:rPr>
          <w:rFonts w:ascii="Calibri" w:hAnsi="Calibri" w:cs="Calibri"/>
        </w:rPr>
        <w:t>Tufts Medicine: Shields PET/CT LLC</w:t>
      </w:r>
      <w:r>
        <w:rPr>
          <w:rFonts w:ascii="Calibri" w:hAnsi="Calibri" w:cs="Calibri"/>
        </w:rPr>
        <w:t xml:space="preserve"> (“TM: Shields”). </w:t>
      </w:r>
      <w:r w:rsidR="00F06C35">
        <w:rPr>
          <w:rFonts w:ascii="Calibri" w:hAnsi="Calibri" w:cs="Calibri"/>
        </w:rPr>
        <w:t xml:space="preserve"> </w:t>
      </w:r>
      <w:r w:rsidR="006C4A34" w:rsidRPr="00F74984">
        <w:rPr>
          <w:bCs/>
        </w:rPr>
        <w:t xml:space="preserve">MWH currently offers </w:t>
      </w:r>
      <w:r w:rsidR="00F06C35">
        <w:rPr>
          <w:bCs/>
        </w:rPr>
        <w:t xml:space="preserve">local </w:t>
      </w:r>
      <w:r w:rsidR="006C4A34" w:rsidRPr="00F74984">
        <w:rPr>
          <w:bCs/>
        </w:rPr>
        <w:t>PET-CT services to its patients through a joint venture</w:t>
      </w:r>
      <w:r w:rsidR="00553DCD">
        <w:rPr>
          <w:bCs/>
        </w:rPr>
        <w:t xml:space="preserve"> called Montvale PET/CT, with another partner</w:t>
      </w:r>
      <w:r w:rsidR="00F9749E">
        <w:rPr>
          <w:bCs/>
        </w:rPr>
        <w:t xml:space="preserve">.  It is significant </w:t>
      </w:r>
      <w:r w:rsidR="00F3616D">
        <w:rPr>
          <w:bCs/>
        </w:rPr>
        <w:t xml:space="preserve">to note </w:t>
      </w:r>
      <w:r w:rsidR="006C4A34" w:rsidRPr="00F74984">
        <w:rPr>
          <w:bCs/>
        </w:rPr>
        <w:t xml:space="preserve">that </w:t>
      </w:r>
      <w:r w:rsidR="00F9749E">
        <w:rPr>
          <w:bCs/>
        </w:rPr>
        <w:t xml:space="preserve">the current </w:t>
      </w:r>
      <w:r w:rsidR="006C4A34" w:rsidRPr="00F74984">
        <w:rPr>
          <w:bCs/>
        </w:rPr>
        <w:t>joint venture will cease operations in the summer of 2023.</w:t>
      </w:r>
      <w:r w:rsidR="00F06C35">
        <w:rPr>
          <w:bCs/>
        </w:rPr>
        <w:t xml:space="preserve">  </w:t>
      </w:r>
    </w:p>
    <w:p w14:paraId="38E74F5C" w14:textId="77777777" w:rsidR="000E59CA" w:rsidRPr="002E1070" w:rsidRDefault="000E59CA" w:rsidP="000E59CA">
      <w:pPr>
        <w:autoSpaceDE w:val="0"/>
        <w:autoSpaceDN w:val="0"/>
        <w:adjustRightInd w:val="0"/>
        <w:spacing w:after="0" w:line="240" w:lineRule="auto"/>
        <w:jc w:val="both"/>
        <w:rPr>
          <w:rFonts w:ascii="Calibri" w:hAnsi="Calibri" w:cs="Calibri"/>
        </w:rPr>
      </w:pPr>
    </w:p>
    <w:p w14:paraId="77417DD5" w14:textId="115BA954" w:rsidR="00346C54" w:rsidRDefault="00565056" w:rsidP="00346C54">
      <w:pPr>
        <w:autoSpaceDE w:val="0"/>
        <w:autoSpaceDN w:val="0"/>
        <w:adjustRightInd w:val="0"/>
        <w:spacing w:after="0" w:line="240" w:lineRule="auto"/>
        <w:jc w:val="both"/>
        <w:rPr>
          <w:rFonts w:ascii="Calibri" w:hAnsi="Calibri" w:cs="Calibri"/>
        </w:rPr>
      </w:pPr>
      <w:r>
        <w:rPr>
          <w:rFonts w:ascii="Calibri" w:hAnsi="Calibri" w:cs="Calibri"/>
        </w:rPr>
        <w:t>The Applicant</w:t>
      </w:r>
      <w:r w:rsidR="000E59CA">
        <w:rPr>
          <w:rFonts w:ascii="Calibri" w:hAnsi="Calibri" w:cs="Calibri"/>
        </w:rPr>
        <w:t xml:space="preserve"> seeks to ensure </w:t>
      </w:r>
      <w:r w:rsidR="00E85A5B">
        <w:rPr>
          <w:rFonts w:ascii="Calibri" w:hAnsi="Calibri" w:cs="Calibri"/>
        </w:rPr>
        <w:t>that MWH</w:t>
      </w:r>
      <w:r w:rsidR="000E59CA">
        <w:rPr>
          <w:rFonts w:ascii="Calibri" w:hAnsi="Calibri" w:cs="Calibri"/>
        </w:rPr>
        <w:t xml:space="preserve"> patients have </w:t>
      </w:r>
      <w:r w:rsidR="00725D4C">
        <w:rPr>
          <w:rFonts w:ascii="Calibri" w:hAnsi="Calibri" w:cs="Calibri"/>
        </w:rPr>
        <w:t>continued</w:t>
      </w:r>
      <w:r w:rsidR="00F3616D">
        <w:rPr>
          <w:rFonts w:ascii="Calibri" w:hAnsi="Calibri" w:cs="Calibri"/>
        </w:rPr>
        <w:t xml:space="preserve"> </w:t>
      </w:r>
      <w:r w:rsidR="000E59CA">
        <w:rPr>
          <w:rFonts w:ascii="Calibri" w:hAnsi="Calibri" w:cs="Calibri"/>
        </w:rPr>
        <w:t xml:space="preserve">access to the highest quality imaging services in the most efficient and cost-effective manner. </w:t>
      </w:r>
      <w:r w:rsidR="009C1190">
        <w:rPr>
          <w:rFonts w:ascii="Calibri" w:hAnsi="Calibri" w:cs="Calibri"/>
        </w:rPr>
        <w:t xml:space="preserve"> </w:t>
      </w:r>
      <w:r w:rsidR="007E7914">
        <w:rPr>
          <w:bCs/>
        </w:rPr>
        <w:t>Through t</w:t>
      </w:r>
      <w:r w:rsidR="007E7914" w:rsidRPr="00F74984">
        <w:rPr>
          <w:bCs/>
        </w:rPr>
        <w:t xml:space="preserve">he Proposed Project, the Applicant </w:t>
      </w:r>
      <w:r w:rsidR="007E7914">
        <w:rPr>
          <w:bCs/>
        </w:rPr>
        <w:t>seeks to</w:t>
      </w:r>
      <w:r w:rsidR="007E7914" w:rsidRPr="00F74984">
        <w:rPr>
          <w:bCs/>
        </w:rPr>
        <w:t xml:space="preserve"> satisfy both existing and future patient panel needs by continuing to provide local access to PET-CT imaging services</w:t>
      </w:r>
      <w:r w:rsidR="007E7914" w:rsidRPr="00F74984">
        <w:rPr>
          <w:bCs/>
          <w:lang w:bidi="en-US"/>
        </w:rPr>
        <w:t>, at a proximate location to the MWH campus.</w:t>
      </w:r>
      <w:r w:rsidR="007E7914">
        <w:rPr>
          <w:rStyle w:val="FootnoteReference"/>
          <w:bCs/>
          <w:lang w:bidi="en-US"/>
        </w:rPr>
        <w:footnoteReference w:id="1"/>
      </w:r>
      <w:r w:rsidR="007E7914" w:rsidRPr="00F74984">
        <w:rPr>
          <w:bCs/>
          <w:lang w:bidi="en-US"/>
        </w:rPr>
        <w:t xml:space="preserve"> </w:t>
      </w:r>
      <w:r w:rsidR="007E7914" w:rsidRPr="00F74984">
        <w:rPr>
          <w:bCs/>
        </w:rPr>
        <w:t xml:space="preserve"> </w:t>
      </w:r>
      <w:r w:rsidR="00346C54">
        <w:rPr>
          <w:rFonts w:ascii="Calibri" w:hAnsi="Calibri" w:cs="Calibri"/>
        </w:rPr>
        <w:t>The Proposed Project</w:t>
      </w:r>
      <w:r w:rsidR="00346C54" w:rsidRPr="00DC05E0">
        <w:rPr>
          <w:rFonts w:ascii="Calibri" w:hAnsi="Calibri" w:cs="Calibri"/>
        </w:rPr>
        <w:t xml:space="preserve"> will be reimbursed as an Independent Diagnostic Testing Facility (“IDTF”) license</w:t>
      </w:r>
      <w:r w:rsidR="00346C54">
        <w:rPr>
          <w:rFonts w:ascii="Calibri" w:hAnsi="Calibri" w:cs="Calibri"/>
        </w:rPr>
        <w:t>d</w:t>
      </w:r>
      <w:r w:rsidR="00346C54" w:rsidRPr="00DC05E0">
        <w:rPr>
          <w:rFonts w:ascii="Calibri" w:hAnsi="Calibri" w:cs="Calibri"/>
        </w:rPr>
        <w:t xml:space="preserve"> </w:t>
      </w:r>
      <w:r w:rsidR="00346C54">
        <w:rPr>
          <w:rFonts w:ascii="Calibri" w:hAnsi="Calibri" w:cs="Calibri"/>
        </w:rPr>
        <w:t>as a clinic.</w:t>
      </w:r>
    </w:p>
    <w:p w14:paraId="4B172353" w14:textId="77777777" w:rsidR="000E59CA" w:rsidRDefault="000E59CA" w:rsidP="000E59CA">
      <w:pPr>
        <w:autoSpaceDE w:val="0"/>
        <w:autoSpaceDN w:val="0"/>
        <w:adjustRightInd w:val="0"/>
        <w:spacing w:after="0" w:line="240" w:lineRule="auto"/>
        <w:jc w:val="both"/>
        <w:rPr>
          <w:rFonts w:ascii="Calibri" w:hAnsi="Calibri" w:cs="Calibri"/>
        </w:rPr>
      </w:pPr>
    </w:p>
    <w:p w14:paraId="51B2F65A" w14:textId="18ACD31B" w:rsidR="000E59CA" w:rsidRDefault="000E59CA" w:rsidP="000E59CA">
      <w:pPr>
        <w:autoSpaceDE w:val="0"/>
        <w:autoSpaceDN w:val="0"/>
        <w:adjustRightInd w:val="0"/>
        <w:spacing w:after="0" w:line="240" w:lineRule="auto"/>
        <w:jc w:val="both"/>
        <w:rPr>
          <w:lang w:bidi="en-US"/>
        </w:rPr>
      </w:pPr>
      <w:r w:rsidRPr="00FD0F06">
        <w:rPr>
          <w:rFonts w:ascii="Calibri" w:hAnsi="Calibri" w:cs="Calibri"/>
        </w:rPr>
        <w:t xml:space="preserve">Through the Proposed Project, the Applicant will satisfy both existing and future patient panel needs by </w:t>
      </w:r>
      <w:r w:rsidR="00565056">
        <w:rPr>
          <w:rFonts w:ascii="Calibri" w:hAnsi="Calibri" w:cs="Calibri"/>
        </w:rPr>
        <w:t xml:space="preserve">continuing to </w:t>
      </w:r>
      <w:r w:rsidRPr="00FD0F06">
        <w:rPr>
          <w:rFonts w:ascii="Calibri" w:hAnsi="Calibri" w:cs="Calibri"/>
        </w:rPr>
        <w:t>provid</w:t>
      </w:r>
      <w:r w:rsidR="00565056">
        <w:rPr>
          <w:rFonts w:ascii="Calibri" w:hAnsi="Calibri" w:cs="Calibri"/>
        </w:rPr>
        <w:t xml:space="preserve">e </w:t>
      </w:r>
      <w:r w:rsidRPr="00FD0F06">
        <w:rPr>
          <w:rFonts w:ascii="Calibri" w:hAnsi="Calibri" w:cs="Calibri"/>
        </w:rPr>
        <w:t>local access</w:t>
      </w:r>
      <w:r w:rsidRPr="00FD0F06">
        <w:rPr>
          <w:lang w:bidi="en-US"/>
        </w:rPr>
        <w:t xml:space="preserve"> to PET-CT imaging services one day per week</w:t>
      </w:r>
      <w:r w:rsidR="00565056">
        <w:rPr>
          <w:lang w:bidi="en-US"/>
        </w:rPr>
        <w:t xml:space="preserve">. </w:t>
      </w:r>
      <w:r w:rsidR="00B117D0" w:rsidRPr="00F74984">
        <w:rPr>
          <w:bCs/>
        </w:rPr>
        <w:t>The existing and future need for continued local PET-CT imaging access is further demonstrated by historical volume demand, projected volume, and disease burden trends, in addition to the growth in the number of older patients seeking care at MWH</w:t>
      </w:r>
      <w:r w:rsidR="00E62D78">
        <w:rPr>
          <w:bCs/>
        </w:rPr>
        <w:t xml:space="preserve">. </w:t>
      </w:r>
      <w:r w:rsidR="005A6056">
        <w:rPr>
          <w:bCs/>
        </w:rPr>
        <w:t>T</w:t>
      </w:r>
      <w:r w:rsidR="00E62D78">
        <w:rPr>
          <w:bCs/>
        </w:rPr>
        <w:t xml:space="preserve">here is </w:t>
      </w:r>
      <w:r w:rsidR="005A6056">
        <w:rPr>
          <w:bCs/>
        </w:rPr>
        <w:t xml:space="preserve">also </w:t>
      </w:r>
      <w:r w:rsidR="00E62D78">
        <w:rPr>
          <w:bCs/>
        </w:rPr>
        <w:t>an</w:t>
      </w:r>
      <w:r w:rsidR="00B117D0" w:rsidRPr="00F74984">
        <w:rPr>
          <w:bCs/>
        </w:rPr>
        <w:t xml:space="preserve"> increased number of patients with underlying age-related oncologic, cardiac, and neurologic conditions for which PET-CT has proven clinical applicability.</w:t>
      </w:r>
      <w:r w:rsidR="00B117D0" w:rsidRPr="00F74984">
        <w:rPr>
          <w:bCs/>
          <w:vertAlign w:val="superscript"/>
        </w:rPr>
        <w:footnoteReference w:id="2"/>
      </w:r>
      <w:r w:rsidR="00E62D78">
        <w:rPr>
          <w:lang w:bidi="en-US"/>
        </w:rPr>
        <w:t xml:space="preserve">  </w:t>
      </w:r>
      <w:r w:rsidRPr="00FD0F06">
        <w:rPr>
          <w:lang w:bidi="en-US"/>
        </w:rPr>
        <w:t>National statistics indicate the increasing prevalence of cancer and cardiovascular disease.</w:t>
      </w:r>
      <w:r w:rsidRPr="00FD0F06">
        <w:rPr>
          <w:rStyle w:val="FootnoteReference"/>
          <w:lang w:bidi="en-US"/>
        </w:rPr>
        <w:footnoteReference w:id="3"/>
      </w:r>
      <w:r w:rsidRPr="00FD0F06">
        <w:rPr>
          <w:lang w:bidi="en-US"/>
        </w:rPr>
        <w:t xml:space="preserve"> Therefore, the need for these services is expected to expand as </w:t>
      </w:r>
      <w:r w:rsidR="00E62D78">
        <w:rPr>
          <w:lang w:bidi="en-US"/>
        </w:rPr>
        <w:t>MWH’s</w:t>
      </w:r>
      <w:r w:rsidRPr="00FD0F06">
        <w:rPr>
          <w:lang w:bidi="en-US"/>
        </w:rPr>
        <w:t xml:space="preserve"> </w:t>
      </w:r>
      <w:r w:rsidR="00E62D78">
        <w:rPr>
          <w:lang w:bidi="en-US"/>
        </w:rPr>
        <w:t xml:space="preserve">aging patient population </w:t>
      </w:r>
      <w:r w:rsidRPr="00FD0F06">
        <w:rPr>
          <w:lang w:bidi="en-US"/>
        </w:rPr>
        <w:t>increases.</w:t>
      </w:r>
    </w:p>
    <w:p w14:paraId="59A1B44F" w14:textId="77777777" w:rsidR="000E59CA" w:rsidRDefault="000E59CA" w:rsidP="000E59CA">
      <w:pPr>
        <w:spacing w:after="0" w:line="240" w:lineRule="auto"/>
        <w:jc w:val="both"/>
        <w:rPr>
          <w:lang w:bidi="en-US"/>
        </w:rPr>
      </w:pPr>
    </w:p>
    <w:p w14:paraId="5F04AAFA" w14:textId="0E2DBA67" w:rsidR="0058636D" w:rsidRDefault="000E59CA" w:rsidP="000E59CA">
      <w:pPr>
        <w:spacing w:after="0" w:line="240" w:lineRule="auto"/>
        <w:jc w:val="both"/>
        <w:rPr>
          <w:lang w:bidi="en-US"/>
        </w:rPr>
      </w:pPr>
      <w:r w:rsidRPr="00B947B5">
        <w:rPr>
          <w:lang w:bidi="en-US"/>
        </w:rPr>
        <w:t>The Applicant proposes to use the integrated PET-CT unit for part-time clinical use at</w:t>
      </w:r>
      <w:r>
        <w:rPr>
          <w:lang w:bidi="en-US"/>
        </w:rPr>
        <w:t xml:space="preserve"> the </w:t>
      </w:r>
      <w:r w:rsidR="0058636D">
        <w:rPr>
          <w:lang w:bidi="en-US"/>
        </w:rPr>
        <w:t>MelroseWakefield Medical Building.</w:t>
      </w:r>
      <w:r w:rsidR="00394497" w:rsidRPr="00B947B5">
        <w:rPr>
          <w:lang w:bidi="en-US"/>
        </w:rPr>
        <w:t xml:space="preserve"> </w:t>
      </w:r>
      <w:r w:rsidRPr="00B947B5">
        <w:rPr>
          <w:lang w:bidi="en-US"/>
        </w:rPr>
        <w:t xml:space="preserve">Use of the </w:t>
      </w:r>
      <w:r w:rsidR="0058636D">
        <w:rPr>
          <w:lang w:bidi="en-US"/>
        </w:rPr>
        <w:t xml:space="preserve">proposed </w:t>
      </w:r>
      <w:r w:rsidRPr="00B947B5">
        <w:rPr>
          <w:lang w:bidi="en-US"/>
        </w:rPr>
        <w:t>PET-CT unit will be restricted to patients who meet the</w:t>
      </w:r>
      <w:r>
        <w:rPr>
          <w:lang w:bidi="en-US"/>
        </w:rPr>
        <w:t xml:space="preserve"> </w:t>
      </w:r>
      <w:r w:rsidRPr="00B947B5">
        <w:rPr>
          <w:lang w:bidi="en-US"/>
        </w:rPr>
        <w:t>clinical protocols for combined PET-CT. A patient’s underlying condition and diagnosis will be the basis</w:t>
      </w:r>
      <w:r>
        <w:rPr>
          <w:lang w:bidi="en-US"/>
        </w:rPr>
        <w:t xml:space="preserve"> </w:t>
      </w:r>
      <w:r w:rsidRPr="00B947B5">
        <w:rPr>
          <w:lang w:bidi="en-US"/>
        </w:rPr>
        <w:t>for determining whether the patient meets appropriate clinical protocols for PET-CT</w:t>
      </w:r>
      <w:r>
        <w:rPr>
          <w:lang w:bidi="en-US"/>
        </w:rPr>
        <w:t xml:space="preserve"> imaging</w:t>
      </w:r>
      <w:r w:rsidRPr="00B947B5">
        <w:rPr>
          <w:lang w:bidi="en-US"/>
        </w:rPr>
        <w:t xml:space="preserve">. </w:t>
      </w:r>
    </w:p>
    <w:p w14:paraId="57FCBD9B" w14:textId="77777777" w:rsidR="0058636D" w:rsidRDefault="0058636D" w:rsidP="000E59CA">
      <w:pPr>
        <w:spacing w:after="0" w:line="240" w:lineRule="auto"/>
        <w:jc w:val="both"/>
        <w:rPr>
          <w:lang w:bidi="en-US"/>
        </w:rPr>
      </w:pPr>
    </w:p>
    <w:p w14:paraId="2B8F1DD5" w14:textId="499B55B2" w:rsidR="000E59CA" w:rsidRDefault="000E59CA" w:rsidP="000E59CA">
      <w:pPr>
        <w:spacing w:after="0" w:line="240" w:lineRule="auto"/>
        <w:jc w:val="both"/>
        <w:rPr>
          <w:lang w:bidi="en-US"/>
        </w:rPr>
      </w:pPr>
      <w:r>
        <w:rPr>
          <w:lang w:bidi="en-US"/>
        </w:rPr>
        <w:t>I</w:t>
      </w:r>
      <w:r w:rsidRPr="005A6F7D">
        <w:rPr>
          <w:lang w:bidi="en-US"/>
        </w:rPr>
        <w:t>maging plays a critical role in establishing the diagnoses for innumerable conditions and it is used routinely in nearly every branch of medicine.</w:t>
      </w:r>
      <w:r>
        <w:rPr>
          <w:rStyle w:val="FootnoteReference"/>
          <w:lang w:bidi="en-US"/>
        </w:rPr>
        <w:footnoteReference w:id="4"/>
      </w:r>
      <w:r w:rsidRPr="005A6F7D">
        <w:rPr>
          <w:lang w:bidi="en-US"/>
        </w:rPr>
        <w:t xml:space="preserve"> </w:t>
      </w:r>
      <w:r w:rsidRPr="00B947B5">
        <w:rPr>
          <w:lang w:bidi="en-US"/>
        </w:rPr>
        <w:t>Among other</w:t>
      </w:r>
      <w:r>
        <w:rPr>
          <w:lang w:bidi="en-US"/>
        </w:rPr>
        <w:t xml:space="preserve"> </w:t>
      </w:r>
      <w:r w:rsidRPr="00B947B5">
        <w:rPr>
          <w:lang w:bidi="en-US"/>
        </w:rPr>
        <w:t xml:space="preserve">clinically appropriate applications, the </w:t>
      </w:r>
      <w:r w:rsidRPr="00B947B5">
        <w:rPr>
          <w:lang w:bidi="en-US"/>
        </w:rPr>
        <w:lastRenderedPageBreak/>
        <w:t>Applicant proposes to</w:t>
      </w:r>
      <w:r>
        <w:rPr>
          <w:lang w:bidi="en-US"/>
        </w:rPr>
        <w:t xml:space="preserve"> </w:t>
      </w:r>
      <w:r w:rsidRPr="00B947B5">
        <w:rPr>
          <w:lang w:bidi="en-US"/>
        </w:rPr>
        <w:t xml:space="preserve">utilize the designated PET-CT </w:t>
      </w:r>
      <w:r>
        <w:rPr>
          <w:lang w:bidi="en-US"/>
        </w:rPr>
        <w:t xml:space="preserve">primarily </w:t>
      </w:r>
      <w:r w:rsidRPr="00B947B5">
        <w:rPr>
          <w:lang w:bidi="en-US"/>
        </w:rPr>
        <w:t>for</w:t>
      </w:r>
      <w:r>
        <w:rPr>
          <w:lang w:bidi="en-US"/>
        </w:rPr>
        <w:t xml:space="preserve"> </w:t>
      </w:r>
      <w:r w:rsidRPr="00B947B5">
        <w:rPr>
          <w:lang w:bidi="en-US"/>
        </w:rPr>
        <w:t>oncology</w:t>
      </w:r>
      <w:r>
        <w:rPr>
          <w:lang w:bidi="en-US"/>
        </w:rPr>
        <w:t xml:space="preserve"> </w:t>
      </w:r>
      <w:r w:rsidRPr="00B947B5">
        <w:rPr>
          <w:lang w:bidi="en-US"/>
        </w:rPr>
        <w:t>imaging purposes</w:t>
      </w:r>
      <w:r>
        <w:rPr>
          <w:lang w:bidi="en-US"/>
        </w:rPr>
        <w:t xml:space="preserve">, as the </w:t>
      </w:r>
      <w:r w:rsidRPr="00B947B5">
        <w:rPr>
          <w:lang w:bidi="en-US"/>
        </w:rPr>
        <w:t>patient panel data</w:t>
      </w:r>
      <w:r>
        <w:rPr>
          <w:lang w:bidi="en-US"/>
        </w:rPr>
        <w:t xml:space="preserve"> </w:t>
      </w:r>
      <w:r w:rsidRPr="00B947B5">
        <w:rPr>
          <w:lang w:bidi="en-US"/>
        </w:rPr>
        <w:t>indicate</w:t>
      </w:r>
      <w:r>
        <w:rPr>
          <w:lang w:bidi="en-US"/>
        </w:rPr>
        <w:t xml:space="preserve"> an elevated </w:t>
      </w:r>
      <w:r w:rsidRPr="00B947B5">
        <w:rPr>
          <w:lang w:bidi="en-US"/>
        </w:rPr>
        <w:t>oncologic</w:t>
      </w:r>
      <w:r>
        <w:rPr>
          <w:lang w:bidi="en-US"/>
        </w:rPr>
        <w:t xml:space="preserve"> incidence. PET-CT imaging will also prove useful for </w:t>
      </w:r>
      <w:r w:rsidRPr="00B947B5">
        <w:rPr>
          <w:lang w:bidi="en-US"/>
        </w:rPr>
        <w:t xml:space="preserve">cardiologic </w:t>
      </w:r>
      <w:r w:rsidR="00AF054C">
        <w:rPr>
          <w:lang w:bidi="en-US"/>
        </w:rPr>
        <w:t xml:space="preserve">and neurologic </w:t>
      </w:r>
      <w:r w:rsidRPr="00B947B5">
        <w:rPr>
          <w:lang w:bidi="en-US"/>
        </w:rPr>
        <w:t>disease burden</w:t>
      </w:r>
      <w:r>
        <w:rPr>
          <w:lang w:bidi="en-US"/>
        </w:rPr>
        <w:t>s as well</w:t>
      </w:r>
      <w:r w:rsidRPr="00B947B5">
        <w:rPr>
          <w:lang w:bidi="en-US"/>
        </w:rPr>
        <w:t>.</w:t>
      </w:r>
      <w:r>
        <w:rPr>
          <w:lang w:bidi="en-US"/>
        </w:rPr>
        <w:t xml:space="preserve">  This, in addition to the historic and projected volume data reveal the need for PET-CT imaging for this patient population. </w:t>
      </w:r>
    </w:p>
    <w:p w14:paraId="2C7833C5" w14:textId="77777777" w:rsidR="000E59CA" w:rsidRDefault="000E59CA" w:rsidP="000E59CA">
      <w:pPr>
        <w:spacing w:after="0" w:line="240" w:lineRule="auto"/>
        <w:jc w:val="both"/>
        <w:rPr>
          <w:lang w:bidi="en-US"/>
        </w:rPr>
      </w:pPr>
    </w:p>
    <w:p w14:paraId="1A66D9AC" w14:textId="4A0C6407" w:rsidR="000E59CA" w:rsidRDefault="000E59CA" w:rsidP="000E59CA">
      <w:pPr>
        <w:spacing w:after="0" w:line="240" w:lineRule="auto"/>
        <w:jc w:val="both"/>
        <w:rPr>
          <w:lang w:bidi="en-US"/>
        </w:rPr>
      </w:pPr>
      <w:r w:rsidRPr="00AD2E3A">
        <w:rPr>
          <w:lang w:bidi="en-US"/>
        </w:rPr>
        <w:t xml:space="preserve">The Applicant anticipates that the Proposed Project will provide </w:t>
      </w:r>
      <w:r>
        <w:rPr>
          <w:lang w:bidi="en-US"/>
        </w:rPr>
        <w:t xml:space="preserve">the </w:t>
      </w:r>
      <w:r w:rsidRPr="00AD2E3A">
        <w:rPr>
          <w:lang w:bidi="en-US"/>
        </w:rPr>
        <w:t>patient panel with</w:t>
      </w:r>
      <w:r>
        <w:rPr>
          <w:lang w:bidi="en-US"/>
        </w:rPr>
        <w:t xml:space="preserve"> </w:t>
      </w:r>
      <w:r w:rsidR="00AF054C">
        <w:rPr>
          <w:lang w:bidi="en-US"/>
        </w:rPr>
        <w:t xml:space="preserve">continued </w:t>
      </w:r>
      <w:r w:rsidRPr="00AD2E3A">
        <w:rPr>
          <w:lang w:bidi="en-US"/>
        </w:rPr>
        <w:t>local access to integrated cancer services that will directly impact health outcomes and</w:t>
      </w:r>
      <w:r>
        <w:rPr>
          <w:lang w:bidi="en-US"/>
        </w:rPr>
        <w:t xml:space="preserve"> </w:t>
      </w:r>
      <w:r w:rsidRPr="00AD2E3A">
        <w:rPr>
          <w:lang w:bidi="en-US"/>
        </w:rPr>
        <w:t xml:space="preserve">quality of life. Cardiac </w:t>
      </w:r>
      <w:r w:rsidR="00AF054C">
        <w:rPr>
          <w:lang w:bidi="en-US"/>
        </w:rPr>
        <w:t xml:space="preserve">and neurologic </w:t>
      </w:r>
      <w:r w:rsidRPr="00AD2E3A">
        <w:rPr>
          <w:lang w:bidi="en-US"/>
        </w:rPr>
        <w:t>patients will also be referred to the Applicant’s</w:t>
      </w:r>
      <w:r>
        <w:rPr>
          <w:lang w:bidi="en-US"/>
        </w:rPr>
        <w:t xml:space="preserve"> </w:t>
      </w:r>
      <w:r w:rsidRPr="00AD2E3A">
        <w:rPr>
          <w:lang w:bidi="en-US"/>
        </w:rPr>
        <w:t>clinic for PET-CT</w:t>
      </w:r>
      <w:r>
        <w:rPr>
          <w:lang w:bidi="en-US"/>
        </w:rPr>
        <w:t xml:space="preserve"> </w:t>
      </w:r>
      <w:r w:rsidRPr="00AD2E3A">
        <w:rPr>
          <w:lang w:bidi="en-US"/>
        </w:rPr>
        <w:t>services.</w:t>
      </w:r>
      <w:r w:rsidRPr="00F74E99">
        <w:t xml:space="preserve"> </w:t>
      </w:r>
      <w:r w:rsidRPr="00F74E99">
        <w:rPr>
          <w:lang w:bidi="en-US"/>
        </w:rPr>
        <w:t>Diagnosis has important implications for patient care, research, and policy.</w:t>
      </w:r>
      <w:r>
        <w:rPr>
          <w:rStyle w:val="FootnoteReference"/>
          <w:lang w:bidi="en-US"/>
        </w:rPr>
        <w:footnoteReference w:id="5"/>
      </w:r>
      <w:r w:rsidRPr="00F74E99">
        <w:rPr>
          <w:lang w:bidi="en-US"/>
        </w:rPr>
        <w:t xml:space="preserve"> </w:t>
      </w:r>
      <w:r w:rsidRPr="00AD2E3A">
        <w:rPr>
          <w:lang w:bidi="en-US"/>
        </w:rPr>
        <w:t xml:space="preserve">Diagnostic </w:t>
      </w:r>
      <w:r w:rsidRPr="00337A02">
        <w:rPr>
          <w:i/>
          <w:iCs/>
          <w:lang w:bidi="en-US"/>
        </w:rPr>
        <w:t>technology</w:t>
      </w:r>
      <w:r w:rsidRPr="00AD2E3A">
        <w:rPr>
          <w:lang w:bidi="en-US"/>
        </w:rPr>
        <w:t xml:space="preserve"> is crucial to determine what</w:t>
      </w:r>
      <w:r>
        <w:rPr>
          <w:lang w:bidi="en-US"/>
        </w:rPr>
        <w:t xml:space="preserve"> </w:t>
      </w:r>
      <w:r w:rsidRPr="00AD2E3A">
        <w:rPr>
          <w:lang w:bidi="en-US"/>
        </w:rPr>
        <w:t xml:space="preserve">treatments are most effective with </w:t>
      </w:r>
      <w:r>
        <w:rPr>
          <w:lang w:bidi="en-US"/>
        </w:rPr>
        <w:t>patients’</w:t>
      </w:r>
      <w:r w:rsidRPr="00AD2E3A">
        <w:rPr>
          <w:lang w:bidi="en-US"/>
        </w:rPr>
        <w:t xml:space="preserve"> anatomy. </w:t>
      </w:r>
      <w:bookmarkStart w:id="0" w:name="_Hlk98412190"/>
      <w:r>
        <w:rPr>
          <w:lang w:bidi="en-US"/>
        </w:rPr>
        <w:t>R</w:t>
      </w:r>
      <w:r w:rsidRPr="00AD2E3A">
        <w:rPr>
          <w:lang w:bidi="en-US"/>
        </w:rPr>
        <w:t>eady access to PET-CT services will allow clinicians to</w:t>
      </w:r>
      <w:r>
        <w:rPr>
          <w:lang w:bidi="en-US"/>
        </w:rPr>
        <w:t xml:space="preserve"> </w:t>
      </w:r>
      <w:r w:rsidRPr="00AD2E3A">
        <w:rPr>
          <w:lang w:bidi="en-US"/>
        </w:rPr>
        <w:t>determine appropriate treatment options that will impact overall health outcomes in a time effective</w:t>
      </w:r>
      <w:r>
        <w:rPr>
          <w:lang w:bidi="en-US"/>
        </w:rPr>
        <w:t xml:space="preserve"> </w:t>
      </w:r>
      <w:r w:rsidRPr="00AD2E3A">
        <w:rPr>
          <w:lang w:bidi="en-US"/>
        </w:rPr>
        <w:t>manner.</w:t>
      </w:r>
    </w:p>
    <w:bookmarkEnd w:id="0"/>
    <w:p w14:paraId="76B94B6F" w14:textId="77777777" w:rsidR="000E59CA" w:rsidRDefault="000E59CA" w:rsidP="000E59CA">
      <w:pPr>
        <w:spacing w:after="0" w:line="240" w:lineRule="auto"/>
        <w:jc w:val="both"/>
        <w:rPr>
          <w:lang w:bidi="en-US"/>
        </w:rPr>
      </w:pPr>
    </w:p>
    <w:p w14:paraId="3D8FEB1E" w14:textId="386AADAB" w:rsidR="000E59CA" w:rsidRDefault="000E59CA" w:rsidP="000E59CA">
      <w:pPr>
        <w:spacing w:after="0" w:line="240" w:lineRule="auto"/>
        <w:jc w:val="both"/>
        <w:rPr>
          <w:lang w:bidi="en-US"/>
        </w:rPr>
      </w:pPr>
      <w:r w:rsidRPr="002D4B7B">
        <w:rPr>
          <w:lang w:bidi="en-US"/>
        </w:rPr>
        <w:t>Finally, the Proposed Project will compete on the basis of provider price, costs, and total medical</w:t>
      </w:r>
      <w:r>
        <w:rPr>
          <w:lang w:bidi="en-US"/>
        </w:rPr>
        <w:t xml:space="preserve"> </w:t>
      </w:r>
      <w:r w:rsidRPr="002D4B7B">
        <w:rPr>
          <w:lang w:bidi="en-US"/>
        </w:rPr>
        <w:t>expenses (“TME”)</w:t>
      </w:r>
      <w:r>
        <w:rPr>
          <w:lang w:bidi="en-US"/>
        </w:rPr>
        <w:t xml:space="preserve"> for several reasons</w:t>
      </w:r>
      <w:r w:rsidRPr="002D4B7B">
        <w:rPr>
          <w:lang w:bidi="en-US"/>
        </w:rPr>
        <w:t xml:space="preserve">. </w:t>
      </w:r>
      <w:r>
        <w:rPr>
          <w:lang w:bidi="en-US"/>
        </w:rPr>
        <w:t xml:space="preserve">First, </w:t>
      </w:r>
      <w:r w:rsidRPr="002D4B7B">
        <w:rPr>
          <w:lang w:bidi="en-US"/>
        </w:rPr>
        <w:t xml:space="preserve">PET-CT services are currently available </w:t>
      </w:r>
      <w:bookmarkStart w:id="1" w:name="_Hlk104880811"/>
      <w:r w:rsidR="00757E52">
        <w:rPr>
          <w:lang w:bidi="en-US"/>
        </w:rPr>
        <w:t xml:space="preserve">to MWH’s patient population via their current Montvale </w:t>
      </w:r>
      <w:r w:rsidR="004078B2">
        <w:rPr>
          <w:lang w:bidi="en-US"/>
        </w:rPr>
        <w:t>imaging partnership</w:t>
      </w:r>
      <w:bookmarkEnd w:id="1"/>
      <w:r w:rsidR="008173ED">
        <w:rPr>
          <w:lang w:bidi="en-US"/>
        </w:rPr>
        <w:t xml:space="preserve">, which is </w:t>
      </w:r>
      <w:r w:rsidR="004078B2">
        <w:rPr>
          <w:lang w:bidi="en-US"/>
        </w:rPr>
        <w:t>slated</w:t>
      </w:r>
      <w:r w:rsidR="008173ED">
        <w:rPr>
          <w:lang w:bidi="en-US"/>
        </w:rPr>
        <w:t xml:space="preserve"> </w:t>
      </w:r>
      <w:r w:rsidR="004078B2">
        <w:rPr>
          <w:lang w:bidi="en-US"/>
        </w:rPr>
        <w:t>to end in the summer of 2023</w:t>
      </w:r>
      <w:r w:rsidR="00762366">
        <w:rPr>
          <w:lang w:bidi="en-US"/>
        </w:rPr>
        <w:t xml:space="preserve">.  The Applicant’s Proposed Project will allow for </w:t>
      </w:r>
      <w:r w:rsidR="008173ED">
        <w:rPr>
          <w:lang w:bidi="en-US"/>
        </w:rPr>
        <w:t xml:space="preserve">uninterrupted local patient access to </w:t>
      </w:r>
      <w:r w:rsidR="0061607F">
        <w:rPr>
          <w:lang w:bidi="en-US"/>
        </w:rPr>
        <w:t xml:space="preserve">PET-CT imaging services.  </w:t>
      </w:r>
      <w:r w:rsidR="00762366">
        <w:rPr>
          <w:lang w:bidi="en-US"/>
        </w:rPr>
        <w:t xml:space="preserve"> </w:t>
      </w:r>
      <w:r w:rsidR="0061607F">
        <w:rPr>
          <w:lang w:bidi="en-US"/>
        </w:rPr>
        <w:t xml:space="preserve">These </w:t>
      </w:r>
      <w:r>
        <w:rPr>
          <w:lang w:bidi="en-US"/>
        </w:rPr>
        <w:t>services will be</w:t>
      </w:r>
      <w:r w:rsidRPr="002D4B7B">
        <w:rPr>
          <w:lang w:bidi="en-US"/>
        </w:rPr>
        <w:t xml:space="preserve"> reimbursed </w:t>
      </w:r>
      <w:r w:rsidR="00750552">
        <w:rPr>
          <w:lang w:bidi="en-US"/>
        </w:rPr>
        <w:t xml:space="preserve">on an </w:t>
      </w:r>
      <w:r w:rsidR="00750552" w:rsidRPr="002D4B7B">
        <w:rPr>
          <w:lang w:bidi="en-US"/>
        </w:rPr>
        <w:t>IDTF</w:t>
      </w:r>
      <w:r w:rsidR="00750552">
        <w:rPr>
          <w:lang w:bidi="en-US"/>
        </w:rPr>
        <w:t xml:space="preserve"> fee schedule</w:t>
      </w:r>
      <w:r w:rsidR="00521312">
        <w:rPr>
          <w:lang w:bidi="en-US"/>
        </w:rPr>
        <w:t xml:space="preserve"> – rates that </w:t>
      </w:r>
      <w:r w:rsidR="00287174">
        <w:rPr>
          <w:lang w:bidi="en-US"/>
        </w:rPr>
        <w:t xml:space="preserve">are </w:t>
      </w:r>
      <w:bookmarkStart w:id="2" w:name="_Hlk98228296"/>
      <w:r>
        <w:rPr>
          <w:lang w:bidi="en-US"/>
        </w:rPr>
        <w:t>lower</w:t>
      </w:r>
      <w:r w:rsidR="0063618D">
        <w:rPr>
          <w:lang w:bidi="en-US"/>
        </w:rPr>
        <w:t xml:space="preserve"> </w:t>
      </w:r>
      <w:r w:rsidRPr="002D4B7B">
        <w:rPr>
          <w:lang w:bidi="en-US"/>
        </w:rPr>
        <w:t>than hospital-based rates</w:t>
      </w:r>
      <w:r w:rsidR="00287174">
        <w:rPr>
          <w:lang w:bidi="en-US"/>
        </w:rPr>
        <w:t xml:space="preserve">. </w:t>
      </w:r>
      <w:r>
        <w:rPr>
          <w:lang w:bidi="en-US"/>
        </w:rPr>
        <w:t xml:space="preserve"> I</w:t>
      </w:r>
      <w:r w:rsidRPr="0019643E">
        <w:rPr>
          <w:lang w:bidi="en-US"/>
        </w:rPr>
        <w:t>DTF’s</w:t>
      </w:r>
      <w:r>
        <w:rPr>
          <w:lang w:bidi="en-US"/>
        </w:rPr>
        <w:t xml:space="preserve"> </w:t>
      </w:r>
      <w:r w:rsidRPr="0019643E">
        <w:rPr>
          <w:lang w:bidi="en-US"/>
        </w:rPr>
        <w:t xml:space="preserve">maintain </w:t>
      </w:r>
      <w:r>
        <w:rPr>
          <w:lang w:bidi="en-US"/>
        </w:rPr>
        <w:t xml:space="preserve">lower </w:t>
      </w:r>
      <w:r w:rsidRPr="0019643E">
        <w:rPr>
          <w:lang w:bidi="en-US"/>
        </w:rPr>
        <w:t>costs by focusing on one service with much less overhead.</w:t>
      </w:r>
      <w:bookmarkEnd w:id="2"/>
      <w:r>
        <w:rPr>
          <w:rStyle w:val="FootnoteReference"/>
          <w:lang w:bidi="en-US"/>
        </w:rPr>
        <w:footnoteReference w:id="6"/>
      </w:r>
      <w:r w:rsidRPr="002D4B7B">
        <w:rPr>
          <w:lang w:bidi="en-US"/>
        </w:rPr>
        <w:t xml:space="preserve"> </w:t>
      </w:r>
      <w:bookmarkStart w:id="3" w:name="_Hlk105153628"/>
      <w:r>
        <w:rPr>
          <w:lang w:bidi="en-US"/>
        </w:rPr>
        <w:t xml:space="preserve">Second, </w:t>
      </w:r>
      <w:bookmarkStart w:id="4" w:name="_Hlk106029790"/>
      <w:r>
        <w:rPr>
          <w:lang w:bidi="en-US"/>
        </w:rPr>
        <w:t>the use of a part time mobile model allows for local patient access, but that also divides the cost of the fixed asset across regional relationships seeking similar imaging services – said differently, the cost of the equipment is distributed more efficiently</w:t>
      </w:r>
      <w:bookmarkEnd w:id="3"/>
      <w:bookmarkEnd w:id="4"/>
      <w:r>
        <w:rPr>
          <w:lang w:bidi="en-US"/>
        </w:rPr>
        <w:t>.</w:t>
      </w:r>
      <w:r w:rsidR="0063618D">
        <w:rPr>
          <w:lang w:bidi="en-US"/>
        </w:rPr>
        <w:t xml:space="preserve"> </w:t>
      </w:r>
      <w:r>
        <w:rPr>
          <w:lang w:bidi="en-US"/>
        </w:rPr>
        <w:t xml:space="preserve">Lastly, </w:t>
      </w:r>
      <w:r w:rsidRPr="002D4B7B">
        <w:rPr>
          <w:lang w:bidi="en-US"/>
        </w:rPr>
        <w:t>the transition</w:t>
      </w:r>
      <w:r>
        <w:rPr>
          <w:lang w:bidi="en-US"/>
        </w:rPr>
        <w:t xml:space="preserve"> </w:t>
      </w:r>
      <w:r w:rsidRPr="002D4B7B">
        <w:rPr>
          <w:lang w:bidi="en-US"/>
        </w:rPr>
        <w:t xml:space="preserve">will allow Shields to implement </w:t>
      </w:r>
      <w:r>
        <w:rPr>
          <w:lang w:bidi="en-US"/>
        </w:rPr>
        <w:t xml:space="preserve">both </w:t>
      </w:r>
      <w:r w:rsidRPr="002D4B7B">
        <w:rPr>
          <w:lang w:bidi="en-US"/>
        </w:rPr>
        <w:t xml:space="preserve">operational optimization initiatives to </w:t>
      </w:r>
      <w:r>
        <w:rPr>
          <w:lang w:bidi="en-US"/>
        </w:rPr>
        <w:t xml:space="preserve">further </w:t>
      </w:r>
      <w:r w:rsidRPr="002D4B7B">
        <w:rPr>
          <w:lang w:bidi="en-US"/>
        </w:rPr>
        <w:t xml:space="preserve">drive down cost </w:t>
      </w:r>
      <w:r>
        <w:rPr>
          <w:lang w:bidi="en-US"/>
        </w:rPr>
        <w:t>and allow the team to leverage use of centralized patient management services across the Shields network of service partnerships. This scalable model keeps infrastructure costs low.</w:t>
      </w:r>
      <w:r>
        <w:rPr>
          <w:rStyle w:val="FootnoteReference"/>
          <w:lang w:bidi="en-US"/>
        </w:rPr>
        <w:footnoteReference w:id="7"/>
      </w:r>
      <w:r>
        <w:rPr>
          <w:lang w:bidi="en-US"/>
        </w:rPr>
        <w:t xml:space="preserve"> </w:t>
      </w:r>
    </w:p>
    <w:p w14:paraId="553BB93C" w14:textId="77777777" w:rsidR="000E59CA" w:rsidRDefault="000E59CA" w:rsidP="000E59CA">
      <w:pPr>
        <w:spacing w:after="0" w:line="240" w:lineRule="auto"/>
        <w:jc w:val="both"/>
        <w:rPr>
          <w:lang w:bidi="en-US"/>
        </w:rPr>
      </w:pPr>
    </w:p>
    <w:p w14:paraId="6F3E1CBE" w14:textId="77777777" w:rsidR="000E59CA" w:rsidRDefault="000E59CA" w:rsidP="000E59CA">
      <w:pPr>
        <w:spacing w:after="0" w:line="240" w:lineRule="auto"/>
        <w:jc w:val="both"/>
        <w:rPr>
          <w:lang w:bidi="en-US"/>
        </w:rPr>
      </w:pPr>
      <w:r w:rsidRPr="002D4B7B">
        <w:rPr>
          <w:lang w:bidi="en-US"/>
        </w:rPr>
        <w:t>Accordingly, the Proposed</w:t>
      </w:r>
      <w:r>
        <w:rPr>
          <w:lang w:bidi="en-US"/>
        </w:rPr>
        <w:t xml:space="preserve"> </w:t>
      </w:r>
      <w:r w:rsidRPr="002D4B7B">
        <w:rPr>
          <w:lang w:bidi="en-US"/>
        </w:rPr>
        <w:t>Project will provide patients with access to high-quality PET-CT services while also</w:t>
      </w:r>
      <w:r>
        <w:rPr>
          <w:lang w:bidi="en-US"/>
        </w:rPr>
        <w:t xml:space="preserve"> </w:t>
      </w:r>
      <w:r w:rsidRPr="002D4B7B">
        <w:rPr>
          <w:lang w:bidi="en-US"/>
        </w:rPr>
        <w:t>meaningfully contributing to Massachusetts’ goals for cost containment.</w:t>
      </w:r>
      <w:r>
        <w:rPr>
          <w:lang w:bidi="en-US"/>
        </w:rPr>
        <w:t xml:space="preserve"> </w:t>
      </w:r>
    </w:p>
    <w:p w14:paraId="3CE19F15" w14:textId="77777777" w:rsidR="000E59CA" w:rsidRDefault="000E59CA" w:rsidP="000E59CA">
      <w:pPr>
        <w:spacing w:after="0" w:line="240" w:lineRule="auto"/>
        <w:jc w:val="both"/>
        <w:rPr>
          <w:lang w:bidi="en-US"/>
        </w:rPr>
      </w:pPr>
    </w:p>
    <w:p w14:paraId="044E969D" w14:textId="3E2CF3C1" w:rsidR="000E59CA" w:rsidRDefault="000E59CA" w:rsidP="0033480A">
      <w:pPr>
        <w:rPr>
          <w:b/>
        </w:rPr>
      </w:pPr>
    </w:p>
    <w:p w14:paraId="5D8FFCC4" w14:textId="77E0DA3E" w:rsidR="00CB413D" w:rsidRDefault="00CB413D" w:rsidP="0033480A">
      <w:pPr>
        <w:rPr>
          <w:b/>
        </w:rPr>
      </w:pPr>
    </w:p>
    <w:p w14:paraId="08218413" w14:textId="08D470A6" w:rsidR="00CB413D" w:rsidRDefault="00CB413D" w:rsidP="0033480A">
      <w:pPr>
        <w:rPr>
          <w:b/>
        </w:rPr>
      </w:pPr>
    </w:p>
    <w:p w14:paraId="58F23611" w14:textId="77777777" w:rsidR="00CB413D" w:rsidRDefault="00CB413D" w:rsidP="0033480A">
      <w:pPr>
        <w:rPr>
          <w:b/>
        </w:rPr>
      </w:pPr>
    </w:p>
    <w:p w14:paraId="1D2F7D99" w14:textId="41F2167F" w:rsidR="000E59CA" w:rsidRDefault="000E59CA" w:rsidP="0033480A">
      <w:pPr>
        <w:rPr>
          <w:b/>
        </w:rPr>
      </w:pPr>
    </w:p>
    <w:p w14:paraId="7F55DDA6" w14:textId="1C252F81" w:rsidR="000E59CA" w:rsidRDefault="000E59CA" w:rsidP="0033480A">
      <w:pPr>
        <w:rPr>
          <w:b/>
        </w:rPr>
      </w:pPr>
    </w:p>
    <w:p w14:paraId="599C27A0" w14:textId="56A91511" w:rsidR="000E59CA" w:rsidRDefault="000E59CA" w:rsidP="0033480A">
      <w:pPr>
        <w:rPr>
          <w:b/>
        </w:rPr>
      </w:pPr>
    </w:p>
    <w:p w14:paraId="2F9A1541" w14:textId="77777777" w:rsidR="000E59CA" w:rsidRDefault="000E59CA" w:rsidP="0033480A">
      <w:pPr>
        <w:rPr>
          <w:b/>
        </w:rPr>
      </w:pPr>
    </w:p>
    <w:p w14:paraId="161269EE" w14:textId="468C02A7" w:rsidR="0033480A" w:rsidRPr="008E1F67" w:rsidRDefault="0033480A" w:rsidP="0033480A">
      <w:pPr>
        <w:rPr>
          <w:b/>
        </w:rPr>
      </w:pPr>
      <w:r w:rsidRPr="008E1F67">
        <w:rPr>
          <w:b/>
        </w:rPr>
        <w:lastRenderedPageBreak/>
        <w:t xml:space="preserve">Factor 1: Applicant Patient Panel Need, Public Health Values and Operational Objectives </w:t>
      </w:r>
    </w:p>
    <w:p w14:paraId="5B768F73" w14:textId="77777777" w:rsidR="0033480A" w:rsidRPr="008E1F67" w:rsidRDefault="0033480A" w:rsidP="0033480A">
      <w:pPr>
        <w:rPr>
          <w:b/>
        </w:rPr>
      </w:pPr>
      <w:r w:rsidRPr="008E1F67">
        <w:rPr>
          <w:b/>
        </w:rPr>
        <w:t>F1.</w:t>
      </w:r>
      <w:proofErr w:type="gramStart"/>
      <w:r w:rsidRPr="008E1F67">
        <w:rPr>
          <w:b/>
        </w:rPr>
        <w:t>a.i</w:t>
      </w:r>
      <w:proofErr w:type="gramEnd"/>
      <w:r w:rsidRPr="008E1F67">
        <w:rPr>
          <w:b/>
        </w:rPr>
        <w:tab/>
      </w:r>
      <w:r w:rsidRPr="008E1F67">
        <w:rPr>
          <w:b/>
          <w:u w:val="single"/>
        </w:rPr>
        <w:t>Patient Panel</w:t>
      </w:r>
      <w:r w:rsidRPr="008E1F67">
        <w:rPr>
          <w:b/>
        </w:rPr>
        <w:t>:</w:t>
      </w:r>
    </w:p>
    <w:p w14:paraId="6E6A0D42" w14:textId="77777777" w:rsidR="0033480A" w:rsidRPr="00884672" w:rsidRDefault="0033480A" w:rsidP="0033480A">
      <w:pPr>
        <w:pStyle w:val="ListParagraph"/>
        <w:numPr>
          <w:ilvl w:val="0"/>
          <w:numId w:val="1"/>
        </w:numPr>
        <w:autoSpaceDE w:val="0"/>
        <w:autoSpaceDN w:val="0"/>
        <w:adjustRightInd w:val="0"/>
        <w:spacing w:after="0" w:line="240" w:lineRule="auto"/>
        <w:rPr>
          <w:rFonts w:ascii="Calibri" w:hAnsi="Calibri" w:cs="Calibri"/>
          <w:b/>
          <w:bCs/>
          <w:u w:val="single"/>
        </w:rPr>
      </w:pPr>
      <w:r w:rsidRPr="00884672">
        <w:rPr>
          <w:rFonts w:ascii="Calibri" w:hAnsi="Calibri" w:cs="Calibri"/>
          <w:b/>
          <w:bCs/>
          <w:u w:val="single"/>
        </w:rPr>
        <w:t xml:space="preserve">Overview of Applicant’s Joint Venture </w:t>
      </w:r>
    </w:p>
    <w:p w14:paraId="758B9F0D" w14:textId="77777777" w:rsidR="0033480A" w:rsidRPr="008E7A24" w:rsidRDefault="0033480A" w:rsidP="0033480A">
      <w:pPr>
        <w:pStyle w:val="ListParagraph"/>
        <w:autoSpaceDE w:val="0"/>
        <w:autoSpaceDN w:val="0"/>
        <w:adjustRightInd w:val="0"/>
        <w:spacing w:after="0" w:line="240" w:lineRule="auto"/>
        <w:rPr>
          <w:rFonts w:ascii="Calibri" w:hAnsi="Calibri" w:cs="Calibri"/>
        </w:rPr>
      </w:pPr>
    </w:p>
    <w:p w14:paraId="08619C27" w14:textId="1095F924" w:rsidR="0033480A" w:rsidRDefault="0033480A" w:rsidP="0033480A">
      <w:pPr>
        <w:autoSpaceDE w:val="0"/>
        <w:autoSpaceDN w:val="0"/>
        <w:adjustRightInd w:val="0"/>
        <w:spacing w:after="0" w:line="240" w:lineRule="auto"/>
        <w:ind w:left="360"/>
        <w:jc w:val="both"/>
        <w:rPr>
          <w:rFonts w:ascii="Calibri" w:hAnsi="Calibri" w:cs="Calibri"/>
        </w:rPr>
      </w:pPr>
      <w:r>
        <w:rPr>
          <w:rFonts w:ascii="Calibri" w:hAnsi="Calibri" w:cs="Calibri"/>
        </w:rPr>
        <w:t>The Applicant is a newly formed joint venture between MelroseWakefiel</w:t>
      </w:r>
      <w:r w:rsidR="00E27304">
        <w:rPr>
          <w:rFonts w:ascii="Calibri" w:hAnsi="Calibri" w:cs="Calibri"/>
        </w:rPr>
        <w:t>d</w:t>
      </w:r>
      <w:r>
        <w:rPr>
          <w:rFonts w:ascii="Calibri" w:hAnsi="Calibri" w:cs="Calibri"/>
        </w:rPr>
        <w:t xml:space="preserve"> Hospital (“MWH”) and Shields, named </w:t>
      </w:r>
      <w:r w:rsidRPr="00980E50">
        <w:rPr>
          <w:rFonts w:ascii="Calibri" w:hAnsi="Calibri" w:cs="Calibri"/>
        </w:rPr>
        <w:t>Tufts Medicine: Shields PET/CT LLC</w:t>
      </w:r>
      <w:r>
        <w:rPr>
          <w:rFonts w:ascii="Calibri" w:hAnsi="Calibri" w:cs="Calibri"/>
        </w:rPr>
        <w:t xml:space="preserve"> (“TM: Shields”). </w:t>
      </w:r>
      <w:r w:rsidRPr="00FE52D0">
        <w:rPr>
          <w:rFonts w:ascii="Calibri" w:hAnsi="Calibri" w:cs="Calibri"/>
        </w:rPr>
        <w:t xml:space="preserve">The </w:t>
      </w:r>
      <w:r>
        <w:rPr>
          <w:rFonts w:ascii="Calibri" w:hAnsi="Calibri" w:cs="Calibri"/>
        </w:rPr>
        <w:t xml:space="preserve">Applicant’s </w:t>
      </w:r>
      <w:r w:rsidRPr="00FE52D0">
        <w:rPr>
          <w:rFonts w:ascii="Calibri" w:hAnsi="Calibri" w:cs="Calibri"/>
        </w:rPr>
        <w:t>business purpose</w:t>
      </w:r>
      <w:r>
        <w:rPr>
          <w:rFonts w:ascii="Calibri" w:hAnsi="Calibri" w:cs="Calibri"/>
        </w:rPr>
        <w:t xml:space="preserve"> </w:t>
      </w:r>
      <w:r w:rsidRPr="00FE52D0">
        <w:rPr>
          <w:rFonts w:ascii="Calibri" w:hAnsi="Calibri" w:cs="Calibri"/>
        </w:rPr>
        <w:t>is to</w:t>
      </w:r>
      <w:r w:rsidRPr="001A28DA">
        <w:t xml:space="preserve"> </w:t>
      </w:r>
      <w:r>
        <w:t xml:space="preserve">offer </w:t>
      </w:r>
      <w:r w:rsidRPr="001A28DA">
        <w:rPr>
          <w:rFonts w:ascii="Calibri" w:hAnsi="Calibri" w:cs="Calibri"/>
        </w:rPr>
        <w:t xml:space="preserve">positron emission tomography - computed tomography (“PET/CT”) services via </w:t>
      </w:r>
      <w:r w:rsidRPr="00C35CE9">
        <w:rPr>
          <w:rFonts w:ascii="Calibri" w:hAnsi="Calibri" w:cs="Calibri"/>
        </w:rPr>
        <w:t>a mobile medical imaging unit located at 888 Main Street, Wakefield (the “PET/CT Site”)</w:t>
      </w:r>
      <w:r w:rsidR="009135EC">
        <w:rPr>
          <w:rFonts w:ascii="Calibri" w:hAnsi="Calibri" w:cs="Calibri"/>
        </w:rPr>
        <w:t xml:space="preserve"> </w:t>
      </w:r>
      <w:r w:rsidRPr="00C35CE9">
        <w:rPr>
          <w:rFonts w:ascii="Calibri" w:hAnsi="Calibri" w:cs="Calibri"/>
        </w:rPr>
        <w:t>and en</w:t>
      </w:r>
      <w:r w:rsidRPr="001A28DA">
        <w:rPr>
          <w:rFonts w:ascii="Calibri" w:hAnsi="Calibri" w:cs="Calibri"/>
        </w:rPr>
        <w:t>gag</w:t>
      </w:r>
      <w:r>
        <w:rPr>
          <w:rFonts w:ascii="Calibri" w:hAnsi="Calibri" w:cs="Calibri"/>
        </w:rPr>
        <w:t xml:space="preserve">e </w:t>
      </w:r>
      <w:r w:rsidRPr="001A28DA">
        <w:rPr>
          <w:rFonts w:ascii="Calibri" w:hAnsi="Calibri" w:cs="Calibri"/>
        </w:rPr>
        <w:t>in activities related to the accomplishment of such purposes</w:t>
      </w:r>
      <w:r>
        <w:rPr>
          <w:rFonts w:ascii="Calibri" w:hAnsi="Calibri" w:cs="Calibri"/>
        </w:rPr>
        <w:t>.</w:t>
      </w:r>
      <w:r w:rsidRPr="00FE52D0">
        <w:rPr>
          <w:rFonts w:ascii="Calibri" w:hAnsi="Calibri" w:cs="Calibri"/>
        </w:rPr>
        <w:t xml:space="preserve"> Shields is both a Member of the LLC that comprises the Applicant and is slated to serve as the entity responsible for the operational and management services of the Proposed Project which will be located on the </w:t>
      </w:r>
      <w:r>
        <w:rPr>
          <w:rFonts w:ascii="Calibri" w:hAnsi="Calibri" w:cs="Calibri"/>
        </w:rPr>
        <w:t>MWH</w:t>
      </w:r>
      <w:r w:rsidRPr="00FE52D0">
        <w:rPr>
          <w:rFonts w:ascii="Calibri" w:hAnsi="Calibri" w:cs="Calibri"/>
        </w:rPr>
        <w:t xml:space="preserve"> campus.  </w:t>
      </w:r>
    </w:p>
    <w:p w14:paraId="23B04356" w14:textId="77777777" w:rsidR="0033480A" w:rsidRDefault="0033480A" w:rsidP="0033480A">
      <w:pPr>
        <w:autoSpaceDE w:val="0"/>
        <w:autoSpaceDN w:val="0"/>
        <w:adjustRightInd w:val="0"/>
        <w:spacing w:after="0" w:line="240" w:lineRule="auto"/>
        <w:ind w:left="360"/>
        <w:jc w:val="both"/>
        <w:rPr>
          <w:rFonts w:ascii="Calibri" w:hAnsi="Calibri" w:cs="Calibri"/>
        </w:rPr>
      </w:pPr>
    </w:p>
    <w:p w14:paraId="3C13F270" w14:textId="77777777" w:rsidR="0033480A" w:rsidRDefault="0033480A" w:rsidP="0033480A">
      <w:pPr>
        <w:autoSpaceDE w:val="0"/>
        <w:autoSpaceDN w:val="0"/>
        <w:adjustRightInd w:val="0"/>
        <w:spacing w:after="0" w:line="240" w:lineRule="auto"/>
        <w:ind w:left="360"/>
        <w:jc w:val="both"/>
        <w:rPr>
          <w:rFonts w:ascii="Calibri" w:hAnsi="Calibri" w:cs="Calibri"/>
        </w:rPr>
      </w:pPr>
      <w:r w:rsidRPr="002B61EF">
        <w:rPr>
          <w:rFonts w:ascii="Calibri" w:hAnsi="Calibri" w:cs="Calibri"/>
        </w:rPr>
        <w:t xml:space="preserve">MelroseWakefield, formerly Hallmark Health, is a coordinated system of hospitals, physician practices and community-based services providing care for communities throughout north suburban Boston. </w:t>
      </w:r>
      <w:r>
        <w:rPr>
          <w:rFonts w:ascii="Calibri" w:hAnsi="Calibri" w:cs="Calibri"/>
        </w:rPr>
        <w:t>The MelroseWakfield organization</w:t>
      </w:r>
      <w:r w:rsidRPr="009C748A">
        <w:rPr>
          <w:rFonts w:ascii="Calibri" w:hAnsi="Calibri" w:cs="Calibri"/>
        </w:rPr>
        <w:t xml:space="preserve"> includes </w:t>
      </w:r>
      <w:r>
        <w:rPr>
          <w:rFonts w:ascii="Calibri" w:hAnsi="Calibri" w:cs="Calibri"/>
        </w:rPr>
        <w:t>MWH</w:t>
      </w:r>
      <w:r w:rsidRPr="009C748A">
        <w:rPr>
          <w:rFonts w:ascii="Calibri" w:hAnsi="Calibri" w:cs="Calibri"/>
        </w:rPr>
        <w:t>, Lawrence Memorial Hospital of Medford; Hallmark Health Medical Center, Reading; Tufts MC Community Care; and Lawrence Memorial/Regis College School of Nursing.</w:t>
      </w:r>
      <w:r>
        <w:rPr>
          <w:rStyle w:val="FootnoteReference"/>
          <w:rFonts w:ascii="Calibri" w:hAnsi="Calibri" w:cs="Calibri"/>
        </w:rPr>
        <w:footnoteReference w:id="8"/>
      </w:r>
      <w:r w:rsidRPr="009C748A">
        <w:rPr>
          <w:rFonts w:ascii="Calibri" w:hAnsi="Calibri" w:cs="Calibri"/>
        </w:rPr>
        <w:t xml:space="preserve"> </w:t>
      </w:r>
      <w:r>
        <w:rPr>
          <w:rFonts w:ascii="Calibri" w:hAnsi="Calibri" w:cs="Calibri"/>
        </w:rPr>
        <w:t xml:space="preserve">MelroseWakefield is part of Tufts Medicine, which includes Tufts Medicinal Center, Circle Health (Lowell General Hospital), Tufts Medicine Integrated Network, and Tufts Medicine Care at Home. MWH is a </w:t>
      </w:r>
      <w:r w:rsidRPr="00775D25">
        <w:rPr>
          <w:rFonts w:ascii="Calibri" w:hAnsi="Calibri" w:cs="Calibri"/>
        </w:rPr>
        <w:t>general hospital offering a wide range of services including expert cardiac care, 24-hour emergency care, wound care management</w:t>
      </w:r>
      <w:r>
        <w:rPr>
          <w:rFonts w:ascii="Calibri" w:hAnsi="Calibri" w:cs="Calibri"/>
        </w:rPr>
        <w:t>,</w:t>
      </w:r>
      <w:r w:rsidRPr="00775D25">
        <w:rPr>
          <w:rFonts w:ascii="Calibri" w:hAnsi="Calibri" w:cs="Calibri"/>
        </w:rPr>
        <w:t xml:space="preserve"> and maternity services with an on-site level II special care nursery. </w:t>
      </w:r>
      <w:r>
        <w:rPr>
          <w:rFonts w:ascii="Calibri" w:hAnsi="Calibri" w:cs="Calibri"/>
        </w:rPr>
        <w:t xml:space="preserve">To address growing demand for health care services, MWH maintains 232 </w:t>
      </w:r>
      <w:r w:rsidRPr="00775D25">
        <w:rPr>
          <w:rFonts w:ascii="Calibri" w:hAnsi="Calibri" w:cs="Calibri"/>
        </w:rPr>
        <w:t>bed</w:t>
      </w:r>
      <w:r>
        <w:rPr>
          <w:rFonts w:ascii="Calibri" w:hAnsi="Calibri" w:cs="Calibri"/>
        </w:rPr>
        <w:t xml:space="preserve">s and </w:t>
      </w:r>
      <w:r w:rsidRPr="00775D25">
        <w:rPr>
          <w:rFonts w:ascii="Calibri" w:hAnsi="Calibri" w:cs="Calibri"/>
        </w:rPr>
        <w:t>is supported by over 700 affiliated physicians and has access to advanced, specialty care with its clinical affiliation with Tufts Medical Center.</w:t>
      </w:r>
      <w:r>
        <w:rPr>
          <w:rFonts w:ascii="Calibri" w:hAnsi="Calibri" w:cs="Calibri"/>
        </w:rPr>
        <w:t xml:space="preserve"> MWH’s core mission has always been to make high-quality health care more accessible to those who live and work in the community. </w:t>
      </w:r>
    </w:p>
    <w:p w14:paraId="6448955E" w14:textId="77777777" w:rsidR="0033480A" w:rsidRDefault="0033480A" w:rsidP="0033480A">
      <w:pPr>
        <w:autoSpaceDE w:val="0"/>
        <w:autoSpaceDN w:val="0"/>
        <w:adjustRightInd w:val="0"/>
        <w:spacing w:after="0" w:line="240" w:lineRule="auto"/>
        <w:ind w:left="360"/>
        <w:jc w:val="both"/>
        <w:rPr>
          <w:rFonts w:ascii="Calibri" w:hAnsi="Calibri" w:cs="Calibri"/>
        </w:rPr>
      </w:pPr>
    </w:p>
    <w:p w14:paraId="4F971974" w14:textId="77777777" w:rsidR="0033480A" w:rsidRDefault="0033480A" w:rsidP="0033480A">
      <w:pPr>
        <w:autoSpaceDE w:val="0"/>
        <w:autoSpaceDN w:val="0"/>
        <w:adjustRightInd w:val="0"/>
        <w:spacing w:after="0" w:line="240" w:lineRule="auto"/>
        <w:ind w:left="360"/>
        <w:jc w:val="both"/>
        <w:rPr>
          <w:rFonts w:ascii="Calibri" w:hAnsi="Calibri" w:cs="Calibri"/>
        </w:rPr>
      </w:pPr>
      <w:r w:rsidRPr="00E57B39">
        <w:rPr>
          <w:rFonts w:ascii="Calibri" w:hAnsi="Calibri" w:cs="Calibri"/>
        </w:rPr>
        <w:t>Shields was founded in 1972 in Brockton, Massachusetts. Dedication to high quality and advanced care in a local setting quickly became a signature attribute of the Shields business model, continuing with Massachusetts’ first independent regional MRI center in 1986.  Today, Shields has expanded to manage more than 40 MRI and PET-CT facilities throughout New England, many of which are joint venture partnerships with community hospitals. Most Shields locations operate as licensed clinics and are often located on campus or proximate to the local hospital, thereby enabling coordinated, seamless, and highly accessible care.</w:t>
      </w:r>
    </w:p>
    <w:p w14:paraId="72B85CF7" w14:textId="77777777" w:rsidR="0033480A" w:rsidRDefault="0033480A" w:rsidP="0033480A">
      <w:pPr>
        <w:autoSpaceDE w:val="0"/>
        <w:autoSpaceDN w:val="0"/>
        <w:adjustRightInd w:val="0"/>
        <w:spacing w:after="0" w:line="240" w:lineRule="auto"/>
        <w:ind w:left="360"/>
        <w:jc w:val="both"/>
        <w:rPr>
          <w:rFonts w:ascii="Calibri" w:hAnsi="Calibri" w:cs="Calibri"/>
        </w:rPr>
      </w:pPr>
    </w:p>
    <w:p w14:paraId="3A9C9F9B" w14:textId="77777777" w:rsidR="0033480A" w:rsidRDefault="0033480A" w:rsidP="0033480A">
      <w:pPr>
        <w:autoSpaceDE w:val="0"/>
        <w:autoSpaceDN w:val="0"/>
        <w:adjustRightInd w:val="0"/>
        <w:spacing w:after="0" w:line="240" w:lineRule="auto"/>
        <w:ind w:left="360"/>
        <w:jc w:val="both"/>
        <w:rPr>
          <w:rFonts w:ascii="Calibri" w:hAnsi="Calibri" w:cs="Calibri"/>
        </w:rPr>
      </w:pPr>
    </w:p>
    <w:p w14:paraId="1756D770" w14:textId="77777777" w:rsidR="0033480A" w:rsidRPr="00884672" w:rsidRDefault="0033480A" w:rsidP="0033480A">
      <w:pPr>
        <w:pStyle w:val="ListParagraph"/>
        <w:numPr>
          <w:ilvl w:val="0"/>
          <w:numId w:val="1"/>
        </w:numPr>
        <w:autoSpaceDE w:val="0"/>
        <w:autoSpaceDN w:val="0"/>
        <w:adjustRightInd w:val="0"/>
        <w:spacing w:after="0" w:line="240" w:lineRule="auto"/>
        <w:jc w:val="both"/>
        <w:rPr>
          <w:rFonts w:ascii="Calibri" w:hAnsi="Calibri" w:cs="Calibri"/>
          <w:b/>
          <w:bCs/>
          <w:u w:val="single"/>
        </w:rPr>
      </w:pPr>
      <w:r w:rsidRPr="00884672">
        <w:rPr>
          <w:rFonts w:ascii="Calibri" w:hAnsi="Calibri" w:cs="Calibri"/>
          <w:b/>
          <w:bCs/>
          <w:u w:val="single"/>
        </w:rPr>
        <w:t>Applicant’s Patient Panel</w:t>
      </w:r>
    </w:p>
    <w:p w14:paraId="7993B2CF" w14:textId="77777777" w:rsidR="0033480A" w:rsidRDefault="0033480A" w:rsidP="0033480A">
      <w:pPr>
        <w:autoSpaceDE w:val="0"/>
        <w:autoSpaceDN w:val="0"/>
        <w:adjustRightInd w:val="0"/>
        <w:spacing w:after="0" w:line="240" w:lineRule="auto"/>
        <w:ind w:left="360"/>
        <w:jc w:val="both"/>
        <w:rPr>
          <w:rFonts w:ascii="Calibri" w:hAnsi="Calibri" w:cs="Calibri"/>
        </w:rPr>
      </w:pPr>
    </w:p>
    <w:p w14:paraId="323FA836" w14:textId="77777777" w:rsidR="0033480A" w:rsidRDefault="0033480A" w:rsidP="0033480A">
      <w:pPr>
        <w:autoSpaceDE w:val="0"/>
        <w:autoSpaceDN w:val="0"/>
        <w:adjustRightInd w:val="0"/>
        <w:spacing w:after="0" w:line="240" w:lineRule="auto"/>
        <w:ind w:left="360"/>
        <w:jc w:val="both"/>
        <w:rPr>
          <w:rFonts w:ascii="Calibri" w:hAnsi="Calibri" w:cs="Calibri"/>
        </w:rPr>
      </w:pPr>
      <w:r>
        <w:rPr>
          <w:rFonts w:ascii="Calibri" w:hAnsi="Calibri" w:cs="Calibri"/>
        </w:rPr>
        <w:t xml:space="preserve">The Applicant is a newly formed joint venture and therefore does not [yet] have its </w:t>
      </w:r>
      <w:r w:rsidRPr="00D138A6">
        <w:rPr>
          <w:rFonts w:ascii="Calibri" w:hAnsi="Calibri" w:cs="Calibri"/>
        </w:rPr>
        <w:t>own patient panel.</w:t>
      </w:r>
      <w:r>
        <w:rPr>
          <w:rFonts w:ascii="Calibri" w:hAnsi="Calibri" w:cs="Calibri"/>
        </w:rPr>
        <w:t xml:space="preserve"> MWH is a member of Tufts Medicine: Shields PET-CT LCC, and the proposed PET-CT clinic will be brought online to allow [continued] local access to PET-CT services to MWH’s patients when the current joint venture partnership with Montvale PET-CT ends in the summer of 2023. The Applicant relies, both on MWH’s patient panel to demonstrate the need for the Proposed Project and historical utilization of PET-CT diagnostic services via MWH’s current joint venture partner to demonstrate the need for the Proposed Project.</w:t>
      </w:r>
    </w:p>
    <w:p w14:paraId="4F24E094" w14:textId="77777777" w:rsidR="0033480A" w:rsidRDefault="0033480A" w:rsidP="0033480A">
      <w:pPr>
        <w:autoSpaceDE w:val="0"/>
        <w:autoSpaceDN w:val="0"/>
        <w:adjustRightInd w:val="0"/>
        <w:spacing w:after="0" w:line="240" w:lineRule="auto"/>
        <w:ind w:left="360"/>
        <w:jc w:val="both"/>
        <w:rPr>
          <w:rFonts w:ascii="Calibri" w:hAnsi="Calibri" w:cs="Calibri"/>
        </w:rPr>
      </w:pPr>
    </w:p>
    <w:p w14:paraId="54C87A1C" w14:textId="77777777" w:rsidR="0033480A" w:rsidRPr="00884672" w:rsidRDefault="0033480A" w:rsidP="0033480A">
      <w:pPr>
        <w:autoSpaceDE w:val="0"/>
        <w:autoSpaceDN w:val="0"/>
        <w:adjustRightInd w:val="0"/>
        <w:spacing w:after="0" w:line="240" w:lineRule="auto"/>
        <w:ind w:left="360"/>
        <w:jc w:val="both"/>
        <w:rPr>
          <w:rFonts w:ascii="Calibri" w:hAnsi="Calibri" w:cs="Calibri"/>
          <w:u w:val="single"/>
        </w:rPr>
      </w:pPr>
      <w:r w:rsidRPr="00884672">
        <w:rPr>
          <w:rFonts w:ascii="Calibri" w:hAnsi="Calibri" w:cs="Calibri"/>
          <w:u w:val="single"/>
        </w:rPr>
        <w:lastRenderedPageBreak/>
        <w:t xml:space="preserve">Overall Demographic Profile </w:t>
      </w:r>
    </w:p>
    <w:p w14:paraId="2A01770A" w14:textId="77777777" w:rsidR="0033480A" w:rsidRDefault="0033480A" w:rsidP="0033480A">
      <w:pPr>
        <w:autoSpaceDE w:val="0"/>
        <w:autoSpaceDN w:val="0"/>
        <w:adjustRightInd w:val="0"/>
        <w:spacing w:after="0" w:line="240" w:lineRule="auto"/>
        <w:ind w:left="360"/>
        <w:jc w:val="both"/>
        <w:rPr>
          <w:rFonts w:ascii="Calibri" w:hAnsi="Calibri" w:cs="Calibri"/>
        </w:rPr>
      </w:pPr>
    </w:p>
    <w:p w14:paraId="15407F92" w14:textId="77777777" w:rsidR="0033480A" w:rsidRDefault="0033480A" w:rsidP="0033480A">
      <w:pPr>
        <w:autoSpaceDE w:val="0"/>
        <w:autoSpaceDN w:val="0"/>
        <w:adjustRightInd w:val="0"/>
        <w:spacing w:after="0" w:line="240" w:lineRule="auto"/>
        <w:ind w:left="360"/>
        <w:jc w:val="both"/>
        <w:rPr>
          <w:rFonts w:ascii="Calibri" w:hAnsi="Calibri" w:cs="Calibri"/>
        </w:rPr>
      </w:pPr>
      <w:r>
        <w:rPr>
          <w:rFonts w:ascii="Calibri" w:hAnsi="Calibri" w:cs="Calibri"/>
        </w:rPr>
        <w:t xml:space="preserve">The MWH </w:t>
      </w:r>
      <w:r w:rsidRPr="00D138A6">
        <w:rPr>
          <w:rFonts w:ascii="Calibri" w:hAnsi="Calibri" w:cs="Calibri"/>
        </w:rPr>
        <w:t xml:space="preserve">patient panel </w:t>
      </w:r>
      <w:r>
        <w:rPr>
          <w:rFonts w:ascii="Calibri" w:hAnsi="Calibri" w:cs="Calibri"/>
        </w:rPr>
        <w:t>i</w:t>
      </w:r>
      <w:r w:rsidRPr="00D138A6">
        <w:rPr>
          <w:rFonts w:ascii="Calibri" w:hAnsi="Calibri" w:cs="Calibri"/>
        </w:rPr>
        <w:t xml:space="preserve">s demonstrated </w:t>
      </w:r>
      <w:r>
        <w:rPr>
          <w:rFonts w:ascii="Calibri" w:hAnsi="Calibri" w:cs="Calibri"/>
        </w:rPr>
        <w:t xml:space="preserve">in </w:t>
      </w:r>
      <w:r w:rsidRPr="00D138A6">
        <w:rPr>
          <w:rFonts w:ascii="Calibri" w:hAnsi="Calibri" w:cs="Calibri"/>
        </w:rPr>
        <w:t>the demographic data collected for fiscal</w:t>
      </w:r>
      <w:r>
        <w:rPr>
          <w:rFonts w:ascii="Calibri" w:hAnsi="Calibri" w:cs="Calibri"/>
        </w:rPr>
        <w:t xml:space="preserve"> </w:t>
      </w:r>
      <w:r w:rsidRPr="00D138A6">
        <w:rPr>
          <w:rFonts w:ascii="Calibri" w:hAnsi="Calibri" w:cs="Calibri"/>
        </w:rPr>
        <w:t>years (“FY”) 201</w:t>
      </w:r>
      <w:r>
        <w:rPr>
          <w:rFonts w:ascii="Calibri" w:hAnsi="Calibri" w:cs="Calibri"/>
        </w:rPr>
        <w:t>9</w:t>
      </w:r>
      <w:r w:rsidRPr="00D138A6">
        <w:rPr>
          <w:rFonts w:ascii="Calibri" w:hAnsi="Calibri" w:cs="Calibri"/>
        </w:rPr>
        <w:t>-20</w:t>
      </w:r>
      <w:r>
        <w:rPr>
          <w:rFonts w:ascii="Calibri" w:hAnsi="Calibri" w:cs="Calibri"/>
        </w:rPr>
        <w:t>21</w:t>
      </w:r>
      <w:r w:rsidRPr="00D138A6">
        <w:rPr>
          <w:rFonts w:ascii="Calibri" w:hAnsi="Calibri" w:cs="Calibri"/>
        </w:rPr>
        <w:t>.</w:t>
      </w:r>
      <w:r>
        <w:rPr>
          <w:rStyle w:val="FootnoteReference"/>
          <w:rFonts w:ascii="Calibri" w:hAnsi="Calibri" w:cs="Calibri"/>
        </w:rPr>
        <w:footnoteReference w:id="9"/>
      </w:r>
      <w:r w:rsidRPr="00D138A6">
        <w:rPr>
          <w:rFonts w:ascii="Calibri" w:hAnsi="Calibri" w:cs="Calibri"/>
        </w:rPr>
        <w:t xml:space="preserve"> Over the last three </w:t>
      </w:r>
      <w:r>
        <w:rPr>
          <w:rFonts w:ascii="Calibri" w:hAnsi="Calibri" w:cs="Calibri"/>
        </w:rPr>
        <w:t>fiscal years</w:t>
      </w:r>
      <w:r w:rsidRPr="00D138A6">
        <w:rPr>
          <w:rFonts w:ascii="Calibri" w:hAnsi="Calibri" w:cs="Calibri"/>
        </w:rPr>
        <w:t xml:space="preserve">, </w:t>
      </w:r>
      <w:r>
        <w:rPr>
          <w:rFonts w:ascii="Calibri" w:hAnsi="Calibri" w:cs="Calibri"/>
        </w:rPr>
        <w:t>MWH has provided services to the following numbers of unique patients:</w:t>
      </w:r>
    </w:p>
    <w:p w14:paraId="666ABBB5" w14:textId="77777777" w:rsidR="0033480A" w:rsidRDefault="0033480A" w:rsidP="0033480A">
      <w:pPr>
        <w:autoSpaceDE w:val="0"/>
        <w:autoSpaceDN w:val="0"/>
        <w:adjustRightInd w:val="0"/>
        <w:spacing w:after="0" w:line="240" w:lineRule="auto"/>
        <w:ind w:left="360"/>
        <w:jc w:val="both"/>
        <w:rPr>
          <w:rFonts w:ascii="Calibri" w:hAnsi="Calibri" w:cs="Calibri"/>
        </w:rPr>
      </w:pPr>
    </w:p>
    <w:tbl>
      <w:tblPr>
        <w:tblStyle w:val="TableGrid"/>
        <w:tblW w:w="0" w:type="auto"/>
        <w:tblInd w:w="360" w:type="dxa"/>
        <w:tblLook w:val="04A0" w:firstRow="1" w:lastRow="0" w:firstColumn="1" w:lastColumn="0" w:noHBand="0" w:noVBand="1"/>
      </w:tblPr>
      <w:tblGrid>
        <w:gridCol w:w="2965"/>
        <w:gridCol w:w="6025"/>
      </w:tblGrid>
      <w:tr w:rsidR="0033480A" w14:paraId="601F7C88" w14:textId="77777777" w:rsidTr="006071EA">
        <w:trPr>
          <w:cantSplit/>
          <w:tblHeader/>
        </w:trPr>
        <w:tc>
          <w:tcPr>
            <w:tcW w:w="2965" w:type="dxa"/>
            <w:shd w:val="clear" w:color="auto" w:fill="002060"/>
          </w:tcPr>
          <w:p w14:paraId="27B00D62" w14:textId="77777777" w:rsidR="0033480A" w:rsidRDefault="0033480A" w:rsidP="00553DCD">
            <w:pPr>
              <w:autoSpaceDE w:val="0"/>
              <w:autoSpaceDN w:val="0"/>
              <w:adjustRightInd w:val="0"/>
              <w:jc w:val="center"/>
              <w:rPr>
                <w:rFonts w:ascii="Calibri" w:hAnsi="Calibri" w:cs="Calibri"/>
              </w:rPr>
            </w:pPr>
            <w:bookmarkStart w:id="5" w:name="_Hlk112059024"/>
            <w:r>
              <w:rPr>
                <w:rFonts w:ascii="Calibri" w:hAnsi="Calibri" w:cs="Calibri"/>
              </w:rPr>
              <w:t>Fiscal Year (FY)</w:t>
            </w:r>
          </w:p>
        </w:tc>
        <w:tc>
          <w:tcPr>
            <w:tcW w:w="6025" w:type="dxa"/>
            <w:tcBorders>
              <w:bottom w:val="single" w:sz="4" w:space="0" w:color="auto"/>
            </w:tcBorders>
            <w:shd w:val="clear" w:color="auto" w:fill="002060"/>
          </w:tcPr>
          <w:p w14:paraId="27FE4165" w14:textId="77777777" w:rsidR="0033480A" w:rsidRDefault="0033480A" w:rsidP="00553DCD">
            <w:pPr>
              <w:autoSpaceDE w:val="0"/>
              <w:autoSpaceDN w:val="0"/>
              <w:adjustRightInd w:val="0"/>
              <w:jc w:val="center"/>
              <w:rPr>
                <w:rFonts w:ascii="Calibri" w:hAnsi="Calibri" w:cs="Calibri"/>
              </w:rPr>
            </w:pPr>
            <w:r>
              <w:rPr>
                <w:rFonts w:ascii="Calibri" w:hAnsi="Calibri" w:cs="Calibri"/>
              </w:rPr>
              <w:t>Unique Patients</w:t>
            </w:r>
          </w:p>
        </w:tc>
      </w:tr>
      <w:tr w:rsidR="0033480A" w14:paraId="55783CC9" w14:textId="77777777" w:rsidTr="006071EA">
        <w:trPr>
          <w:cantSplit/>
        </w:trPr>
        <w:tc>
          <w:tcPr>
            <w:tcW w:w="2965" w:type="dxa"/>
          </w:tcPr>
          <w:p w14:paraId="32F95A21" w14:textId="77777777" w:rsidR="0033480A" w:rsidRDefault="0033480A" w:rsidP="00553DCD">
            <w:pPr>
              <w:autoSpaceDE w:val="0"/>
              <w:autoSpaceDN w:val="0"/>
              <w:adjustRightInd w:val="0"/>
              <w:jc w:val="center"/>
              <w:rPr>
                <w:rFonts w:ascii="Calibri" w:hAnsi="Calibri" w:cs="Calibri"/>
              </w:rPr>
            </w:pPr>
            <w:r>
              <w:rPr>
                <w:rFonts w:ascii="Calibri" w:hAnsi="Calibri" w:cs="Calibri"/>
              </w:rPr>
              <w:t>FY19</w:t>
            </w:r>
          </w:p>
        </w:tc>
        <w:tc>
          <w:tcPr>
            <w:tcW w:w="6025" w:type="dxa"/>
            <w:tcBorders>
              <w:top w:val="single" w:sz="4" w:space="0" w:color="auto"/>
              <w:left w:val="nil"/>
              <w:bottom w:val="single" w:sz="4" w:space="0" w:color="auto"/>
              <w:right w:val="single" w:sz="4" w:space="0" w:color="auto"/>
            </w:tcBorders>
            <w:shd w:val="clear" w:color="auto" w:fill="auto"/>
            <w:vAlign w:val="bottom"/>
          </w:tcPr>
          <w:p w14:paraId="23036CF8" w14:textId="77777777" w:rsidR="0033480A" w:rsidRDefault="0033480A" w:rsidP="00553DCD">
            <w:pPr>
              <w:autoSpaceDE w:val="0"/>
              <w:autoSpaceDN w:val="0"/>
              <w:adjustRightInd w:val="0"/>
              <w:jc w:val="center"/>
              <w:rPr>
                <w:rFonts w:ascii="Calibri" w:hAnsi="Calibri" w:cs="Calibri"/>
              </w:rPr>
            </w:pPr>
            <w:r>
              <w:rPr>
                <w:rFonts w:ascii="Calibri" w:hAnsi="Calibri" w:cs="Calibri"/>
                <w:color w:val="000000"/>
              </w:rPr>
              <w:t>109,089</w:t>
            </w:r>
          </w:p>
        </w:tc>
      </w:tr>
      <w:tr w:rsidR="0033480A" w14:paraId="4EF10AC1" w14:textId="77777777" w:rsidTr="006071EA">
        <w:trPr>
          <w:cantSplit/>
        </w:trPr>
        <w:tc>
          <w:tcPr>
            <w:tcW w:w="2965" w:type="dxa"/>
          </w:tcPr>
          <w:p w14:paraId="00C0CAEF" w14:textId="77777777" w:rsidR="0033480A" w:rsidRDefault="0033480A" w:rsidP="00553DCD">
            <w:pPr>
              <w:autoSpaceDE w:val="0"/>
              <w:autoSpaceDN w:val="0"/>
              <w:adjustRightInd w:val="0"/>
              <w:jc w:val="center"/>
              <w:rPr>
                <w:rFonts w:ascii="Calibri" w:hAnsi="Calibri" w:cs="Calibri"/>
              </w:rPr>
            </w:pPr>
            <w:r>
              <w:rPr>
                <w:rFonts w:ascii="Calibri" w:hAnsi="Calibri" w:cs="Calibri"/>
              </w:rPr>
              <w:t>FY20</w:t>
            </w:r>
          </w:p>
        </w:tc>
        <w:tc>
          <w:tcPr>
            <w:tcW w:w="6025" w:type="dxa"/>
            <w:tcBorders>
              <w:top w:val="single" w:sz="4" w:space="0" w:color="auto"/>
              <w:left w:val="nil"/>
              <w:bottom w:val="single" w:sz="4" w:space="0" w:color="auto"/>
              <w:right w:val="single" w:sz="4" w:space="0" w:color="auto"/>
            </w:tcBorders>
            <w:shd w:val="clear" w:color="auto" w:fill="auto"/>
            <w:vAlign w:val="bottom"/>
          </w:tcPr>
          <w:p w14:paraId="7F35D31D" w14:textId="77777777" w:rsidR="0033480A" w:rsidRDefault="0033480A" w:rsidP="00553DCD">
            <w:pPr>
              <w:autoSpaceDE w:val="0"/>
              <w:autoSpaceDN w:val="0"/>
              <w:adjustRightInd w:val="0"/>
              <w:jc w:val="center"/>
              <w:rPr>
                <w:rFonts w:ascii="Calibri" w:hAnsi="Calibri" w:cs="Calibri"/>
              </w:rPr>
            </w:pPr>
            <w:r>
              <w:rPr>
                <w:rFonts w:ascii="Calibri" w:hAnsi="Calibri" w:cs="Calibri"/>
                <w:color w:val="000000"/>
              </w:rPr>
              <w:t>94,800</w:t>
            </w:r>
          </w:p>
        </w:tc>
      </w:tr>
      <w:tr w:rsidR="0033480A" w14:paraId="08A2A344" w14:textId="77777777" w:rsidTr="006071EA">
        <w:trPr>
          <w:cantSplit/>
        </w:trPr>
        <w:tc>
          <w:tcPr>
            <w:tcW w:w="2965" w:type="dxa"/>
          </w:tcPr>
          <w:p w14:paraId="10365FDD" w14:textId="77777777" w:rsidR="0033480A" w:rsidRDefault="0033480A" w:rsidP="00553DCD">
            <w:pPr>
              <w:autoSpaceDE w:val="0"/>
              <w:autoSpaceDN w:val="0"/>
              <w:adjustRightInd w:val="0"/>
              <w:jc w:val="center"/>
              <w:rPr>
                <w:rFonts w:ascii="Calibri" w:hAnsi="Calibri" w:cs="Calibri"/>
              </w:rPr>
            </w:pPr>
            <w:r>
              <w:rPr>
                <w:rFonts w:ascii="Calibri" w:hAnsi="Calibri" w:cs="Calibri"/>
              </w:rPr>
              <w:t>FY21</w:t>
            </w:r>
          </w:p>
        </w:tc>
        <w:tc>
          <w:tcPr>
            <w:tcW w:w="6025" w:type="dxa"/>
            <w:tcBorders>
              <w:top w:val="single" w:sz="4" w:space="0" w:color="auto"/>
              <w:left w:val="nil"/>
              <w:bottom w:val="single" w:sz="4" w:space="0" w:color="auto"/>
              <w:right w:val="single" w:sz="4" w:space="0" w:color="auto"/>
            </w:tcBorders>
            <w:shd w:val="clear" w:color="auto" w:fill="auto"/>
            <w:vAlign w:val="bottom"/>
          </w:tcPr>
          <w:p w14:paraId="11085B48" w14:textId="77777777" w:rsidR="0033480A" w:rsidRDefault="0033480A" w:rsidP="00553DCD">
            <w:pPr>
              <w:autoSpaceDE w:val="0"/>
              <w:autoSpaceDN w:val="0"/>
              <w:adjustRightInd w:val="0"/>
              <w:jc w:val="center"/>
              <w:rPr>
                <w:rFonts w:ascii="Calibri" w:hAnsi="Calibri" w:cs="Calibri"/>
              </w:rPr>
            </w:pPr>
            <w:r>
              <w:rPr>
                <w:rFonts w:ascii="Calibri" w:hAnsi="Calibri" w:cs="Calibri"/>
                <w:color w:val="000000"/>
              </w:rPr>
              <w:t>103,183</w:t>
            </w:r>
          </w:p>
        </w:tc>
      </w:tr>
    </w:tbl>
    <w:p w14:paraId="625E0D77" w14:textId="77777777" w:rsidR="0033480A" w:rsidRPr="0032561B" w:rsidRDefault="0033480A" w:rsidP="0033480A">
      <w:pPr>
        <w:autoSpaceDE w:val="0"/>
        <w:autoSpaceDN w:val="0"/>
        <w:adjustRightInd w:val="0"/>
        <w:spacing w:after="0" w:line="240" w:lineRule="auto"/>
        <w:ind w:left="360"/>
        <w:jc w:val="both"/>
        <w:rPr>
          <w:rFonts w:ascii="Calibri" w:hAnsi="Calibri" w:cs="Calibri"/>
          <w:sz w:val="18"/>
          <w:szCs w:val="18"/>
        </w:rPr>
      </w:pPr>
      <w:r w:rsidRPr="0032561B">
        <w:rPr>
          <w:rFonts w:ascii="Calibri" w:hAnsi="Calibri" w:cs="Calibri"/>
          <w:sz w:val="18"/>
          <w:szCs w:val="18"/>
        </w:rPr>
        <w:t>*FY2019-FY2021 variance = -5.41%</w:t>
      </w:r>
    </w:p>
    <w:p w14:paraId="4D377D0D" w14:textId="77777777" w:rsidR="0033480A" w:rsidRDefault="0033480A" w:rsidP="0033480A">
      <w:pPr>
        <w:autoSpaceDE w:val="0"/>
        <w:autoSpaceDN w:val="0"/>
        <w:adjustRightInd w:val="0"/>
        <w:spacing w:after="0" w:line="240" w:lineRule="auto"/>
        <w:ind w:left="360"/>
        <w:jc w:val="both"/>
        <w:rPr>
          <w:rFonts w:ascii="Calibri" w:hAnsi="Calibri" w:cs="Calibri"/>
        </w:rPr>
      </w:pPr>
    </w:p>
    <w:p w14:paraId="64C527FF" w14:textId="77777777" w:rsidR="0033480A" w:rsidRDefault="0033480A" w:rsidP="0033480A">
      <w:pPr>
        <w:autoSpaceDE w:val="0"/>
        <w:autoSpaceDN w:val="0"/>
        <w:adjustRightInd w:val="0"/>
        <w:spacing w:after="0" w:line="240" w:lineRule="auto"/>
        <w:ind w:left="360"/>
        <w:jc w:val="both"/>
        <w:rPr>
          <w:rFonts w:ascii="Calibri" w:hAnsi="Calibri" w:cs="Calibri"/>
        </w:rPr>
      </w:pPr>
      <w:r>
        <w:rPr>
          <w:rFonts w:ascii="Calibri" w:hAnsi="Calibri" w:cs="Calibri"/>
        </w:rPr>
        <w:t xml:space="preserve">There has been a relative decrease in the number of unique patients from 2019 to 2021 that the Applicant notes is </w:t>
      </w:r>
      <w:r w:rsidRPr="00A22D01">
        <w:rPr>
          <w:rFonts w:ascii="Calibri" w:hAnsi="Calibri" w:cs="Calibri"/>
        </w:rPr>
        <w:t>both an anomaly and a derivative of the COVID-19 pandemic</w:t>
      </w:r>
      <w:r>
        <w:rPr>
          <w:rFonts w:ascii="Calibri" w:hAnsi="Calibri" w:cs="Calibri"/>
        </w:rPr>
        <w:t xml:space="preserve">. </w:t>
      </w:r>
    </w:p>
    <w:bookmarkEnd w:id="5"/>
    <w:p w14:paraId="7A9C5E64" w14:textId="77777777" w:rsidR="0033480A" w:rsidRDefault="0033480A" w:rsidP="0033480A">
      <w:pPr>
        <w:autoSpaceDE w:val="0"/>
        <w:autoSpaceDN w:val="0"/>
        <w:adjustRightInd w:val="0"/>
        <w:spacing w:after="0" w:line="240" w:lineRule="auto"/>
        <w:ind w:left="360"/>
        <w:jc w:val="both"/>
        <w:rPr>
          <w:rFonts w:ascii="Calibri" w:hAnsi="Calibri" w:cs="Calibri"/>
        </w:rPr>
      </w:pPr>
    </w:p>
    <w:p w14:paraId="5BDE0CBA" w14:textId="77777777" w:rsidR="0033480A" w:rsidRDefault="0033480A" w:rsidP="0033480A">
      <w:pPr>
        <w:autoSpaceDE w:val="0"/>
        <w:autoSpaceDN w:val="0"/>
        <w:adjustRightInd w:val="0"/>
        <w:spacing w:after="0" w:line="240" w:lineRule="auto"/>
        <w:ind w:left="360"/>
        <w:jc w:val="both"/>
        <w:rPr>
          <w:rFonts w:ascii="Calibri" w:hAnsi="Calibri" w:cs="Calibri"/>
        </w:rPr>
      </w:pPr>
      <w:r w:rsidRPr="00D138A6">
        <w:rPr>
          <w:rFonts w:ascii="Calibri" w:hAnsi="Calibri" w:cs="Calibri"/>
        </w:rPr>
        <w:t>In</w:t>
      </w:r>
      <w:r>
        <w:rPr>
          <w:rFonts w:ascii="Calibri" w:hAnsi="Calibri" w:cs="Calibri"/>
        </w:rPr>
        <w:t xml:space="preserve"> </w:t>
      </w:r>
      <w:r w:rsidRPr="00D138A6">
        <w:rPr>
          <w:rFonts w:ascii="Calibri" w:hAnsi="Calibri" w:cs="Calibri"/>
        </w:rPr>
        <w:t>FY19</w:t>
      </w:r>
      <w:r>
        <w:rPr>
          <w:rFonts w:ascii="Calibri" w:hAnsi="Calibri" w:cs="Calibri"/>
        </w:rPr>
        <w:t>-FY21</w:t>
      </w:r>
      <w:r w:rsidRPr="00D138A6">
        <w:rPr>
          <w:rFonts w:ascii="Calibri" w:hAnsi="Calibri" w:cs="Calibri"/>
        </w:rPr>
        <w:t xml:space="preserve"> </w:t>
      </w:r>
      <w:r>
        <w:rPr>
          <w:rFonts w:ascii="Calibri" w:hAnsi="Calibri" w:cs="Calibri"/>
        </w:rPr>
        <w:t xml:space="preserve">MWH’s </w:t>
      </w:r>
      <w:r w:rsidRPr="00D138A6">
        <w:rPr>
          <w:rFonts w:ascii="Calibri" w:hAnsi="Calibri" w:cs="Calibri"/>
        </w:rPr>
        <w:t>patient panel originated from the following towns</w:t>
      </w:r>
      <w:r>
        <w:rPr>
          <w:rFonts w:ascii="Calibri" w:hAnsi="Calibri" w:cs="Calibri"/>
        </w:rPr>
        <w:t>:</w:t>
      </w:r>
      <w:r w:rsidRPr="00D138A6">
        <w:rPr>
          <w:rFonts w:ascii="Calibri" w:hAnsi="Calibri" w:cs="Calibri"/>
        </w:rPr>
        <w:t xml:space="preserve"> </w:t>
      </w:r>
    </w:p>
    <w:tbl>
      <w:tblPr>
        <w:tblStyle w:val="TableGrid1"/>
        <w:tblpPr w:leftFromText="180" w:rightFromText="180" w:vertAnchor="text" w:horzAnchor="margin" w:tblpXSpec="right" w:tblpY="118"/>
        <w:tblW w:w="8990" w:type="dxa"/>
        <w:tblLook w:val="04A0" w:firstRow="1" w:lastRow="0" w:firstColumn="1" w:lastColumn="0" w:noHBand="0" w:noVBand="1"/>
      </w:tblPr>
      <w:tblGrid>
        <w:gridCol w:w="1615"/>
        <w:gridCol w:w="1229"/>
        <w:gridCol w:w="1229"/>
        <w:gridCol w:w="1229"/>
        <w:gridCol w:w="1229"/>
        <w:gridCol w:w="1229"/>
        <w:gridCol w:w="1230"/>
      </w:tblGrid>
      <w:tr w:rsidR="0033480A" w14:paraId="7A5C8A99" w14:textId="77777777" w:rsidTr="002124B3">
        <w:trPr>
          <w:cantSplit/>
          <w:trHeight w:val="269"/>
          <w:tblHeader/>
        </w:trPr>
        <w:tc>
          <w:tcPr>
            <w:tcW w:w="1615" w:type="dxa"/>
            <w:tcBorders>
              <w:bottom w:val="single" w:sz="4" w:space="0" w:color="auto"/>
            </w:tcBorders>
            <w:shd w:val="clear" w:color="auto" w:fill="002060"/>
          </w:tcPr>
          <w:p w14:paraId="709B12B6" w14:textId="77777777" w:rsidR="0033480A" w:rsidRPr="00862382" w:rsidRDefault="0033480A" w:rsidP="00553DCD">
            <w:pPr>
              <w:autoSpaceDE w:val="0"/>
              <w:autoSpaceDN w:val="0"/>
              <w:adjustRightInd w:val="0"/>
              <w:jc w:val="both"/>
              <w:rPr>
                <w:rFonts w:ascii="Calibri" w:hAnsi="Calibri" w:cs="Calibri"/>
                <w:color w:val="FFFFFF" w:themeColor="background1"/>
              </w:rPr>
            </w:pPr>
            <w:r>
              <w:rPr>
                <w:rFonts w:ascii="Calibri" w:hAnsi="Calibri" w:cs="Calibri"/>
                <w:color w:val="FFFFFF" w:themeColor="background1"/>
              </w:rPr>
              <w:t>City/Town</w:t>
            </w:r>
          </w:p>
        </w:tc>
        <w:tc>
          <w:tcPr>
            <w:tcW w:w="1229" w:type="dxa"/>
            <w:tcBorders>
              <w:bottom w:val="single" w:sz="4" w:space="0" w:color="auto"/>
            </w:tcBorders>
            <w:shd w:val="clear" w:color="auto" w:fill="002060"/>
            <w:vAlign w:val="center"/>
          </w:tcPr>
          <w:p w14:paraId="0829B37A" w14:textId="77777777" w:rsidR="0033480A" w:rsidRPr="00862382" w:rsidRDefault="0033480A" w:rsidP="00553DCD">
            <w:pPr>
              <w:autoSpaceDE w:val="0"/>
              <w:autoSpaceDN w:val="0"/>
              <w:adjustRightInd w:val="0"/>
              <w:jc w:val="center"/>
              <w:rPr>
                <w:rFonts w:ascii="Calibri" w:hAnsi="Calibri" w:cs="Calibri"/>
                <w:color w:val="FFFFFF" w:themeColor="background1"/>
              </w:rPr>
            </w:pPr>
            <w:r w:rsidRPr="00862382">
              <w:rPr>
                <w:rFonts w:ascii="Calibri" w:hAnsi="Calibri" w:cs="Calibri"/>
                <w:color w:val="FFFFFF" w:themeColor="background1"/>
              </w:rPr>
              <w:t>FY19 #</w:t>
            </w:r>
          </w:p>
        </w:tc>
        <w:tc>
          <w:tcPr>
            <w:tcW w:w="1229" w:type="dxa"/>
            <w:tcBorders>
              <w:top w:val="single" w:sz="4" w:space="0" w:color="auto"/>
              <w:left w:val="nil"/>
              <w:bottom w:val="single" w:sz="4" w:space="0" w:color="auto"/>
              <w:right w:val="nil"/>
            </w:tcBorders>
            <w:shd w:val="clear" w:color="auto" w:fill="002060"/>
            <w:vAlign w:val="center"/>
          </w:tcPr>
          <w:p w14:paraId="42D6FD67" w14:textId="77777777" w:rsidR="0033480A" w:rsidRPr="00862382" w:rsidRDefault="0033480A" w:rsidP="00553DCD">
            <w:pPr>
              <w:autoSpaceDE w:val="0"/>
              <w:autoSpaceDN w:val="0"/>
              <w:adjustRightInd w:val="0"/>
              <w:jc w:val="center"/>
              <w:rPr>
                <w:rFonts w:ascii="Calibri" w:hAnsi="Calibri" w:cs="Calibri"/>
                <w:color w:val="FFFFFF" w:themeColor="background1"/>
              </w:rPr>
            </w:pPr>
            <w:r w:rsidRPr="00862382">
              <w:rPr>
                <w:rFonts w:ascii="Calibri" w:hAnsi="Calibri" w:cs="Calibri"/>
                <w:color w:val="FFFFFF" w:themeColor="background1"/>
              </w:rPr>
              <w:t>FY19 %</w:t>
            </w:r>
          </w:p>
        </w:tc>
        <w:tc>
          <w:tcPr>
            <w:tcW w:w="1229" w:type="dxa"/>
            <w:tcBorders>
              <w:top w:val="single" w:sz="8" w:space="0" w:color="auto"/>
              <w:left w:val="nil"/>
              <w:bottom w:val="single" w:sz="4" w:space="0" w:color="auto"/>
              <w:right w:val="single" w:sz="4" w:space="0" w:color="auto"/>
            </w:tcBorders>
            <w:shd w:val="clear" w:color="auto" w:fill="002060"/>
            <w:vAlign w:val="bottom"/>
          </w:tcPr>
          <w:p w14:paraId="4CC42718" w14:textId="77777777" w:rsidR="0033480A" w:rsidRPr="00E7656E" w:rsidRDefault="0033480A" w:rsidP="00553DCD">
            <w:pPr>
              <w:autoSpaceDE w:val="0"/>
              <w:autoSpaceDN w:val="0"/>
              <w:adjustRightInd w:val="0"/>
              <w:jc w:val="center"/>
              <w:rPr>
                <w:rFonts w:ascii="Calibri" w:hAnsi="Calibri" w:cs="Calibri"/>
                <w:color w:val="FFFFFF" w:themeColor="background1"/>
              </w:rPr>
            </w:pPr>
            <w:r w:rsidRPr="00E7656E">
              <w:rPr>
                <w:rFonts w:ascii="Calibri" w:hAnsi="Calibri" w:cs="Calibri"/>
                <w:color w:val="FFFFFF" w:themeColor="background1"/>
              </w:rPr>
              <w:t>FY20 #</w:t>
            </w:r>
          </w:p>
        </w:tc>
        <w:tc>
          <w:tcPr>
            <w:tcW w:w="1229" w:type="dxa"/>
            <w:tcBorders>
              <w:top w:val="single" w:sz="4" w:space="0" w:color="auto"/>
              <w:left w:val="single" w:sz="4" w:space="0" w:color="auto"/>
              <w:bottom w:val="single" w:sz="4" w:space="0" w:color="auto"/>
              <w:right w:val="single" w:sz="4" w:space="0" w:color="auto"/>
            </w:tcBorders>
            <w:shd w:val="clear" w:color="auto" w:fill="002060"/>
            <w:vAlign w:val="bottom"/>
          </w:tcPr>
          <w:p w14:paraId="1C1C92EC" w14:textId="77777777" w:rsidR="0033480A" w:rsidRPr="00456960" w:rsidRDefault="0033480A" w:rsidP="00553DCD">
            <w:pPr>
              <w:autoSpaceDE w:val="0"/>
              <w:autoSpaceDN w:val="0"/>
              <w:adjustRightInd w:val="0"/>
              <w:jc w:val="center"/>
              <w:rPr>
                <w:rFonts w:ascii="Calibri" w:hAnsi="Calibri" w:cs="Calibri"/>
                <w:color w:val="FFFFFF" w:themeColor="background1"/>
              </w:rPr>
            </w:pPr>
            <w:r w:rsidRPr="00456960">
              <w:rPr>
                <w:rFonts w:ascii="Calibri" w:hAnsi="Calibri" w:cs="Calibri"/>
                <w:color w:val="FFFFFF" w:themeColor="background1"/>
              </w:rPr>
              <w:t>FY20 %</w:t>
            </w:r>
          </w:p>
        </w:tc>
        <w:tc>
          <w:tcPr>
            <w:tcW w:w="1229" w:type="dxa"/>
            <w:tcBorders>
              <w:top w:val="single" w:sz="4" w:space="0" w:color="auto"/>
              <w:left w:val="single" w:sz="4" w:space="0" w:color="auto"/>
              <w:bottom w:val="single" w:sz="4" w:space="0" w:color="auto"/>
              <w:right w:val="nil"/>
            </w:tcBorders>
            <w:shd w:val="clear" w:color="auto" w:fill="002060"/>
            <w:vAlign w:val="bottom"/>
          </w:tcPr>
          <w:p w14:paraId="0F3D1AFD" w14:textId="77777777" w:rsidR="0033480A" w:rsidRPr="00456960" w:rsidRDefault="0033480A" w:rsidP="00553DCD">
            <w:pPr>
              <w:autoSpaceDE w:val="0"/>
              <w:autoSpaceDN w:val="0"/>
              <w:adjustRightInd w:val="0"/>
              <w:jc w:val="center"/>
              <w:rPr>
                <w:rFonts w:ascii="Calibri" w:hAnsi="Calibri" w:cs="Calibri"/>
                <w:color w:val="FFFFFF" w:themeColor="background1"/>
              </w:rPr>
            </w:pPr>
            <w:r w:rsidRPr="00456960">
              <w:rPr>
                <w:rFonts w:ascii="Calibri" w:hAnsi="Calibri" w:cs="Calibri"/>
                <w:color w:val="FFFFFF" w:themeColor="background1"/>
              </w:rPr>
              <w:t>FY21 #</w:t>
            </w:r>
          </w:p>
        </w:tc>
        <w:tc>
          <w:tcPr>
            <w:tcW w:w="1230" w:type="dxa"/>
            <w:tcBorders>
              <w:top w:val="single" w:sz="8" w:space="0" w:color="auto"/>
              <w:left w:val="nil"/>
              <w:bottom w:val="single" w:sz="4" w:space="0" w:color="auto"/>
              <w:right w:val="single" w:sz="8" w:space="0" w:color="auto"/>
            </w:tcBorders>
            <w:shd w:val="clear" w:color="auto" w:fill="002060"/>
            <w:vAlign w:val="bottom"/>
          </w:tcPr>
          <w:p w14:paraId="364118AE" w14:textId="77777777" w:rsidR="0033480A" w:rsidRPr="00862382" w:rsidRDefault="0033480A" w:rsidP="00553DCD">
            <w:pPr>
              <w:autoSpaceDE w:val="0"/>
              <w:autoSpaceDN w:val="0"/>
              <w:adjustRightInd w:val="0"/>
              <w:jc w:val="center"/>
              <w:rPr>
                <w:rFonts w:ascii="Calibri" w:hAnsi="Calibri" w:cs="Calibri"/>
                <w:color w:val="FFFFFF" w:themeColor="background1"/>
              </w:rPr>
            </w:pPr>
            <w:r w:rsidRPr="00DB2475">
              <w:rPr>
                <w:rFonts w:ascii="Calibri" w:hAnsi="Calibri" w:cs="Calibri"/>
                <w:color w:val="FFFFFF" w:themeColor="background1"/>
              </w:rPr>
              <w:t>FY21 %</w:t>
            </w:r>
          </w:p>
        </w:tc>
      </w:tr>
      <w:tr w:rsidR="0033480A" w14:paraId="419F3EE7" w14:textId="77777777" w:rsidTr="002124B3">
        <w:trPr>
          <w:cantSplit/>
          <w:trHeight w:val="269"/>
        </w:trPr>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4B3E030C" w14:textId="77777777" w:rsidR="0033480A" w:rsidRDefault="0033480A" w:rsidP="00553DCD">
            <w:pPr>
              <w:autoSpaceDE w:val="0"/>
              <w:autoSpaceDN w:val="0"/>
              <w:adjustRightInd w:val="0"/>
              <w:jc w:val="both"/>
              <w:rPr>
                <w:rFonts w:ascii="Calibri" w:hAnsi="Calibri" w:cs="Calibri"/>
              </w:rPr>
            </w:pPr>
            <w:r>
              <w:rPr>
                <w:rFonts w:ascii="Calibri" w:hAnsi="Calibri" w:cs="Calibri"/>
                <w:color w:val="000000"/>
              </w:rPr>
              <w:t>Malden</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bottom"/>
          </w:tcPr>
          <w:p w14:paraId="2507B9C1" w14:textId="77777777" w:rsidR="0033480A" w:rsidRDefault="0033480A" w:rsidP="00553DCD">
            <w:pPr>
              <w:autoSpaceDE w:val="0"/>
              <w:autoSpaceDN w:val="0"/>
              <w:adjustRightInd w:val="0"/>
              <w:jc w:val="center"/>
              <w:rPr>
                <w:rFonts w:ascii="Calibri" w:hAnsi="Calibri" w:cs="Calibri"/>
              </w:rPr>
            </w:pPr>
            <w:r>
              <w:rPr>
                <w:rFonts w:ascii="Calibri" w:hAnsi="Calibri" w:cs="Calibri"/>
                <w:color w:val="000000"/>
              </w:rPr>
              <w:t xml:space="preserve">    13,884 </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bottom"/>
          </w:tcPr>
          <w:p w14:paraId="346DE526" w14:textId="77777777" w:rsidR="0033480A" w:rsidRDefault="0033480A" w:rsidP="00553DCD">
            <w:pPr>
              <w:autoSpaceDE w:val="0"/>
              <w:autoSpaceDN w:val="0"/>
              <w:adjustRightInd w:val="0"/>
              <w:jc w:val="center"/>
              <w:rPr>
                <w:rFonts w:ascii="Calibri" w:hAnsi="Calibri" w:cs="Calibri"/>
              </w:rPr>
            </w:pPr>
            <w:r>
              <w:rPr>
                <w:rFonts w:ascii="Calibri" w:hAnsi="Calibri" w:cs="Calibri"/>
                <w:color w:val="000000"/>
              </w:rPr>
              <w:t>12.73%</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bottom"/>
          </w:tcPr>
          <w:p w14:paraId="76FCB9F1" w14:textId="77777777" w:rsidR="0033480A" w:rsidRDefault="0033480A" w:rsidP="00553DCD">
            <w:pPr>
              <w:autoSpaceDE w:val="0"/>
              <w:autoSpaceDN w:val="0"/>
              <w:adjustRightInd w:val="0"/>
              <w:jc w:val="center"/>
              <w:rPr>
                <w:rFonts w:ascii="Calibri" w:hAnsi="Calibri" w:cs="Calibri"/>
              </w:rPr>
            </w:pPr>
            <w:r>
              <w:rPr>
                <w:rFonts w:ascii="Calibri" w:hAnsi="Calibri" w:cs="Calibri"/>
                <w:color w:val="000000"/>
              </w:rPr>
              <w:t xml:space="preserve">    12,065 </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bottom"/>
          </w:tcPr>
          <w:p w14:paraId="58765C45" w14:textId="77777777" w:rsidR="0033480A" w:rsidRDefault="0033480A" w:rsidP="00553DCD">
            <w:pPr>
              <w:autoSpaceDE w:val="0"/>
              <w:autoSpaceDN w:val="0"/>
              <w:adjustRightInd w:val="0"/>
              <w:jc w:val="center"/>
              <w:rPr>
                <w:rFonts w:ascii="Calibri" w:hAnsi="Calibri" w:cs="Calibri"/>
              </w:rPr>
            </w:pPr>
            <w:r>
              <w:rPr>
                <w:rFonts w:ascii="Calibri" w:hAnsi="Calibri" w:cs="Calibri"/>
                <w:color w:val="000000"/>
              </w:rPr>
              <w:t>12.73%</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bottom"/>
          </w:tcPr>
          <w:p w14:paraId="4FBE9783" w14:textId="77777777" w:rsidR="0033480A" w:rsidRDefault="0033480A" w:rsidP="00553DCD">
            <w:pPr>
              <w:autoSpaceDE w:val="0"/>
              <w:autoSpaceDN w:val="0"/>
              <w:adjustRightInd w:val="0"/>
              <w:jc w:val="center"/>
              <w:rPr>
                <w:rFonts w:ascii="Calibri" w:hAnsi="Calibri" w:cs="Calibri"/>
              </w:rPr>
            </w:pPr>
            <w:r>
              <w:rPr>
                <w:rFonts w:ascii="Calibri" w:hAnsi="Calibri" w:cs="Calibri"/>
                <w:color w:val="000000"/>
              </w:rPr>
              <w:t xml:space="preserve">    12,878 </w:t>
            </w:r>
          </w:p>
        </w:tc>
        <w:tc>
          <w:tcPr>
            <w:tcW w:w="1230" w:type="dxa"/>
            <w:tcBorders>
              <w:top w:val="single" w:sz="4" w:space="0" w:color="auto"/>
              <w:left w:val="single" w:sz="4" w:space="0" w:color="auto"/>
              <w:bottom w:val="single" w:sz="4" w:space="0" w:color="auto"/>
              <w:right w:val="single" w:sz="4" w:space="0" w:color="auto"/>
            </w:tcBorders>
            <w:shd w:val="clear" w:color="auto" w:fill="auto"/>
            <w:vAlign w:val="bottom"/>
          </w:tcPr>
          <w:p w14:paraId="5DC74B43" w14:textId="77777777" w:rsidR="0033480A" w:rsidRDefault="0033480A" w:rsidP="00553DCD">
            <w:pPr>
              <w:autoSpaceDE w:val="0"/>
              <w:autoSpaceDN w:val="0"/>
              <w:adjustRightInd w:val="0"/>
              <w:jc w:val="center"/>
              <w:rPr>
                <w:rFonts w:ascii="Calibri" w:hAnsi="Calibri" w:cs="Calibri"/>
              </w:rPr>
            </w:pPr>
            <w:r>
              <w:rPr>
                <w:rFonts w:ascii="Calibri" w:hAnsi="Calibri" w:cs="Calibri"/>
                <w:color w:val="000000"/>
              </w:rPr>
              <w:t>12.48%</w:t>
            </w:r>
          </w:p>
        </w:tc>
      </w:tr>
      <w:tr w:rsidR="0033480A" w14:paraId="7C10D58C" w14:textId="77777777" w:rsidTr="002124B3">
        <w:trPr>
          <w:cantSplit/>
          <w:trHeight w:val="269"/>
        </w:trPr>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153CFD89" w14:textId="77777777" w:rsidR="0033480A" w:rsidRDefault="0033480A" w:rsidP="00553DCD">
            <w:pPr>
              <w:autoSpaceDE w:val="0"/>
              <w:autoSpaceDN w:val="0"/>
              <w:adjustRightInd w:val="0"/>
              <w:jc w:val="both"/>
              <w:rPr>
                <w:rFonts w:ascii="Calibri" w:hAnsi="Calibri" w:cs="Calibri"/>
              </w:rPr>
            </w:pPr>
            <w:r>
              <w:rPr>
                <w:rFonts w:ascii="Calibri" w:hAnsi="Calibri" w:cs="Calibri"/>
                <w:color w:val="000000"/>
              </w:rPr>
              <w:t>Medford</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bottom"/>
          </w:tcPr>
          <w:p w14:paraId="5FD72D89" w14:textId="77777777" w:rsidR="0033480A" w:rsidRDefault="0033480A" w:rsidP="00553DCD">
            <w:pPr>
              <w:autoSpaceDE w:val="0"/>
              <w:autoSpaceDN w:val="0"/>
              <w:adjustRightInd w:val="0"/>
              <w:jc w:val="center"/>
              <w:rPr>
                <w:rFonts w:ascii="Calibri" w:hAnsi="Calibri" w:cs="Calibri"/>
              </w:rPr>
            </w:pPr>
            <w:r>
              <w:rPr>
                <w:rFonts w:ascii="Calibri" w:hAnsi="Calibri" w:cs="Calibri"/>
                <w:color w:val="000000"/>
              </w:rPr>
              <w:t xml:space="preserve">    12,047 </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bottom"/>
          </w:tcPr>
          <w:p w14:paraId="5CFAC685" w14:textId="77777777" w:rsidR="0033480A" w:rsidRDefault="0033480A" w:rsidP="00553DCD">
            <w:pPr>
              <w:autoSpaceDE w:val="0"/>
              <w:autoSpaceDN w:val="0"/>
              <w:adjustRightInd w:val="0"/>
              <w:jc w:val="center"/>
              <w:rPr>
                <w:rFonts w:ascii="Calibri" w:hAnsi="Calibri" w:cs="Calibri"/>
              </w:rPr>
            </w:pPr>
            <w:r>
              <w:rPr>
                <w:rFonts w:ascii="Calibri" w:hAnsi="Calibri" w:cs="Calibri"/>
                <w:color w:val="000000"/>
              </w:rPr>
              <w:t>11.04%</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bottom"/>
          </w:tcPr>
          <w:p w14:paraId="1B9ECFC9" w14:textId="77777777" w:rsidR="0033480A" w:rsidRDefault="0033480A" w:rsidP="00553DCD">
            <w:pPr>
              <w:autoSpaceDE w:val="0"/>
              <w:autoSpaceDN w:val="0"/>
              <w:adjustRightInd w:val="0"/>
              <w:jc w:val="center"/>
              <w:rPr>
                <w:rFonts w:ascii="Calibri" w:hAnsi="Calibri" w:cs="Calibri"/>
              </w:rPr>
            </w:pPr>
            <w:r>
              <w:rPr>
                <w:rFonts w:ascii="Calibri" w:hAnsi="Calibri" w:cs="Calibri"/>
                <w:color w:val="000000"/>
              </w:rPr>
              <w:t xml:space="preserve">    10,346 </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bottom"/>
          </w:tcPr>
          <w:p w14:paraId="369601F9" w14:textId="77777777" w:rsidR="0033480A" w:rsidRDefault="0033480A" w:rsidP="00553DCD">
            <w:pPr>
              <w:autoSpaceDE w:val="0"/>
              <w:autoSpaceDN w:val="0"/>
              <w:adjustRightInd w:val="0"/>
              <w:jc w:val="center"/>
              <w:rPr>
                <w:rFonts w:ascii="Calibri" w:hAnsi="Calibri" w:cs="Calibri"/>
              </w:rPr>
            </w:pPr>
            <w:r>
              <w:rPr>
                <w:rFonts w:ascii="Calibri" w:hAnsi="Calibri" w:cs="Calibri"/>
                <w:color w:val="000000"/>
              </w:rPr>
              <w:t>10.91%</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bottom"/>
          </w:tcPr>
          <w:p w14:paraId="33D690E3" w14:textId="77777777" w:rsidR="0033480A" w:rsidRDefault="0033480A" w:rsidP="00553DCD">
            <w:pPr>
              <w:autoSpaceDE w:val="0"/>
              <w:autoSpaceDN w:val="0"/>
              <w:adjustRightInd w:val="0"/>
              <w:jc w:val="center"/>
              <w:rPr>
                <w:rFonts w:ascii="Calibri" w:hAnsi="Calibri" w:cs="Calibri"/>
              </w:rPr>
            </w:pPr>
            <w:r>
              <w:rPr>
                <w:rFonts w:ascii="Calibri" w:hAnsi="Calibri" w:cs="Calibri"/>
                <w:color w:val="000000"/>
              </w:rPr>
              <w:t xml:space="preserve">    10,776 </w:t>
            </w:r>
          </w:p>
        </w:tc>
        <w:tc>
          <w:tcPr>
            <w:tcW w:w="1230" w:type="dxa"/>
            <w:tcBorders>
              <w:top w:val="single" w:sz="4" w:space="0" w:color="auto"/>
              <w:left w:val="single" w:sz="4" w:space="0" w:color="auto"/>
              <w:bottom w:val="single" w:sz="4" w:space="0" w:color="auto"/>
              <w:right w:val="single" w:sz="4" w:space="0" w:color="auto"/>
            </w:tcBorders>
            <w:shd w:val="clear" w:color="auto" w:fill="auto"/>
            <w:vAlign w:val="bottom"/>
          </w:tcPr>
          <w:p w14:paraId="49812FBA" w14:textId="77777777" w:rsidR="0033480A" w:rsidRDefault="0033480A" w:rsidP="00553DCD">
            <w:pPr>
              <w:autoSpaceDE w:val="0"/>
              <w:autoSpaceDN w:val="0"/>
              <w:adjustRightInd w:val="0"/>
              <w:jc w:val="center"/>
              <w:rPr>
                <w:rFonts w:ascii="Calibri" w:hAnsi="Calibri" w:cs="Calibri"/>
              </w:rPr>
            </w:pPr>
            <w:r>
              <w:rPr>
                <w:rFonts w:ascii="Calibri" w:hAnsi="Calibri" w:cs="Calibri"/>
                <w:color w:val="000000"/>
              </w:rPr>
              <w:t>10.44%</w:t>
            </w:r>
          </w:p>
        </w:tc>
      </w:tr>
      <w:tr w:rsidR="0033480A" w14:paraId="04DA6DF3" w14:textId="77777777" w:rsidTr="002124B3">
        <w:trPr>
          <w:cantSplit/>
          <w:trHeight w:val="269"/>
        </w:trPr>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2CDD5A0A" w14:textId="77777777" w:rsidR="0033480A" w:rsidRDefault="0033480A" w:rsidP="00553DCD">
            <w:pPr>
              <w:autoSpaceDE w:val="0"/>
              <w:autoSpaceDN w:val="0"/>
              <w:adjustRightInd w:val="0"/>
              <w:jc w:val="both"/>
              <w:rPr>
                <w:rFonts w:ascii="Calibri" w:hAnsi="Calibri" w:cs="Calibri"/>
              </w:rPr>
            </w:pPr>
            <w:r>
              <w:rPr>
                <w:rFonts w:ascii="Calibri" w:hAnsi="Calibri" w:cs="Calibri"/>
                <w:color w:val="000000"/>
              </w:rPr>
              <w:t>Melrose</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bottom"/>
          </w:tcPr>
          <w:p w14:paraId="42D406FA" w14:textId="77777777" w:rsidR="0033480A" w:rsidRDefault="0033480A" w:rsidP="00553DCD">
            <w:pPr>
              <w:autoSpaceDE w:val="0"/>
              <w:autoSpaceDN w:val="0"/>
              <w:adjustRightInd w:val="0"/>
              <w:jc w:val="center"/>
              <w:rPr>
                <w:rFonts w:ascii="Calibri" w:hAnsi="Calibri" w:cs="Calibri"/>
              </w:rPr>
            </w:pPr>
            <w:r>
              <w:rPr>
                <w:rFonts w:ascii="Calibri" w:hAnsi="Calibri" w:cs="Calibri"/>
                <w:color w:val="000000"/>
              </w:rPr>
              <w:t xml:space="preserve">    10,502 </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bottom"/>
          </w:tcPr>
          <w:p w14:paraId="5B1C7A63" w14:textId="77777777" w:rsidR="0033480A" w:rsidRDefault="0033480A" w:rsidP="00553DCD">
            <w:pPr>
              <w:autoSpaceDE w:val="0"/>
              <w:autoSpaceDN w:val="0"/>
              <w:adjustRightInd w:val="0"/>
              <w:jc w:val="center"/>
              <w:rPr>
                <w:rFonts w:ascii="Calibri" w:hAnsi="Calibri" w:cs="Calibri"/>
              </w:rPr>
            </w:pPr>
            <w:r>
              <w:rPr>
                <w:rFonts w:ascii="Calibri" w:hAnsi="Calibri" w:cs="Calibri"/>
                <w:color w:val="000000"/>
              </w:rPr>
              <w:t>9.63%</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bottom"/>
          </w:tcPr>
          <w:p w14:paraId="6E90126F" w14:textId="77777777" w:rsidR="0033480A" w:rsidRDefault="0033480A" w:rsidP="00553DCD">
            <w:pPr>
              <w:autoSpaceDE w:val="0"/>
              <w:autoSpaceDN w:val="0"/>
              <w:adjustRightInd w:val="0"/>
              <w:jc w:val="center"/>
              <w:rPr>
                <w:rFonts w:ascii="Calibri" w:hAnsi="Calibri" w:cs="Calibri"/>
              </w:rPr>
            </w:pPr>
            <w:r>
              <w:rPr>
                <w:rFonts w:ascii="Calibri" w:hAnsi="Calibri" w:cs="Calibri"/>
                <w:color w:val="000000"/>
              </w:rPr>
              <w:t xml:space="preserve">       9,365 </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bottom"/>
          </w:tcPr>
          <w:p w14:paraId="282030CD" w14:textId="77777777" w:rsidR="0033480A" w:rsidRDefault="0033480A" w:rsidP="00553DCD">
            <w:pPr>
              <w:autoSpaceDE w:val="0"/>
              <w:autoSpaceDN w:val="0"/>
              <w:adjustRightInd w:val="0"/>
              <w:jc w:val="center"/>
              <w:rPr>
                <w:rFonts w:ascii="Calibri" w:hAnsi="Calibri" w:cs="Calibri"/>
              </w:rPr>
            </w:pPr>
            <w:r>
              <w:rPr>
                <w:rFonts w:ascii="Calibri" w:hAnsi="Calibri" w:cs="Calibri"/>
                <w:color w:val="000000"/>
              </w:rPr>
              <w:t>9.88%</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bottom"/>
          </w:tcPr>
          <w:p w14:paraId="75FCE157" w14:textId="77777777" w:rsidR="0033480A" w:rsidRDefault="0033480A" w:rsidP="00553DCD">
            <w:pPr>
              <w:autoSpaceDE w:val="0"/>
              <w:autoSpaceDN w:val="0"/>
              <w:adjustRightInd w:val="0"/>
              <w:jc w:val="center"/>
              <w:rPr>
                <w:rFonts w:ascii="Calibri" w:hAnsi="Calibri" w:cs="Calibri"/>
              </w:rPr>
            </w:pPr>
            <w:r>
              <w:rPr>
                <w:rFonts w:ascii="Calibri" w:hAnsi="Calibri" w:cs="Calibri"/>
                <w:color w:val="000000"/>
              </w:rPr>
              <w:t xml:space="preserve">    10,351 </w:t>
            </w:r>
          </w:p>
        </w:tc>
        <w:tc>
          <w:tcPr>
            <w:tcW w:w="1230" w:type="dxa"/>
            <w:tcBorders>
              <w:top w:val="single" w:sz="4" w:space="0" w:color="auto"/>
              <w:left w:val="single" w:sz="4" w:space="0" w:color="auto"/>
              <w:bottom w:val="single" w:sz="4" w:space="0" w:color="auto"/>
              <w:right w:val="single" w:sz="4" w:space="0" w:color="auto"/>
            </w:tcBorders>
            <w:shd w:val="clear" w:color="auto" w:fill="auto"/>
            <w:vAlign w:val="bottom"/>
          </w:tcPr>
          <w:p w14:paraId="015DC1A4" w14:textId="77777777" w:rsidR="0033480A" w:rsidRDefault="0033480A" w:rsidP="00553DCD">
            <w:pPr>
              <w:autoSpaceDE w:val="0"/>
              <w:autoSpaceDN w:val="0"/>
              <w:adjustRightInd w:val="0"/>
              <w:jc w:val="center"/>
              <w:rPr>
                <w:rFonts w:ascii="Calibri" w:hAnsi="Calibri" w:cs="Calibri"/>
              </w:rPr>
            </w:pPr>
            <w:r>
              <w:rPr>
                <w:rFonts w:ascii="Calibri" w:hAnsi="Calibri" w:cs="Calibri"/>
                <w:color w:val="000000"/>
              </w:rPr>
              <w:t>10.03%</w:t>
            </w:r>
          </w:p>
        </w:tc>
      </w:tr>
      <w:tr w:rsidR="0033480A" w14:paraId="1673DF28" w14:textId="77777777" w:rsidTr="002124B3">
        <w:trPr>
          <w:cantSplit/>
          <w:trHeight w:val="269"/>
        </w:trPr>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4AB8ADB0" w14:textId="77777777" w:rsidR="0033480A" w:rsidRDefault="0033480A" w:rsidP="00553DCD">
            <w:pPr>
              <w:autoSpaceDE w:val="0"/>
              <w:autoSpaceDN w:val="0"/>
              <w:adjustRightInd w:val="0"/>
              <w:jc w:val="both"/>
              <w:rPr>
                <w:rFonts w:ascii="Calibri" w:hAnsi="Calibri" w:cs="Calibri"/>
              </w:rPr>
            </w:pPr>
            <w:r>
              <w:rPr>
                <w:rFonts w:ascii="Calibri" w:hAnsi="Calibri" w:cs="Calibri"/>
                <w:color w:val="000000"/>
              </w:rPr>
              <w:t>Saugus</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bottom"/>
          </w:tcPr>
          <w:p w14:paraId="29EC16EF" w14:textId="77777777" w:rsidR="0033480A" w:rsidRDefault="0033480A" w:rsidP="00553DCD">
            <w:pPr>
              <w:autoSpaceDE w:val="0"/>
              <w:autoSpaceDN w:val="0"/>
              <w:adjustRightInd w:val="0"/>
              <w:jc w:val="center"/>
              <w:rPr>
                <w:rFonts w:ascii="Calibri" w:hAnsi="Calibri" w:cs="Calibri"/>
              </w:rPr>
            </w:pPr>
            <w:r>
              <w:rPr>
                <w:rFonts w:ascii="Calibri" w:hAnsi="Calibri" w:cs="Calibri"/>
                <w:color w:val="000000"/>
              </w:rPr>
              <w:t xml:space="preserve">       8,279 </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bottom"/>
          </w:tcPr>
          <w:p w14:paraId="613888D1" w14:textId="77777777" w:rsidR="0033480A" w:rsidRDefault="0033480A" w:rsidP="00553DCD">
            <w:pPr>
              <w:autoSpaceDE w:val="0"/>
              <w:autoSpaceDN w:val="0"/>
              <w:adjustRightInd w:val="0"/>
              <w:jc w:val="center"/>
              <w:rPr>
                <w:rFonts w:ascii="Calibri" w:hAnsi="Calibri" w:cs="Calibri"/>
              </w:rPr>
            </w:pPr>
            <w:r>
              <w:rPr>
                <w:rFonts w:ascii="Calibri" w:hAnsi="Calibri" w:cs="Calibri"/>
                <w:color w:val="000000"/>
              </w:rPr>
              <w:t>7.59%</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bottom"/>
          </w:tcPr>
          <w:p w14:paraId="50E5AA64" w14:textId="77777777" w:rsidR="0033480A" w:rsidRDefault="0033480A" w:rsidP="00553DCD">
            <w:pPr>
              <w:autoSpaceDE w:val="0"/>
              <w:autoSpaceDN w:val="0"/>
              <w:adjustRightInd w:val="0"/>
              <w:jc w:val="center"/>
              <w:rPr>
                <w:rFonts w:ascii="Calibri" w:hAnsi="Calibri" w:cs="Calibri"/>
              </w:rPr>
            </w:pPr>
            <w:r>
              <w:rPr>
                <w:rFonts w:ascii="Calibri" w:hAnsi="Calibri" w:cs="Calibri"/>
                <w:color w:val="000000"/>
              </w:rPr>
              <w:t xml:space="preserve">       7,484 </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bottom"/>
          </w:tcPr>
          <w:p w14:paraId="15C6B0D2" w14:textId="77777777" w:rsidR="0033480A" w:rsidRDefault="0033480A" w:rsidP="00553DCD">
            <w:pPr>
              <w:autoSpaceDE w:val="0"/>
              <w:autoSpaceDN w:val="0"/>
              <w:adjustRightInd w:val="0"/>
              <w:jc w:val="center"/>
              <w:rPr>
                <w:rFonts w:ascii="Calibri" w:hAnsi="Calibri" w:cs="Calibri"/>
              </w:rPr>
            </w:pPr>
            <w:r>
              <w:rPr>
                <w:rFonts w:ascii="Calibri" w:hAnsi="Calibri" w:cs="Calibri"/>
                <w:color w:val="000000"/>
              </w:rPr>
              <w:t>7.89%</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bottom"/>
          </w:tcPr>
          <w:p w14:paraId="027A30C0" w14:textId="77777777" w:rsidR="0033480A" w:rsidRDefault="0033480A" w:rsidP="00553DCD">
            <w:pPr>
              <w:autoSpaceDE w:val="0"/>
              <w:autoSpaceDN w:val="0"/>
              <w:adjustRightInd w:val="0"/>
              <w:jc w:val="center"/>
              <w:rPr>
                <w:rFonts w:ascii="Calibri" w:hAnsi="Calibri" w:cs="Calibri"/>
              </w:rPr>
            </w:pPr>
            <w:r>
              <w:rPr>
                <w:rFonts w:ascii="Calibri" w:hAnsi="Calibri" w:cs="Calibri"/>
                <w:color w:val="000000"/>
              </w:rPr>
              <w:t xml:space="preserve">       7,782 </w:t>
            </w:r>
          </w:p>
        </w:tc>
        <w:tc>
          <w:tcPr>
            <w:tcW w:w="1230" w:type="dxa"/>
            <w:tcBorders>
              <w:top w:val="single" w:sz="4" w:space="0" w:color="auto"/>
              <w:left w:val="single" w:sz="4" w:space="0" w:color="auto"/>
              <w:bottom w:val="single" w:sz="4" w:space="0" w:color="auto"/>
              <w:right w:val="single" w:sz="4" w:space="0" w:color="auto"/>
            </w:tcBorders>
            <w:shd w:val="clear" w:color="auto" w:fill="auto"/>
            <w:vAlign w:val="bottom"/>
          </w:tcPr>
          <w:p w14:paraId="24ACDBAA" w14:textId="77777777" w:rsidR="0033480A" w:rsidRDefault="0033480A" w:rsidP="00553DCD">
            <w:pPr>
              <w:autoSpaceDE w:val="0"/>
              <w:autoSpaceDN w:val="0"/>
              <w:adjustRightInd w:val="0"/>
              <w:jc w:val="center"/>
              <w:rPr>
                <w:rFonts w:ascii="Calibri" w:hAnsi="Calibri" w:cs="Calibri"/>
              </w:rPr>
            </w:pPr>
            <w:r>
              <w:rPr>
                <w:rFonts w:ascii="Calibri" w:hAnsi="Calibri" w:cs="Calibri"/>
                <w:color w:val="000000"/>
              </w:rPr>
              <w:t>7.54%</w:t>
            </w:r>
          </w:p>
        </w:tc>
      </w:tr>
      <w:tr w:rsidR="0033480A" w14:paraId="5635F927" w14:textId="77777777" w:rsidTr="002124B3">
        <w:trPr>
          <w:cantSplit/>
          <w:trHeight w:val="269"/>
        </w:trPr>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7644B634" w14:textId="77777777" w:rsidR="0033480A" w:rsidRDefault="0033480A" w:rsidP="00553DCD">
            <w:pPr>
              <w:autoSpaceDE w:val="0"/>
              <w:autoSpaceDN w:val="0"/>
              <w:adjustRightInd w:val="0"/>
              <w:jc w:val="both"/>
              <w:rPr>
                <w:rFonts w:ascii="Calibri" w:hAnsi="Calibri" w:cs="Calibri"/>
              </w:rPr>
            </w:pPr>
            <w:r>
              <w:rPr>
                <w:rFonts w:ascii="Calibri" w:hAnsi="Calibri" w:cs="Calibri"/>
                <w:color w:val="000000"/>
              </w:rPr>
              <w:t>Wakefield</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bottom"/>
          </w:tcPr>
          <w:p w14:paraId="450EDD54" w14:textId="77777777" w:rsidR="0033480A" w:rsidRDefault="0033480A" w:rsidP="00553DCD">
            <w:pPr>
              <w:autoSpaceDE w:val="0"/>
              <w:autoSpaceDN w:val="0"/>
              <w:adjustRightInd w:val="0"/>
              <w:jc w:val="center"/>
              <w:rPr>
                <w:rFonts w:ascii="Calibri" w:hAnsi="Calibri" w:cs="Calibri"/>
              </w:rPr>
            </w:pPr>
            <w:r>
              <w:rPr>
                <w:rFonts w:ascii="Calibri" w:hAnsi="Calibri" w:cs="Calibri"/>
                <w:color w:val="000000"/>
              </w:rPr>
              <w:t xml:space="preserve">       8,546 </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bottom"/>
          </w:tcPr>
          <w:p w14:paraId="664DC3D8" w14:textId="77777777" w:rsidR="0033480A" w:rsidRDefault="0033480A" w:rsidP="00553DCD">
            <w:pPr>
              <w:autoSpaceDE w:val="0"/>
              <w:autoSpaceDN w:val="0"/>
              <w:adjustRightInd w:val="0"/>
              <w:jc w:val="center"/>
              <w:rPr>
                <w:rFonts w:ascii="Calibri" w:hAnsi="Calibri" w:cs="Calibri"/>
              </w:rPr>
            </w:pPr>
            <w:r>
              <w:rPr>
                <w:rFonts w:ascii="Calibri" w:hAnsi="Calibri" w:cs="Calibri"/>
                <w:color w:val="000000"/>
              </w:rPr>
              <w:t>7.83%</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bottom"/>
          </w:tcPr>
          <w:p w14:paraId="505F17A0" w14:textId="77777777" w:rsidR="0033480A" w:rsidRDefault="0033480A" w:rsidP="00553DCD">
            <w:pPr>
              <w:autoSpaceDE w:val="0"/>
              <w:autoSpaceDN w:val="0"/>
              <w:adjustRightInd w:val="0"/>
              <w:jc w:val="center"/>
              <w:rPr>
                <w:rFonts w:ascii="Calibri" w:hAnsi="Calibri" w:cs="Calibri"/>
              </w:rPr>
            </w:pPr>
            <w:r>
              <w:rPr>
                <w:rFonts w:ascii="Calibri" w:hAnsi="Calibri" w:cs="Calibri"/>
                <w:color w:val="000000"/>
              </w:rPr>
              <w:t xml:space="preserve">       7,550 </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bottom"/>
          </w:tcPr>
          <w:p w14:paraId="6B1A2D03" w14:textId="77777777" w:rsidR="0033480A" w:rsidRDefault="0033480A" w:rsidP="00553DCD">
            <w:pPr>
              <w:autoSpaceDE w:val="0"/>
              <w:autoSpaceDN w:val="0"/>
              <w:adjustRightInd w:val="0"/>
              <w:jc w:val="center"/>
              <w:rPr>
                <w:rFonts w:ascii="Calibri" w:hAnsi="Calibri" w:cs="Calibri"/>
              </w:rPr>
            </w:pPr>
            <w:r>
              <w:rPr>
                <w:rFonts w:ascii="Calibri" w:hAnsi="Calibri" w:cs="Calibri"/>
                <w:color w:val="000000"/>
              </w:rPr>
              <w:t>7.96%</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bottom"/>
          </w:tcPr>
          <w:p w14:paraId="663DCEC3" w14:textId="77777777" w:rsidR="0033480A" w:rsidRDefault="0033480A" w:rsidP="00553DCD">
            <w:pPr>
              <w:autoSpaceDE w:val="0"/>
              <w:autoSpaceDN w:val="0"/>
              <w:adjustRightInd w:val="0"/>
              <w:jc w:val="center"/>
              <w:rPr>
                <w:rFonts w:ascii="Calibri" w:hAnsi="Calibri" w:cs="Calibri"/>
              </w:rPr>
            </w:pPr>
            <w:r>
              <w:rPr>
                <w:rFonts w:ascii="Calibri" w:hAnsi="Calibri" w:cs="Calibri"/>
                <w:color w:val="000000"/>
              </w:rPr>
              <w:t xml:space="preserve">       7,657 </w:t>
            </w:r>
          </w:p>
        </w:tc>
        <w:tc>
          <w:tcPr>
            <w:tcW w:w="1230" w:type="dxa"/>
            <w:tcBorders>
              <w:top w:val="single" w:sz="4" w:space="0" w:color="auto"/>
              <w:left w:val="single" w:sz="4" w:space="0" w:color="auto"/>
              <w:bottom w:val="single" w:sz="4" w:space="0" w:color="auto"/>
              <w:right w:val="single" w:sz="4" w:space="0" w:color="auto"/>
            </w:tcBorders>
            <w:shd w:val="clear" w:color="auto" w:fill="auto"/>
            <w:vAlign w:val="bottom"/>
          </w:tcPr>
          <w:p w14:paraId="6C3206A6" w14:textId="77777777" w:rsidR="0033480A" w:rsidRDefault="0033480A" w:rsidP="00553DCD">
            <w:pPr>
              <w:autoSpaceDE w:val="0"/>
              <w:autoSpaceDN w:val="0"/>
              <w:adjustRightInd w:val="0"/>
              <w:jc w:val="center"/>
              <w:rPr>
                <w:rFonts w:ascii="Calibri" w:hAnsi="Calibri" w:cs="Calibri"/>
              </w:rPr>
            </w:pPr>
            <w:r>
              <w:rPr>
                <w:rFonts w:ascii="Calibri" w:hAnsi="Calibri" w:cs="Calibri"/>
                <w:color w:val="000000"/>
              </w:rPr>
              <w:t>7.42%</w:t>
            </w:r>
          </w:p>
        </w:tc>
      </w:tr>
      <w:tr w:rsidR="0033480A" w14:paraId="19923FDE" w14:textId="77777777" w:rsidTr="002124B3">
        <w:trPr>
          <w:cantSplit/>
          <w:trHeight w:val="269"/>
        </w:trPr>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6FA427E7" w14:textId="77777777" w:rsidR="0033480A" w:rsidRDefault="0033480A" w:rsidP="00553DCD">
            <w:pPr>
              <w:autoSpaceDE w:val="0"/>
              <w:autoSpaceDN w:val="0"/>
              <w:adjustRightInd w:val="0"/>
              <w:jc w:val="both"/>
              <w:rPr>
                <w:rFonts w:ascii="Calibri" w:hAnsi="Calibri" w:cs="Calibri"/>
              </w:rPr>
            </w:pPr>
            <w:r>
              <w:rPr>
                <w:rFonts w:ascii="Calibri" w:hAnsi="Calibri" w:cs="Calibri"/>
                <w:color w:val="000000"/>
              </w:rPr>
              <w:t>Stoneham</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bottom"/>
          </w:tcPr>
          <w:p w14:paraId="079BC7DA" w14:textId="77777777" w:rsidR="0033480A" w:rsidRDefault="0033480A" w:rsidP="00553DCD">
            <w:pPr>
              <w:autoSpaceDE w:val="0"/>
              <w:autoSpaceDN w:val="0"/>
              <w:adjustRightInd w:val="0"/>
              <w:jc w:val="center"/>
              <w:rPr>
                <w:rFonts w:ascii="Calibri" w:hAnsi="Calibri" w:cs="Calibri"/>
              </w:rPr>
            </w:pPr>
            <w:r>
              <w:rPr>
                <w:rFonts w:ascii="Calibri" w:hAnsi="Calibri" w:cs="Calibri"/>
                <w:color w:val="000000"/>
              </w:rPr>
              <w:t xml:space="preserve">       3,775 </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bottom"/>
          </w:tcPr>
          <w:p w14:paraId="7E4E9E47" w14:textId="77777777" w:rsidR="0033480A" w:rsidRDefault="0033480A" w:rsidP="00553DCD">
            <w:pPr>
              <w:autoSpaceDE w:val="0"/>
              <w:autoSpaceDN w:val="0"/>
              <w:adjustRightInd w:val="0"/>
              <w:jc w:val="center"/>
              <w:rPr>
                <w:rFonts w:ascii="Calibri" w:hAnsi="Calibri" w:cs="Calibri"/>
              </w:rPr>
            </w:pPr>
            <w:r>
              <w:rPr>
                <w:rFonts w:ascii="Calibri" w:hAnsi="Calibri" w:cs="Calibri"/>
                <w:color w:val="000000"/>
              </w:rPr>
              <w:t>3.46%</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bottom"/>
          </w:tcPr>
          <w:p w14:paraId="291B10D1" w14:textId="77777777" w:rsidR="0033480A" w:rsidRDefault="0033480A" w:rsidP="00553DCD">
            <w:pPr>
              <w:autoSpaceDE w:val="0"/>
              <w:autoSpaceDN w:val="0"/>
              <w:adjustRightInd w:val="0"/>
              <w:jc w:val="center"/>
              <w:rPr>
                <w:rFonts w:ascii="Calibri" w:hAnsi="Calibri" w:cs="Calibri"/>
              </w:rPr>
            </w:pPr>
            <w:r>
              <w:rPr>
                <w:rFonts w:ascii="Calibri" w:hAnsi="Calibri" w:cs="Calibri"/>
                <w:color w:val="000000"/>
              </w:rPr>
              <w:t xml:space="preserve">       3,152 </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bottom"/>
          </w:tcPr>
          <w:p w14:paraId="0E60E1B1" w14:textId="77777777" w:rsidR="0033480A" w:rsidRDefault="0033480A" w:rsidP="00553DCD">
            <w:pPr>
              <w:autoSpaceDE w:val="0"/>
              <w:autoSpaceDN w:val="0"/>
              <w:adjustRightInd w:val="0"/>
              <w:jc w:val="center"/>
              <w:rPr>
                <w:rFonts w:ascii="Calibri" w:hAnsi="Calibri" w:cs="Calibri"/>
              </w:rPr>
            </w:pPr>
            <w:r>
              <w:rPr>
                <w:rFonts w:ascii="Calibri" w:hAnsi="Calibri" w:cs="Calibri"/>
                <w:color w:val="000000"/>
              </w:rPr>
              <w:t>3.32%</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bottom"/>
          </w:tcPr>
          <w:p w14:paraId="35BF0CE2" w14:textId="77777777" w:rsidR="0033480A" w:rsidRDefault="0033480A" w:rsidP="00553DCD">
            <w:pPr>
              <w:autoSpaceDE w:val="0"/>
              <w:autoSpaceDN w:val="0"/>
              <w:adjustRightInd w:val="0"/>
              <w:jc w:val="center"/>
              <w:rPr>
                <w:rFonts w:ascii="Calibri" w:hAnsi="Calibri" w:cs="Calibri"/>
              </w:rPr>
            </w:pPr>
            <w:r>
              <w:rPr>
                <w:rFonts w:ascii="Calibri" w:hAnsi="Calibri" w:cs="Calibri"/>
                <w:color w:val="000000"/>
              </w:rPr>
              <w:t xml:space="preserve">       3,173 </w:t>
            </w:r>
          </w:p>
        </w:tc>
        <w:tc>
          <w:tcPr>
            <w:tcW w:w="1230" w:type="dxa"/>
            <w:tcBorders>
              <w:top w:val="single" w:sz="4" w:space="0" w:color="auto"/>
              <w:left w:val="single" w:sz="4" w:space="0" w:color="auto"/>
              <w:bottom w:val="single" w:sz="4" w:space="0" w:color="auto"/>
              <w:right w:val="single" w:sz="4" w:space="0" w:color="auto"/>
            </w:tcBorders>
            <w:shd w:val="clear" w:color="auto" w:fill="auto"/>
            <w:vAlign w:val="bottom"/>
          </w:tcPr>
          <w:p w14:paraId="7D5DFBCF" w14:textId="77777777" w:rsidR="0033480A" w:rsidRDefault="0033480A" w:rsidP="00553DCD">
            <w:pPr>
              <w:autoSpaceDE w:val="0"/>
              <w:autoSpaceDN w:val="0"/>
              <w:adjustRightInd w:val="0"/>
              <w:jc w:val="center"/>
              <w:rPr>
                <w:rFonts w:ascii="Calibri" w:hAnsi="Calibri" w:cs="Calibri"/>
              </w:rPr>
            </w:pPr>
            <w:r>
              <w:rPr>
                <w:rFonts w:ascii="Calibri" w:hAnsi="Calibri" w:cs="Calibri"/>
                <w:color w:val="000000"/>
              </w:rPr>
              <w:t>3.08%</w:t>
            </w:r>
          </w:p>
        </w:tc>
      </w:tr>
      <w:tr w:rsidR="0033480A" w14:paraId="1F8EB803" w14:textId="77777777" w:rsidTr="002124B3">
        <w:trPr>
          <w:cantSplit/>
          <w:trHeight w:val="269"/>
        </w:trPr>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1AA8F14E" w14:textId="77777777" w:rsidR="0033480A" w:rsidRDefault="0033480A" w:rsidP="00553DCD">
            <w:pPr>
              <w:autoSpaceDE w:val="0"/>
              <w:autoSpaceDN w:val="0"/>
              <w:adjustRightInd w:val="0"/>
              <w:jc w:val="both"/>
              <w:rPr>
                <w:rFonts w:ascii="Calibri" w:hAnsi="Calibri" w:cs="Calibri"/>
              </w:rPr>
            </w:pPr>
            <w:r>
              <w:rPr>
                <w:rFonts w:ascii="Calibri" w:hAnsi="Calibri" w:cs="Calibri"/>
                <w:color w:val="000000"/>
              </w:rPr>
              <w:t>Revere</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bottom"/>
          </w:tcPr>
          <w:p w14:paraId="5E3E0604" w14:textId="77777777" w:rsidR="0033480A" w:rsidRDefault="0033480A" w:rsidP="00553DCD">
            <w:pPr>
              <w:autoSpaceDE w:val="0"/>
              <w:autoSpaceDN w:val="0"/>
              <w:adjustRightInd w:val="0"/>
              <w:jc w:val="center"/>
              <w:rPr>
                <w:rFonts w:ascii="Calibri" w:hAnsi="Calibri" w:cs="Calibri"/>
              </w:rPr>
            </w:pPr>
            <w:r>
              <w:rPr>
                <w:rFonts w:ascii="Calibri" w:hAnsi="Calibri" w:cs="Calibri"/>
                <w:color w:val="000000"/>
              </w:rPr>
              <w:t xml:space="preserve">       1,741 </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bottom"/>
          </w:tcPr>
          <w:p w14:paraId="0C79A8A3" w14:textId="77777777" w:rsidR="0033480A" w:rsidRDefault="0033480A" w:rsidP="00553DCD">
            <w:pPr>
              <w:autoSpaceDE w:val="0"/>
              <w:autoSpaceDN w:val="0"/>
              <w:adjustRightInd w:val="0"/>
              <w:jc w:val="center"/>
              <w:rPr>
                <w:rFonts w:ascii="Calibri" w:hAnsi="Calibri" w:cs="Calibri"/>
              </w:rPr>
            </w:pPr>
            <w:r>
              <w:rPr>
                <w:rFonts w:ascii="Calibri" w:hAnsi="Calibri" w:cs="Calibri"/>
                <w:color w:val="000000"/>
              </w:rPr>
              <w:t>1.60%</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bottom"/>
          </w:tcPr>
          <w:p w14:paraId="32473F3F" w14:textId="77777777" w:rsidR="0033480A" w:rsidRDefault="0033480A" w:rsidP="00553DCD">
            <w:pPr>
              <w:autoSpaceDE w:val="0"/>
              <w:autoSpaceDN w:val="0"/>
              <w:adjustRightInd w:val="0"/>
              <w:jc w:val="center"/>
              <w:rPr>
                <w:rFonts w:ascii="Calibri" w:hAnsi="Calibri" w:cs="Calibri"/>
              </w:rPr>
            </w:pPr>
            <w:r>
              <w:rPr>
                <w:rFonts w:ascii="Calibri" w:hAnsi="Calibri" w:cs="Calibri"/>
                <w:color w:val="000000"/>
              </w:rPr>
              <w:t xml:space="preserve">       1,504 </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bottom"/>
          </w:tcPr>
          <w:p w14:paraId="7252190B" w14:textId="77777777" w:rsidR="0033480A" w:rsidRDefault="0033480A" w:rsidP="00553DCD">
            <w:pPr>
              <w:autoSpaceDE w:val="0"/>
              <w:autoSpaceDN w:val="0"/>
              <w:adjustRightInd w:val="0"/>
              <w:jc w:val="center"/>
              <w:rPr>
                <w:rFonts w:ascii="Calibri" w:hAnsi="Calibri" w:cs="Calibri"/>
              </w:rPr>
            </w:pPr>
            <w:r>
              <w:rPr>
                <w:rFonts w:ascii="Calibri" w:hAnsi="Calibri" w:cs="Calibri"/>
                <w:color w:val="000000"/>
              </w:rPr>
              <w:t>1.59%</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bottom"/>
          </w:tcPr>
          <w:p w14:paraId="5297ADEF" w14:textId="77777777" w:rsidR="0033480A" w:rsidRDefault="0033480A" w:rsidP="00553DCD">
            <w:pPr>
              <w:autoSpaceDE w:val="0"/>
              <w:autoSpaceDN w:val="0"/>
              <w:adjustRightInd w:val="0"/>
              <w:jc w:val="center"/>
              <w:rPr>
                <w:rFonts w:ascii="Calibri" w:hAnsi="Calibri" w:cs="Calibri"/>
              </w:rPr>
            </w:pPr>
            <w:r>
              <w:rPr>
                <w:rFonts w:ascii="Calibri" w:hAnsi="Calibri" w:cs="Calibri"/>
                <w:color w:val="000000"/>
              </w:rPr>
              <w:t xml:space="preserve">       1,577 </w:t>
            </w:r>
          </w:p>
        </w:tc>
        <w:tc>
          <w:tcPr>
            <w:tcW w:w="1230" w:type="dxa"/>
            <w:tcBorders>
              <w:top w:val="single" w:sz="4" w:space="0" w:color="auto"/>
              <w:left w:val="single" w:sz="4" w:space="0" w:color="auto"/>
              <w:bottom w:val="single" w:sz="4" w:space="0" w:color="auto"/>
              <w:right w:val="single" w:sz="4" w:space="0" w:color="auto"/>
            </w:tcBorders>
            <w:shd w:val="clear" w:color="auto" w:fill="auto"/>
            <w:vAlign w:val="bottom"/>
          </w:tcPr>
          <w:p w14:paraId="1FF89C3E" w14:textId="77777777" w:rsidR="0033480A" w:rsidRDefault="0033480A" w:rsidP="00553DCD">
            <w:pPr>
              <w:autoSpaceDE w:val="0"/>
              <w:autoSpaceDN w:val="0"/>
              <w:adjustRightInd w:val="0"/>
              <w:jc w:val="center"/>
              <w:rPr>
                <w:rFonts w:ascii="Calibri" w:hAnsi="Calibri" w:cs="Calibri"/>
              </w:rPr>
            </w:pPr>
            <w:r>
              <w:rPr>
                <w:rFonts w:ascii="Calibri" w:hAnsi="Calibri" w:cs="Calibri"/>
                <w:color w:val="000000"/>
              </w:rPr>
              <w:t>1.53%</w:t>
            </w:r>
          </w:p>
        </w:tc>
      </w:tr>
      <w:tr w:rsidR="0033480A" w14:paraId="12A82B07" w14:textId="77777777" w:rsidTr="002124B3">
        <w:trPr>
          <w:cantSplit/>
          <w:trHeight w:val="269"/>
        </w:trPr>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41361B7D" w14:textId="77777777" w:rsidR="0033480A" w:rsidRDefault="0033480A" w:rsidP="00553DCD">
            <w:pPr>
              <w:autoSpaceDE w:val="0"/>
              <w:autoSpaceDN w:val="0"/>
              <w:adjustRightInd w:val="0"/>
              <w:jc w:val="both"/>
              <w:rPr>
                <w:rFonts w:ascii="Calibri" w:hAnsi="Calibri" w:cs="Calibri"/>
              </w:rPr>
            </w:pPr>
            <w:r>
              <w:rPr>
                <w:rFonts w:ascii="Calibri" w:hAnsi="Calibri" w:cs="Calibri"/>
                <w:color w:val="000000"/>
              </w:rPr>
              <w:t>Everett</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bottom"/>
          </w:tcPr>
          <w:p w14:paraId="53C9606D" w14:textId="77777777" w:rsidR="0033480A" w:rsidRDefault="0033480A" w:rsidP="00553DCD">
            <w:pPr>
              <w:autoSpaceDE w:val="0"/>
              <w:autoSpaceDN w:val="0"/>
              <w:adjustRightInd w:val="0"/>
              <w:jc w:val="center"/>
              <w:rPr>
                <w:rFonts w:ascii="Calibri" w:hAnsi="Calibri" w:cs="Calibri"/>
              </w:rPr>
            </w:pPr>
            <w:r>
              <w:rPr>
                <w:rFonts w:ascii="Calibri" w:hAnsi="Calibri" w:cs="Calibri"/>
                <w:color w:val="000000"/>
              </w:rPr>
              <w:t xml:space="preserve">       2,211 </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bottom"/>
          </w:tcPr>
          <w:p w14:paraId="6F852384" w14:textId="77777777" w:rsidR="0033480A" w:rsidRDefault="0033480A" w:rsidP="00553DCD">
            <w:pPr>
              <w:autoSpaceDE w:val="0"/>
              <w:autoSpaceDN w:val="0"/>
              <w:adjustRightInd w:val="0"/>
              <w:jc w:val="center"/>
              <w:rPr>
                <w:rFonts w:ascii="Calibri" w:hAnsi="Calibri" w:cs="Calibri"/>
              </w:rPr>
            </w:pPr>
            <w:r>
              <w:rPr>
                <w:rFonts w:ascii="Calibri" w:hAnsi="Calibri" w:cs="Calibri"/>
                <w:color w:val="000000"/>
              </w:rPr>
              <w:t>2.03%</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bottom"/>
          </w:tcPr>
          <w:p w14:paraId="61B06AB3" w14:textId="77777777" w:rsidR="0033480A" w:rsidRDefault="0033480A" w:rsidP="00553DCD">
            <w:pPr>
              <w:autoSpaceDE w:val="0"/>
              <w:autoSpaceDN w:val="0"/>
              <w:adjustRightInd w:val="0"/>
              <w:jc w:val="center"/>
              <w:rPr>
                <w:rFonts w:ascii="Calibri" w:hAnsi="Calibri" w:cs="Calibri"/>
              </w:rPr>
            </w:pPr>
            <w:r>
              <w:rPr>
                <w:rFonts w:ascii="Calibri" w:hAnsi="Calibri" w:cs="Calibri"/>
                <w:color w:val="000000"/>
              </w:rPr>
              <w:t xml:space="preserve">       1,919 </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bottom"/>
          </w:tcPr>
          <w:p w14:paraId="47FA36A9" w14:textId="77777777" w:rsidR="0033480A" w:rsidRDefault="0033480A" w:rsidP="00553DCD">
            <w:pPr>
              <w:autoSpaceDE w:val="0"/>
              <w:autoSpaceDN w:val="0"/>
              <w:adjustRightInd w:val="0"/>
              <w:jc w:val="center"/>
              <w:rPr>
                <w:rFonts w:ascii="Calibri" w:hAnsi="Calibri" w:cs="Calibri"/>
              </w:rPr>
            </w:pPr>
            <w:r>
              <w:rPr>
                <w:rFonts w:ascii="Calibri" w:hAnsi="Calibri" w:cs="Calibri"/>
                <w:color w:val="000000"/>
              </w:rPr>
              <w:t>2.02%</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bottom"/>
          </w:tcPr>
          <w:p w14:paraId="650FBEDE" w14:textId="77777777" w:rsidR="0033480A" w:rsidRDefault="0033480A" w:rsidP="00553DCD">
            <w:pPr>
              <w:autoSpaceDE w:val="0"/>
              <w:autoSpaceDN w:val="0"/>
              <w:adjustRightInd w:val="0"/>
              <w:jc w:val="center"/>
              <w:rPr>
                <w:rFonts w:ascii="Calibri" w:hAnsi="Calibri" w:cs="Calibri"/>
              </w:rPr>
            </w:pPr>
            <w:r>
              <w:rPr>
                <w:rFonts w:ascii="Calibri" w:hAnsi="Calibri" w:cs="Calibri"/>
                <w:color w:val="000000"/>
              </w:rPr>
              <w:t xml:space="preserve">       2,037 </w:t>
            </w:r>
          </w:p>
        </w:tc>
        <w:tc>
          <w:tcPr>
            <w:tcW w:w="1230" w:type="dxa"/>
            <w:tcBorders>
              <w:top w:val="single" w:sz="4" w:space="0" w:color="auto"/>
              <w:left w:val="single" w:sz="4" w:space="0" w:color="auto"/>
              <w:bottom w:val="single" w:sz="4" w:space="0" w:color="auto"/>
              <w:right w:val="single" w:sz="4" w:space="0" w:color="auto"/>
            </w:tcBorders>
            <w:shd w:val="clear" w:color="auto" w:fill="auto"/>
            <w:vAlign w:val="bottom"/>
          </w:tcPr>
          <w:p w14:paraId="281A43CF" w14:textId="77777777" w:rsidR="0033480A" w:rsidRDefault="0033480A" w:rsidP="00553DCD">
            <w:pPr>
              <w:autoSpaceDE w:val="0"/>
              <w:autoSpaceDN w:val="0"/>
              <w:adjustRightInd w:val="0"/>
              <w:jc w:val="center"/>
              <w:rPr>
                <w:rFonts w:ascii="Calibri" w:hAnsi="Calibri" w:cs="Calibri"/>
              </w:rPr>
            </w:pPr>
            <w:r>
              <w:rPr>
                <w:rFonts w:ascii="Calibri" w:hAnsi="Calibri" w:cs="Calibri"/>
                <w:color w:val="000000"/>
              </w:rPr>
              <w:t>1.97%</w:t>
            </w:r>
          </w:p>
        </w:tc>
      </w:tr>
      <w:tr w:rsidR="0033480A" w14:paraId="07D5A654" w14:textId="77777777" w:rsidTr="002124B3">
        <w:trPr>
          <w:cantSplit/>
          <w:trHeight w:val="269"/>
        </w:trPr>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58876250" w14:textId="77777777" w:rsidR="0033480A" w:rsidRDefault="0033480A" w:rsidP="00553DCD">
            <w:pPr>
              <w:autoSpaceDE w:val="0"/>
              <w:autoSpaceDN w:val="0"/>
              <w:adjustRightInd w:val="0"/>
              <w:jc w:val="both"/>
              <w:rPr>
                <w:rFonts w:ascii="Calibri" w:hAnsi="Calibri" w:cs="Calibri"/>
              </w:rPr>
            </w:pPr>
            <w:r>
              <w:rPr>
                <w:rFonts w:ascii="Calibri" w:hAnsi="Calibri" w:cs="Calibri"/>
                <w:color w:val="000000"/>
              </w:rPr>
              <w:t>Reading</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bottom"/>
          </w:tcPr>
          <w:p w14:paraId="5CD38ECC" w14:textId="77777777" w:rsidR="0033480A" w:rsidRDefault="0033480A" w:rsidP="00553DCD">
            <w:pPr>
              <w:autoSpaceDE w:val="0"/>
              <w:autoSpaceDN w:val="0"/>
              <w:adjustRightInd w:val="0"/>
              <w:jc w:val="center"/>
              <w:rPr>
                <w:rFonts w:ascii="Calibri" w:hAnsi="Calibri" w:cs="Calibri"/>
              </w:rPr>
            </w:pPr>
            <w:r>
              <w:rPr>
                <w:rFonts w:ascii="Calibri" w:hAnsi="Calibri" w:cs="Calibri"/>
                <w:color w:val="000000"/>
              </w:rPr>
              <w:t xml:space="preserve">       4,314 </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bottom"/>
          </w:tcPr>
          <w:p w14:paraId="3B1A0BFD" w14:textId="77777777" w:rsidR="0033480A" w:rsidRDefault="0033480A" w:rsidP="00553DCD">
            <w:pPr>
              <w:autoSpaceDE w:val="0"/>
              <w:autoSpaceDN w:val="0"/>
              <w:adjustRightInd w:val="0"/>
              <w:jc w:val="center"/>
              <w:rPr>
                <w:rFonts w:ascii="Calibri" w:hAnsi="Calibri" w:cs="Calibri"/>
              </w:rPr>
            </w:pPr>
            <w:r>
              <w:rPr>
                <w:rFonts w:ascii="Calibri" w:hAnsi="Calibri" w:cs="Calibri"/>
                <w:color w:val="000000"/>
              </w:rPr>
              <w:t>3.95%</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bottom"/>
          </w:tcPr>
          <w:p w14:paraId="714AC79E" w14:textId="77777777" w:rsidR="0033480A" w:rsidRDefault="0033480A" w:rsidP="00553DCD">
            <w:pPr>
              <w:autoSpaceDE w:val="0"/>
              <w:autoSpaceDN w:val="0"/>
              <w:adjustRightInd w:val="0"/>
              <w:jc w:val="center"/>
              <w:rPr>
                <w:rFonts w:ascii="Calibri" w:hAnsi="Calibri" w:cs="Calibri"/>
              </w:rPr>
            </w:pPr>
            <w:r>
              <w:rPr>
                <w:rFonts w:ascii="Calibri" w:hAnsi="Calibri" w:cs="Calibri"/>
                <w:color w:val="000000"/>
              </w:rPr>
              <w:t xml:space="preserve">       3,736 </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bottom"/>
          </w:tcPr>
          <w:p w14:paraId="5CD8E904" w14:textId="77777777" w:rsidR="0033480A" w:rsidRDefault="0033480A" w:rsidP="00553DCD">
            <w:pPr>
              <w:autoSpaceDE w:val="0"/>
              <w:autoSpaceDN w:val="0"/>
              <w:adjustRightInd w:val="0"/>
              <w:jc w:val="center"/>
              <w:rPr>
                <w:rFonts w:ascii="Calibri" w:hAnsi="Calibri" w:cs="Calibri"/>
              </w:rPr>
            </w:pPr>
            <w:r>
              <w:rPr>
                <w:rFonts w:ascii="Calibri" w:hAnsi="Calibri" w:cs="Calibri"/>
                <w:color w:val="000000"/>
              </w:rPr>
              <w:t>3.94%</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bottom"/>
          </w:tcPr>
          <w:p w14:paraId="08701898" w14:textId="77777777" w:rsidR="0033480A" w:rsidRDefault="0033480A" w:rsidP="00553DCD">
            <w:pPr>
              <w:autoSpaceDE w:val="0"/>
              <w:autoSpaceDN w:val="0"/>
              <w:adjustRightInd w:val="0"/>
              <w:jc w:val="center"/>
              <w:rPr>
                <w:rFonts w:ascii="Calibri" w:hAnsi="Calibri" w:cs="Calibri"/>
              </w:rPr>
            </w:pPr>
            <w:r>
              <w:rPr>
                <w:rFonts w:ascii="Calibri" w:hAnsi="Calibri" w:cs="Calibri"/>
                <w:color w:val="000000"/>
              </w:rPr>
              <w:t xml:space="preserve">       3,731 </w:t>
            </w:r>
          </w:p>
        </w:tc>
        <w:tc>
          <w:tcPr>
            <w:tcW w:w="1230" w:type="dxa"/>
            <w:tcBorders>
              <w:top w:val="single" w:sz="4" w:space="0" w:color="auto"/>
              <w:left w:val="single" w:sz="4" w:space="0" w:color="auto"/>
              <w:bottom w:val="single" w:sz="4" w:space="0" w:color="auto"/>
              <w:right w:val="single" w:sz="4" w:space="0" w:color="auto"/>
            </w:tcBorders>
            <w:shd w:val="clear" w:color="auto" w:fill="auto"/>
            <w:vAlign w:val="bottom"/>
          </w:tcPr>
          <w:p w14:paraId="4F6C4666" w14:textId="77777777" w:rsidR="0033480A" w:rsidRDefault="0033480A" w:rsidP="00553DCD">
            <w:pPr>
              <w:autoSpaceDE w:val="0"/>
              <w:autoSpaceDN w:val="0"/>
              <w:adjustRightInd w:val="0"/>
              <w:jc w:val="center"/>
              <w:rPr>
                <w:rFonts w:ascii="Calibri" w:hAnsi="Calibri" w:cs="Calibri"/>
              </w:rPr>
            </w:pPr>
            <w:r>
              <w:rPr>
                <w:rFonts w:ascii="Calibri" w:hAnsi="Calibri" w:cs="Calibri"/>
                <w:color w:val="000000"/>
              </w:rPr>
              <w:t>3.62%</w:t>
            </w:r>
          </w:p>
        </w:tc>
      </w:tr>
      <w:tr w:rsidR="0033480A" w14:paraId="6D46653B" w14:textId="77777777" w:rsidTr="002124B3">
        <w:trPr>
          <w:cantSplit/>
          <w:trHeight w:val="269"/>
        </w:trPr>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2A5A8DE1" w14:textId="77777777" w:rsidR="0033480A" w:rsidRDefault="0033480A" w:rsidP="00553DCD">
            <w:pPr>
              <w:autoSpaceDE w:val="0"/>
              <w:autoSpaceDN w:val="0"/>
              <w:adjustRightInd w:val="0"/>
              <w:jc w:val="both"/>
              <w:rPr>
                <w:rFonts w:ascii="Calibri" w:hAnsi="Calibri" w:cs="Calibri"/>
              </w:rPr>
            </w:pPr>
            <w:r>
              <w:rPr>
                <w:rFonts w:ascii="Calibri" w:hAnsi="Calibri" w:cs="Calibri"/>
                <w:color w:val="000000"/>
              </w:rPr>
              <w:t>Winthrop</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bottom"/>
          </w:tcPr>
          <w:p w14:paraId="6F01AE67" w14:textId="77777777" w:rsidR="0033480A" w:rsidRDefault="0033480A" w:rsidP="00553DCD">
            <w:pPr>
              <w:autoSpaceDE w:val="0"/>
              <w:autoSpaceDN w:val="0"/>
              <w:adjustRightInd w:val="0"/>
              <w:jc w:val="center"/>
              <w:rPr>
                <w:rFonts w:ascii="Calibri" w:hAnsi="Calibri" w:cs="Calibri"/>
              </w:rPr>
            </w:pPr>
            <w:r>
              <w:rPr>
                <w:rFonts w:ascii="Calibri" w:hAnsi="Calibri" w:cs="Calibri"/>
                <w:color w:val="000000"/>
              </w:rPr>
              <w:t xml:space="preserve">       1,493 </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bottom"/>
          </w:tcPr>
          <w:p w14:paraId="2E8C9211" w14:textId="77777777" w:rsidR="0033480A" w:rsidRDefault="0033480A" w:rsidP="00553DCD">
            <w:pPr>
              <w:autoSpaceDE w:val="0"/>
              <w:autoSpaceDN w:val="0"/>
              <w:adjustRightInd w:val="0"/>
              <w:jc w:val="center"/>
              <w:rPr>
                <w:rFonts w:ascii="Calibri" w:hAnsi="Calibri" w:cs="Calibri"/>
              </w:rPr>
            </w:pPr>
            <w:r>
              <w:rPr>
                <w:rFonts w:ascii="Calibri" w:hAnsi="Calibri" w:cs="Calibri"/>
                <w:color w:val="000000"/>
              </w:rPr>
              <w:t>1.37%</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bottom"/>
          </w:tcPr>
          <w:p w14:paraId="61CC5856" w14:textId="77777777" w:rsidR="0033480A" w:rsidRDefault="0033480A" w:rsidP="00553DCD">
            <w:pPr>
              <w:autoSpaceDE w:val="0"/>
              <w:autoSpaceDN w:val="0"/>
              <w:adjustRightInd w:val="0"/>
              <w:jc w:val="center"/>
              <w:rPr>
                <w:rFonts w:ascii="Calibri" w:hAnsi="Calibri" w:cs="Calibri"/>
              </w:rPr>
            </w:pPr>
            <w:r>
              <w:rPr>
                <w:rFonts w:ascii="Calibri" w:hAnsi="Calibri" w:cs="Calibri"/>
                <w:color w:val="000000"/>
              </w:rPr>
              <w:t xml:space="preserve">       1,313 </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bottom"/>
          </w:tcPr>
          <w:p w14:paraId="7765C3FD" w14:textId="77777777" w:rsidR="0033480A" w:rsidRDefault="0033480A" w:rsidP="00553DCD">
            <w:pPr>
              <w:autoSpaceDE w:val="0"/>
              <w:autoSpaceDN w:val="0"/>
              <w:adjustRightInd w:val="0"/>
              <w:jc w:val="center"/>
              <w:rPr>
                <w:rFonts w:ascii="Calibri" w:hAnsi="Calibri" w:cs="Calibri"/>
              </w:rPr>
            </w:pPr>
            <w:r>
              <w:rPr>
                <w:rFonts w:ascii="Calibri" w:hAnsi="Calibri" w:cs="Calibri"/>
                <w:color w:val="000000"/>
              </w:rPr>
              <w:t>1.39%</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bottom"/>
          </w:tcPr>
          <w:p w14:paraId="161CBE91" w14:textId="77777777" w:rsidR="0033480A" w:rsidRDefault="0033480A" w:rsidP="00553DCD">
            <w:pPr>
              <w:autoSpaceDE w:val="0"/>
              <w:autoSpaceDN w:val="0"/>
              <w:adjustRightInd w:val="0"/>
              <w:jc w:val="center"/>
              <w:rPr>
                <w:rFonts w:ascii="Calibri" w:hAnsi="Calibri" w:cs="Calibri"/>
              </w:rPr>
            </w:pPr>
            <w:r>
              <w:rPr>
                <w:rFonts w:ascii="Calibri" w:hAnsi="Calibri" w:cs="Calibri"/>
                <w:color w:val="000000"/>
              </w:rPr>
              <w:t xml:space="preserve">       1,345 </w:t>
            </w:r>
          </w:p>
        </w:tc>
        <w:tc>
          <w:tcPr>
            <w:tcW w:w="1230" w:type="dxa"/>
            <w:tcBorders>
              <w:top w:val="single" w:sz="4" w:space="0" w:color="auto"/>
              <w:left w:val="single" w:sz="4" w:space="0" w:color="auto"/>
              <w:bottom w:val="single" w:sz="4" w:space="0" w:color="auto"/>
              <w:right w:val="single" w:sz="4" w:space="0" w:color="auto"/>
            </w:tcBorders>
            <w:shd w:val="clear" w:color="auto" w:fill="auto"/>
            <w:vAlign w:val="bottom"/>
          </w:tcPr>
          <w:p w14:paraId="67C78BAD" w14:textId="77777777" w:rsidR="0033480A" w:rsidRDefault="0033480A" w:rsidP="00553DCD">
            <w:pPr>
              <w:autoSpaceDE w:val="0"/>
              <w:autoSpaceDN w:val="0"/>
              <w:adjustRightInd w:val="0"/>
              <w:jc w:val="center"/>
              <w:rPr>
                <w:rFonts w:ascii="Calibri" w:hAnsi="Calibri" w:cs="Calibri"/>
              </w:rPr>
            </w:pPr>
            <w:r>
              <w:rPr>
                <w:rFonts w:ascii="Calibri" w:hAnsi="Calibri" w:cs="Calibri"/>
                <w:color w:val="000000"/>
              </w:rPr>
              <w:t>1.30%</w:t>
            </w:r>
          </w:p>
        </w:tc>
      </w:tr>
      <w:tr w:rsidR="0033480A" w14:paraId="79A67B3E" w14:textId="77777777" w:rsidTr="002124B3">
        <w:trPr>
          <w:cantSplit/>
          <w:trHeight w:val="269"/>
        </w:trPr>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40A66C2A" w14:textId="77777777" w:rsidR="0033480A" w:rsidRDefault="0033480A" w:rsidP="00553DCD">
            <w:pPr>
              <w:autoSpaceDE w:val="0"/>
              <w:autoSpaceDN w:val="0"/>
              <w:adjustRightInd w:val="0"/>
              <w:jc w:val="both"/>
              <w:rPr>
                <w:rFonts w:ascii="Calibri" w:hAnsi="Calibri" w:cs="Calibri"/>
              </w:rPr>
            </w:pPr>
            <w:r>
              <w:rPr>
                <w:rFonts w:ascii="Calibri" w:hAnsi="Calibri" w:cs="Calibri"/>
                <w:color w:val="000000"/>
              </w:rPr>
              <w:t>North Reading</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bottom"/>
          </w:tcPr>
          <w:p w14:paraId="4B90581B" w14:textId="77777777" w:rsidR="0033480A" w:rsidRDefault="0033480A" w:rsidP="00553DCD">
            <w:pPr>
              <w:autoSpaceDE w:val="0"/>
              <w:autoSpaceDN w:val="0"/>
              <w:adjustRightInd w:val="0"/>
              <w:jc w:val="center"/>
              <w:rPr>
                <w:rFonts w:ascii="Calibri" w:hAnsi="Calibri" w:cs="Calibri"/>
              </w:rPr>
            </w:pPr>
            <w:r>
              <w:rPr>
                <w:rFonts w:ascii="Calibri" w:hAnsi="Calibri" w:cs="Calibri"/>
                <w:color w:val="000000"/>
              </w:rPr>
              <w:t xml:space="preserve">       4,742 </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bottom"/>
          </w:tcPr>
          <w:p w14:paraId="7B90DD45" w14:textId="77777777" w:rsidR="0033480A" w:rsidRDefault="0033480A" w:rsidP="00553DCD">
            <w:pPr>
              <w:autoSpaceDE w:val="0"/>
              <w:autoSpaceDN w:val="0"/>
              <w:adjustRightInd w:val="0"/>
              <w:jc w:val="center"/>
              <w:rPr>
                <w:rFonts w:ascii="Calibri" w:hAnsi="Calibri" w:cs="Calibri"/>
              </w:rPr>
            </w:pPr>
            <w:r>
              <w:rPr>
                <w:rFonts w:ascii="Calibri" w:hAnsi="Calibri" w:cs="Calibri"/>
                <w:color w:val="000000"/>
              </w:rPr>
              <w:t>4.35%</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bottom"/>
          </w:tcPr>
          <w:p w14:paraId="7F859B9F" w14:textId="77777777" w:rsidR="0033480A" w:rsidRDefault="0033480A" w:rsidP="00553DCD">
            <w:pPr>
              <w:autoSpaceDE w:val="0"/>
              <w:autoSpaceDN w:val="0"/>
              <w:adjustRightInd w:val="0"/>
              <w:jc w:val="center"/>
              <w:rPr>
                <w:rFonts w:ascii="Calibri" w:hAnsi="Calibri" w:cs="Calibri"/>
              </w:rPr>
            </w:pPr>
            <w:r>
              <w:rPr>
                <w:rFonts w:ascii="Calibri" w:hAnsi="Calibri" w:cs="Calibri"/>
                <w:color w:val="000000"/>
              </w:rPr>
              <w:t xml:space="preserve">       4,011 </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bottom"/>
          </w:tcPr>
          <w:p w14:paraId="43B010D5" w14:textId="77777777" w:rsidR="0033480A" w:rsidRDefault="0033480A" w:rsidP="00553DCD">
            <w:pPr>
              <w:autoSpaceDE w:val="0"/>
              <w:autoSpaceDN w:val="0"/>
              <w:adjustRightInd w:val="0"/>
              <w:jc w:val="center"/>
              <w:rPr>
                <w:rFonts w:ascii="Calibri" w:hAnsi="Calibri" w:cs="Calibri"/>
              </w:rPr>
            </w:pPr>
            <w:r>
              <w:rPr>
                <w:rFonts w:ascii="Calibri" w:hAnsi="Calibri" w:cs="Calibri"/>
                <w:color w:val="000000"/>
              </w:rPr>
              <w:t>4.23%</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bottom"/>
          </w:tcPr>
          <w:p w14:paraId="54828EC6" w14:textId="77777777" w:rsidR="0033480A" w:rsidRDefault="0033480A" w:rsidP="00553DCD">
            <w:pPr>
              <w:autoSpaceDE w:val="0"/>
              <w:autoSpaceDN w:val="0"/>
              <w:adjustRightInd w:val="0"/>
              <w:jc w:val="center"/>
              <w:rPr>
                <w:rFonts w:ascii="Calibri" w:hAnsi="Calibri" w:cs="Calibri"/>
              </w:rPr>
            </w:pPr>
            <w:r>
              <w:rPr>
                <w:rFonts w:ascii="Calibri" w:hAnsi="Calibri" w:cs="Calibri"/>
                <w:color w:val="000000"/>
              </w:rPr>
              <w:t xml:space="preserve">       4,117 </w:t>
            </w:r>
          </w:p>
        </w:tc>
        <w:tc>
          <w:tcPr>
            <w:tcW w:w="1230" w:type="dxa"/>
            <w:tcBorders>
              <w:top w:val="single" w:sz="4" w:space="0" w:color="auto"/>
              <w:left w:val="single" w:sz="4" w:space="0" w:color="auto"/>
              <w:bottom w:val="single" w:sz="4" w:space="0" w:color="auto"/>
              <w:right w:val="single" w:sz="4" w:space="0" w:color="auto"/>
            </w:tcBorders>
            <w:shd w:val="clear" w:color="auto" w:fill="auto"/>
            <w:vAlign w:val="bottom"/>
          </w:tcPr>
          <w:p w14:paraId="2FAC2224" w14:textId="77777777" w:rsidR="0033480A" w:rsidRDefault="0033480A" w:rsidP="00553DCD">
            <w:pPr>
              <w:autoSpaceDE w:val="0"/>
              <w:autoSpaceDN w:val="0"/>
              <w:adjustRightInd w:val="0"/>
              <w:jc w:val="center"/>
              <w:rPr>
                <w:rFonts w:ascii="Calibri" w:hAnsi="Calibri" w:cs="Calibri"/>
              </w:rPr>
            </w:pPr>
            <w:r>
              <w:rPr>
                <w:rFonts w:ascii="Calibri" w:hAnsi="Calibri" w:cs="Calibri"/>
                <w:color w:val="000000"/>
              </w:rPr>
              <w:t>3.99%</w:t>
            </w:r>
          </w:p>
        </w:tc>
      </w:tr>
      <w:tr w:rsidR="0033480A" w14:paraId="5F863E2E" w14:textId="77777777" w:rsidTr="002124B3">
        <w:trPr>
          <w:cantSplit/>
          <w:trHeight w:val="269"/>
        </w:trPr>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02D2F443" w14:textId="77777777" w:rsidR="0033480A" w:rsidRDefault="0033480A" w:rsidP="00553DCD">
            <w:pPr>
              <w:autoSpaceDE w:val="0"/>
              <w:autoSpaceDN w:val="0"/>
              <w:adjustRightInd w:val="0"/>
              <w:jc w:val="both"/>
              <w:rPr>
                <w:rFonts w:ascii="Calibri" w:hAnsi="Calibri" w:cs="Calibri"/>
              </w:rPr>
            </w:pPr>
            <w:r>
              <w:rPr>
                <w:rFonts w:ascii="Calibri" w:hAnsi="Calibri" w:cs="Calibri"/>
                <w:color w:val="000000"/>
              </w:rPr>
              <w:t>Lynnfield</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bottom"/>
          </w:tcPr>
          <w:p w14:paraId="71F14FD4" w14:textId="77777777" w:rsidR="0033480A" w:rsidRDefault="0033480A" w:rsidP="00553DCD">
            <w:pPr>
              <w:autoSpaceDE w:val="0"/>
              <w:autoSpaceDN w:val="0"/>
              <w:adjustRightInd w:val="0"/>
              <w:jc w:val="center"/>
              <w:rPr>
                <w:rFonts w:ascii="Calibri" w:hAnsi="Calibri" w:cs="Calibri"/>
              </w:rPr>
            </w:pPr>
            <w:r>
              <w:rPr>
                <w:rFonts w:ascii="Calibri" w:hAnsi="Calibri" w:cs="Calibri"/>
                <w:color w:val="000000"/>
              </w:rPr>
              <w:t xml:space="preserve">       4,411 </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bottom"/>
          </w:tcPr>
          <w:p w14:paraId="51907FA3" w14:textId="77777777" w:rsidR="0033480A" w:rsidRDefault="0033480A" w:rsidP="00553DCD">
            <w:pPr>
              <w:autoSpaceDE w:val="0"/>
              <w:autoSpaceDN w:val="0"/>
              <w:adjustRightInd w:val="0"/>
              <w:jc w:val="center"/>
              <w:rPr>
                <w:rFonts w:ascii="Calibri" w:hAnsi="Calibri" w:cs="Calibri"/>
              </w:rPr>
            </w:pPr>
            <w:r>
              <w:rPr>
                <w:rFonts w:ascii="Calibri" w:hAnsi="Calibri" w:cs="Calibri"/>
                <w:color w:val="000000"/>
              </w:rPr>
              <w:t>4.04%</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bottom"/>
          </w:tcPr>
          <w:p w14:paraId="2F7D784B" w14:textId="77777777" w:rsidR="0033480A" w:rsidRDefault="0033480A" w:rsidP="00553DCD">
            <w:pPr>
              <w:autoSpaceDE w:val="0"/>
              <w:autoSpaceDN w:val="0"/>
              <w:adjustRightInd w:val="0"/>
              <w:jc w:val="center"/>
              <w:rPr>
                <w:rFonts w:ascii="Calibri" w:hAnsi="Calibri" w:cs="Calibri"/>
              </w:rPr>
            </w:pPr>
            <w:r>
              <w:rPr>
                <w:rFonts w:ascii="Calibri" w:hAnsi="Calibri" w:cs="Calibri"/>
                <w:color w:val="000000"/>
              </w:rPr>
              <w:t xml:space="preserve">       3,911 </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bottom"/>
          </w:tcPr>
          <w:p w14:paraId="7B7C942F" w14:textId="77777777" w:rsidR="0033480A" w:rsidRDefault="0033480A" w:rsidP="00553DCD">
            <w:pPr>
              <w:autoSpaceDE w:val="0"/>
              <w:autoSpaceDN w:val="0"/>
              <w:adjustRightInd w:val="0"/>
              <w:jc w:val="center"/>
              <w:rPr>
                <w:rFonts w:ascii="Calibri" w:hAnsi="Calibri" w:cs="Calibri"/>
              </w:rPr>
            </w:pPr>
            <w:r>
              <w:rPr>
                <w:rFonts w:ascii="Calibri" w:hAnsi="Calibri" w:cs="Calibri"/>
                <w:color w:val="000000"/>
              </w:rPr>
              <w:t>4.13%</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bottom"/>
          </w:tcPr>
          <w:p w14:paraId="754DBF17" w14:textId="77777777" w:rsidR="0033480A" w:rsidRDefault="0033480A" w:rsidP="00553DCD">
            <w:pPr>
              <w:autoSpaceDE w:val="0"/>
              <w:autoSpaceDN w:val="0"/>
              <w:adjustRightInd w:val="0"/>
              <w:jc w:val="center"/>
              <w:rPr>
                <w:rFonts w:ascii="Calibri" w:hAnsi="Calibri" w:cs="Calibri"/>
              </w:rPr>
            </w:pPr>
            <w:r>
              <w:rPr>
                <w:rFonts w:ascii="Calibri" w:hAnsi="Calibri" w:cs="Calibri"/>
                <w:color w:val="000000"/>
              </w:rPr>
              <w:t xml:space="preserve">       4,243 </w:t>
            </w:r>
          </w:p>
        </w:tc>
        <w:tc>
          <w:tcPr>
            <w:tcW w:w="1230" w:type="dxa"/>
            <w:tcBorders>
              <w:top w:val="single" w:sz="4" w:space="0" w:color="auto"/>
              <w:left w:val="single" w:sz="4" w:space="0" w:color="auto"/>
              <w:bottom w:val="single" w:sz="4" w:space="0" w:color="auto"/>
              <w:right w:val="single" w:sz="4" w:space="0" w:color="auto"/>
            </w:tcBorders>
            <w:shd w:val="clear" w:color="auto" w:fill="auto"/>
            <w:vAlign w:val="bottom"/>
          </w:tcPr>
          <w:p w14:paraId="42A8C479" w14:textId="77777777" w:rsidR="0033480A" w:rsidRDefault="0033480A" w:rsidP="00553DCD">
            <w:pPr>
              <w:autoSpaceDE w:val="0"/>
              <w:autoSpaceDN w:val="0"/>
              <w:adjustRightInd w:val="0"/>
              <w:jc w:val="center"/>
              <w:rPr>
                <w:rFonts w:ascii="Calibri" w:hAnsi="Calibri" w:cs="Calibri"/>
              </w:rPr>
            </w:pPr>
            <w:r>
              <w:rPr>
                <w:rFonts w:ascii="Calibri" w:hAnsi="Calibri" w:cs="Calibri"/>
                <w:color w:val="000000"/>
              </w:rPr>
              <w:t>4.11%</w:t>
            </w:r>
          </w:p>
        </w:tc>
      </w:tr>
      <w:tr w:rsidR="0033480A" w14:paraId="54AD5CD9" w14:textId="77777777" w:rsidTr="002124B3">
        <w:trPr>
          <w:cantSplit/>
          <w:trHeight w:val="269"/>
        </w:trPr>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3C0C5DF4" w14:textId="77777777" w:rsidR="0033480A" w:rsidRDefault="0033480A" w:rsidP="00553DCD">
            <w:pPr>
              <w:autoSpaceDE w:val="0"/>
              <w:autoSpaceDN w:val="0"/>
              <w:adjustRightInd w:val="0"/>
              <w:jc w:val="both"/>
              <w:rPr>
                <w:rFonts w:ascii="Calibri" w:hAnsi="Calibri" w:cs="Calibri"/>
              </w:rPr>
            </w:pPr>
            <w:r>
              <w:rPr>
                <w:rFonts w:ascii="Calibri" w:hAnsi="Calibri" w:cs="Calibri"/>
                <w:color w:val="000000"/>
              </w:rPr>
              <w:t>Outside PSA</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bottom"/>
          </w:tcPr>
          <w:p w14:paraId="417D1B0E" w14:textId="77777777" w:rsidR="0033480A" w:rsidRDefault="0033480A" w:rsidP="00553DCD">
            <w:pPr>
              <w:autoSpaceDE w:val="0"/>
              <w:autoSpaceDN w:val="0"/>
              <w:adjustRightInd w:val="0"/>
              <w:jc w:val="center"/>
              <w:rPr>
                <w:rFonts w:ascii="Calibri" w:hAnsi="Calibri" w:cs="Calibri"/>
              </w:rPr>
            </w:pPr>
            <w:r>
              <w:rPr>
                <w:rFonts w:ascii="Calibri" w:hAnsi="Calibri" w:cs="Calibri"/>
                <w:color w:val="000000"/>
              </w:rPr>
              <w:t xml:space="preserve">    33,144 </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bottom"/>
          </w:tcPr>
          <w:p w14:paraId="7783B183" w14:textId="77777777" w:rsidR="0033480A" w:rsidRDefault="0033480A" w:rsidP="00553DCD">
            <w:pPr>
              <w:autoSpaceDE w:val="0"/>
              <w:autoSpaceDN w:val="0"/>
              <w:adjustRightInd w:val="0"/>
              <w:jc w:val="center"/>
              <w:rPr>
                <w:rFonts w:ascii="Calibri" w:hAnsi="Calibri" w:cs="Calibri"/>
              </w:rPr>
            </w:pPr>
            <w:r>
              <w:rPr>
                <w:rFonts w:ascii="Calibri" w:hAnsi="Calibri" w:cs="Calibri"/>
                <w:color w:val="000000"/>
              </w:rPr>
              <w:t>30.38%</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bottom"/>
          </w:tcPr>
          <w:p w14:paraId="123DEF18" w14:textId="77777777" w:rsidR="0033480A" w:rsidRDefault="0033480A" w:rsidP="00553DCD">
            <w:pPr>
              <w:autoSpaceDE w:val="0"/>
              <w:autoSpaceDN w:val="0"/>
              <w:adjustRightInd w:val="0"/>
              <w:jc w:val="center"/>
              <w:rPr>
                <w:rFonts w:ascii="Calibri" w:hAnsi="Calibri" w:cs="Calibri"/>
              </w:rPr>
            </w:pPr>
            <w:r>
              <w:rPr>
                <w:rFonts w:ascii="Calibri" w:hAnsi="Calibri" w:cs="Calibri"/>
                <w:color w:val="000000"/>
              </w:rPr>
              <w:t xml:space="preserve">    28,444 </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bottom"/>
          </w:tcPr>
          <w:p w14:paraId="6D0A32F9" w14:textId="77777777" w:rsidR="0033480A" w:rsidRDefault="0033480A" w:rsidP="00553DCD">
            <w:pPr>
              <w:autoSpaceDE w:val="0"/>
              <w:autoSpaceDN w:val="0"/>
              <w:adjustRightInd w:val="0"/>
              <w:jc w:val="center"/>
              <w:rPr>
                <w:rFonts w:ascii="Calibri" w:hAnsi="Calibri" w:cs="Calibri"/>
              </w:rPr>
            </w:pPr>
            <w:r>
              <w:rPr>
                <w:rFonts w:ascii="Calibri" w:hAnsi="Calibri" w:cs="Calibri"/>
                <w:color w:val="000000"/>
              </w:rPr>
              <w:t>30.00%</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bottom"/>
          </w:tcPr>
          <w:p w14:paraId="3B5270B2" w14:textId="77777777" w:rsidR="0033480A" w:rsidRDefault="0033480A" w:rsidP="00553DCD">
            <w:pPr>
              <w:autoSpaceDE w:val="0"/>
              <w:autoSpaceDN w:val="0"/>
              <w:adjustRightInd w:val="0"/>
              <w:jc w:val="center"/>
              <w:rPr>
                <w:rFonts w:ascii="Calibri" w:hAnsi="Calibri" w:cs="Calibri"/>
              </w:rPr>
            </w:pPr>
            <w:r>
              <w:rPr>
                <w:rFonts w:ascii="Calibri" w:hAnsi="Calibri" w:cs="Calibri"/>
                <w:color w:val="000000"/>
              </w:rPr>
              <w:t xml:space="preserve">    33,516 </w:t>
            </w:r>
          </w:p>
        </w:tc>
        <w:tc>
          <w:tcPr>
            <w:tcW w:w="1230" w:type="dxa"/>
            <w:tcBorders>
              <w:top w:val="single" w:sz="4" w:space="0" w:color="auto"/>
              <w:left w:val="single" w:sz="4" w:space="0" w:color="auto"/>
              <w:bottom w:val="single" w:sz="4" w:space="0" w:color="auto"/>
              <w:right w:val="single" w:sz="4" w:space="0" w:color="auto"/>
            </w:tcBorders>
            <w:shd w:val="clear" w:color="auto" w:fill="auto"/>
            <w:vAlign w:val="bottom"/>
          </w:tcPr>
          <w:p w14:paraId="64BA286A" w14:textId="77777777" w:rsidR="0033480A" w:rsidRDefault="0033480A" w:rsidP="00553DCD">
            <w:pPr>
              <w:autoSpaceDE w:val="0"/>
              <w:autoSpaceDN w:val="0"/>
              <w:adjustRightInd w:val="0"/>
              <w:jc w:val="center"/>
              <w:rPr>
                <w:rFonts w:ascii="Calibri" w:hAnsi="Calibri" w:cs="Calibri"/>
              </w:rPr>
            </w:pPr>
            <w:r>
              <w:rPr>
                <w:rFonts w:ascii="Calibri" w:hAnsi="Calibri" w:cs="Calibri"/>
                <w:color w:val="000000"/>
              </w:rPr>
              <w:t>32.48%</w:t>
            </w:r>
          </w:p>
        </w:tc>
      </w:tr>
      <w:tr w:rsidR="0033480A" w14:paraId="778ECA2D" w14:textId="77777777" w:rsidTr="002124B3">
        <w:trPr>
          <w:cantSplit/>
          <w:trHeight w:val="269"/>
        </w:trPr>
        <w:tc>
          <w:tcPr>
            <w:tcW w:w="1615" w:type="dxa"/>
            <w:tcBorders>
              <w:top w:val="single" w:sz="4" w:space="0" w:color="auto"/>
              <w:left w:val="single" w:sz="4" w:space="0" w:color="auto"/>
              <w:bottom w:val="single" w:sz="4" w:space="0" w:color="auto"/>
              <w:right w:val="single" w:sz="4" w:space="0" w:color="auto"/>
            </w:tcBorders>
            <w:shd w:val="clear" w:color="auto" w:fill="auto"/>
            <w:vAlign w:val="bottom"/>
          </w:tcPr>
          <w:p w14:paraId="19CFD1B8" w14:textId="77777777" w:rsidR="0033480A" w:rsidRPr="0045638F" w:rsidRDefault="0033480A" w:rsidP="00553DCD">
            <w:pPr>
              <w:autoSpaceDE w:val="0"/>
              <w:autoSpaceDN w:val="0"/>
              <w:adjustRightInd w:val="0"/>
              <w:jc w:val="both"/>
              <w:rPr>
                <w:rFonts w:ascii="Calibri" w:hAnsi="Calibri" w:cs="Calibri"/>
                <w:b/>
                <w:bCs/>
              </w:rPr>
            </w:pPr>
            <w:r>
              <w:rPr>
                <w:rFonts w:ascii="Calibri" w:hAnsi="Calibri" w:cs="Calibri"/>
                <w:b/>
                <w:bCs/>
                <w:color w:val="000000"/>
              </w:rPr>
              <w:t xml:space="preserve">Total </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bottom"/>
          </w:tcPr>
          <w:p w14:paraId="54AD2E00" w14:textId="77777777" w:rsidR="0033480A" w:rsidRPr="0045638F" w:rsidRDefault="0033480A" w:rsidP="00553DCD">
            <w:pPr>
              <w:autoSpaceDE w:val="0"/>
              <w:autoSpaceDN w:val="0"/>
              <w:adjustRightInd w:val="0"/>
              <w:jc w:val="center"/>
              <w:rPr>
                <w:rFonts w:ascii="Calibri" w:hAnsi="Calibri" w:cs="Calibri"/>
                <w:b/>
                <w:bCs/>
              </w:rPr>
            </w:pPr>
            <w:r>
              <w:rPr>
                <w:rFonts w:ascii="Calibri" w:hAnsi="Calibri" w:cs="Calibri"/>
                <w:b/>
                <w:bCs/>
                <w:color w:val="000000"/>
              </w:rPr>
              <w:t xml:space="preserve">  109,089 </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bottom"/>
          </w:tcPr>
          <w:p w14:paraId="12CA8BA5" w14:textId="77777777" w:rsidR="0033480A" w:rsidRPr="00DB2475" w:rsidRDefault="0033480A" w:rsidP="00553DCD">
            <w:pPr>
              <w:autoSpaceDE w:val="0"/>
              <w:autoSpaceDN w:val="0"/>
              <w:adjustRightInd w:val="0"/>
              <w:jc w:val="center"/>
              <w:rPr>
                <w:rFonts w:ascii="Calibri" w:hAnsi="Calibri" w:cs="Calibri"/>
                <w:b/>
                <w:bCs/>
              </w:rPr>
            </w:pPr>
            <w:r>
              <w:rPr>
                <w:rFonts w:ascii="Calibri" w:hAnsi="Calibri" w:cs="Calibri"/>
                <w:b/>
                <w:bCs/>
                <w:color w:val="000000"/>
              </w:rPr>
              <w:t>100.00%</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bottom"/>
          </w:tcPr>
          <w:p w14:paraId="7F5C0404" w14:textId="77777777" w:rsidR="0033480A" w:rsidRPr="00DB2475" w:rsidRDefault="0033480A" w:rsidP="00553DCD">
            <w:pPr>
              <w:autoSpaceDE w:val="0"/>
              <w:autoSpaceDN w:val="0"/>
              <w:adjustRightInd w:val="0"/>
              <w:jc w:val="center"/>
              <w:rPr>
                <w:rFonts w:ascii="Calibri" w:hAnsi="Calibri" w:cs="Calibri"/>
                <w:b/>
                <w:bCs/>
              </w:rPr>
            </w:pPr>
            <w:r>
              <w:rPr>
                <w:rFonts w:ascii="Calibri" w:hAnsi="Calibri" w:cs="Calibri"/>
                <w:b/>
                <w:bCs/>
                <w:color w:val="000000"/>
              </w:rPr>
              <w:t xml:space="preserve">    94,800 </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bottom"/>
          </w:tcPr>
          <w:p w14:paraId="08130DCF" w14:textId="77777777" w:rsidR="0033480A" w:rsidRPr="00DB2475" w:rsidRDefault="0033480A" w:rsidP="00553DCD">
            <w:pPr>
              <w:autoSpaceDE w:val="0"/>
              <w:autoSpaceDN w:val="0"/>
              <w:adjustRightInd w:val="0"/>
              <w:jc w:val="center"/>
              <w:rPr>
                <w:rFonts w:ascii="Calibri" w:hAnsi="Calibri" w:cs="Calibri"/>
                <w:b/>
                <w:bCs/>
              </w:rPr>
            </w:pPr>
            <w:r>
              <w:rPr>
                <w:rFonts w:ascii="Calibri" w:hAnsi="Calibri" w:cs="Calibri"/>
                <w:b/>
                <w:bCs/>
                <w:color w:val="000000"/>
              </w:rPr>
              <w:t>100.00%</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bottom"/>
          </w:tcPr>
          <w:p w14:paraId="5E057785" w14:textId="77777777" w:rsidR="0033480A" w:rsidRPr="00DB2475" w:rsidRDefault="0033480A" w:rsidP="00553DCD">
            <w:pPr>
              <w:autoSpaceDE w:val="0"/>
              <w:autoSpaceDN w:val="0"/>
              <w:adjustRightInd w:val="0"/>
              <w:jc w:val="center"/>
              <w:rPr>
                <w:rFonts w:ascii="Calibri" w:hAnsi="Calibri" w:cs="Calibri"/>
                <w:b/>
                <w:bCs/>
              </w:rPr>
            </w:pPr>
            <w:r>
              <w:rPr>
                <w:rFonts w:ascii="Calibri" w:hAnsi="Calibri" w:cs="Calibri"/>
                <w:b/>
                <w:bCs/>
                <w:color w:val="000000"/>
              </w:rPr>
              <w:t xml:space="preserve">  103,183 </w:t>
            </w:r>
          </w:p>
        </w:tc>
        <w:tc>
          <w:tcPr>
            <w:tcW w:w="1230" w:type="dxa"/>
            <w:tcBorders>
              <w:top w:val="single" w:sz="4" w:space="0" w:color="auto"/>
              <w:left w:val="single" w:sz="4" w:space="0" w:color="auto"/>
              <w:bottom w:val="single" w:sz="4" w:space="0" w:color="auto"/>
              <w:right w:val="single" w:sz="4" w:space="0" w:color="auto"/>
            </w:tcBorders>
            <w:shd w:val="clear" w:color="auto" w:fill="auto"/>
            <w:vAlign w:val="bottom"/>
          </w:tcPr>
          <w:p w14:paraId="12C7016F" w14:textId="77777777" w:rsidR="0033480A" w:rsidRPr="00DB2475" w:rsidRDefault="0033480A" w:rsidP="00553DCD">
            <w:pPr>
              <w:autoSpaceDE w:val="0"/>
              <w:autoSpaceDN w:val="0"/>
              <w:adjustRightInd w:val="0"/>
              <w:jc w:val="center"/>
              <w:rPr>
                <w:rFonts w:ascii="Calibri" w:hAnsi="Calibri" w:cs="Calibri"/>
                <w:b/>
                <w:bCs/>
              </w:rPr>
            </w:pPr>
            <w:r>
              <w:rPr>
                <w:rFonts w:ascii="Calibri" w:hAnsi="Calibri" w:cs="Calibri"/>
                <w:b/>
                <w:bCs/>
                <w:color w:val="000000"/>
              </w:rPr>
              <w:t>100.00%</w:t>
            </w:r>
          </w:p>
        </w:tc>
      </w:tr>
    </w:tbl>
    <w:p w14:paraId="3BEF0BCC" w14:textId="77777777" w:rsidR="0033480A" w:rsidRDefault="0033480A" w:rsidP="0033480A">
      <w:pPr>
        <w:autoSpaceDE w:val="0"/>
        <w:autoSpaceDN w:val="0"/>
        <w:adjustRightInd w:val="0"/>
        <w:spacing w:after="0" w:line="240" w:lineRule="auto"/>
        <w:ind w:left="360"/>
        <w:jc w:val="both"/>
        <w:rPr>
          <w:rFonts w:ascii="Calibri" w:hAnsi="Calibri" w:cs="Calibri"/>
        </w:rPr>
      </w:pPr>
    </w:p>
    <w:p w14:paraId="1915ED32" w14:textId="77777777" w:rsidR="0033480A" w:rsidRDefault="0033480A" w:rsidP="0033480A">
      <w:pPr>
        <w:autoSpaceDE w:val="0"/>
        <w:autoSpaceDN w:val="0"/>
        <w:adjustRightInd w:val="0"/>
        <w:spacing w:after="0" w:line="240" w:lineRule="auto"/>
        <w:ind w:left="360"/>
        <w:jc w:val="both"/>
        <w:rPr>
          <w:rFonts w:ascii="Calibri" w:hAnsi="Calibri" w:cs="Calibri"/>
        </w:rPr>
      </w:pPr>
      <w:r>
        <w:rPr>
          <w:rFonts w:ascii="Calibri" w:hAnsi="Calibri" w:cs="Calibri"/>
        </w:rPr>
        <w:t>The following zip codes / towns comprise MWH’s Primary Service Area (“PSA”):</w:t>
      </w:r>
    </w:p>
    <w:tbl>
      <w:tblPr>
        <w:tblStyle w:val="TableGrid"/>
        <w:tblW w:w="9000" w:type="dxa"/>
        <w:tblInd w:w="355" w:type="dxa"/>
        <w:tblLook w:val="04A0" w:firstRow="1" w:lastRow="0" w:firstColumn="1" w:lastColumn="0" w:noHBand="0" w:noVBand="1"/>
      </w:tblPr>
      <w:tblGrid>
        <w:gridCol w:w="3060"/>
        <w:gridCol w:w="5940"/>
      </w:tblGrid>
      <w:tr w:rsidR="0033480A" w14:paraId="0084E907" w14:textId="77777777" w:rsidTr="00C91BDF">
        <w:trPr>
          <w:cantSplit/>
          <w:tblHeader/>
        </w:trPr>
        <w:tc>
          <w:tcPr>
            <w:tcW w:w="3060" w:type="dxa"/>
            <w:shd w:val="clear" w:color="auto" w:fill="002060"/>
            <w:vAlign w:val="center"/>
          </w:tcPr>
          <w:p w14:paraId="7939610A" w14:textId="77777777" w:rsidR="0033480A" w:rsidRPr="008B4ABC" w:rsidRDefault="0033480A" w:rsidP="00553DCD">
            <w:pPr>
              <w:autoSpaceDE w:val="0"/>
              <w:autoSpaceDN w:val="0"/>
              <w:adjustRightInd w:val="0"/>
              <w:jc w:val="center"/>
              <w:rPr>
                <w:rFonts w:ascii="Calibri" w:hAnsi="Calibri" w:cs="Calibri"/>
                <w:color w:val="FFFFFF" w:themeColor="background1"/>
              </w:rPr>
            </w:pPr>
            <w:r w:rsidRPr="008B4ABC">
              <w:rPr>
                <w:rFonts w:ascii="Calibri" w:hAnsi="Calibri" w:cs="Calibri"/>
                <w:b/>
                <w:bCs/>
                <w:color w:val="FFFFFF" w:themeColor="background1"/>
              </w:rPr>
              <w:t>Zip Code</w:t>
            </w:r>
          </w:p>
        </w:tc>
        <w:tc>
          <w:tcPr>
            <w:tcW w:w="5940" w:type="dxa"/>
            <w:tcBorders>
              <w:top w:val="single" w:sz="4" w:space="0" w:color="auto"/>
              <w:left w:val="nil"/>
              <w:bottom w:val="single" w:sz="4" w:space="0" w:color="auto"/>
              <w:right w:val="single" w:sz="4" w:space="0" w:color="auto"/>
            </w:tcBorders>
            <w:shd w:val="clear" w:color="auto" w:fill="002060"/>
            <w:vAlign w:val="center"/>
          </w:tcPr>
          <w:p w14:paraId="294CC095" w14:textId="77777777" w:rsidR="0033480A" w:rsidRPr="008B4ABC" w:rsidRDefault="0033480A" w:rsidP="00553DCD">
            <w:pPr>
              <w:autoSpaceDE w:val="0"/>
              <w:autoSpaceDN w:val="0"/>
              <w:adjustRightInd w:val="0"/>
              <w:jc w:val="center"/>
              <w:rPr>
                <w:rFonts w:ascii="Calibri" w:hAnsi="Calibri" w:cs="Calibri"/>
                <w:color w:val="FFFFFF" w:themeColor="background1"/>
              </w:rPr>
            </w:pPr>
            <w:r w:rsidRPr="008B4ABC">
              <w:rPr>
                <w:rFonts w:ascii="Calibri" w:hAnsi="Calibri" w:cs="Calibri"/>
                <w:b/>
                <w:bCs/>
                <w:color w:val="FFFFFF" w:themeColor="background1"/>
              </w:rPr>
              <w:t>City/Town</w:t>
            </w:r>
          </w:p>
        </w:tc>
      </w:tr>
      <w:tr w:rsidR="0033480A" w14:paraId="1C6AFF90" w14:textId="77777777" w:rsidTr="00C91BDF">
        <w:trPr>
          <w:cantSplit/>
        </w:trPr>
        <w:tc>
          <w:tcPr>
            <w:tcW w:w="3060" w:type="dxa"/>
            <w:shd w:val="clear" w:color="auto" w:fill="auto"/>
            <w:vAlign w:val="center"/>
          </w:tcPr>
          <w:p w14:paraId="05EC5D4E" w14:textId="77777777" w:rsidR="0033480A" w:rsidRDefault="0033480A" w:rsidP="00553DCD">
            <w:pPr>
              <w:autoSpaceDE w:val="0"/>
              <w:autoSpaceDN w:val="0"/>
              <w:adjustRightInd w:val="0"/>
              <w:jc w:val="center"/>
              <w:rPr>
                <w:rFonts w:ascii="Calibri" w:hAnsi="Calibri" w:cs="Calibri"/>
              </w:rPr>
            </w:pPr>
            <w:r>
              <w:rPr>
                <w:rFonts w:ascii="Calibri" w:hAnsi="Calibri" w:cs="Calibri"/>
                <w:color w:val="000000"/>
              </w:rPr>
              <w:t>02148</w:t>
            </w:r>
          </w:p>
        </w:tc>
        <w:tc>
          <w:tcPr>
            <w:tcW w:w="5940" w:type="dxa"/>
            <w:tcBorders>
              <w:top w:val="single" w:sz="4" w:space="0" w:color="auto"/>
              <w:left w:val="nil"/>
              <w:bottom w:val="single" w:sz="4" w:space="0" w:color="auto"/>
              <w:right w:val="single" w:sz="4" w:space="0" w:color="auto"/>
            </w:tcBorders>
            <w:shd w:val="clear" w:color="auto" w:fill="auto"/>
            <w:vAlign w:val="center"/>
          </w:tcPr>
          <w:p w14:paraId="57C42FCF" w14:textId="77777777" w:rsidR="0033480A" w:rsidRDefault="0033480A" w:rsidP="00553DCD">
            <w:pPr>
              <w:autoSpaceDE w:val="0"/>
              <w:autoSpaceDN w:val="0"/>
              <w:adjustRightInd w:val="0"/>
              <w:jc w:val="center"/>
              <w:rPr>
                <w:rFonts w:ascii="Calibri" w:hAnsi="Calibri" w:cs="Calibri"/>
              </w:rPr>
            </w:pPr>
            <w:r>
              <w:rPr>
                <w:rFonts w:ascii="Calibri" w:hAnsi="Calibri" w:cs="Calibri"/>
                <w:color w:val="000000"/>
              </w:rPr>
              <w:t>Malden</w:t>
            </w:r>
          </w:p>
        </w:tc>
      </w:tr>
      <w:tr w:rsidR="0033480A" w14:paraId="35298E79" w14:textId="77777777" w:rsidTr="00C91BDF">
        <w:trPr>
          <w:cantSplit/>
        </w:trPr>
        <w:tc>
          <w:tcPr>
            <w:tcW w:w="3060" w:type="dxa"/>
            <w:shd w:val="clear" w:color="auto" w:fill="auto"/>
            <w:vAlign w:val="center"/>
          </w:tcPr>
          <w:p w14:paraId="4FDAE5FE" w14:textId="77777777" w:rsidR="0033480A" w:rsidRDefault="0033480A" w:rsidP="00553DCD">
            <w:pPr>
              <w:autoSpaceDE w:val="0"/>
              <w:autoSpaceDN w:val="0"/>
              <w:adjustRightInd w:val="0"/>
              <w:jc w:val="center"/>
              <w:rPr>
                <w:rFonts w:ascii="Calibri" w:hAnsi="Calibri" w:cs="Calibri"/>
              </w:rPr>
            </w:pPr>
            <w:r>
              <w:rPr>
                <w:rFonts w:ascii="Calibri" w:hAnsi="Calibri" w:cs="Calibri"/>
                <w:color w:val="000000"/>
              </w:rPr>
              <w:t>02153</w:t>
            </w:r>
          </w:p>
        </w:tc>
        <w:tc>
          <w:tcPr>
            <w:tcW w:w="5940" w:type="dxa"/>
            <w:tcBorders>
              <w:top w:val="single" w:sz="4" w:space="0" w:color="auto"/>
              <w:left w:val="nil"/>
              <w:bottom w:val="single" w:sz="4" w:space="0" w:color="auto"/>
              <w:right w:val="single" w:sz="4" w:space="0" w:color="auto"/>
            </w:tcBorders>
            <w:shd w:val="clear" w:color="auto" w:fill="auto"/>
            <w:vAlign w:val="center"/>
          </w:tcPr>
          <w:p w14:paraId="1BB62156" w14:textId="77777777" w:rsidR="0033480A" w:rsidRDefault="0033480A" w:rsidP="00553DCD">
            <w:pPr>
              <w:autoSpaceDE w:val="0"/>
              <w:autoSpaceDN w:val="0"/>
              <w:adjustRightInd w:val="0"/>
              <w:jc w:val="center"/>
              <w:rPr>
                <w:rFonts w:ascii="Calibri" w:hAnsi="Calibri" w:cs="Calibri"/>
              </w:rPr>
            </w:pPr>
            <w:r>
              <w:rPr>
                <w:rFonts w:ascii="Calibri" w:hAnsi="Calibri" w:cs="Calibri"/>
                <w:color w:val="000000"/>
              </w:rPr>
              <w:t>Medford</w:t>
            </w:r>
          </w:p>
        </w:tc>
      </w:tr>
      <w:tr w:rsidR="0033480A" w14:paraId="552EF000" w14:textId="77777777" w:rsidTr="00C91BDF">
        <w:trPr>
          <w:cantSplit/>
        </w:trPr>
        <w:tc>
          <w:tcPr>
            <w:tcW w:w="3060" w:type="dxa"/>
            <w:shd w:val="clear" w:color="auto" w:fill="auto"/>
            <w:vAlign w:val="center"/>
          </w:tcPr>
          <w:p w14:paraId="164B9492" w14:textId="77777777" w:rsidR="0033480A" w:rsidRDefault="0033480A" w:rsidP="00553DCD">
            <w:pPr>
              <w:autoSpaceDE w:val="0"/>
              <w:autoSpaceDN w:val="0"/>
              <w:adjustRightInd w:val="0"/>
              <w:jc w:val="center"/>
              <w:rPr>
                <w:rFonts w:ascii="Calibri" w:hAnsi="Calibri" w:cs="Calibri"/>
              </w:rPr>
            </w:pPr>
            <w:r>
              <w:rPr>
                <w:rFonts w:ascii="Calibri" w:hAnsi="Calibri" w:cs="Calibri"/>
                <w:color w:val="000000"/>
              </w:rPr>
              <w:t>02155</w:t>
            </w:r>
          </w:p>
        </w:tc>
        <w:tc>
          <w:tcPr>
            <w:tcW w:w="5940" w:type="dxa"/>
            <w:tcBorders>
              <w:top w:val="single" w:sz="4" w:space="0" w:color="auto"/>
              <w:left w:val="nil"/>
              <w:bottom w:val="single" w:sz="4" w:space="0" w:color="auto"/>
              <w:right w:val="single" w:sz="4" w:space="0" w:color="auto"/>
            </w:tcBorders>
            <w:shd w:val="clear" w:color="auto" w:fill="auto"/>
            <w:vAlign w:val="center"/>
          </w:tcPr>
          <w:p w14:paraId="6C8F6BFE" w14:textId="77777777" w:rsidR="0033480A" w:rsidRDefault="0033480A" w:rsidP="00553DCD">
            <w:pPr>
              <w:autoSpaceDE w:val="0"/>
              <w:autoSpaceDN w:val="0"/>
              <w:adjustRightInd w:val="0"/>
              <w:jc w:val="center"/>
              <w:rPr>
                <w:rFonts w:ascii="Calibri" w:hAnsi="Calibri" w:cs="Calibri"/>
              </w:rPr>
            </w:pPr>
            <w:r>
              <w:rPr>
                <w:rFonts w:ascii="Calibri" w:hAnsi="Calibri" w:cs="Calibri"/>
                <w:color w:val="000000"/>
              </w:rPr>
              <w:t>Medford</w:t>
            </w:r>
          </w:p>
        </w:tc>
      </w:tr>
      <w:tr w:rsidR="0033480A" w14:paraId="38603E2F" w14:textId="77777777" w:rsidTr="00C91BDF">
        <w:trPr>
          <w:cantSplit/>
        </w:trPr>
        <w:tc>
          <w:tcPr>
            <w:tcW w:w="3060" w:type="dxa"/>
            <w:shd w:val="clear" w:color="auto" w:fill="auto"/>
            <w:vAlign w:val="center"/>
          </w:tcPr>
          <w:p w14:paraId="04BA0C3E" w14:textId="77777777" w:rsidR="0033480A" w:rsidRDefault="0033480A" w:rsidP="00553DCD">
            <w:pPr>
              <w:autoSpaceDE w:val="0"/>
              <w:autoSpaceDN w:val="0"/>
              <w:adjustRightInd w:val="0"/>
              <w:jc w:val="center"/>
              <w:rPr>
                <w:rFonts w:ascii="Calibri" w:hAnsi="Calibri" w:cs="Calibri"/>
              </w:rPr>
            </w:pPr>
            <w:r>
              <w:rPr>
                <w:rFonts w:ascii="Calibri" w:hAnsi="Calibri" w:cs="Calibri"/>
                <w:color w:val="000000"/>
              </w:rPr>
              <w:t>02176</w:t>
            </w:r>
          </w:p>
        </w:tc>
        <w:tc>
          <w:tcPr>
            <w:tcW w:w="5940" w:type="dxa"/>
            <w:tcBorders>
              <w:top w:val="single" w:sz="4" w:space="0" w:color="auto"/>
              <w:left w:val="nil"/>
              <w:bottom w:val="single" w:sz="4" w:space="0" w:color="auto"/>
              <w:right w:val="single" w:sz="4" w:space="0" w:color="auto"/>
            </w:tcBorders>
            <w:shd w:val="clear" w:color="auto" w:fill="auto"/>
            <w:vAlign w:val="center"/>
          </w:tcPr>
          <w:p w14:paraId="70744AA3" w14:textId="77777777" w:rsidR="0033480A" w:rsidRDefault="0033480A" w:rsidP="00553DCD">
            <w:pPr>
              <w:autoSpaceDE w:val="0"/>
              <w:autoSpaceDN w:val="0"/>
              <w:adjustRightInd w:val="0"/>
              <w:jc w:val="center"/>
              <w:rPr>
                <w:rFonts w:ascii="Calibri" w:hAnsi="Calibri" w:cs="Calibri"/>
              </w:rPr>
            </w:pPr>
            <w:r>
              <w:rPr>
                <w:rFonts w:ascii="Calibri" w:hAnsi="Calibri" w:cs="Calibri"/>
                <w:color w:val="000000"/>
              </w:rPr>
              <w:t>Melrose</w:t>
            </w:r>
          </w:p>
        </w:tc>
      </w:tr>
      <w:tr w:rsidR="0033480A" w14:paraId="1F01BBF2" w14:textId="77777777" w:rsidTr="00C91BDF">
        <w:trPr>
          <w:cantSplit/>
        </w:trPr>
        <w:tc>
          <w:tcPr>
            <w:tcW w:w="3060" w:type="dxa"/>
            <w:shd w:val="clear" w:color="auto" w:fill="auto"/>
            <w:vAlign w:val="center"/>
          </w:tcPr>
          <w:p w14:paraId="5F3E6B5C" w14:textId="77777777" w:rsidR="0033480A" w:rsidRDefault="0033480A" w:rsidP="00553DCD">
            <w:pPr>
              <w:autoSpaceDE w:val="0"/>
              <w:autoSpaceDN w:val="0"/>
              <w:adjustRightInd w:val="0"/>
              <w:jc w:val="center"/>
              <w:rPr>
                <w:rFonts w:ascii="Calibri" w:hAnsi="Calibri" w:cs="Calibri"/>
              </w:rPr>
            </w:pPr>
            <w:r>
              <w:rPr>
                <w:rFonts w:ascii="Calibri" w:hAnsi="Calibri" w:cs="Calibri"/>
                <w:color w:val="000000"/>
              </w:rPr>
              <w:t>01906</w:t>
            </w:r>
          </w:p>
        </w:tc>
        <w:tc>
          <w:tcPr>
            <w:tcW w:w="5940" w:type="dxa"/>
            <w:tcBorders>
              <w:top w:val="single" w:sz="4" w:space="0" w:color="auto"/>
              <w:left w:val="nil"/>
              <w:bottom w:val="single" w:sz="4" w:space="0" w:color="auto"/>
              <w:right w:val="single" w:sz="4" w:space="0" w:color="auto"/>
            </w:tcBorders>
            <w:shd w:val="clear" w:color="auto" w:fill="auto"/>
            <w:vAlign w:val="center"/>
          </w:tcPr>
          <w:p w14:paraId="78A9A3E7" w14:textId="77777777" w:rsidR="0033480A" w:rsidRDefault="0033480A" w:rsidP="00553DCD">
            <w:pPr>
              <w:autoSpaceDE w:val="0"/>
              <w:autoSpaceDN w:val="0"/>
              <w:adjustRightInd w:val="0"/>
              <w:jc w:val="center"/>
              <w:rPr>
                <w:rFonts w:ascii="Calibri" w:hAnsi="Calibri" w:cs="Calibri"/>
              </w:rPr>
            </w:pPr>
            <w:r>
              <w:rPr>
                <w:rFonts w:ascii="Calibri" w:hAnsi="Calibri" w:cs="Calibri"/>
                <w:color w:val="000000"/>
              </w:rPr>
              <w:t>Saugus</w:t>
            </w:r>
          </w:p>
        </w:tc>
      </w:tr>
      <w:tr w:rsidR="0033480A" w14:paraId="1660C2F8" w14:textId="77777777" w:rsidTr="00C91BDF">
        <w:trPr>
          <w:cantSplit/>
        </w:trPr>
        <w:tc>
          <w:tcPr>
            <w:tcW w:w="3060" w:type="dxa"/>
            <w:shd w:val="clear" w:color="auto" w:fill="auto"/>
            <w:vAlign w:val="center"/>
          </w:tcPr>
          <w:p w14:paraId="20940377" w14:textId="77777777" w:rsidR="0033480A" w:rsidRDefault="0033480A" w:rsidP="00553DCD">
            <w:pPr>
              <w:autoSpaceDE w:val="0"/>
              <w:autoSpaceDN w:val="0"/>
              <w:adjustRightInd w:val="0"/>
              <w:jc w:val="center"/>
              <w:rPr>
                <w:rFonts w:ascii="Calibri" w:hAnsi="Calibri" w:cs="Calibri"/>
              </w:rPr>
            </w:pPr>
            <w:r>
              <w:rPr>
                <w:rFonts w:ascii="Calibri" w:hAnsi="Calibri" w:cs="Calibri"/>
                <w:color w:val="000000"/>
              </w:rPr>
              <w:t>01880</w:t>
            </w:r>
          </w:p>
        </w:tc>
        <w:tc>
          <w:tcPr>
            <w:tcW w:w="5940" w:type="dxa"/>
            <w:tcBorders>
              <w:top w:val="single" w:sz="4" w:space="0" w:color="auto"/>
              <w:left w:val="nil"/>
              <w:bottom w:val="single" w:sz="4" w:space="0" w:color="auto"/>
              <w:right w:val="single" w:sz="4" w:space="0" w:color="auto"/>
            </w:tcBorders>
            <w:shd w:val="clear" w:color="auto" w:fill="auto"/>
            <w:vAlign w:val="center"/>
          </w:tcPr>
          <w:p w14:paraId="6955A9D2" w14:textId="77777777" w:rsidR="0033480A" w:rsidRDefault="0033480A" w:rsidP="00553DCD">
            <w:pPr>
              <w:autoSpaceDE w:val="0"/>
              <w:autoSpaceDN w:val="0"/>
              <w:adjustRightInd w:val="0"/>
              <w:jc w:val="center"/>
              <w:rPr>
                <w:rFonts w:ascii="Calibri" w:hAnsi="Calibri" w:cs="Calibri"/>
              </w:rPr>
            </w:pPr>
            <w:r>
              <w:rPr>
                <w:rFonts w:ascii="Calibri" w:hAnsi="Calibri" w:cs="Calibri"/>
                <w:color w:val="000000"/>
              </w:rPr>
              <w:t>Wakefield</w:t>
            </w:r>
          </w:p>
        </w:tc>
      </w:tr>
    </w:tbl>
    <w:p w14:paraId="19246A3B" w14:textId="688500F4" w:rsidR="0033480A" w:rsidRDefault="0033480A" w:rsidP="0033480A">
      <w:pPr>
        <w:autoSpaceDE w:val="0"/>
        <w:autoSpaceDN w:val="0"/>
        <w:adjustRightInd w:val="0"/>
        <w:spacing w:after="0" w:line="240" w:lineRule="auto"/>
        <w:ind w:left="360"/>
        <w:jc w:val="both"/>
        <w:rPr>
          <w:rFonts w:ascii="Calibri" w:hAnsi="Calibri" w:cs="Calibri"/>
        </w:rPr>
      </w:pPr>
    </w:p>
    <w:p w14:paraId="51828740" w14:textId="178B90B2" w:rsidR="005341DE" w:rsidRDefault="005341DE" w:rsidP="0033480A">
      <w:pPr>
        <w:autoSpaceDE w:val="0"/>
        <w:autoSpaceDN w:val="0"/>
        <w:adjustRightInd w:val="0"/>
        <w:spacing w:after="0" w:line="240" w:lineRule="auto"/>
        <w:ind w:left="360"/>
        <w:jc w:val="both"/>
        <w:rPr>
          <w:rFonts w:ascii="Calibri" w:hAnsi="Calibri" w:cs="Calibri"/>
        </w:rPr>
      </w:pPr>
    </w:p>
    <w:p w14:paraId="603ACC76" w14:textId="4AC2B5DD" w:rsidR="005341DE" w:rsidRDefault="005341DE" w:rsidP="0033480A">
      <w:pPr>
        <w:autoSpaceDE w:val="0"/>
        <w:autoSpaceDN w:val="0"/>
        <w:adjustRightInd w:val="0"/>
        <w:spacing w:after="0" w:line="240" w:lineRule="auto"/>
        <w:ind w:left="360"/>
        <w:jc w:val="both"/>
        <w:rPr>
          <w:rFonts w:ascii="Calibri" w:hAnsi="Calibri" w:cs="Calibri"/>
        </w:rPr>
      </w:pPr>
    </w:p>
    <w:p w14:paraId="2AC7C7D0" w14:textId="77777777" w:rsidR="005341DE" w:rsidRDefault="005341DE" w:rsidP="0033480A">
      <w:pPr>
        <w:autoSpaceDE w:val="0"/>
        <w:autoSpaceDN w:val="0"/>
        <w:adjustRightInd w:val="0"/>
        <w:spacing w:after="0" w:line="240" w:lineRule="auto"/>
        <w:ind w:left="360"/>
        <w:jc w:val="both"/>
        <w:rPr>
          <w:rFonts w:ascii="Calibri" w:hAnsi="Calibri" w:cs="Calibri"/>
        </w:rPr>
      </w:pPr>
    </w:p>
    <w:p w14:paraId="250C0D83" w14:textId="77777777" w:rsidR="0033480A" w:rsidRDefault="0033480A" w:rsidP="0033480A">
      <w:pPr>
        <w:autoSpaceDE w:val="0"/>
        <w:autoSpaceDN w:val="0"/>
        <w:adjustRightInd w:val="0"/>
        <w:spacing w:after="0" w:line="240" w:lineRule="auto"/>
        <w:ind w:left="360"/>
        <w:jc w:val="both"/>
        <w:rPr>
          <w:rFonts w:ascii="Calibri" w:hAnsi="Calibri" w:cs="Calibri"/>
        </w:rPr>
      </w:pPr>
      <w:r>
        <w:rPr>
          <w:rFonts w:ascii="Calibri" w:hAnsi="Calibri" w:cs="Calibri"/>
        </w:rPr>
        <w:lastRenderedPageBreak/>
        <w:t>The following zip codes / towns comprise MWH’s Secondary Service Area (“SSA”)</w:t>
      </w:r>
    </w:p>
    <w:tbl>
      <w:tblPr>
        <w:tblStyle w:val="TableGrid"/>
        <w:tblW w:w="0" w:type="auto"/>
        <w:tblInd w:w="360" w:type="dxa"/>
        <w:tblLook w:val="04A0" w:firstRow="1" w:lastRow="0" w:firstColumn="1" w:lastColumn="0" w:noHBand="0" w:noVBand="1"/>
      </w:tblPr>
      <w:tblGrid>
        <w:gridCol w:w="3055"/>
        <w:gridCol w:w="5935"/>
      </w:tblGrid>
      <w:tr w:rsidR="0033480A" w14:paraId="23ED05C6" w14:textId="77777777" w:rsidTr="00C91BDF">
        <w:trPr>
          <w:cantSplit/>
          <w:tblHeader/>
        </w:trPr>
        <w:tc>
          <w:tcPr>
            <w:tcW w:w="3055" w:type="dxa"/>
            <w:tcBorders>
              <w:bottom w:val="single" w:sz="4" w:space="0" w:color="auto"/>
            </w:tcBorders>
            <w:shd w:val="clear" w:color="auto" w:fill="002060"/>
          </w:tcPr>
          <w:p w14:paraId="5A6F1748" w14:textId="77777777" w:rsidR="0033480A" w:rsidRPr="004B7855" w:rsidRDefault="0033480A" w:rsidP="00553DCD">
            <w:pPr>
              <w:autoSpaceDE w:val="0"/>
              <w:autoSpaceDN w:val="0"/>
              <w:adjustRightInd w:val="0"/>
              <w:jc w:val="center"/>
              <w:rPr>
                <w:rFonts w:ascii="Calibri" w:hAnsi="Calibri" w:cs="Calibri"/>
                <w:color w:val="FFFFFF" w:themeColor="background1"/>
              </w:rPr>
            </w:pPr>
            <w:r w:rsidRPr="004B7855">
              <w:rPr>
                <w:rFonts w:ascii="Calibri" w:hAnsi="Calibri" w:cs="Calibri"/>
                <w:color w:val="FFFFFF" w:themeColor="background1"/>
              </w:rPr>
              <w:t>Zip Code</w:t>
            </w:r>
          </w:p>
        </w:tc>
        <w:tc>
          <w:tcPr>
            <w:tcW w:w="5935" w:type="dxa"/>
            <w:tcBorders>
              <w:bottom w:val="single" w:sz="4" w:space="0" w:color="auto"/>
            </w:tcBorders>
            <w:shd w:val="clear" w:color="auto" w:fill="002060"/>
          </w:tcPr>
          <w:p w14:paraId="72DD03F0" w14:textId="77777777" w:rsidR="0033480A" w:rsidRPr="004B7855" w:rsidRDefault="0033480A" w:rsidP="00553DCD">
            <w:pPr>
              <w:autoSpaceDE w:val="0"/>
              <w:autoSpaceDN w:val="0"/>
              <w:adjustRightInd w:val="0"/>
              <w:jc w:val="center"/>
              <w:rPr>
                <w:rFonts w:ascii="Calibri" w:hAnsi="Calibri" w:cs="Calibri"/>
                <w:color w:val="FFFFFF" w:themeColor="background1"/>
              </w:rPr>
            </w:pPr>
            <w:r w:rsidRPr="004B7855">
              <w:rPr>
                <w:rFonts w:ascii="Calibri" w:hAnsi="Calibri" w:cs="Calibri"/>
                <w:color w:val="FFFFFF" w:themeColor="background1"/>
              </w:rPr>
              <w:t>City/Town</w:t>
            </w:r>
          </w:p>
        </w:tc>
      </w:tr>
      <w:tr w:rsidR="0033480A" w14:paraId="4E309C3C" w14:textId="77777777" w:rsidTr="00C91BDF">
        <w:trPr>
          <w:cantSplit/>
        </w:trPr>
        <w:tc>
          <w:tcPr>
            <w:tcW w:w="3055" w:type="dxa"/>
            <w:tcBorders>
              <w:top w:val="single" w:sz="4" w:space="0" w:color="auto"/>
              <w:left w:val="single" w:sz="4" w:space="0" w:color="auto"/>
              <w:bottom w:val="single" w:sz="4" w:space="0" w:color="auto"/>
              <w:right w:val="single" w:sz="4" w:space="0" w:color="auto"/>
            </w:tcBorders>
            <w:shd w:val="clear" w:color="auto" w:fill="auto"/>
            <w:vAlign w:val="center"/>
          </w:tcPr>
          <w:p w14:paraId="570352DF" w14:textId="77777777" w:rsidR="0033480A" w:rsidRDefault="0033480A" w:rsidP="00553DCD">
            <w:pPr>
              <w:autoSpaceDE w:val="0"/>
              <w:autoSpaceDN w:val="0"/>
              <w:adjustRightInd w:val="0"/>
              <w:jc w:val="center"/>
              <w:rPr>
                <w:rFonts w:ascii="Calibri" w:hAnsi="Calibri" w:cs="Calibri"/>
              </w:rPr>
            </w:pPr>
            <w:r>
              <w:rPr>
                <w:rFonts w:ascii="Calibri" w:hAnsi="Calibri" w:cs="Calibri"/>
                <w:color w:val="000000"/>
              </w:rPr>
              <w:t>01940</w:t>
            </w:r>
          </w:p>
        </w:tc>
        <w:tc>
          <w:tcPr>
            <w:tcW w:w="5935" w:type="dxa"/>
            <w:tcBorders>
              <w:top w:val="single" w:sz="4" w:space="0" w:color="auto"/>
              <w:left w:val="single" w:sz="4" w:space="0" w:color="auto"/>
              <w:bottom w:val="single" w:sz="4" w:space="0" w:color="auto"/>
              <w:right w:val="single" w:sz="4" w:space="0" w:color="auto"/>
            </w:tcBorders>
            <w:shd w:val="clear" w:color="auto" w:fill="auto"/>
            <w:vAlign w:val="center"/>
          </w:tcPr>
          <w:p w14:paraId="358F1BF7" w14:textId="77777777" w:rsidR="0033480A" w:rsidRDefault="0033480A" w:rsidP="00553DCD">
            <w:pPr>
              <w:autoSpaceDE w:val="0"/>
              <w:autoSpaceDN w:val="0"/>
              <w:adjustRightInd w:val="0"/>
              <w:jc w:val="center"/>
              <w:rPr>
                <w:rFonts w:ascii="Calibri" w:hAnsi="Calibri" w:cs="Calibri"/>
              </w:rPr>
            </w:pPr>
            <w:r>
              <w:rPr>
                <w:rFonts w:ascii="Calibri" w:hAnsi="Calibri" w:cs="Calibri"/>
                <w:color w:val="000000"/>
              </w:rPr>
              <w:t>Lynnfield</w:t>
            </w:r>
          </w:p>
        </w:tc>
      </w:tr>
      <w:tr w:rsidR="0033480A" w14:paraId="294C5E40" w14:textId="77777777" w:rsidTr="00C91BDF">
        <w:trPr>
          <w:cantSplit/>
        </w:trPr>
        <w:tc>
          <w:tcPr>
            <w:tcW w:w="3055" w:type="dxa"/>
            <w:tcBorders>
              <w:top w:val="single" w:sz="4" w:space="0" w:color="auto"/>
              <w:left w:val="single" w:sz="4" w:space="0" w:color="auto"/>
              <w:bottom w:val="single" w:sz="4" w:space="0" w:color="auto"/>
              <w:right w:val="single" w:sz="4" w:space="0" w:color="auto"/>
            </w:tcBorders>
            <w:shd w:val="clear" w:color="auto" w:fill="auto"/>
            <w:vAlign w:val="center"/>
          </w:tcPr>
          <w:p w14:paraId="39E68AE8" w14:textId="77777777" w:rsidR="0033480A" w:rsidRDefault="0033480A" w:rsidP="00553DCD">
            <w:pPr>
              <w:autoSpaceDE w:val="0"/>
              <w:autoSpaceDN w:val="0"/>
              <w:adjustRightInd w:val="0"/>
              <w:jc w:val="center"/>
              <w:rPr>
                <w:rFonts w:ascii="Calibri" w:hAnsi="Calibri" w:cs="Calibri"/>
              </w:rPr>
            </w:pPr>
            <w:r>
              <w:rPr>
                <w:rFonts w:ascii="Calibri" w:hAnsi="Calibri" w:cs="Calibri"/>
                <w:color w:val="000000"/>
              </w:rPr>
              <w:t>01864</w:t>
            </w:r>
          </w:p>
        </w:tc>
        <w:tc>
          <w:tcPr>
            <w:tcW w:w="5935" w:type="dxa"/>
            <w:tcBorders>
              <w:top w:val="single" w:sz="4" w:space="0" w:color="auto"/>
              <w:left w:val="single" w:sz="4" w:space="0" w:color="auto"/>
              <w:bottom w:val="single" w:sz="4" w:space="0" w:color="auto"/>
              <w:right w:val="single" w:sz="4" w:space="0" w:color="auto"/>
            </w:tcBorders>
            <w:shd w:val="clear" w:color="auto" w:fill="auto"/>
            <w:vAlign w:val="center"/>
          </w:tcPr>
          <w:p w14:paraId="5C6BA957" w14:textId="77777777" w:rsidR="0033480A" w:rsidRDefault="0033480A" w:rsidP="00553DCD">
            <w:pPr>
              <w:autoSpaceDE w:val="0"/>
              <w:autoSpaceDN w:val="0"/>
              <w:adjustRightInd w:val="0"/>
              <w:jc w:val="center"/>
              <w:rPr>
                <w:rFonts w:ascii="Calibri" w:hAnsi="Calibri" w:cs="Calibri"/>
              </w:rPr>
            </w:pPr>
            <w:r>
              <w:rPr>
                <w:rFonts w:ascii="Calibri" w:hAnsi="Calibri" w:cs="Calibri"/>
                <w:color w:val="000000"/>
              </w:rPr>
              <w:t>North Reading</w:t>
            </w:r>
          </w:p>
        </w:tc>
      </w:tr>
      <w:tr w:rsidR="0033480A" w14:paraId="0AF8E0D6" w14:textId="77777777" w:rsidTr="00C91BDF">
        <w:trPr>
          <w:cantSplit/>
        </w:trPr>
        <w:tc>
          <w:tcPr>
            <w:tcW w:w="3055" w:type="dxa"/>
            <w:tcBorders>
              <w:top w:val="single" w:sz="4" w:space="0" w:color="auto"/>
              <w:left w:val="single" w:sz="4" w:space="0" w:color="auto"/>
              <w:bottom w:val="single" w:sz="4" w:space="0" w:color="auto"/>
              <w:right w:val="single" w:sz="4" w:space="0" w:color="auto"/>
            </w:tcBorders>
            <w:shd w:val="clear" w:color="auto" w:fill="auto"/>
            <w:vAlign w:val="center"/>
          </w:tcPr>
          <w:p w14:paraId="71C88973" w14:textId="77777777" w:rsidR="0033480A" w:rsidRDefault="0033480A" w:rsidP="00553DCD">
            <w:pPr>
              <w:autoSpaceDE w:val="0"/>
              <w:autoSpaceDN w:val="0"/>
              <w:adjustRightInd w:val="0"/>
              <w:jc w:val="center"/>
              <w:rPr>
                <w:rFonts w:ascii="Calibri" w:hAnsi="Calibri" w:cs="Calibri"/>
              </w:rPr>
            </w:pPr>
            <w:r>
              <w:rPr>
                <w:rFonts w:ascii="Calibri" w:hAnsi="Calibri" w:cs="Calibri"/>
                <w:color w:val="000000"/>
              </w:rPr>
              <w:t>01889</w:t>
            </w:r>
          </w:p>
        </w:tc>
        <w:tc>
          <w:tcPr>
            <w:tcW w:w="5935" w:type="dxa"/>
            <w:tcBorders>
              <w:top w:val="single" w:sz="4" w:space="0" w:color="auto"/>
              <w:left w:val="single" w:sz="4" w:space="0" w:color="auto"/>
              <w:bottom w:val="single" w:sz="4" w:space="0" w:color="auto"/>
              <w:right w:val="single" w:sz="4" w:space="0" w:color="auto"/>
            </w:tcBorders>
            <w:shd w:val="clear" w:color="auto" w:fill="auto"/>
            <w:vAlign w:val="center"/>
          </w:tcPr>
          <w:p w14:paraId="354DF691" w14:textId="77777777" w:rsidR="0033480A" w:rsidRDefault="0033480A" w:rsidP="00553DCD">
            <w:pPr>
              <w:autoSpaceDE w:val="0"/>
              <w:autoSpaceDN w:val="0"/>
              <w:adjustRightInd w:val="0"/>
              <w:jc w:val="center"/>
              <w:rPr>
                <w:rFonts w:ascii="Calibri" w:hAnsi="Calibri" w:cs="Calibri"/>
              </w:rPr>
            </w:pPr>
            <w:r>
              <w:rPr>
                <w:rFonts w:ascii="Calibri" w:hAnsi="Calibri" w:cs="Calibri"/>
                <w:color w:val="000000"/>
              </w:rPr>
              <w:t>North Reading</w:t>
            </w:r>
          </w:p>
        </w:tc>
      </w:tr>
      <w:tr w:rsidR="0033480A" w14:paraId="12F32854" w14:textId="77777777" w:rsidTr="00C91BDF">
        <w:trPr>
          <w:cantSplit/>
        </w:trPr>
        <w:tc>
          <w:tcPr>
            <w:tcW w:w="3055" w:type="dxa"/>
            <w:tcBorders>
              <w:top w:val="single" w:sz="4" w:space="0" w:color="auto"/>
              <w:left w:val="single" w:sz="4" w:space="0" w:color="auto"/>
              <w:bottom w:val="single" w:sz="4" w:space="0" w:color="auto"/>
              <w:right w:val="single" w:sz="4" w:space="0" w:color="auto"/>
            </w:tcBorders>
            <w:shd w:val="clear" w:color="auto" w:fill="auto"/>
            <w:vAlign w:val="center"/>
          </w:tcPr>
          <w:p w14:paraId="08D62226" w14:textId="77777777" w:rsidR="0033480A" w:rsidRDefault="0033480A" w:rsidP="00553DCD">
            <w:pPr>
              <w:autoSpaceDE w:val="0"/>
              <w:autoSpaceDN w:val="0"/>
              <w:adjustRightInd w:val="0"/>
              <w:jc w:val="center"/>
              <w:rPr>
                <w:rFonts w:ascii="Calibri" w:hAnsi="Calibri" w:cs="Calibri"/>
              </w:rPr>
            </w:pPr>
            <w:r>
              <w:rPr>
                <w:rFonts w:ascii="Calibri" w:hAnsi="Calibri" w:cs="Calibri"/>
                <w:color w:val="000000"/>
              </w:rPr>
              <w:t>01867</w:t>
            </w:r>
          </w:p>
        </w:tc>
        <w:tc>
          <w:tcPr>
            <w:tcW w:w="5935" w:type="dxa"/>
            <w:tcBorders>
              <w:top w:val="single" w:sz="4" w:space="0" w:color="auto"/>
              <w:left w:val="single" w:sz="4" w:space="0" w:color="auto"/>
              <w:bottom w:val="single" w:sz="4" w:space="0" w:color="auto"/>
              <w:right w:val="single" w:sz="4" w:space="0" w:color="auto"/>
            </w:tcBorders>
            <w:shd w:val="clear" w:color="auto" w:fill="auto"/>
            <w:vAlign w:val="center"/>
          </w:tcPr>
          <w:p w14:paraId="19E8CC52" w14:textId="77777777" w:rsidR="0033480A" w:rsidRDefault="0033480A" w:rsidP="00553DCD">
            <w:pPr>
              <w:autoSpaceDE w:val="0"/>
              <w:autoSpaceDN w:val="0"/>
              <w:adjustRightInd w:val="0"/>
              <w:jc w:val="center"/>
              <w:rPr>
                <w:rFonts w:ascii="Calibri" w:hAnsi="Calibri" w:cs="Calibri"/>
              </w:rPr>
            </w:pPr>
            <w:r>
              <w:rPr>
                <w:rFonts w:ascii="Calibri" w:hAnsi="Calibri" w:cs="Calibri"/>
                <w:color w:val="000000"/>
              </w:rPr>
              <w:t>Reading</w:t>
            </w:r>
          </w:p>
        </w:tc>
      </w:tr>
      <w:tr w:rsidR="0033480A" w14:paraId="3AA0D2AF" w14:textId="77777777" w:rsidTr="00C91BDF">
        <w:trPr>
          <w:cantSplit/>
        </w:trPr>
        <w:tc>
          <w:tcPr>
            <w:tcW w:w="3055" w:type="dxa"/>
            <w:tcBorders>
              <w:top w:val="single" w:sz="4" w:space="0" w:color="auto"/>
              <w:left w:val="single" w:sz="4" w:space="0" w:color="auto"/>
              <w:bottom w:val="single" w:sz="4" w:space="0" w:color="auto"/>
              <w:right w:val="single" w:sz="4" w:space="0" w:color="auto"/>
            </w:tcBorders>
            <w:shd w:val="clear" w:color="auto" w:fill="auto"/>
            <w:vAlign w:val="center"/>
          </w:tcPr>
          <w:p w14:paraId="155EDD62" w14:textId="77777777" w:rsidR="0033480A" w:rsidRDefault="0033480A" w:rsidP="00553DCD">
            <w:pPr>
              <w:autoSpaceDE w:val="0"/>
              <w:autoSpaceDN w:val="0"/>
              <w:adjustRightInd w:val="0"/>
              <w:jc w:val="center"/>
              <w:rPr>
                <w:rFonts w:ascii="Calibri" w:hAnsi="Calibri" w:cs="Calibri"/>
              </w:rPr>
            </w:pPr>
            <w:r>
              <w:rPr>
                <w:rFonts w:ascii="Calibri" w:hAnsi="Calibri" w:cs="Calibri"/>
                <w:color w:val="000000"/>
              </w:rPr>
              <w:t>02180</w:t>
            </w:r>
          </w:p>
        </w:tc>
        <w:tc>
          <w:tcPr>
            <w:tcW w:w="5935" w:type="dxa"/>
            <w:tcBorders>
              <w:top w:val="single" w:sz="4" w:space="0" w:color="auto"/>
              <w:left w:val="single" w:sz="4" w:space="0" w:color="auto"/>
              <w:bottom w:val="single" w:sz="4" w:space="0" w:color="auto"/>
              <w:right w:val="single" w:sz="4" w:space="0" w:color="auto"/>
            </w:tcBorders>
            <w:shd w:val="clear" w:color="auto" w:fill="auto"/>
            <w:vAlign w:val="center"/>
          </w:tcPr>
          <w:p w14:paraId="735FBB49" w14:textId="77777777" w:rsidR="0033480A" w:rsidRDefault="0033480A" w:rsidP="00553DCD">
            <w:pPr>
              <w:autoSpaceDE w:val="0"/>
              <w:autoSpaceDN w:val="0"/>
              <w:adjustRightInd w:val="0"/>
              <w:jc w:val="center"/>
              <w:rPr>
                <w:rFonts w:ascii="Calibri" w:hAnsi="Calibri" w:cs="Calibri"/>
              </w:rPr>
            </w:pPr>
            <w:r>
              <w:rPr>
                <w:rFonts w:ascii="Calibri" w:hAnsi="Calibri" w:cs="Calibri"/>
                <w:color w:val="000000"/>
              </w:rPr>
              <w:t>Stoneham</w:t>
            </w:r>
          </w:p>
        </w:tc>
      </w:tr>
      <w:tr w:rsidR="0033480A" w14:paraId="6BFD08D2" w14:textId="77777777" w:rsidTr="00C91BDF">
        <w:trPr>
          <w:cantSplit/>
        </w:trPr>
        <w:tc>
          <w:tcPr>
            <w:tcW w:w="3055" w:type="dxa"/>
            <w:tcBorders>
              <w:top w:val="single" w:sz="4" w:space="0" w:color="auto"/>
              <w:left w:val="single" w:sz="4" w:space="0" w:color="auto"/>
              <w:bottom w:val="single" w:sz="4" w:space="0" w:color="auto"/>
              <w:right w:val="single" w:sz="4" w:space="0" w:color="auto"/>
            </w:tcBorders>
            <w:shd w:val="clear" w:color="auto" w:fill="auto"/>
            <w:vAlign w:val="center"/>
          </w:tcPr>
          <w:p w14:paraId="46BF6475" w14:textId="77777777" w:rsidR="0033480A" w:rsidRDefault="0033480A" w:rsidP="00553DCD">
            <w:pPr>
              <w:autoSpaceDE w:val="0"/>
              <w:autoSpaceDN w:val="0"/>
              <w:adjustRightInd w:val="0"/>
              <w:jc w:val="center"/>
              <w:rPr>
                <w:rFonts w:ascii="Calibri" w:hAnsi="Calibri" w:cs="Calibri"/>
              </w:rPr>
            </w:pPr>
            <w:r>
              <w:rPr>
                <w:rFonts w:ascii="Calibri" w:hAnsi="Calibri" w:cs="Calibri"/>
                <w:color w:val="000000"/>
              </w:rPr>
              <w:t>02149</w:t>
            </w:r>
          </w:p>
        </w:tc>
        <w:tc>
          <w:tcPr>
            <w:tcW w:w="5935" w:type="dxa"/>
            <w:tcBorders>
              <w:top w:val="single" w:sz="4" w:space="0" w:color="auto"/>
              <w:left w:val="single" w:sz="4" w:space="0" w:color="auto"/>
              <w:bottom w:val="single" w:sz="4" w:space="0" w:color="auto"/>
              <w:right w:val="single" w:sz="4" w:space="0" w:color="auto"/>
            </w:tcBorders>
            <w:shd w:val="clear" w:color="auto" w:fill="auto"/>
            <w:vAlign w:val="center"/>
          </w:tcPr>
          <w:p w14:paraId="377DB106" w14:textId="77777777" w:rsidR="0033480A" w:rsidRDefault="0033480A" w:rsidP="00553DCD">
            <w:pPr>
              <w:autoSpaceDE w:val="0"/>
              <w:autoSpaceDN w:val="0"/>
              <w:adjustRightInd w:val="0"/>
              <w:jc w:val="center"/>
              <w:rPr>
                <w:rFonts w:ascii="Calibri" w:hAnsi="Calibri" w:cs="Calibri"/>
              </w:rPr>
            </w:pPr>
            <w:r>
              <w:rPr>
                <w:rFonts w:ascii="Calibri" w:hAnsi="Calibri" w:cs="Calibri"/>
                <w:color w:val="000000"/>
              </w:rPr>
              <w:t>Everett</w:t>
            </w:r>
          </w:p>
        </w:tc>
      </w:tr>
      <w:tr w:rsidR="0033480A" w14:paraId="62BD9915" w14:textId="77777777" w:rsidTr="00C91BDF">
        <w:trPr>
          <w:cantSplit/>
        </w:trPr>
        <w:tc>
          <w:tcPr>
            <w:tcW w:w="3055" w:type="dxa"/>
            <w:tcBorders>
              <w:top w:val="single" w:sz="4" w:space="0" w:color="auto"/>
              <w:left w:val="single" w:sz="4" w:space="0" w:color="auto"/>
              <w:bottom w:val="single" w:sz="4" w:space="0" w:color="auto"/>
              <w:right w:val="single" w:sz="4" w:space="0" w:color="auto"/>
            </w:tcBorders>
            <w:shd w:val="clear" w:color="auto" w:fill="auto"/>
            <w:vAlign w:val="center"/>
          </w:tcPr>
          <w:p w14:paraId="654851BB" w14:textId="77777777" w:rsidR="0033480A" w:rsidRDefault="0033480A" w:rsidP="00553DCD">
            <w:pPr>
              <w:autoSpaceDE w:val="0"/>
              <w:autoSpaceDN w:val="0"/>
              <w:adjustRightInd w:val="0"/>
              <w:jc w:val="center"/>
              <w:rPr>
                <w:rFonts w:ascii="Calibri" w:hAnsi="Calibri" w:cs="Calibri"/>
              </w:rPr>
            </w:pPr>
            <w:r>
              <w:rPr>
                <w:rFonts w:ascii="Calibri" w:hAnsi="Calibri" w:cs="Calibri"/>
                <w:color w:val="000000"/>
              </w:rPr>
              <w:t>02151</w:t>
            </w:r>
          </w:p>
        </w:tc>
        <w:tc>
          <w:tcPr>
            <w:tcW w:w="5935" w:type="dxa"/>
            <w:tcBorders>
              <w:top w:val="single" w:sz="4" w:space="0" w:color="auto"/>
              <w:left w:val="single" w:sz="4" w:space="0" w:color="auto"/>
              <w:bottom w:val="single" w:sz="4" w:space="0" w:color="auto"/>
              <w:right w:val="single" w:sz="4" w:space="0" w:color="auto"/>
            </w:tcBorders>
            <w:shd w:val="clear" w:color="auto" w:fill="auto"/>
            <w:vAlign w:val="center"/>
          </w:tcPr>
          <w:p w14:paraId="22744D13" w14:textId="77777777" w:rsidR="0033480A" w:rsidRDefault="0033480A" w:rsidP="00553DCD">
            <w:pPr>
              <w:autoSpaceDE w:val="0"/>
              <w:autoSpaceDN w:val="0"/>
              <w:adjustRightInd w:val="0"/>
              <w:jc w:val="center"/>
              <w:rPr>
                <w:rFonts w:ascii="Calibri" w:hAnsi="Calibri" w:cs="Calibri"/>
              </w:rPr>
            </w:pPr>
            <w:r>
              <w:rPr>
                <w:rFonts w:ascii="Calibri" w:hAnsi="Calibri" w:cs="Calibri"/>
                <w:color w:val="000000"/>
              </w:rPr>
              <w:t>Revere</w:t>
            </w:r>
          </w:p>
        </w:tc>
      </w:tr>
      <w:tr w:rsidR="0033480A" w14:paraId="326E03D3" w14:textId="77777777" w:rsidTr="00C91BDF">
        <w:trPr>
          <w:cantSplit/>
        </w:trPr>
        <w:tc>
          <w:tcPr>
            <w:tcW w:w="3055" w:type="dxa"/>
            <w:tcBorders>
              <w:top w:val="single" w:sz="4" w:space="0" w:color="auto"/>
              <w:left w:val="single" w:sz="4" w:space="0" w:color="auto"/>
              <w:bottom w:val="single" w:sz="4" w:space="0" w:color="auto"/>
              <w:right w:val="single" w:sz="4" w:space="0" w:color="auto"/>
            </w:tcBorders>
            <w:shd w:val="clear" w:color="auto" w:fill="auto"/>
            <w:vAlign w:val="center"/>
          </w:tcPr>
          <w:p w14:paraId="1EA6A9E6" w14:textId="77777777" w:rsidR="0033480A" w:rsidRDefault="0033480A" w:rsidP="00553DCD">
            <w:pPr>
              <w:autoSpaceDE w:val="0"/>
              <w:autoSpaceDN w:val="0"/>
              <w:adjustRightInd w:val="0"/>
              <w:jc w:val="center"/>
              <w:rPr>
                <w:rFonts w:ascii="Calibri" w:hAnsi="Calibri" w:cs="Calibri"/>
              </w:rPr>
            </w:pPr>
            <w:r>
              <w:rPr>
                <w:rFonts w:ascii="Calibri" w:hAnsi="Calibri" w:cs="Calibri"/>
                <w:color w:val="000000"/>
              </w:rPr>
              <w:t>02152</w:t>
            </w:r>
          </w:p>
        </w:tc>
        <w:tc>
          <w:tcPr>
            <w:tcW w:w="5935" w:type="dxa"/>
            <w:tcBorders>
              <w:top w:val="single" w:sz="4" w:space="0" w:color="auto"/>
              <w:left w:val="single" w:sz="4" w:space="0" w:color="auto"/>
              <w:bottom w:val="single" w:sz="4" w:space="0" w:color="auto"/>
              <w:right w:val="single" w:sz="4" w:space="0" w:color="auto"/>
            </w:tcBorders>
            <w:shd w:val="clear" w:color="auto" w:fill="auto"/>
            <w:vAlign w:val="center"/>
          </w:tcPr>
          <w:p w14:paraId="7AD0AC46" w14:textId="77777777" w:rsidR="0033480A" w:rsidRDefault="0033480A" w:rsidP="00553DCD">
            <w:pPr>
              <w:autoSpaceDE w:val="0"/>
              <w:autoSpaceDN w:val="0"/>
              <w:adjustRightInd w:val="0"/>
              <w:jc w:val="center"/>
              <w:rPr>
                <w:rFonts w:ascii="Calibri" w:hAnsi="Calibri" w:cs="Calibri"/>
              </w:rPr>
            </w:pPr>
            <w:r>
              <w:rPr>
                <w:rFonts w:ascii="Calibri" w:hAnsi="Calibri" w:cs="Calibri"/>
                <w:color w:val="000000"/>
              </w:rPr>
              <w:t>Winthrop</w:t>
            </w:r>
          </w:p>
        </w:tc>
      </w:tr>
    </w:tbl>
    <w:p w14:paraId="41957C03" w14:textId="77777777" w:rsidR="0033480A" w:rsidRDefault="0033480A" w:rsidP="0033480A">
      <w:pPr>
        <w:autoSpaceDE w:val="0"/>
        <w:autoSpaceDN w:val="0"/>
        <w:adjustRightInd w:val="0"/>
        <w:spacing w:after="0" w:line="240" w:lineRule="auto"/>
        <w:ind w:left="360"/>
        <w:jc w:val="both"/>
        <w:rPr>
          <w:rFonts w:ascii="Calibri" w:hAnsi="Calibri" w:cs="Calibri"/>
        </w:rPr>
      </w:pPr>
    </w:p>
    <w:p w14:paraId="1EC34813" w14:textId="77777777" w:rsidR="0033480A" w:rsidRDefault="0033480A" w:rsidP="0033480A">
      <w:pPr>
        <w:autoSpaceDE w:val="0"/>
        <w:autoSpaceDN w:val="0"/>
        <w:adjustRightInd w:val="0"/>
        <w:spacing w:after="0" w:line="240" w:lineRule="auto"/>
        <w:ind w:left="360"/>
        <w:jc w:val="both"/>
        <w:rPr>
          <w:rFonts w:ascii="Calibri" w:hAnsi="Calibri" w:cs="Calibri"/>
        </w:rPr>
      </w:pPr>
      <w:bookmarkStart w:id="6" w:name="_Hlk106193972"/>
      <w:r w:rsidRPr="00B02E2B">
        <w:rPr>
          <w:rFonts w:ascii="Calibri" w:hAnsi="Calibri" w:cs="Calibri"/>
        </w:rPr>
        <w:t>The following table displays data regarding</w:t>
      </w:r>
      <w:r>
        <w:rPr>
          <w:rFonts w:ascii="Calibri" w:hAnsi="Calibri" w:cs="Calibri"/>
        </w:rPr>
        <w:t xml:space="preserve"> the number of</w:t>
      </w:r>
      <w:r w:rsidRPr="00B02E2B">
        <w:rPr>
          <w:rFonts w:ascii="Calibri" w:hAnsi="Calibri" w:cs="Calibri"/>
        </w:rPr>
        <w:t xml:space="preserve"> </w:t>
      </w:r>
      <w:r>
        <w:rPr>
          <w:rFonts w:ascii="Calibri" w:hAnsi="Calibri" w:cs="Calibri"/>
        </w:rPr>
        <w:t>MWH</w:t>
      </w:r>
      <w:r w:rsidRPr="00B02E2B">
        <w:rPr>
          <w:rFonts w:ascii="Calibri" w:hAnsi="Calibri" w:cs="Calibri"/>
        </w:rPr>
        <w:t xml:space="preserve"> unique patients by age, as well as the corresponding percentages of unique patients who were </w:t>
      </w:r>
      <w:r w:rsidRPr="00926119">
        <w:rPr>
          <w:rFonts w:ascii="Calibri" w:hAnsi="Calibri" w:cs="Calibri"/>
          <w:u w:val="single"/>
        </w:rPr>
        <w:t>0-49</w:t>
      </w:r>
      <w:r>
        <w:rPr>
          <w:rFonts w:ascii="Calibri" w:hAnsi="Calibri" w:cs="Calibri"/>
        </w:rPr>
        <w:t xml:space="preserve"> </w:t>
      </w:r>
      <w:r w:rsidRPr="00B02E2B">
        <w:rPr>
          <w:rFonts w:ascii="Calibri" w:hAnsi="Calibri" w:cs="Calibri"/>
        </w:rPr>
        <w:t>years old from FY19-FY21:</w:t>
      </w:r>
    </w:p>
    <w:tbl>
      <w:tblPr>
        <w:tblStyle w:val="TableGrid"/>
        <w:tblW w:w="0" w:type="auto"/>
        <w:tblInd w:w="360" w:type="dxa"/>
        <w:tblLook w:val="04A0" w:firstRow="1" w:lastRow="0" w:firstColumn="1" w:lastColumn="0" w:noHBand="0" w:noVBand="1"/>
      </w:tblPr>
      <w:tblGrid>
        <w:gridCol w:w="3029"/>
        <w:gridCol w:w="3106"/>
        <w:gridCol w:w="2855"/>
      </w:tblGrid>
      <w:tr w:rsidR="0033480A" w:rsidRPr="00B02E2B" w14:paraId="67FA60FA" w14:textId="77777777" w:rsidTr="0087720F">
        <w:trPr>
          <w:cantSplit/>
          <w:tblHeader/>
        </w:trPr>
        <w:tc>
          <w:tcPr>
            <w:tcW w:w="3029" w:type="dxa"/>
            <w:shd w:val="clear" w:color="auto" w:fill="002060"/>
          </w:tcPr>
          <w:p w14:paraId="44B0B13B" w14:textId="77777777" w:rsidR="0033480A" w:rsidRPr="00B02E2B" w:rsidRDefault="0033480A" w:rsidP="00553DCD">
            <w:pPr>
              <w:autoSpaceDE w:val="0"/>
              <w:autoSpaceDN w:val="0"/>
              <w:adjustRightInd w:val="0"/>
              <w:jc w:val="center"/>
              <w:rPr>
                <w:rFonts w:ascii="Calibri" w:hAnsi="Calibri" w:cs="Calibri"/>
              </w:rPr>
            </w:pPr>
            <w:r w:rsidRPr="00B02E2B">
              <w:rPr>
                <w:rFonts w:ascii="Calibri" w:hAnsi="Calibri" w:cs="Calibri"/>
              </w:rPr>
              <w:t>FY</w:t>
            </w:r>
          </w:p>
        </w:tc>
        <w:tc>
          <w:tcPr>
            <w:tcW w:w="3106" w:type="dxa"/>
            <w:tcBorders>
              <w:bottom w:val="single" w:sz="4" w:space="0" w:color="auto"/>
            </w:tcBorders>
            <w:shd w:val="clear" w:color="auto" w:fill="002060"/>
          </w:tcPr>
          <w:p w14:paraId="498C0457" w14:textId="77777777" w:rsidR="0033480A" w:rsidRPr="00B02E2B" w:rsidRDefault="0033480A" w:rsidP="00553DCD">
            <w:pPr>
              <w:autoSpaceDE w:val="0"/>
              <w:autoSpaceDN w:val="0"/>
              <w:adjustRightInd w:val="0"/>
              <w:jc w:val="center"/>
              <w:rPr>
                <w:rFonts w:ascii="Calibri" w:hAnsi="Calibri" w:cs="Calibri"/>
              </w:rPr>
            </w:pPr>
            <w:r>
              <w:rPr>
                <w:rFonts w:ascii="Calibri" w:hAnsi="Calibri" w:cs="Calibri"/>
              </w:rPr>
              <w:t>0-49</w:t>
            </w:r>
          </w:p>
        </w:tc>
        <w:tc>
          <w:tcPr>
            <w:tcW w:w="2855" w:type="dxa"/>
            <w:shd w:val="clear" w:color="auto" w:fill="002060"/>
          </w:tcPr>
          <w:p w14:paraId="1B8F6AA1" w14:textId="77777777" w:rsidR="0033480A" w:rsidRPr="00B02E2B" w:rsidRDefault="0033480A" w:rsidP="00553DCD">
            <w:pPr>
              <w:autoSpaceDE w:val="0"/>
              <w:autoSpaceDN w:val="0"/>
              <w:adjustRightInd w:val="0"/>
              <w:jc w:val="center"/>
              <w:rPr>
                <w:rFonts w:ascii="Calibri" w:hAnsi="Calibri" w:cs="Calibri"/>
              </w:rPr>
            </w:pPr>
            <w:r w:rsidRPr="00B02E2B">
              <w:rPr>
                <w:rFonts w:ascii="Calibri" w:hAnsi="Calibri" w:cs="Calibri"/>
              </w:rPr>
              <w:t>%</w:t>
            </w:r>
          </w:p>
        </w:tc>
      </w:tr>
      <w:tr w:rsidR="0033480A" w:rsidRPr="00B02E2B" w14:paraId="6D068997" w14:textId="77777777" w:rsidTr="0087720F">
        <w:trPr>
          <w:cantSplit/>
        </w:trPr>
        <w:tc>
          <w:tcPr>
            <w:tcW w:w="3029" w:type="dxa"/>
          </w:tcPr>
          <w:p w14:paraId="0B674365" w14:textId="77777777" w:rsidR="0033480A" w:rsidRPr="00B02E2B" w:rsidRDefault="0033480A" w:rsidP="00553DCD">
            <w:pPr>
              <w:autoSpaceDE w:val="0"/>
              <w:autoSpaceDN w:val="0"/>
              <w:adjustRightInd w:val="0"/>
              <w:jc w:val="center"/>
              <w:rPr>
                <w:rFonts w:ascii="Calibri" w:hAnsi="Calibri" w:cs="Calibri"/>
              </w:rPr>
            </w:pPr>
            <w:r w:rsidRPr="00B02E2B">
              <w:rPr>
                <w:rFonts w:ascii="Calibri" w:hAnsi="Calibri" w:cs="Calibri"/>
              </w:rPr>
              <w:t>FY19</w:t>
            </w:r>
          </w:p>
        </w:tc>
        <w:tc>
          <w:tcPr>
            <w:tcW w:w="3106" w:type="dxa"/>
            <w:tcBorders>
              <w:top w:val="single" w:sz="4" w:space="0" w:color="auto"/>
              <w:left w:val="nil"/>
              <w:bottom w:val="single" w:sz="4" w:space="0" w:color="auto"/>
              <w:right w:val="nil"/>
            </w:tcBorders>
            <w:shd w:val="clear" w:color="auto" w:fill="auto"/>
            <w:vAlign w:val="bottom"/>
          </w:tcPr>
          <w:p w14:paraId="139134BD" w14:textId="77777777" w:rsidR="0033480A" w:rsidRPr="00B02E2B" w:rsidRDefault="0033480A" w:rsidP="00553DCD">
            <w:pPr>
              <w:autoSpaceDE w:val="0"/>
              <w:autoSpaceDN w:val="0"/>
              <w:adjustRightInd w:val="0"/>
              <w:jc w:val="center"/>
              <w:rPr>
                <w:rFonts w:ascii="Calibri" w:hAnsi="Calibri" w:cs="Calibri"/>
              </w:rPr>
            </w:pPr>
            <w:r>
              <w:rPr>
                <w:rFonts w:ascii="Calibri" w:hAnsi="Calibri" w:cs="Calibri"/>
                <w:color w:val="000000"/>
              </w:rPr>
              <w:t>53,152</w:t>
            </w:r>
          </w:p>
        </w:tc>
        <w:tc>
          <w:tcPr>
            <w:tcW w:w="2855" w:type="dxa"/>
            <w:shd w:val="clear" w:color="auto" w:fill="auto"/>
          </w:tcPr>
          <w:p w14:paraId="44A0EF3B" w14:textId="77777777" w:rsidR="0033480A" w:rsidRPr="00B02E2B" w:rsidRDefault="0033480A" w:rsidP="00553DCD">
            <w:pPr>
              <w:autoSpaceDE w:val="0"/>
              <w:autoSpaceDN w:val="0"/>
              <w:adjustRightInd w:val="0"/>
              <w:jc w:val="center"/>
              <w:rPr>
                <w:rFonts w:ascii="Calibri" w:hAnsi="Calibri" w:cs="Calibri"/>
              </w:rPr>
            </w:pPr>
            <w:r>
              <w:rPr>
                <w:rFonts w:ascii="Calibri" w:hAnsi="Calibri" w:cs="Calibri"/>
              </w:rPr>
              <w:t>48.7</w:t>
            </w:r>
            <w:r w:rsidRPr="00B02E2B">
              <w:rPr>
                <w:rFonts w:ascii="Calibri" w:hAnsi="Calibri" w:cs="Calibri"/>
              </w:rPr>
              <w:t>%</w:t>
            </w:r>
          </w:p>
        </w:tc>
      </w:tr>
      <w:tr w:rsidR="0033480A" w:rsidRPr="00B02E2B" w14:paraId="42809AF0" w14:textId="77777777" w:rsidTr="0087720F">
        <w:trPr>
          <w:cantSplit/>
        </w:trPr>
        <w:tc>
          <w:tcPr>
            <w:tcW w:w="3029" w:type="dxa"/>
          </w:tcPr>
          <w:p w14:paraId="2ED959EC" w14:textId="77777777" w:rsidR="0033480A" w:rsidRPr="00B02E2B" w:rsidRDefault="0033480A" w:rsidP="00553DCD">
            <w:pPr>
              <w:autoSpaceDE w:val="0"/>
              <w:autoSpaceDN w:val="0"/>
              <w:adjustRightInd w:val="0"/>
              <w:jc w:val="center"/>
              <w:rPr>
                <w:rFonts w:ascii="Calibri" w:hAnsi="Calibri" w:cs="Calibri"/>
              </w:rPr>
            </w:pPr>
            <w:r w:rsidRPr="00B02E2B">
              <w:rPr>
                <w:rFonts w:ascii="Calibri" w:hAnsi="Calibri" w:cs="Calibri"/>
              </w:rPr>
              <w:t>FY20</w:t>
            </w:r>
          </w:p>
        </w:tc>
        <w:tc>
          <w:tcPr>
            <w:tcW w:w="3106" w:type="dxa"/>
            <w:tcBorders>
              <w:top w:val="single" w:sz="4" w:space="0" w:color="auto"/>
              <w:left w:val="nil"/>
              <w:bottom w:val="single" w:sz="4" w:space="0" w:color="auto"/>
              <w:right w:val="nil"/>
            </w:tcBorders>
            <w:shd w:val="clear" w:color="auto" w:fill="auto"/>
            <w:vAlign w:val="bottom"/>
          </w:tcPr>
          <w:p w14:paraId="635B7425" w14:textId="77777777" w:rsidR="0033480A" w:rsidRPr="00B02E2B" w:rsidRDefault="0033480A" w:rsidP="00553DCD">
            <w:pPr>
              <w:autoSpaceDE w:val="0"/>
              <w:autoSpaceDN w:val="0"/>
              <w:adjustRightInd w:val="0"/>
              <w:jc w:val="center"/>
              <w:rPr>
                <w:rFonts w:ascii="Calibri" w:hAnsi="Calibri" w:cs="Calibri"/>
              </w:rPr>
            </w:pPr>
            <w:r>
              <w:rPr>
                <w:rFonts w:ascii="Calibri" w:hAnsi="Calibri" w:cs="Calibri"/>
                <w:color w:val="000000"/>
              </w:rPr>
              <w:t>44,188</w:t>
            </w:r>
          </w:p>
        </w:tc>
        <w:tc>
          <w:tcPr>
            <w:tcW w:w="2855" w:type="dxa"/>
            <w:shd w:val="clear" w:color="auto" w:fill="auto"/>
          </w:tcPr>
          <w:p w14:paraId="46839F3C" w14:textId="77777777" w:rsidR="0033480A" w:rsidRPr="00B02E2B" w:rsidRDefault="0033480A" w:rsidP="00553DCD">
            <w:pPr>
              <w:autoSpaceDE w:val="0"/>
              <w:autoSpaceDN w:val="0"/>
              <w:adjustRightInd w:val="0"/>
              <w:jc w:val="center"/>
              <w:rPr>
                <w:rFonts w:ascii="Calibri" w:hAnsi="Calibri" w:cs="Calibri"/>
              </w:rPr>
            </w:pPr>
            <w:r>
              <w:rPr>
                <w:rFonts w:ascii="Calibri" w:hAnsi="Calibri" w:cs="Calibri"/>
              </w:rPr>
              <w:t>46.6</w:t>
            </w:r>
            <w:r w:rsidRPr="00B02E2B">
              <w:rPr>
                <w:rFonts w:ascii="Calibri" w:hAnsi="Calibri" w:cs="Calibri"/>
              </w:rPr>
              <w:t>%</w:t>
            </w:r>
          </w:p>
        </w:tc>
      </w:tr>
      <w:tr w:rsidR="0033480A" w:rsidRPr="00B02E2B" w14:paraId="31ED8040" w14:textId="77777777" w:rsidTr="0087720F">
        <w:trPr>
          <w:cantSplit/>
        </w:trPr>
        <w:tc>
          <w:tcPr>
            <w:tcW w:w="3029" w:type="dxa"/>
          </w:tcPr>
          <w:p w14:paraId="5AC4B05E" w14:textId="77777777" w:rsidR="0033480A" w:rsidRPr="00B02E2B" w:rsidRDefault="0033480A" w:rsidP="00553DCD">
            <w:pPr>
              <w:autoSpaceDE w:val="0"/>
              <w:autoSpaceDN w:val="0"/>
              <w:adjustRightInd w:val="0"/>
              <w:jc w:val="center"/>
              <w:rPr>
                <w:rFonts w:ascii="Calibri" w:hAnsi="Calibri" w:cs="Calibri"/>
              </w:rPr>
            </w:pPr>
            <w:r w:rsidRPr="00B02E2B">
              <w:rPr>
                <w:rFonts w:ascii="Calibri" w:hAnsi="Calibri" w:cs="Calibri"/>
              </w:rPr>
              <w:t>FY21</w:t>
            </w:r>
          </w:p>
        </w:tc>
        <w:tc>
          <w:tcPr>
            <w:tcW w:w="3106" w:type="dxa"/>
            <w:tcBorders>
              <w:top w:val="single" w:sz="4" w:space="0" w:color="auto"/>
              <w:left w:val="nil"/>
              <w:bottom w:val="single" w:sz="4" w:space="0" w:color="auto"/>
              <w:right w:val="nil"/>
            </w:tcBorders>
            <w:shd w:val="clear" w:color="auto" w:fill="auto"/>
            <w:vAlign w:val="bottom"/>
          </w:tcPr>
          <w:p w14:paraId="46AEF56B" w14:textId="77777777" w:rsidR="0033480A" w:rsidRPr="00B02E2B" w:rsidRDefault="0033480A" w:rsidP="00553DCD">
            <w:pPr>
              <w:autoSpaceDE w:val="0"/>
              <w:autoSpaceDN w:val="0"/>
              <w:adjustRightInd w:val="0"/>
              <w:jc w:val="center"/>
              <w:rPr>
                <w:rFonts w:ascii="Calibri" w:hAnsi="Calibri" w:cs="Calibri"/>
              </w:rPr>
            </w:pPr>
            <w:r>
              <w:rPr>
                <w:rFonts w:ascii="Calibri" w:hAnsi="Calibri" w:cs="Calibri"/>
                <w:color w:val="000000"/>
              </w:rPr>
              <w:t>48,870</w:t>
            </w:r>
          </w:p>
        </w:tc>
        <w:tc>
          <w:tcPr>
            <w:tcW w:w="2855" w:type="dxa"/>
          </w:tcPr>
          <w:p w14:paraId="4109D998" w14:textId="77777777" w:rsidR="0033480A" w:rsidRPr="00B02E2B" w:rsidRDefault="0033480A" w:rsidP="00553DCD">
            <w:pPr>
              <w:autoSpaceDE w:val="0"/>
              <w:autoSpaceDN w:val="0"/>
              <w:adjustRightInd w:val="0"/>
              <w:jc w:val="center"/>
              <w:rPr>
                <w:rFonts w:ascii="Calibri" w:hAnsi="Calibri" w:cs="Calibri"/>
              </w:rPr>
            </w:pPr>
            <w:r>
              <w:rPr>
                <w:rFonts w:ascii="Calibri" w:hAnsi="Calibri" w:cs="Calibri"/>
              </w:rPr>
              <w:t>47.4</w:t>
            </w:r>
            <w:r w:rsidRPr="00B02E2B">
              <w:rPr>
                <w:rFonts w:ascii="Calibri" w:hAnsi="Calibri" w:cs="Calibri"/>
              </w:rPr>
              <w:t>%</w:t>
            </w:r>
          </w:p>
        </w:tc>
      </w:tr>
    </w:tbl>
    <w:p w14:paraId="7F5DDD87" w14:textId="77777777" w:rsidR="0033480A" w:rsidRDefault="0033480A" w:rsidP="0033480A">
      <w:pPr>
        <w:autoSpaceDE w:val="0"/>
        <w:autoSpaceDN w:val="0"/>
        <w:adjustRightInd w:val="0"/>
        <w:spacing w:after="0" w:line="240" w:lineRule="auto"/>
        <w:ind w:left="360"/>
        <w:jc w:val="both"/>
        <w:rPr>
          <w:rFonts w:ascii="Calibri" w:hAnsi="Calibri" w:cs="Calibri"/>
        </w:rPr>
      </w:pPr>
      <w:bookmarkStart w:id="7" w:name="_Hlk108678662"/>
      <w:r>
        <w:rPr>
          <w:rFonts w:ascii="Calibri" w:hAnsi="Calibri" w:cs="Calibri"/>
        </w:rPr>
        <w:t>*</w:t>
      </w:r>
      <w:r w:rsidRPr="00D7571C">
        <w:rPr>
          <w:rFonts w:ascii="Calibri" w:hAnsi="Calibri" w:cs="Calibri"/>
          <w:sz w:val="18"/>
          <w:szCs w:val="18"/>
        </w:rPr>
        <w:t xml:space="preserve">The % reflects the subset of the total number of unique patients </w:t>
      </w:r>
      <w:r>
        <w:rPr>
          <w:rFonts w:ascii="Calibri" w:hAnsi="Calibri" w:cs="Calibri"/>
          <w:sz w:val="18"/>
          <w:szCs w:val="18"/>
        </w:rPr>
        <w:t>recited above in the “Overall Demographic Profile” section</w:t>
      </w:r>
    </w:p>
    <w:bookmarkEnd w:id="7"/>
    <w:p w14:paraId="4F0892C8" w14:textId="77777777" w:rsidR="0033480A" w:rsidRDefault="0033480A" w:rsidP="0033480A">
      <w:pPr>
        <w:autoSpaceDE w:val="0"/>
        <w:autoSpaceDN w:val="0"/>
        <w:adjustRightInd w:val="0"/>
        <w:spacing w:after="0" w:line="240" w:lineRule="auto"/>
        <w:ind w:left="360"/>
        <w:jc w:val="both"/>
        <w:rPr>
          <w:rFonts w:ascii="Calibri" w:hAnsi="Calibri" w:cs="Calibri"/>
        </w:rPr>
      </w:pPr>
    </w:p>
    <w:p w14:paraId="16F3DD8C" w14:textId="77777777" w:rsidR="0033480A" w:rsidRDefault="0033480A" w:rsidP="0033480A">
      <w:pPr>
        <w:autoSpaceDE w:val="0"/>
        <w:autoSpaceDN w:val="0"/>
        <w:adjustRightInd w:val="0"/>
        <w:spacing w:after="0" w:line="240" w:lineRule="auto"/>
        <w:ind w:left="360"/>
        <w:jc w:val="both"/>
        <w:rPr>
          <w:rFonts w:ascii="Calibri" w:hAnsi="Calibri" w:cs="Calibri"/>
        </w:rPr>
      </w:pPr>
      <w:r>
        <w:rPr>
          <w:rFonts w:ascii="Calibri" w:hAnsi="Calibri" w:cs="Calibri"/>
        </w:rPr>
        <w:t xml:space="preserve">The following table displays data regarding </w:t>
      </w:r>
      <w:bookmarkStart w:id="8" w:name="_Hlk108522371"/>
      <w:r>
        <w:rPr>
          <w:rFonts w:ascii="Calibri" w:hAnsi="Calibri" w:cs="Calibri"/>
        </w:rPr>
        <w:t xml:space="preserve">the number of MWH unique patients by age, as well as the corresponding </w:t>
      </w:r>
      <w:bookmarkEnd w:id="8"/>
      <w:r>
        <w:rPr>
          <w:rFonts w:ascii="Calibri" w:hAnsi="Calibri" w:cs="Calibri"/>
        </w:rPr>
        <w:t xml:space="preserve">percentages of unique patients who were </w:t>
      </w:r>
      <w:r w:rsidRPr="00AA5128">
        <w:rPr>
          <w:rFonts w:ascii="Calibri" w:hAnsi="Calibri" w:cs="Calibri"/>
          <w:u w:val="single"/>
        </w:rPr>
        <w:t>50</w:t>
      </w:r>
      <w:r>
        <w:rPr>
          <w:rFonts w:ascii="Calibri" w:hAnsi="Calibri" w:cs="Calibri"/>
        </w:rPr>
        <w:t xml:space="preserve"> years old or over from FY19-FY21:</w:t>
      </w:r>
      <w:r>
        <w:rPr>
          <w:rStyle w:val="FootnoteReference"/>
          <w:rFonts w:ascii="Calibri" w:hAnsi="Calibri" w:cs="Calibri"/>
        </w:rPr>
        <w:footnoteReference w:id="10"/>
      </w:r>
    </w:p>
    <w:tbl>
      <w:tblPr>
        <w:tblStyle w:val="TableGrid"/>
        <w:tblW w:w="0" w:type="auto"/>
        <w:tblInd w:w="360" w:type="dxa"/>
        <w:tblLook w:val="04A0" w:firstRow="1" w:lastRow="0" w:firstColumn="1" w:lastColumn="0" w:noHBand="0" w:noVBand="1"/>
      </w:tblPr>
      <w:tblGrid>
        <w:gridCol w:w="3029"/>
        <w:gridCol w:w="3106"/>
        <w:gridCol w:w="2855"/>
      </w:tblGrid>
      <w:tr w:rsidR="0033480A" w14:paraId="0F4E328D" w14:textId="77777777" w:rsidTr="0087720F">
        <w:trPr>
          <w:cantSplit/>
          <w:tblHeader/>
        </w:trPr>
        <w:tc>
          <w:tcPr>
            <w:tcW w:w="3029" w:type="dxa"/>
            <w:shd w:val="clear" w:color="auto" w:fill="002060"/>
          </w:tcPr>
          <w:p w14:paraId="24870400" w14:textId="77777777" w:rsidR="0033480A" w:rsidRPr="00216139" w:rsidRDefault="0033480A" w:rsidP="00553DCD">
            <w:pPr>
              <w:autoSpaceDE w:val="0"/>
              <w:autoSpaceDN w:val="0"/>
              <w:adjustRightInd w:val="0"/>
              <w:jc w:val="center"/>
              <w:rPr>
                <w:rFonts w:ascii="Calibri" w:hAnsi="Calibri" w:cs="Calibri"/>
                <w:color w:val="FFFFFF" w:themeColor="background1"/>
              </w:rPr>
            </w:pPr>
            <w:bookmarkStart w:id="9" w:name="_Hlk106194026"/>
            <w:bookmarkEnd w:id="6"/>
            <w:r w:rsidRPr="00216139">
              <w:rPr>
                <w:rFonts w:ascii="Calibri" w:hAnsi="Calibri" w:cs="Calibri"/>
                <w:color w:val="FFFFFF" w:themeColor="background1"/>
              </w:rPr>
              <w:t xml:space="preserve">FY </w:t>
            </w:r>
          </w:p>
        </w:tc>
        <w:tc>
          <w:tcPr>
            <w:tcW w:w="3106" w:type="dxa"/>
            <w:tcBorders>
              <w:bottom w:val="single" w:sz="4" w:space="0" w:color="auto"/>
            </w:tcBorders>
            <w:shd w:val="clear" w:color="auto" w:fill="002060"/>
          </w:tcPr>
          <w:p w14:paraId="6AB13A0E" w14:textId="77777777" w:rsidR="0033480A" w:rsidRPr="00216139" w:rsidRDefault="0033480A" w:rsidP="00553DCD">
            <w:pPr>
              <w:autoSpaceDE w:val="0"/>
              <w:autoSpaceDN w:val="0"/>
              <w:adjustRightInd w:val="0"/>
              <w:jc w:val="center"/>
              <w:rPr>
                <w:rFonts w:ascii="Calibri" w:hAnsi="Calibri" w:cs="Calibri"/>
                <w:color w:val="FFFFFF" w:themeColor="background1"/>
              </w:rPr>
            </w:pPr>
            <w:r>
              <w:rPr>
                <w:rFonts w:ascii="Calibri" w:hAnsi="Calibri" w:cs="Calibri"/>
                <w:color w:val="FFFFFF" w:themeColor="background1"/>
              </w:rPr>
              <w:t>50+</w:t>
            </w:r>
          </w:p>
        </w:tc>
        <w:tc>
          <w:tcPr>
            <w:tcW w:w="2855" w:type="dxa"/>
            <w:shd w:val="clear" w:color="auto" w:fill="002060"/>
          </w:tcPr>
          <w:p w14:paraId="2C0D24EC" w14:textId="77777777" w:rsidR="0033480A" w:rsidRDefault="0033480A" w:rsidP="00553DCD">
            <w:pPr>
              <w:autoSpaceDE w:val="0"/>
              <w:autoSpaceDN w:val="0"/>
              <w:adjustRightInd w:val="0"/>
              <w:jc w:val="center"/>
              <w:rPr>
                <w:rFonts w:ascii="Calibri" w:hAnsi="Calibri" w:cs="Calibri"/>
                <w:color w:val="FFFFFF" w:themeColor="background1"/>
              </w:rPr>
            </w:pPr>
            <w:r>
              <w:rPr>
                <w:rFonts w:ascii="Calibri" w:hAnsi="Calibri" w:cs="Calibri"/>
                <w:color w:val="FFFFFF" w:themeColor="background1"/>
              </w:rPr>
              <w:t>%</w:t>
            </w:r>
          </w:p>
        </w:tc>
      </w:tr>
      <w:tr w:rsidR="0033480A" w14:paraId="7DAF2976" w14:textId="77777777" w:rsidTr="0087720F">
        <w:trPr>
          <w:cantSplit/>
        </w:trPr>
        <w:tc>
          <w:tcPr>
            <w:tcW w:w="3029" w:type="dxa"/>
          </w:tcPr>
          <w:p w14:paraId="45F60345" w14:textId="77777777" w:rsidR="0033480A" w:rsidRDefault="0033480A" w:rsidP="00553DCD">
            <w:pPr>
              <w:autoSpaceDE w:val="0"/>
              <w:autoSpaceDN w:val="0"/>
              <w:adjustRightInd w:val="0"/>
              <w:jc w:val="center"/>
              <w:rPr>
                <w:rFonts w:ascii="Calibri" w:hAnsi="Calibri" w:cs="Calibri"/>
              </w:rPr>
            </w:pPr>
            <w:r>
              <w:rPr>
                <w:rFonts w:ascii="Calibri" w:hAnsi="Calibri" w:cs="Calibri"/>
              </w:rPr>
              <w:t>FY19</w:t>
            </w:r>
          </w:p>
        </w:tc>
        <w:tc>
          <w:tcPr>
            <w:tcW w:w="3106" w:type="dxa"/>
            <w:tcBorders>
              <w:top w:val="single" w:sz="4" w:space="0" w:color="auto"/>
              <w:left w:val="nil"/>
              <w:bottom w:val="single" w:sz="4" w:space="0" w:color="auto"/>
              <w:right w:val="nil"/>
            </w:tcBorders>
            <w:shd w:val="clear" w:color="auto" w:fill="auto"/>
            <w:vAlign w:val="bottom"/>
          </w:tcPr>
          <w:p w14:paraId="09E842D0" w14:textId="77777777" w:rsidR="0033480A" w:rsidRPr="003B0387" w:rsidRDefault="0033480A" w:rsidP="00553DCD">
            <w:pPr>
              <w:autoSpaceDE w:val="0"/>
              <w:autoSpaceDN w:val="0"/>
              <w:adjustRightInd w:val="0"/>
              <w:jc w:val="center"/>
              <w:rPr>
                <w:rFonts w:ascii="Calibri" w:hAnsi="Calibri" w:cs="Calibri"/>
              </w:rPr>
            </w:pPr>
            <w:r>
              <w:rPr>
                <w:rFonts w:ascii="Calibri" w:hAnsi="Calibri" w:cs="Calibri"/>
                <w:color w:val="000000"/>
              </w:rPr>
              <w:t>55,937</w:t>
            </w:r>
          </w:p>
        </w:tc>
        <w:tc>
          <w:tcPr>
            <w:tcW w:w="2855" w:type="dxa"/>
            <w:shd w:val="clear" w:color="auto" w:fill="auto"/>
          </w:tcPr>
          <w:p w14:paraId="2E57E9C0" w14:textId="77777777" w:rsidR="0033480A" w:rsidRPr="003B0387" w:rsidRDefault="0033480A" w:rsidP="00553DCD">
            <w:pPr>
              <w:autoSpaceDE w:val="0"/>
              <w:autoSpaceDN w:val="0"/>
              <w:adjustRightInd w:val="0"/>
              <w:jc w:val="center"/>
              <w:rPr>
                <w:rFonts w:ascii="Calibri" w:hAnsi="Calibri" w:cs="Calibri"/>
              </w:rPr>
            </w:pPr>
            <w:r w:rsidRPr="003B0387">
              <w:rPr>
                <w:rFonts w:ascii="Calibri" w:hAnsi="Calibri" w:cs="Calibri"/>
              </w:rPr>
              <w:t>51.3%</w:t>
            </w:r>
          </w:p>
        </w:tc>
      </w:tr>
      <w:tr w:rsidR="0033480A" w14:paraId="67F38366" w14:textId="77777777" w:rsidTr="0087720F">
        <w:trPr>
          <w:cantSplit/>
        </w:trPr>
        <w:tc>
          <w:tcPr>
            <w:tcW w:w="3029" w:type="dxa"/>
          </w:tcPr>
          <w:p w14:paraId="43D69558" w14:textId="77777777" w:rsidR="0033480A" w:rsidRDefault="0033480A" w:rsidP="00553DCD">
            <w:pPr>
              <w:autoSpaceDE w:val="0"/>
              <w:autoSpaceDN w:val="0"/>
              <w:adjustRightInd w:val="0"/>
              <w:jc w:val="center"/>
              <w:rPr>
                <w:rFonts w:ascii="Calibri" w:hAnsi="Calibri" w:cs="Calibri"/>
              </w:rPr>
            </w:pPr>
            <w:r>
              <w:rPr>
                <w:rFonts w:ascii="Calibri" w:hAnsi="Calibri" w:cs="Calibri"/>
              </w:rPr>
              <w:t>FY20</w:t>
            </w:r>
          </w:p>
        </w:tc>
        <w:tc>
          <w:tcPr>
            <w:tcW w:w="3106" w:type="dxa"/>
            <w:tcBorders>
              <w:top w:val="single" w:sz="4" w:space="0" w:color="auto"/>
              <w:left w:val="nil"/>
              <w:bottom w:val="single" w:sz="4" w:space="0" w:color="auto"/>
              <w:right w:val="nil"/>
            </w:tcBorders>
            <w:shd w:val="clear" w:color="auto" w:fill="auto"/>
            <w:vAlign w:val="bottom"/>
          </w:tcPr>
          <w:p w14:paraId="1A2C2604" w14:textId="77777777" w:rsidR="0033480A" w:rsidRPr="003B0387" w:rsidRDefault="0033480A" w:rsidP="00553DCD">
            <w:pPr>
              <w:autoSpaceDE w:val="0"/>
              <w:autoSpaceDN w:val="0"/>
              <w:adjustRightInd w:val="0"/>
              <w:jc w:val="center"/>
              <w:rPr>
                <w:rFonts w:ascii="Calibri" w:hAnsi="Calibri" w:cs="Calibri"/>
              </w:rPr>
            </w:pPr>
            <w:r>
              <w:rPr>
                <w:rFonts w:ascii="Calibri" w:hAnsi="Calibri" w:cs="Calibri"/>
                <w:color w:val="000000"/>
              </w:rPr>
              <w:t>50,612</w:t>
            </w:r>
          </w:p>
        </w:tc>
        <w:tc>
          <w:tcPr>
            <w:tcW w:w="2855" w:type="dxa"/>
            <w:shd w:val="clear" w:color="auto" w:fill="auto"/>
          </w:tcPr>
          <w:p w14:paraId="2ABB2126" w14:textId="77777777" w:rsidR="0033480A" w:rsidRPr="003B0387" w:rsidRDefault="0033480A" w:rsidP="00553DCD">
            <w:pPr>
              <w:autoSpaceDE w:val="0"/>
              <w:autoSpaceDN w:val="0"/>
              <w:adjustRightInd w:val="0"/>
              <w:jc w:val="center"/>
              <w:rPr>
                <w:rFonts w:ascii="Calibri" w:hAnsi="Calibri" w:cs="Calibri"/>
              </w:rPr>
            </w:pPr>
            <w:r w:rsidRPr="003B0387">
              <w:rPr>
                <w:rFonts w:ascii="Calibri" w:hAnsi="Calibri" w:cs="Calibri"/>
              </w:rPr>
              <w:t>53.4%</w:t>
            </w:r>
          </w:p>
        </w:tc>
      </w:tr>
      <w:tr w:rsidR="0033480A" w14:paraId="09465C94" w14:textId="77777777" w:rsidTr="0087720F">
        <w:trPr>
          <w:cantSplit/>
        </w:trPr>
        <w:tc>
          <w:tcPr>
            <w:tcW w:w="3029" w:type="dxa"/>
          </w:tcPr>
          <w:p w14:paraId="0404BCAC" w14:textId="77777777" w:rsidR="0033480A" w:rsidRDefault="0033480A" w:rsidP="00553DCD">
            <w:pPr>
              <w:autoSpaceDE w:val="0"/>
              <w:autoSpaceDN w:val="0"/>
              <w:adjustRightInd w:val="0"/>
              <w:jc w:val="center"/>
              <w:rPr>
                <w:rFonts w:ascii="Calibri" w:hAnsi="Calibri" w:cs="Calibri"/>
              </w:rPr>
            </w:pPr>
            <w:r>
              <w:rPr>
                <w:rFonts w:ascii="Calibri" w:hAnsi="Calibri" w:cs="Calibri"/>
              </w:rPr>
              <w:t>FY21</w:t>
            </w:r>
          </w:p>
        </w:tc>
        <w:tc>
          <w:tcPr>
            <w:tcW w:w="3106" w:type="dxa"/>
            <w:tcBorders>
              <w:top w:val="single" w:sz="4" w:space="0" w:color="auto"/>
              <w:left w:val="nil"/>
              <w:bottom w:val="single" w:sz="4" w:space="0" w:color="auto"/>
              <w:right w:val="nil"/>
            </w:tcBorders>
            <w:shd w:val="clear" w:color="auto" w:fill="auto"/>
            <w:vAlign w:val="bottom"/>
          </w:tcPr>
          <w:p w14:paraId="44C6B314" w14:textId="77777777" w:rsidR="0033480A" w:rsidRDefault="0033480A" w:rsidP="00553DCD">
            <w:pPr>
              <w:autoSpaceDE w:val="0"/>
              <w:autoSpaceDN w:val="0"/>
              <w:adjustRightInd w:val="0"/>
              <w:jc w:val="center"/>
              <w:rPr>
                <w:rFonts w:ascii="Calibri" w:hAnsi="Calibri" w:cs="Calibri"/>
              </w:rPr>
            </w:pPr>
            <w:r>
              <w:rPr>
                <w:rFonts w:ascii="Calibri" w:hAnsi="Calibri" w:cs="Calibri"/>
                <w:color w:val="000000"/>
              </w:rPr>
              <w:t>54,313</w:t>
            </w:r>
          </w:p>
        </w:tc>
        <w:tc>
          <w:tcPr>
            <w:tcW w:w="2855" w:type="dxa"/>
          </w:tcPr>
          <w:p w14:paraId="15D0E0A2" w14:textId="77777777" w:rsidR="0033480A" w:rsidRDefault="0033480A" w:rsidP="00553DCD">
            <w:pPr>
              <w:autoSpaceDE w:val="0"/>
              <w:autoSpaceDN w:val="0"/>
              <w:adjustRightInd w:val="0"/>
              <w:jc w:val="center"/>
              <w:rPr>
                <w:rFonts w:ascii="Calibri" w:hAnsi="Calibri" w:cs="Calibri"/>
              </w:rPr>
            </w:pPr>
            <w:r>
              <w:rPr>
                <w:rFonts w:ascii="Calibri" w:hAnsi="Calibri" w:cs="Calibri"/>
              </w:rPr>
              <w:t>52.91%</w:t>
            </w:r>
          </w:p>
        </w:tc>
      </w:tr>
    </w:tbl>
    <w:bookmarkEnd w:id="9"/>
    <w:p w14:paraId="6B5A564E" w14:textId="77777777" w:rsidR="0033480A" w:rsidRDefault="0033480A" w:rsidP="0033480A">
      <w:pPr>
        <w:autoSpaceDE w:val="0"/>
        <w:autoSpaceDN w:val="0"/>
        <w:adjustRightInd w:val="0"/>
        <w:spacing w:after="0" w:line="240" w:lineRule="auto"/>
        <w:ind w:left="360"/>
        <w:jc w:val="both"/>
        <w:rPr>
          <w:rFonts w:ascii="Calibri" w:hAnsi="Calibri" w:cs="Calibri"/>
        </w:rPr>
      </w:pPr>
      <w:r>
        <w:rPr>
          <w:rFonts w:ascii="Calibri" w:hAnsi="Calibri" w:cs="Calibri"/>
        </w:rPr>
        <w:t xml:space="preserve"> *</w:t>
      </w:r>
      <w:r w:rsidRPr="00D7571C">
        <w:rPr>
          <w:rFonts w:ascii="Calibri" w:hAnsi="Calibri" w:cs="Calibri"/>
          <w:sz w:val="18"/>
          <w:szCs w:val="18"/>
        </w:rPr>
        <w:t xml:space="preserve">The % reflects the subset of the total number of unique patients </w:t>
      </w:r>
      <w:r>
        <w:rPr>
          <w:rFonts w:ascii="Calibri" w:hAnsi="Calibri" w:cs="Calibri"/>
          <w:sz w:val="18"/>
          <w:szCs w:val="18"/>
        </w:rPr>
        <w:t>recited above in the “Overall Demographic Profile” section</w:t>
      </w:r>
    </w:p>
    <w:p w14:paraId="03ADE58D" w14:textId="77777777" w:rsidR="0033480A" w:rsidRDefault="0033480A" w:rsidP="0033480A">
      <w:pPr>
        <w:autoSpaceDE w:val="0"/>
        <w:autoSpaceDN w:val="0"/>
        <w:adjustRightInd w:val="0"/>
        <w:spacing w:after="0" w:line="240" w:lineRule="auto"/>
        <w:ind w:left="360"/>
        <w:jc w:val="both"/>
        <w:rPr>
          <w:rFonts w:ascii="Calibri" w:hAnsi="Calibri" w:cs="Calibri"/>
        </w:rPr>
      </w:pPr>
    </w:p>
    <w:p w14:paraId="7AA3BC49" w14:textId="77777777" w:rsidR="0033480A" w:rsidRPr="00FA1EB6" w:rsidRDefault="0033480A" w:rsidP="0033480A">
      <w:pPr>
        <w:autoSpaceDE w:val="0"/>
        <w:autoSpaceDN w:val="0"/>
        <w:adjustRightInd w:val="0"/>
        <w:spacing w:after="0" w:line="240" w:lineRule="auto"/>
        <w:ind w:left="360"/>
        <w:jc w:val="both"/>
        <w:rPr>
          <w:rFonts w:ascii="Calibri" w:hAnsi="Calibri" w:cs="Calibri"/>
        </w:rPr>
      </w:pPr>
      <w:r w:rsidRPr="00FA1EB6">
        <w:rPr>
          <w:rFonts w:ascii="Calibri" w:hAnsi="Calibri" w:cs="Calibri"/>
        </w:rPr>
        <w:t xml:space="preserve">The following table displays data regarding </w:t>
      </w:r>
      <w:r w:rsidRPr="00B02E2B">
        <w:rPr>
          <w:rFonts w:ascii="Calibri" w:hAnsi="Calibri" w:cs="Calibri"/>
        </w:rPr>
        <w:t>the</w:t>
      </w:r>
      <w:r>
        <w:rPr>
          <w:rFonts w:ascii="Calibri" w:hAnsi="Calibri" w:cs="Calibri"/>
        </w:rPr>
        <w:t xml:space="preserve"> number of</w:t>
      </w:r>
      <w:r w:rsidRPr="00B02E2B">
        <w:rPr>
          <w:rFonts w:ascii="Calibri" w:hAnsi="Calibri" w:cs="Calibri"/>
        </w:rPr>
        <w:t xml:space="preserve"> </w:t>
      </w:r>
      <w:r>
        <w:rPr>
          <w:rFonts w:ascii="Calibri" w:hAnsi="Calibri" w:cs="Calibri"/>
        </w:rPr>
        <w:t xml:space="preserve">MWH </w:t>
      </w:r>
      <w:r w:rsidRPr="00B02E2B">
        <w:rPr>
          <w:rFonts w:ascii="Calibri" w:hAnsi="Calibri" w:cs="Calibri"/>
        </w:rPr>
        <w:t xml:space="preserve">unique patients by age, as well as the corresponding </w:t>
      </w:r>
      <w:r w:rsidRPr="00FA1EB6">
        <w:rPr>
          <w:rFonts w:ascii="Calibri" w:hAnsi="Calibri" w:cs="Calibri"/>
        </w:rPr>
        <w:t xml:space="preserve">the percentages of unique patients who were </w:t>
      </w:r>
      <w:r w:rsidRPr="00B02E2B">
        <w:rPr>
          <w:rFonts w:ascii="Calibri" w:hAnsi="Calibri" w:cs="Calibri"/>
          <w:u w:val="single"/>
        </w:rPr>
        <w:t>60</w:t>
      </w:r>
      <w:r w:rsidRPr="00FA1EB6">
        <w:rPr>
          <w:rFonts w:ascii="Calibri" w:hAnsi="Calibri" w:cs="Calibri"/>
        </w:rPr>
        <w:t xml:space="preserve"> years old </w:t>
      </w:r>
      <w:r>
        <w:rPr>
          <w:rFonts w:ascii="Calibri" w:hAnsi="Calibri" w:cs="Calibri"/>
        </w:rPr>
        <w:t>or</w:t>
      </w:r>
      <w:r w:rsidRPr="00FA1EB6">
        <w:rPr>
          <w:rFonts w:ascii="Calibri" w:hAnsi="Calibri" w:cs="Calibri"/>
        </w:rPr>
        <w:t xml:space="preserve"> over from FY19-FY2</w:t>
      </w:r>
      <w:r>
        <w:rPr>
          <w:rFonts w:ascii="Calibri" w:hAnsi="Calibri" w:cs="Calibri"/>
        </w:rPr>
        <w:t>1</w:t>
      </w:r>
      <w:r w:rsidRPr="00FA1EB6">
        <w:rPr>
          <w:rFonts w:ascii="Calibri" w:hAnsi="Calibri" w:cs="Calibri"/>
        </w:rPr>
        <w:t>:</w:t>
      </w:r>
      <w:r>
        <w:rPr>
          <w:rStyle w:val="FootnoteReference"/>
          <w:rFonts w:ascii="Calibri" w:hAnsi="Calibri" w:cs="Calibri"/>
        </w:rPr>
        <w:footnoteReference w:id="11"/>
      </w:r>
    </w:p>
    <w:tbl>
      <w:tblPr>
        <w:tblStyle w:val="TableGrid"/>
        <w:tblW w:w="0" w:type="auto"/>
        <w:tblInd w:w="360" w:type="dxa"/>
        <w:tblLook w:val="04A0" w:firstRow="1" w:lastRow="0" w:firstColumn="1" w:lastColumn="0" w:noHBand="0" w:noVBand="1"/>
      </w:tblPr>
      <w:tblGrid>
        <w:gridCol w:w="2996"/>
        <w:gridCol w:w="3174"/>
        <w:gridCol w:w="2820"/>
      </w:tblGrid>
      <w:tr w:rsidR="0033480A" w:rsidRPr="00551E21" w14:paraId="0BE06066" w14:textId="77777777" w:rsidTr="00701F1B">
        <w:trPr>
          <w:cantSplit/>
          <w:tblHeader/>
        </w:trPr>
        <w:tc>
          <w:tcPr>
            <w:tcW w:w="2996" w:type="dxa"/>
            <w:shd w:val="clear" w:color="auto" w:fill="002060"/>
          </w:tcPr>
          <w:p w14:paraId="767B2890" w14:textId="77777777" w:rsidR="0033480A" w:rsidRPr="00551E21" w:rsidRDefault="0033480A" w:rsidP="00553DCD">
            <w:pPr>
              <w:autoSpaceDE w:val="0"/>
              <w:autoSpaceDN w:val="0"/>
              <w:adjustRightInd w:val="0"/>
              <w:jc w:val="center"/>
              <w:rPr>
                <w:rFonts w:ascii="Calibri" w:hAnsi="Calibri" w:cs="Calibri"/>
              </w:rPr>
            </w:pPr>
            <w:r w:rsidRPr="00551E21">
              <w:rPr>
                <w:rFonts w:ascii="Calibri" w:hAnsi="Calibri" w:cs="Calibri"/>
              </w:rPr>
              <w:t xml:space="preserve">FY </w:t>
            </w:r>
          </w:p>
        </w:tc>
        <w:tc>
          <w:tcPr>
            <w:tcW w:w="3174" w:type="dxa"/>
            <w:shd w:val="clear" w:color="auto" w:fill="002060"/>
          </w:tcPr>
          <w:p w14:paraId="6DD019D1" w14:textId="77777777" w:rsidR="0033480A" w:rsidRPr="00551E21" w:rsidRDefault="0033480A" w:rsidP="00553DCD">
            <w:pPr>
              <w:autoSpaceDE w:val="0"/>
              <w:autoSpaceDN w:val="0"/>
              <w:adjustRightInd w:val="0"/>
              <w:jc w:val="center"/>
              <w:rPr>
                <w:rFonts w:ascii="Calibri" w:hAnsi="Calibri" w:cs="Calibri"/>
              </w:rPr>
            </w:pPr>
            <w:r>
              <w:rPr>
                <w:rFonts w:ascii="Calibri" w:hAnsi="Calibri" w:cs="Calibri"/>
              </w:rPr>
              <w:t>#</w:t>
            </w:r>
          </w:p>
        </w:tc>
        <w:tc>
          <w:tcPr>
            <w:tcW w:w="2820" w:type="dxa"/>
            <w:shd w:val="clear" w:color="auto" w:fill="002060"/>
          </w:tcPr>
          <w:p w14:paraId="637B4A5B" w14:textId="77777777" w:rsidR="0033480A" w:rsidRPr="00551E21" w:rsidRDefault="0033480A" w:rsidP="00553DCD">
            <w:pPr>
              <w:autoSpaceDE w:val="0"/>
              <w:autoSpaceDN w:val="0"/>
              <w:adjustRightInd w:val="0"/>
              <w:jc w:val="center"/>
              <w:rPr>
                <w:rFonts w:ascii="Calibri" w:hAnsi="Calibri" w:cs="Calibri"/>
              </w:rPr>
            </w:pPr>
            <w:r>
              <w:rPr>
                <w:rFonts w:ascii="Calibri" w:hAnsi="Calibri" w:cs="Calibri"/>
              </w:rPr>
              <w:t>%</w:t>
            </w:r>
          </w:p>
        </w:tc>
      </w:tr>
      <w:tr w:rsidR="0033480A" w:rsidRPr="00551E21" w14:paraId="7D0125D9" w14:textId="77777777" w:rsidTr="00701F1B">
        <w:trPr>
          <w:cantSplit/>
        </w:trPr>
        <w:tc>
          <w:tcPr>
            <w:tcW w:w="2996" w:type="dxa"/>
          </w:tcPr>
          <w:p w14:paraId="39DEECA4" w14:textId="77777777" w:rsidR="0033480A" w:rsidRPr="00551E21" w:rsidRDefault="0033480A" w:rsidP="00553DCD">
            <w:pPr>
              <w:autoSpaceDE w:val="0"/>
              <w:autoSpaceDN w:val="0"/>
              <w:adjustRightInd w:val="0"/>
              <w:jc w:val="center"/>
              <w:rPr>
                <w:rFonts w:ascii="Calibri" w:hAnsi="Calibri" w:cs="Calibri"/>
              </w:rPr>
            </w:pPr>
            <w:r w:rsidRPr="00551E21">
              <w:rPr>
                <w:rFonts w:ascii="Calibri" w:hAnsi="Calibri" w:cs="Calibri"/>
              </w:rPr>
              <w:t>FY19</w:t>
            </w:r>
          </w:p>
        </w:tc>
        <w:tc>
          <w:tcPr>
            <w:tcW w:w="3174" w:type="dxa"/>
            <w:shd w:val="clear" w:color="auto" w:fill="auto"/>
            <w:vAlign w:val="bottom"/>
          </w:tcPr>
          <w:p w14:paraId="38292346" w14:textId="77777777" w:rsidR="0033480A" w:rsidRPr="00551E21" w:rsidRDefault="0033480A" w:rsidP="00553DCD">
            <w:pPr>
              <w:autoSpaceDE w:val="0"/>
              <w:autoSpaceDN w:val="0"/>
              <w:adjustRightInd w:val="0"/>
              <w:jc w:val="center"/>
              <w:rPr>
                <w:rFonts w:ascii="Calibri" w:hAnsi="Calibri" w:cs="Calibri"/>
              </w:rPr>
            </w:pPr>
            <w:r>
              <w:rPr>
                <w:rFonts w:ascii="Calibri" w:hAnsi="Calibri" w:cs="Calibri"/>
                <w:color w:val="000000"/>
              </w:rPr>
              <w:t>37,213</w:t>
            </w:r>
          </w:p>
        </w:tc>
        <w:tc>
          <w:tcPr>
            <w:tcW w:w="2820" w:type="dxa"/>
            <w:shd w:val="clear" w:color="auto" w:fill="auto"/>
          </w:tcPr>
          <w:p w14:paraId="1D3B0A26" w14:textId="77777777" w:rsidR="0033480A" w:rsidRDefault="0033480A" w:rsidP="00553DCD">
            <w:pPr>
              <w:autoSpaceDE w:val="0"/>
              <w:autoSpaceDN w:val="0"/>
              <w:adjustRightInd w:val="0"/>
              <w:jc w:val="center"/>
              <w:rPr>
                <w:rFonts w:ascii="Calibri" w:hAnsi="Calibri" w:cs="Calibri"/>
              </w:rPr>
            </w:pPr>
            <w:r>
              <w:rPr>
                <w:rFonts w:ascii="Calibri" w:hAnsi="Calibri" w:cs="Calibri"/>
              </w:rPr>
              <w:t>34.1%</w:t>
            </w:r>
          </w:p>
        </w:tc>
      </w:tr>
      <w:tr w:rsidR="0033480A" w:rsidRPr="00551E21" w14:paraId="51FD4ACF" w14:textId="77777777" w:rsidTr="00701F1B">
        <w:trPr>
          <w:cantSplit/>
        </w:trPr>
        <w:tc>
          <w:tcPr>
            <w:tcW w:w="2996" w:type="dxa"/>
          </w:tcPr>
          <w:p w14:paraId="3015F210" w14:textId="77777777" w:rsidR="0033480A" w:rsidRPr="00551E21" w:rsidRDefault="0033480A" w:rsidP="00553DCD">
            <w:pPr>
              <w:autoSpaceDE w:val="0"/>
              <w:autoSpaceDN w:val="0"/>
              <w:adjustRightInd w:val="0"/>
              <w:jc w:val="center"/>
              <w:rPr>
                <w:rFonts w:ascii="Calibri" w:hAnsi="Calibri" w:cs="Calibri"/>
              </w:rPr>
            </w:pPr>
            <w:r w:rsidRPr="00551E21">
              <w:rPr>
                <w:rFonts w:ascii="Calibri" w:hAnsi="Calibri" w:cs="Calibri"/>
              </w:rPr>
              <w:t>FY20</w:t>
            </w:r>
          </w:p>
        </w:tc>
        <w:tc>
          <w:tcPr>
            <w:tcW w:w="3174" w:type="dxa"/>
            <w:shd w:val="clear" w:color="auto" w:fill="auto"/>
            <w:vAlign w:val="bottom"/>
          </w:tcPr>
          <w:p w14:paraId="54F42FF2" w14:textId="77777777" w:rsidR="0033480A" w:rsidRPr="00551E21" w:rsidRDefault="0033480A" w:rsidP="00553DCD">
            <w:pPr>
              <w:autoSpaceDE w:val="0"/>
              <w:autoSpaceDN w:val="0"/>
              <w:adjustRightInd w:val="0"/>
              <w:jc w:val="center"/>
              <w:rPr>
                <w:rFonts w:ascii="Calibri" w:hAnsi="Calibri" w:cs="Calibri"/>
              </w:rPr>
            </w:pPr>
            <w:r>
              <w:rPr>
                <w:rFonts w:ascii="Calibri" w:hAnsi="Calibri" w:cs="Calibri"/>
                <w:color w:val="000000"/>
              </w:rPr>
              <w:t>34,125</w:t>
            </w:r>
          </w:p>
        </w:tc>
        <w:tc>
          <w:tcPr>
            <w:tcW w:w="2820" w:type="dxa"/>
            <w:shd w:val="clear" w:color="auto" w:fill="auto"/>
          </w:tcPr>
          <w:p w14:paraId="36E0327A" w14:textId="77777777" w:rsidR="0033480A" w:rsidRDefault="0033480A" w:rsidP="00553DCD">
            <w:pPr>
              <w:autoSpaceDE w:val="0"/>
              <w:autoSpaceDN w:val="0"/>
              <w:adjustRightInd w:val="0"/>
              <w:jc w:val="center"/>
              <w:rPr>
                <w:rFonts w:ascii="Calibri" w:hAnsi="Calibri" w:cs="Calibri"/>
              </w:rPr>
            </w:pPr>
            <w:r>
              <w:rPr>
                <w:rFonts w:ascii="Calibri" w:hAnsi="Calibri" w:cs="Calibri"/>
              </w:rPr>
              <w:t>36.0%</w:t>
            </w:r>
          </w:p>
        </w:tc>
      </w:tr>
      <w:tr w:rsidR="0033480A" w:rsidRPr="00551E21" w14:paraId="7417B665" w14:textId="77777777" w:rsidTr="00701F1B">
        <w:trPr>
          <w:cantSplit/>
        </w:trPr>
        <w:tc>
          <w:tcPr>
            <w:tcW w:w="2996" w:type="dxa"/>
          </w:tcPr>
          <w:p w14:paraId="7D2BD4E4" w14:textId="77777777" w:rsidR="0033480A" w:rsidRPr="00551E21" w:rsidRDefault="0033480A" w:rsidP="00553DCD">
            <w:pPr>
              <w:autoSpaceDE w:val="0"/>
              <w:autoSpaceDN w:val="0"/>
              <w:adjustRightInd w:val="0"/>
              <w:jc w:val="center"/>
              <w:rPr>
                <w:rFonts w:ascii="Calibri" w:hAnsi="Calibri" w:cs="Calibri"/>
              </w:rPr>
            </w:pPr>
            <w:r w:rsidRPr="00551E21">
              <w:rPr>
                <w:rFonts w:ascii="Calibri" w:hAnsi="Calibri" w:cs="Calibri"/>
              </w:rPr>
              <w:t>FY21</w:t>
            </w:r>
          </w:p>
        </w:tc>
        <w:tc>
          <w:tcPr>
            <w:tcW w:w="3174" w:type="dxa"/>
            <w:shd w:val="clear" w:color="auto" w:fill="auto"/>
            <w:vAlign w:val="bottom"/>
          </w:tcPr>
          <w:p w14:paraId="15932C09" w14:textId="77777777" w:rsidR="0033480A" w:rsidRPr="00551E21" w:rsidRDefault="0033480A" w:rsidP="00553DCD">
            <w:pPr>
              <w:autoSpaceDE w:val="0"/>
              <w:autoSpaceDN w:val="0"/>
              <w:adjustRightInd w:val="0"/>
              <w:jc w:val="center"/>
              <w:rPr>
                <w:rFonts w:ascii="Calibri" w:hAnsi="Calibri" w:cs="Calibri"/>
              </w:rPr>
            </w:pPr>
            <w:r>
              <w:rPr>
                <w:rFonts w:ascii="Calibri" w:hAnsi="Calibri" w:cs="Calibri"/>
                <w:color w:val="000000"/>
              </w:rPr>
              <w:t>36,507</w:t>
            </w:r>
          </w:p>
        </w:tc>
        <w:tc>
          <w:tcPr>
            <w:tcW w:w="2820" w:type="dxa"/>
          </w:tcPr>
          <w:p w14:paraId="4A0D1CD3" w14:textId="77777777" w:rsidR="0033480A" w:rsidRDefault="0033480A" w:rsidP="00553DCD">
            <w:pPr>
              <w:autoSpaceDE w:val="0"/>
              <w:autoSpaceDN w:val="0"/>
              <w:adjustRightInd w:val="0"/>
              <w:jc w:val="center"/>
              <w:rPr>
                <w:rFonts w:ascii="Calibri" w:hAnsi="Calibri" w:cs="Calibri"/>
              </w:rPr>
            </w:pPr>
            <w:r>
              <w:rPr>
                <w:rFonts w:ascii="Calibri" w:hAnsi="Calibri" w:cs="Calibri"/>
              </w:rPr>
              <w:t>35.4%</w:t>
            </w:r>
          </w:p>
        </w:tc>
      </w:tr>
    </w:tbl>
    <w:p w14:paraId="4CBD4889" w14:textId="77777777" w:rsidR="0033480A" w:rsidRDefault="0033480A" w:rsidP="0033480A">
      <w:pPr>
        <w:autoSpaceDE w:val="0"/>
        <w:autoSpaceDN w:val="0"/>
        <w:adjustRightInd w:val="0"/>
        <w:spacing w:after="0" w:line="240" w:lineRule="auto"/>
        <w:ind w:left="360"/>
        <w:jc w:val="both"/>
        <w:rPr>
          <w:rFonts w:ascii="Calibri" w:hAnsi="Calibri" w:cs="Calibri"/>
        </w:rPr>
      </w:pPr>
      <w:r>
        <w:rPr>
          <w:rFonts w:ascii="Calibri" w:hAnsi="Calibri" w:cs="Calibri"/>
        </w:rPr>
        <w:t>*</w:t>
      </w:r>
      <w:r w:rsidRPr="00D7571C">
        <w:rPr>
          <w:rFonts w:ascii="Calibri" w:hAnsi="Calibri" w:cs="Calibri"/>
          <w:sz w:val="18"/>
          <w:szCs w:val="18"/>
        </w:rPr>
        <w:t xml:space="preserve">The % reflects the subset of the total number of unique patients </w:t>
      </w:r>
      <w:r>
        <w:rPr>
          <w:rFonts w:ascii="Calibri" w:hAnsi="Calibri" w:cs="Calibri"/>
          <w:sz w:val="18"/>
          <w:szCs w:val="18"/>
        </w:rPr>
        <w:t>recited above in the “Overall Demographic Profile” section</w:t>
      </w:r>
    </w:p>
    <w:p w14:paraId="149495C0" w14:textId="77777777" w:rsidR="0033480A" w:rsidRDefault="0033480A" w:rsidP="0033480A">
      <w:pPr>
        <w:autoSpaceDE w:val="0"/>
        <w:autoSpaceDN w:val="0"/>
        <w:adjustRightInd w:val="0"/>
        <w:spacing w:after="0" w:line="240" w:lineRule="auto"/>
        <w:ind w:left="360"/>
        <w:jc w:val="both"/>
        <w:rPr>
          <w:rFonts w:ascii="Calibri" w:hAnsi="Calibri" w:cs="Calibri"/>
        </w:rPr>
      </w:pPr>
    </w:p>
    <w:p w14:paraId="2341A265" w14:textId="77777777" w:rsidR="0033480A" w:rsidRDefault="0033480A" w:rsidP="0033480A">
      <w:pPr>
        <w:autoSpaceDE w:val="0"/>
        <w:autoSpaceDN w:val="0"/>
        <w:adjustRightInd w:val="0"/>
        <w:spacing w:after="0" w:line="240" w:lineRule="auto"/>
        <w:ind w:left="360"/>
        <w:jc w:val="both"/>
        <w:rPr>
          <w:rFonts w:ascii="Calibri" w:hAnsi="Calibri" w:cs="Calibri"/>
        </w:rPr>
      </w:pPr>
      <w:r w:rsidRPr="00754D31">
        <w:rPr>
          <w:rFonts w:ascii="Calibri" w:hAnsi="Calibri" w:cs="Calibri"/>
        </w:rPr>
        <w:t>According to Census data, made available through the Advisory Board Demographic profiler, within MelroseWakefield Hospital’s Primary Service Area (“PSA”), the population aged 65 and over is projected to increase on average by +12.9% over the next five (5) years (CAGR of +2.5%).</w:t>
      </w:r>
    </w:p>
    <w:p w14:paraId="27FFC6A6" w14:textId="16557ED1" w:rsidR="0033480A" w:rsidRDefault="0033480A" w:rsidP="0033480A">
      <w:pPr>
        <w:autoSpaceDE w:val="0"/>
        <w:autoSpaceDN w:val="0"/>
        <w:adjustRightInd w:val="0"/>
        <w:spacing w:after="0" w:line="240" w:lineRule="auto"/>
        <w:ind w:left="360"/>
        <w:jc w:val="both"/>
        <w:rPr>
          <w:rFonts w:ascii="Calibri" w:hAnsi="Calibri" w:cs="Calibri"/>
        </w:rPr>
      </w:pPr>
    </w:p>
    <w:p w14:paraId="68EEDD62" w14:textId="2EAFE10E" w:rsidR="00F65CF6" w:rsidRDefault="00F65CF6" w:rsidP="0033480A">
      <w:pPr>
        <w:autoSpaceDE w:val="0"/>
        <w:autoSpaceDN w:val="0"/>
        <w:adjustRightInd w:val="0"/>
        <w:spacing w:after="0" w:line="240" w:lineRule="auto"/>
        <w:ind w:left="360"/>
        <w:jc w:val="both"/>
        <w:rPr>
          <w:rFonts w:ascii="Calibri" w:hAnsi="Calibri" w:cs="Calibri"/>
        </w:rPr>
      </w:pPr>
    </w:p>
    <w:p w14:paraId="2C599181" w14:textId="032FDD48" w:rsidR="00F65CF6" w:rsidRDefault="00F65CF6" w:rsidP="0033480A">
      <w:pPr>
        <w:autoSpaceDE w:val="0"/>
        <w:autoSpaceDN w:val="0"/>
        <w:adjustRightInd w:val="0"/>
        <w:spacing w:after="0" w:line="240" w:lineRule="auto"/>
        <w:ind w:left="360"/>
        <w:jc w:val="both"/>
        <w:rPr>
          <w:rFonts w:ascii="Calibri" w:hAnsi="Calibri" w:cs="Calibri"/>
        </w:rPr>
      </w:pPr>
    </w:p>
    <w:p w14:paraId="5E48B758" w14:textId="26AEA0E9" w:rsidR="00F65CF6" w:rsidRDefault="00F65CF6" w:rsidP="0033480A">
      <w:pPr>
        <w:autoSpaceDE w:val="0"/>
        <w:autoSpaceDN w:val="0"/>
        <w:adjustRightInd w:val="0"/>
        <w:spacing w:after="0" w:line="240" w:lineRule="auto"/>
        <w:ind w:left="360"/>
        <w:jc w:val="both"/>
        <w:rPr>
          <w:rFonts w:ascii="Calibri" w:hAnsi="Calibri" w:cs="Calibri"/>
        </w:rPr>
      </w:pPr>
    </w:p>
    <w:p w14:paraId="145FD161" w14:textId="77777777" w:rsidR="00F65CF6" w:rsidRDefault="00F65CF6" w:rsidP="0033480A">
      <w:pPr>
        <w:autoSpaceDE w:val="0"/>
        <w:autoSpaceDN w:val="0"/>
        <w:adjustRightInd w:val="0"/>
        <w:spacing w:after="0" w:line="240" w:lineRule="auto"/>
        <w:ind w:left="360"/>
        <w:jc w:val="both"/>
        <w:rPr>
          <w:rFonts w:ascii="Calibri" w:hAnsi="Calibri" w:cs="Calibri"/>
        </w:rPr>
      </w:pPr>
    </w:p>
    <w:p w14:paraId="1A748C7F" w14:textId="77777777" w:rsidR="0033480A" w:rsidRPr="00A22D01" w:rsidRDefault="0033480A" w:rsidP="0033480A">
      <w:pPr>
        <w:autoSpaceDE w:val="0"/>
        <w:autoSpaceDN w:val="0"/>
        <w:adjustRightInd w:val="0"/>
        <w:spacing w:after="0" w:line="240" w:lineRule="auto"/>
        <w:ind w:left="360"/>
        <w:jc w:val="both"/>
        <w:rPr>
          <w:rFonts w:ascii="Calibri" w:hAnsi="Calibri" w:cs="Calibri"/>
          <w:u w:val="single"/>
        </w:rPr>
      </w:pPr>
      <w:r w:rsidRPr="00E17154">
        <w:rPr>
          <w:rFonts w:ascii="Calibri" w:hAnsi="Calibri" w:cs="Calibri"/>
          <w:u w:val="single"/>
        </w:rPr>
        <w:lastRenderedPageBreak/>
        <w:t xml:space="preserve">The following tables display </w:t>
      </w:r>
      <w:r>
        <w:rPr>
          <w:rFonts w:ascii="Calibri" w:hAnsi="Calibri" w:cs="Calibri"/>
          <w:u w:val="single"/>
        </w:rPr>
        <w:t xml:space="preserve">MWH </w:t>
      </w:r>
      <w:r w:rsidRPr="00E17154">
        <w:rPr>
          <w:rFonts w:ascii="Calibri" w:hAnsi="Calibri" w:cs="Calibri"/>
          <w:u w:val="single"/>
        </w:rPr>
        <w:t>patient gender demographics over the last three years:</w:t>
      </w:r>
    </w:p>
    <w:p w14:paraId="043EB4D7" w14:textId="77777777" w:rsidR="0033480A" w:rsidRPr="00194883" w:rsidRDefault="0033480A" w:rsidP="0033480A">
      <w:pPr>
        <w:autoSpaceDE w:val="0"/>
        <w:autoSpaceDN w:val="0"/>
        <w:adjustRightInd w:val="0"/>
        <w:spacing w:after="0" w:line="240" w:lineRule="auto"/>
        <w:ind w:left="360"/>
        <w:jc w:val="both"/>
        <w:rPr>
          <w:rFonts w:ascii="Calibri" w:hAnsi="Calibri" w:cs="Calibri"/>
        </w:rPr>
      </w:pPr>
      <w:r w:rsidRPr="00194883">
        <w:rPr>
          <w:rFonts w:ascii="Calibri" w:hAnsi="Calibri" w:cs="Calibri"/>
        </w:rPr>
        <w:t>FY</w:t>
      </w:r>
      <w:r>
        <w:rPr>
          <w:rFonts w:ascii="Calibri" w:hAnsi="Calibri" w:cs="Calibri"/>
        </w:rPr>
        <w:t>19</w:t>
      </w:r>
    </w:p>
    <w:tbl>
      <w:tblPr>
        <w:tblStyle w:val="TableGrid"/>
        <w:tblW w:w="8995" w:type="dxa"/>
        <w:tblInd w:w="360" w:type="dxa"/>
        <w:tblLook w:val="04A0" w:firstRow="1" w:lastRow="0" w:firstColumn="1" w:lastColumn="0" w:noHBand="0" w:noVBand="1"/>
      </w:tblPr>
      <w:tblGrid>
        <w:gridCol w:w="2998"/>
        <w:gridCol w:w="2998"/>
        <w:gridCol w:w="2999"/>
      </w:tblGrid>
      <w:tr w:rsidR="0033480A" w:rsidRPr="00194883" w14:paraId="59993AA7" w14:textId="77777777" w:rsidTr="001D53DE">
        <w:trPr>
          <w:cantSplit/>
        </w:trPr>
        <w:tc>
          <w:tcPr>
            <w:tcW w:w="2998" w:type="dxa"/>
            <w:shd w:val="clear" w:color="auto" w:fill="002060"/>
          </w:tcPr>
          <w:p w14:paraId="74AC4144" w14:textId="77777777" w:rsidR="0033480A" w:rsidRPr="00194883" w:rsidRDefault="0033480A" w:rsidP="00553DCD">
            <w:pPr>
              <w:autoSpaceDE w:val="0"/>
              <w:autoSpaceDN w:val="0"/>
              <w:adjustRightInd w:val="0"/>
              <w:jc w:val="center"/>
              <w:rPr>
                <w:rFonts w:ascii="Calibri" w:hAnsi="Calibri" w:cs="Calibri"/>
              </w:rPr>
            </w:pPr>
            <w:r w:rsidRPr="00194883">
              <w:rPr>
                <w:rFonts w:ascii="Calibri" w:hAnsi="Calibri" w:cs="Calibri"/>
              </w:rPr>
              <w:t>Gender</w:t>
            </w:r>
          </w:p>
        </w:tc>
        <w:tc>
          <w:tcPr>
            <w:tcW w:w="2998" w:type="dxa"/>
            <w:tcBorders>
              <w:bottom w:val="single" w:sz="4" w:space="0" w:color="auto"/>
            </w:tcBorders>
            <w:shd w:val="clear" w:color="auto" w:fill="002060"/>
          </w:tcPr>
          <w:p w14:paraId="0F50D181" w14:textId="77777777" w:rsidR="0033480A" w:rsidRPr="00194883" w:rsidRDefault="0033480A" w:rsidP="00553DCD">
            <w:pPr>
              <w:autoSpaceDE w:val="0"/>
              <w:autoSpaceDN w:val="0"/>
              <w:adjustRightInd w:val="0"/>
              <w:jc w:val="center"/>
              <w:rPr>
                <w:rFonts w:ascii="Calibri" w:hAnsi="Calibri" w:cs="Calibri"/>
              </w:rPr>
            </w:pPr>
            <w:r w:rsidRPr="00194883">
              <w:rPr>
                <w:rFonts w:ascii="Calibri" w:hAnsi="Calibri" w:cs="Calibri"/>
              </w:rPr>
              <w:t>#</w:t>
            </w:r>
          </w:p>
        </w:tc>
        <w:tc>
          <w:tcPr>
            <w:tcW w:w="2999" w:type="dxa"/>
            <w:tcBorders>
              <w:bottom w:val="single" w:sz="4" w:space="0" w:color="auto"/>
            </w:tcBorders>
            <w:shd w:val="clear" w:color="auto" w:fill="002060"/>
          </w:tcPr>
          <w:p w14:paraId="2A8208D2" w14:textId="77777777" w:rsidR="0033480A" w:rsidRPr="00194883" w:rsidRDefault="0033480A" w:rsidP="00553DCD">
            <w:pPr>
              <w:autoSpaceDE w:val="0"/>
              <w:autoSpaceDN w:val="0"/>
              <w:adjustRightInd w:val="0"/>
              <w:jc w:val="center"/>
              <w:rPr>
                <w:rFonts w:ascii="Calibri" w:hAnsi="Calibri" w:cs="Calibri"/>
              </w:rPr>
            </w:pPr>
            <w:r w:rsidRPr="00194883">
              <w:rPr>
                <w:rFonts w:ascii="Calibri" w:hAnsi="Calibri" w:cs="Calibri"/>
              </w:rPr>
              <w:t>%</w:t>
            </w:r>
          </w:p>
        </w:tc>
      </w:tr>
      <w:tr w:rsidR="0033480A" w:rsidRPr="00194883" w14:paraId="07D5EE3A" w14:textId="77777777" w:rsidTr="001D53DE">
        <w:trPr>
          <w:cantSplit/>
        </w:trPr>
        <w:tc>
          <w:tcPr>
            <w:tcW w:w="2998" w:type="dxa"/>
          </w:tcPr>
          <w:p w14:paraId="666BF4C1" w14:textId="77777777" w:rsidR="0033480A" w:rsidRPr="00194883" w:rsidRDefault="0033480A" w:rsidP="00553DCD">
            <w:pPr>
              <w:autoSpaceDE w:val="0"/>
              <w:autoSpaceDN w:val="0"/>
              <w:adjustRightInd w:val="0"/>
              <w:jc w:val="center"/>
              <w:rPr>
                <w:rFonts w:ascii="Calibri" w:hAnsi="Calibri" w:cs="Calibri"/>
              </w:rPr>
            </w:pPr>
            <w:r w:rsidRPr="00194883">
              <w:rPr>
                <w:rFonts w:ascii="Calibri" w:hAnsi="Calibri" w:cs="Calibri"/>
              </w:rPr>
              <w:t>F- Female</w:t>
            </w:r>
          </w:p>
        </w:tc>
        <w:tc>
          <w:tcPr>
            <w:tcW w:w="2998" w:type="dxa"/>
            <w:tcBorders>
              <w:top w:val="single" w:sz="4" w:space="0" w:color="auto"/>
              <w:left w:val="nil"/>
              <w:bottom w:val="single" w:sz="4" w:space="0" w:color="auto"/>
              <w:right w:val="single" w:sz="4" w:space="0" w:color="auto"/>
            </w:tcBorders>
            <w:shd w:val="clear" w:color="auto" w:fill="auto"/>
            <w:vAlign w:val="bottom"/>
          </w:tcPr>
          <w:p w14:paraId="56997304" w14:textId="77777777" w:rsidR="0033480A" w:rsidRPr="00194883" w:rsidRDefault="0033480A" w:rsidP="00553DCD">
            <w:pPr>
              <w:autoSpaceDE w:val="0"/>
              <w:autoSpaceDN w:val="0"/>
              <w:adjustRightInd w:val="0"/>
              <w:jc w:val="center"/>
              <w:rPr>
                <w:rFonts w:ascii="Calibri" w:hAnsi="Calibri" w:cs="Calibri"/>
                <w:color w:val="FFFF00"/>
              </w:rPr>
            </w:pPr>
            <w:r>
              <w:rPr>
                <w:rFonts w:ascii="Calibri" w:hAnsi="Calibri" w:cs="Calibri"/>
                <w:color w:val="000000"/>
              </w:rPr>
              <w:t>64,073</w:t>
            </w:r>
          </w:p>
        </w:tc>
        <w:tc>
          <w:tcPr>
            <w:tcW w:w="2999" w:type="dxa"/>
            <w:tcBorders>
              <w:top w:val="single" w:sz="4" w:space="0" w:color="auto"/>
              <w:left w:val="nil"/>
              <w:bottom w:val="single" w:sz="4" w:space="0" w:color="auto"/>
              <w:right w:val="single" w:sz="4" w:space="0" w:color="auto"/>
            </w:tcBorders>
            <w:shd w:val="clear" w:color="auto" w:fill="auto"/>
            <w:vAlign w:val="bottom"/>
          </w:tcPr>
          <w:p w14:paraId="57DE57AA" w14:textId="77777777" w:rsidR="0033480A" w:rsidRPr="00194883" w:rsidRDefault="0033480A" w:rsidP="00553DCD">
            <w:pPr>
              <w:autoSpaceDE w:val="0"/>
              <w:autoSpaceDN w:val="0"/>
              <w:adjustRightInd w:val="0"/>
              <w:jc w:val="center"/>
              <w:rPr>
                <w:rFonts w:ascii="Calibri" w:hAnsi="Calibri" w:cs="Calibri"/>
                <w:color w:val="FFFF00"/>
              </w:rPr>
            </w:pPr>
            <w:r>
              <w:rPr>
                <w:rFonts w:ascii="Calibri" w:hAnsi="Calibri" w:cs="Calibri"/>
                <w:color w:val="000000"/>
              </w:rPr>
              <w:t>58.735%</w:t>
            </w:r>
          </w:p>
        </w:tc>
      </w:tr>
      <w:tr w:rsidR="0033480A" w:rsidRPr="00194883" w14:paraId="6F7773C3" w14:textId="77777777" w:rsidTr="001D53DE">
        <w:trPr>
          <w:cantSplit/>
        </w:trPr>
        <w:tc>
          <w:tcPr>
            <w:tcW w:w="2998" w:type="dxa"/>
          </w:tcPr>
          <w:p w14:paraId="3520D5E7" w14:textId="77777777" w:rsidR="0033480A" w:rsidRPr="00194883" w:rsidRDefault="0033480A" w:rsidP="00553DCD">
            <w:pPr>
              <w:autoSpaceDE w:val="0"/>
              <w:autoSpaceDN w:val="0"/>
              <w:adjustRightInd w:val="0"/>
              <w:jc w:val="center"/>
              <w:rPr>
                <w:rFonts w:ascii="Calibri" w:hAnsi="Calibri" w:cs="Calibri"/>
              </w:rPr>
            </w:pPr>
            <w:r w:rsidRPr="00194883">
              <w:rPr>
                <w:rFonts w:ascii="Calibri" w:hAnsi="Calibri" w:cs="Calibri"/>
              </w:rPr>
              <w:t>M -Male</w:t>
            </w:r>
          </w:p>
        </w:tc>
        <w:tc>
          <w:tcPr>
            <w:tcW w:w="2998" w:type="dxa"/>
            <w:tcBorders>
              <w:top w:val="single" w:sz="4" w:space="0" w:color="auto"/>
              <w:left w:val="nil"/>
              <w:bottom w:val="single" w:sz="4" w:space="0" w:color="auto"/>
              <w:right w:val="single" w:sz="4" w:space="0" w:color="auto"/>
            </w:tcBorders>
            <w:shd w:val="clear" w:color="auto" w:fill="auto"/>
            <w:vAlign w:val="bottom"/>
          </w:tcPr>
          <w:p w14:paraId="47BAC68D" w14:textId="77777777" w:rsidR="0033480A" w:rsidRPr="00194883" w:rsidRDefault="0033480A" w:rsidP="00553DCD">
            <w:pPr>
              <w:autoSpaceDE w:val="0"/>
              <w:autoSpaceDN w:val="0"/>
              <w:adjustRightInd w:val="0"/>
              <w:jc w:val="center"/>
              <w:rPr>
                <w:rFonts w:ascii="Calibri" w:hAnsi="Calibri" w:cs="Calibri"/>
                <w:color w:val="FFFF00"/>
              </w:rPr>
            </w:pPr>
            <w:r>
              <w:rPr>
                <w:rFonts w:ascii="Calibri" w:hAnsi="Calibri" w:cs="Calibri"/>
                <w:color w:val="000000"/>
              </w:rPr>
              <w:t>45,012</w:t>
            </w:r>
          </w:p>
        </w:tc>
        <w:tc>
          <w:tcPr>
            <w:tcW w:w="2999" w:type="dxa"/>
            <w:tcBorders>
              <w:top w:val="single" w:sz="4" w:space="0" w:color="auto"/>
              <w:left w:val="nil"/>
              <w:bottom w:val="single" w:sz="4" w:space="0" w:color="auto"/>
              <w:right w:val="single" w:sz="4" w:space="0" w:color="auto"/>
            </w:tcBorders>
            <w:shd w:val="clear" w:color="auto" w:fill="auto"/>
            <w:vAlign w:val="bottom"/>
          </w:tcPr>
          <w:p w14:paraId="635FDB93" w14:textId="77777777" w:rsidR="0033480A" w:rsidRPr="00194883" w:rsidRDefault="0033480A" w:rsidP="00553DCD">
            <w:pPr>
              <w:autoSpaceDE w:val="0"/>
              <w:autoSpaceDN w:val="0"/>
              <w:adjustRightInd w:val="0"/>
              <w:jc w:val="center"/>
              <w:rPr>
                <w:rFonts w:ascii="Calibri" w:hAnsi="Calibri" w:cs="Calibri"/>
                <w:color w:val="FFFF00"/>
              </w:rPr>
            </w:pPr>
            <w:r>
              <w:rPr>
                <w:rFonts w:ascii="Calibri" w:hAnsi="Calibri" w:cs="Calibri"/>
                <w:color w:val="000000"/>
              </w:rPr>
              <w:t>41.262%</w:t>
            </w:r>
          </w:p>
        </w:tc>
      </w:tr>
      <w:tr w:rsidR="0033480A" w:rsidRPr="00194883" w14:paraId="4B8DD78C" w14:textId="77777777" w:rsidTr="001D53DE">
        <w:trPr>
          <w:cantSplit/>
        </w:trPr>
        <w:tc>
          <w:tcPr>
            <w:tcW w:w="2998" w:type="dxa"/>
          </w:tcPr>
          <w:p w14:paraId="54A0E61E" w14:textId="77777777" w:rsidR="0033480A" w:rsidRPr="00194883" w:rsidRDefault="0033480A" w:rsidP="00553DCD">
            <w:pPr>
              <w:autoSpaceDE w:val="0"/>
              <w:autoSpaceDN w:val="0"/>
              <w:adjustRightInd w:val="0"/>
              <w:jc w:val="center"/>
              <w:rPr>
                <w:rFonts w:ascii="Calibri" w:hAnsi="Calibri" w:cs="Calibri"/>
              </w:rPr>
            </w:pPr>
            <w:r w:rsidRPr="00194883">
              <w:rPr>
                <w:rFonts w:ascii="Calibri" w:hAnsi="Calibri" w:cs="Calibri"/>
              </w:rPr>
              <w:t>Unknown</w:t>
            </w:r>
          </w:p>
        </w:tc>
        <w:tc>
          <w:tcPr>
            <w:tcW w:w="2998" w:type="dxa"/>
            <w:tcBorders>
              <w:top w:val="single" w:sz="4" w:space="0" w:color="auto"/>
              <w:left w:val="nil"/>
              <w:bottom w:val="single" w:sz="4" w:space="0" w:color="auto"/>
              <w:right w:val="single" w:sz="4" w:space="0" w:color="auto"/>
            </w:tcBorders>
            <w:shd w:val="clear" w:color="auto" w:fill="auto"/>
            <w:vAlign w:val="bottom"/>
          </w:tcPr>
          <w:p w14:paraId="3BA8E47D" w14:textId="77777777" w:rsidR="0033480A" w:rsidRPr="00194883" w:rsidRDefault="0033480A" w:rsidP="00553DCD">
            <w:pPr>
              <w:autoSpaceDE w:val="0"/>
              <w:autoSpaceDN w:val="0"/>
              <w:adjustRightInd w:val="0"/>
              <w:jc w:val="center"/>
              <w:rPr>
                <w:rFonts w:ascii="Calibri" w:hAnsi="Calibri" w:cs="Calibri"/>
                <w:color w:val="FFFF00"/>
              </w:rPr>
            </w:pPr>
            <w:r w:rsidRPr="001E12CC">
              <w:rPr>
                <w:rFonts w:ascii="Calibri" w:hAnsi="Calibri" w:cs="Calibri"/>
              </w:rPr>
              <w:t>&lt;11</w:t>
            </w:r>
            <w:r>
              <w:rPr>
                <w:rStyle w:val="FootnoteReference"/>
                <w:rFonts w:ascii="Calibri" w:hAnsi="Calibri" w:cs="Calibri"/>
              </w:rPr>
              <w:footnoteReference w:id="12"/>
            </w:r>
          </w:p>
        </w:tc>
        <w:tc>
          <w:tcPr>
            <w:tcW w:w="2999" w:type="dxa"/>
            <w:tcBorders>
              <w:top w:val="single" w:sz="4" w:space="0" w:color="auto"/>
              <w:left w:val="nil"/>
              <w:bottom w:val="single" w:sz="4" w:space="0" w:color="auto"/>
              <w:right w:val="single" w:sz="4" w:space="0" w:color="auto"/>
            </w:tcBorders>
            <w:shd w:val="clear" w:color="auto" w:fill="auto"/>
            <w:vAlign w:val="bottom"/>
          </w:tcPr>
          <w:p w14:paraId="59527636" w14:textId="77777777" w:rsidR="0033480A" w:rsidRPr="00194883" w:rsidRDefault="0033480A" w:rsidP="00553DCD">
            <w:pPr>
              <w:autoSpaceDE w:val="0"/>
              <w:autoSpaceDN w:val="0"/>
              <w:adjustRightInd w:val="0"/>
              <w:jc w:val="center"/>
              <w:rPr>
                <w:rFonts w:ascii="Calibri" w:hAnsi="Calibri" w:cs="Calibri"/>
                <w:color w:val="FFFF00"/>
              </w:rPr>
            </w:pPr>
            <w:r>
              <w:rPr>
                <w:rFonts w:ascii="Calibri" w:hAnsi="Calibri" w:cs="Calibri"/>
                <w:color w:val="000000"/>
              </w:rPr>
              <w:t>0.004%</w:t>
            </w:r>
          </w:p>
        </w:tc>
      </w:tr>
      <w:tr w:rsidR="0033480A" w:rsidRPr="00194883" w14:paraId="4A8D9C12" w14:textId="77777777" w:rsidTr="001D53DE">
        <w:trPr>
          <w:cantSplit/>
        </w:trPr>
        <w:tc>
          <w:tcPr>
            <w:tcW w:w="2998" w:type="dxa"/>
            <w:shd w:val="clear" w:color="auto" w:fill="E7E6E6" w:themeFill="background2"/>
          </w:tcPr>
          <w:p w14:paraId="1B92FF36" w14:textId="77777777" w:rsidR="0033480A" w:rsidRPr="00194883" w:rsidRDefault="0033480A" w:rsidP="00553DCD">
            <w:pPr>
              <w:autoSpaceDE w:val="0"/>
              <w:autoSpaceDN w:val="0"/>
              <w:adjustRightInd w:val="0"/>
              <w:jc w:val="center"/>
              <w:rPr>
                <w:rFonts w:ascii="Calibri" w:hAnsi="Calibri" w:cs="Calibri"/>
                <w:b/>
                <w:bCs/>
              </w:rPr>
            </w:pPr>
            <w:r w:rsidRPr="00194883">
              <w:rPr>
                <w:rFonts w:ascii="Calibri" w:hAnsi="Calibri" w:cs="Calibri"/>
                <w:b/>
                <w:bCs/>
              </w:rPr>
              <w:t>Total</w:t>
            </w:r>
          </w:p>
        </w:tc>
        <w:tc>
          <w:tcPr>
            <w:tcW w:w="2998" w:type="dxa"/>
            <w:tcBorders>
              <w:top w:val="single" w:sz="4" w:space="0" w:color="auto"/>
              <w:left w:val="nil"/>
              <w:bottom w:val="single" w:sz="4" w:space="0" w:color="auto"/>
              <w:right w:val="single" w:sz="4" w:space="0" w:color="auto"/>
            </w:tcBorders>
            <w:shd w:val="clear" w:color="auto" w:fill="E7E6E6" w:themeFill="background2"/>
            <w:vAlign w:val="bottom"/>
          </w:tcPr>
          <w:p w14:paraId="71557CED" w14:textId="77777777" w:rsidR="0033480A" w:rsidRPr="005C5F10" w:rsidRDefault="0033480A" w:rsidP="00553DCD">
            <w:pPr>
              <w:autoSpaceDE w:val="0"/>
              <w:autoSpaceDN w:val="0"/>
              <w:adjustRightInd w:val="0"/>
              <w:jc w:val="center"/>
              <w:rPr>
                <w:rFonts w:ascii="Calibri" w:hAnsi="Calibri" w:cs="Calibri"/>
                <w:b/>
                <w:bCs/>
              </w:rPr>
            </w:pPr>
            <w:r w:rsidRPr="005C5F10">
              <w:rPr>
                <w:rFonts w:ascii="Calibri" w:hAnsi="Calibri" w:cs="Calibri"/>
                <w:b/>
                <w:bCs/>
              </w:rPr>
              <w:t>109,089</w:t>
            </w:r>
          </w:p>
        </w:tc>
        <w:tc>
          <w:tcPr>
            <w:tcW w:w="2999" w:type="dxa"/>
            <w:tcBorders>
              <w:top w:val="single" w:sz="4" w:space="0" w:color="auto"/>
              <w:left w:val="nil"/>
              <w:bottom w:val="single" w:sz="4" w:space="0" w:color="auto"/>
              <w:right w:val="single" w:sz="4" w:space="0" w:color="auto"/>
            </w:tcBorders>
            <w:shd w:val="clear" w:color="auto" w:fill="E7E6E6" w:themeFill="background2"/>
            <w:vAlign w:val="bottom"/>
          </w:tcPr>
          <w:p w14:paraId="77A686C8" w14:textId="77777777" w:rsidR="0033480A" w:rsidRPr="005C5F10" w:rsidRDefault="0033480A" w:rsidP="00553DCD">
            <w:pPr>
              <w:autoSpaceDE w:val="0"/>
              <w:autoSpaceDN w:val="0"/>
              <w:adjustRightInd w:val="0"/>
              <w:jc w:val="center"/>
              <w:rPr>
                <w:rFonts w:ascii="Calibri" w:hAnsi="Calibri" w:cs="Calibri"/>
                <w:b/>
                <w:bCs/>
              </w:rPr>
            </w:pPr>
            <w:r w:rsidRPr="005C5F10">
              <w:rPr>
                <w:rFonts w:ascii="Calibri" w:hAnsi="Calibri" w:cs="Calibri"/>
                <w:b/>
                <w:bCs/>
              </w:rPr>
              <w:t>100.000%</w:t>
            </w:r>
          </w:p>
        </w:tc>
      </w:tr>
    </w:tbl>
    <w:p w14:paraId="35A92A4B" w14:textId="77777777" w:rsidR="0033480A" w:rsidRPr="00194883" w:rsidRDefault="0033480A" w:rsidP="0033480A">
      <w:pPr>
        <w:autoSpaceDE w:val="0"/>
        <w:autoSpaceDN w:val="0"/>
        <w:adjustRightInd w:val="0"/>
        <w:spacing w:after="0" w:line="240" w:lineRule="auto"/>
        <w:ind w:left="360"/>
        <w:jc w:val="both"/>
        <w:rPr>
          <w:rFonts w:ascii="Calibri" w:hAnsi="Calibri" w:cs="Calibri"/>
        </w:rPr>
      </w:pPr>
      <w:r w:rsidRPr="00194883">
        <w:rPr>
          <w:rFonts w:ascii="Calibri" w:hAnsi="Calibri" w:cs="Calibri"/>
        </w:rPr>
        <w:t>FY2</w:t>
      </w:r>
      <w:r>
        <w:rPr>
          <w:rFonts w:ascii="Calibri" w:hAnsi="Calibri" w:cs="Calibri"/>
        </w:rPr>
        <w:t>0</w:t>
      </w:r>
    </w:p>
    <w:tbl>
      <w:tblPr>
        <w:tblStyle w:val="TableGrid"/>
        <w:tblW w:w="8995" w:type="dxa"/>
        <w:tblInd w:w="360" w:type="dxa"/>
        <w:tblLook w:val="04A0" w:firstRow="1" w:lastRow="0" w:firstColumn="1" w:lastColumn="0" w:noHBand="0" w:noVBand="1"/>
      </w:tblPr>
      <w:tblGrid>
        <w:gridCol w:w="2998"/>
        <w:gridCol w:w="2998"/>
        <w:gridCol w:w="2999"/>
      </w:tblGrid>
      <w:tr w:rsidR="0033480A" w:rsidRPr="00194883" w14:paraId="7BAC3384" w14:textId="77777777" w:rsidTr="00B554AD">
        <w:trPr>
          <w:cantSplit/>
          <w:tblHeader/>
        </w:trPr>
        <w:tc>
          <w:tcPr>
            <w:tcW w:w="2998" w:type="dxa"/>
            <w:shd w:val="clear" w:color="auto" w:fill="002060"/>
          </w:tcPr>
          <w:p w14:paraId="35C84B39" w14:textId="77777777" w:rsidR="0033480A" w:rsidRPr="00194883" w:rsidRDefault="0033480A" w:rsidP="00553DCD">
            <w:pPr>
              <w:autoSpaceDE w:val="0"/>
              <w:autoSpaceDN w:val="0"/>
              <w:adjustRightInd w:val="0"/>
              <w:jc w:val="center"/>
              <w:rPr>
                <w:rFonts w:ascii="Calibri" w:hAnsi="Calibri" w:cs="Calibri"/>
              </w:rPr>
            </w:pPr>
            <w:r w:rsidRPr="00194883">
              <w:rPr>
                <w:rFonts w:ascii="Calibri" w:hAnsi="Calibri" w:cs="Calibri"/>
              </w:rPr>
              <w:t>Gender</w:t>
            </w:r>
          </w:p>
        </w:tc>
        <w:tc>
          <w:tcPr>
            <w:tcW w:w="2998" w:type="dxa"/>
            <w:tcBorders>
              <w:bottom w:val="single" w:sz="4" w:space="0" w:color="auto"/>
            </w:tcBorders>
            <w:shd w:val="clear" w:color="auto" w:fill="002060"/>
          </w:tcPr>
          <w:p w14:paraId="5FFAAA96" w14:textId="77777777" w:rsidR="0033480A" w:rsidRPr="00194883" w:rsidRDefault="0033480A" w:rsidP="00553DCD">
            <w:pPr>
              <w:autoSpaceDE w:val="0"/>
              <w:autoSpaceDN w:val="0"/>
              <w:adjustRightInd w:val="0"/>
              <w:jc w:val="center"/>
              <w:rPr>
                <w:rFonts w:ascii="Calibri" w:hAnsi="Calibri" w:cs="Calibri"/>
              </w:rPr>
            </w:pPr>
            <w:r w:rsidRPr="00194883">
              <w:rPr>
                <w:rFonts w:ascii="Calibri" w:hAnsi="Calibri" w:cs="Calibri"/>
              </w:rPr>
              <w:t>#</w:t>
            </w:r>
          </w:p>
        </w:tc>
        <w:tc>
          <w:tcPr>
            <w:tcW w:w="2999" w:type="dxa"/>
            <w:tcBorders>
              <w:bottom w:val="single" w:sz="4" w:space="0" w:color="auto"/>
            </w:tcBorders>
            <w:shd w:val="clear" w:color="auto" w:fill="002060"/>
          </w:tcPr>
          <w:p w14:paraId="2E6F3760" w14:textId="77777777" w:rsidR="0033480A" w:rsidRPr="00194883" w:rsidRDefault="0033480A" w:rsidP="00553DCD">
            <w:pPr>
              <w:autoSpaceDE w:val="0"/>
              <w:autoSpaceDN w:val="0"/>
              <w:adjustRightInd w:val="0"/>
              <w:jc w:val="center"/>
              <w:rPr>
                <w:rFonts w:ascii="Calibri" w:hAnsi="Calibri" w:cs="Calibri"/>
              </w:rPr>
            </w:pPr>
            <w:r w:rsidRPr="00194883">
              <w:rPr>
                <w:rFonts w:ascii="Calibri" w:hAnsi="Calibri" w:cs="Calibri"/>
              </w:rPr>
              <w:t>%</w:t>
            </w:r>
          </w:p>
        </w:tc>
      </w:tr>
      <w:tr w:rsidR="0033480A" w:rsidRPr="00194883" w14:paraId="46162338" w14:textId="77777777" w:rsidTr="00B554AD">
        <w:trPr>
          <w:cantSplit/>
        </w:trPr>
        <w:tc>
          <w:tcPr>
            <w:tcW w:w="2998" w:type="dxa"/>
          </w:tcPr>
          <w:p w14:paraId="18414066" w14:textId="77777777" w:rsidR="0033480A" w:rsidRPr="00194883" w:rsidRDefault="0033480A" w:rsidP="00553DCD">
            <w:pPr>
              <w:autoSpaceDE w:val="0"/>
              <w:autoSpaceDN w:val="0"/>
              <w:adjustRightInd w:val="0"/>
              <w:jc w:val="center"/>
              <w:rPr>
                <w:rFonts w:ascii="Calibri" w:hAnsi="Calibri" w:cs="Calibri"/>
              </w:rPr>
            </w:pPr>
            <w:r w:rsidRPr="00194883">
              <w:rPr>
                <w:rFonts w:ascii="Calibri" w:hAnsi="Calibri" w:cs="Calibri"/>
              </w:rPr>
              <w:t>F- Female</w:t>
            </w:r>
          </w:p>
        </w:tc>
        <w:tc>
          <w:tcPr>
            <w:tcW w:w="2998" w:type="dxa"/>
            <w:tcBorders>
              <w:top w:val="single" w:sz="4" w:space="0" w:color="auto"/>
              <w:left w:val="nil"/>
              <w:bottom w:val="single" w:sz="4" w:space="0" w:color="auto"/>
              <w:right w:val="single" w:sz="4" w:space="0" w:color="auto"/>
            </w:tcBorders>
            <w:shd w:val="clear" w:color="auto" w:fill="auto"/>
            <w:vAlign w:val="bottom"/>
          </w:tcPr>
          <w:p w14:paraId="1A503CD5" w14:textId="77777777" w:rsidR="0033480A" w:rsidRPr="00194883" w:rsidRDefault="0033480A" w:rsidP="00553DCD">
            <w:pPr>
              <w:autoSpaceDE w:val="0"/>
              <w:autoSpaceDN w:val="0"/>
              <w:adjustRightInd w:val="0"/>
              <w:jc w:val="center"/>
              <w:rPr>
                <w:rFonts w:ascii="Calibri" w:hAnsi="Calibri" w:cs="Calibri"/>
                <w:color w:val="FFFF00"/>
              </w:rPr>
            </w:pPr>
            <w:r>
              <w:rPr>
                <w:rFonts w:ascii="Calibri" w:hAnsi="Calibri" w:cs="Calibri"/>
                <w:color w:val="000000"/>
              </w:rPr>
              <w:t>55,770</w:t>
            </w:r>
          </w:p>
        </w:tc>
        <w:tc>
          <w:tcPr>
            <w:tcW w:w="2999" w:type="dxa"/>
            <w:tcBorders>
              <w:top w:val="single" w:sz="4" w:space="0" w:color="auto"/>
              <w:left w:val="nil"/>
              <w:bottom w:val="single" w:sz="4" w:space="0" w:color="auto"/>
              <w:right w:val="single" w:sz="4" w:space="0" w:color="auto"/>
            </w:tcBorders>
            <w:shd w:val="clear" w:color="auto" w:fill="auto"/>
            <w:vAlign w:val="bottom"/>
          </w:tcPr>
          <w:p w14:paraId="133A7E90" w14:textId="77777777" w:rsidR="0033480A" w:rsidRPr="00194883" w:rsidRDefault="0033480A" w:rsidP="00553DCD">
            <w:pPr>
              <w:autoSpaceDE w:val="0"/>
              <w:autoSpaceDN w:val="0"/>
              <w:adjustRightInd w:val="0"/>
              <w:jc w:val="center"/>
              <w:rPr>
                <w:rFonts w:ascii="Calibri" w:hAnsi="Calibri" w:cs="Calibri"/>
                <w:color w:val="FFFF00"/>
              </w:rPr>
            </w:pPr>
            <w:r>
              <w:rPr>
                <w:rFonts w:ascii="Calibri" w:hAnsi="Calibri" w:cs="Calibri"/>
                <w:color w:val="000000"/>
              </w:rPr>
              <w:t>58.829%</w:t>
            </w:r>
          </w:p>
        </w:tc>
      </w:tr>
      <w:tr w:rsidR="0033480A" w:rsidRPr="00194883" w14:paraId="2DD27225" w14:textId="77777777" w:rsidTr="00B554AD">
        <w:trPr>
          <w:cantSplit/>
        </w:trPr>
        <w:tc>
          <w:tcPr>
            <w:tcW w:w="2998" w:type="dxa"/>
          </w:tcPr>
          <w:p w14:paraId="5A51EB11" w14:textId="77777777" w:rsidR="0033480A" w:rsidRPr="00194883" w:rsidRDefault="0033480A" w:rsidP="00553DCD">
            <w:pPr>
              <w:autoSpaceDE w:val="0"/>
              <w:autoSpaceDN w:val="0"/>
              <w:adjustRightInd w:val="0"/>
              <w:jc w:val="center"/>
              <w:rPr>
                <w:rFonts w:ascii="Calibri" w:hAnsi="Calibri" w:cs="Calibri"/>
              </w:rPr>
            </w:pPr>
            <w:r w:rsidRPr="00194883">
              <w:rPr>
                <w:rFonts w:ascii="Calibri" w:hAnsi="Calibri" w:cs="Calibri"/>
              </w:rPr>
              <w:t>M -Male</w:t>
            </w:r>
          </w:p>
        </w:tc>
        <w:tc>
          <w:tcPr>
            <w:tcW w:w="2998" w:type="dxa"/>
            <w:tcBorders>
              <w:top w:val="single" w:sz="4" w:space="0" w:color="auto"/>
              <w:left w:val="nil"/>
              <w:bottom w:val="single" w:sz="4" w:space="0" w:color="auto"/>
              <w:right w:val="single" w:sz="4" w:space="0" w:color="auto"/>
            </w:tcBorders>
            <w:shd w:val="clear" w:color="auto" w:fill="auto"/>
            <w:vAlign w:val="bottom"/>
          </w:tcPr>
          <w:p w14:paraId="13B3CF35" w14:textId="77777777" w:rsidR="0033480A" w:rsidRPr="00194883" w:rsidRDefault="0033480A" w:rsidP="00553DCD">
            <w:pPr>
              <w:autoSpaceDE w:val="0"/>
              <w:autoSpaceDN w:val="0"/>
              <w:adjustRightInd w:val="0"/>
              <w:jc w:val="center"/>
              <w:rPr>
                <w:rFonts w:ascii="Calibri" w:hAnsi="Calibri" w:cs="Calibri"/>
                <w:color w:val="FFFF00"/>
              </w:rPr>
            </w:pPr>
            <w:r>
              <w:rPr>
                <w:rFonts w:ascii="Calibri" w:hAnsi="Calibri" w:cs="Calibri"/>
                <w:color w:val="000000"/>
              </w:rPr>
              <w:t>39,026</w:t>
            </w:r>
          </w:p>
        </w:tc>
        <w:tc>
          <w:tcPr>
            <w:tcW w:w="2999" w:type="dxa"/>
            <w:tcBorders>
              <w:top w:val="single" w:sz="4" w:space="0" w:color="auto"/>
              <w:left w:val="nil"/>
              <w:bottom w:val="single" w:sz="4" w:space="0" w:color="auto"/>
              <w:right w:val="single" w:sz="4" w:space="0" w:color="auto"/>
            </w:tcBorders>
            <w:shd w:val="clear" w:color="auto" w:fill="auto"/>
            <w:vAlign w:val="bottom"/>
          </w:tcPr>
          <w:p w14:paraId="7420EA89" w14:textId="77777777" w:rsidR="0033480A" w:rsidRPr="00194883" w:rsidRDefault="0033480A" w:rsidP="00553DCD">
            <w:pPr>
              <w:autoSpaceDE w:val="0"/>
              <w:autoSpaceDN w:val="0"/>
              <w:adjustRightInd w:val="0"/>
              <w:jc w:val="center"/>
              <w:rPr>
                <w:rFonts w:ascii="Calibri" w:hAnsi="Calibri" w:cs="Calibri"/>
                <w:color w:val="FFFF00"/>
              </w:rPr>
            </w:pPr>
            <w:r>
              <w:rPr>
                <w:rFonts w:ascii="Calibri" w:hAnsi="Calibri" w:cs="Calibri"/>
                <w:color w:val="000000"/>
              </w:rPr>
              <w:t>41.167%</w:t>
            </w:r>
          </w:p>
        </w:tc>
      </w:tr>
      <w:tr w:rsidR="0033480A" w:rsidRPr="00194883" w14:paraId="19DAEAD9" w14:textId="77777777" w:rsidTr="00B554AD">
        <w:trPr>
          <w:cantSplit/>
        </w:trPr>
        <w:tc>
          <w:tcPr>
            <w:tcW w:w="2998" w:type="dxa"/>
          </w:tcPr>
          <w:p w14:paraId="7D71D053" w14:textId="77777777" w:rsidR="0033480A" w:rsidRPr="00194883" w:rsidRDefault="0033480A" w:rsidP="00553DCD">
            <w:pPr>
              <w:autoSpaceDE w:val="0"/>
              <w:autoSpaceDN w:val="0"/>
              <w:adjustRightInd w:val="0"/>
              <w:jc w:val="center"/>
              <w:rPr>
                <w:rFonts w:ascii="Calibri" w:hAnsi="Calibri" w:cs="Calibri"/>
              </w:rPr>
            </w:pPr>
            <w:r w:rsidRPr="00194883">
              <w:rPr>
                <w:rFonts w:ascii="Calibri" w:hAnsi="Calibri" w:cs="Calibri"/>
              </w:rPr>
              <w:t>Unknown</w:t>
            </w:r>
          </w:p>
        </w:tc>
        <w:tc>
          <w:tcPr>
            <w:tcW w:w="2998" w:type="dxa"/>
            <w:tcBorders>
              <w:top w:val="single" w:sz="4" w:space="0" w:color="auto"/>
              <w:left w:val="nil"/>
              <w:bottom w:val="single" w:sz="4" w:space="0" w:color="auto"/>
              <w:right w:val="single" w:sz="4" w:space="0" w:color="auto"/>
            </w:tcBorders>
            <w:shd w:val="clear" w:color="auto" w:fill="auto"/>
            <w:vAlign w:val="bottom"/>
          </w:tcPr>
          <w:p w14:paraId="12520D05" w14:textId="77777777" w:rsidR="0033480A" w:rsidRPr="00194883" w:rsidRDefault="0033480A" w:rsidP="00553DCD">
            <w:pPr>
              <w:autoSpaceDE w:val="0"/>
              <w:autoSpaceDN w:val="0"/>
              <w:adjustRightInd w:val="0"/>
              <w:jc w:val="center"/>
              <w:rPr>
                <w:rFonts w:ascii="Calibri" w:hAnsi="Calibri" w:cs="Calibri"/>
                <w:color w:val="FFFF00"/>
              </w:rPr>
            </w:pPr>
            <w:r w:rsidRPr="001E12CC">
              <w:rPr>
                <w:rFonts w:ascii="Calibri" w:hAnsi="Calibri" w:cs="Calibri"/>
              </w:rPr>
              <w:t>&lt;11</w:t>
            </w:r>
            <w:r>
              <w:rPr>
                <w:rStyle w:val="FootnoteReference"/>
                <w:rFonts w:ascii="Calibri" w:hAnsi="Calibri" w:cs="Calibri"/>
              </w:rPr>
              <w:footnoteReference w:id="13"/>
            </w:r>
          </w:p>
        </w:tc>
        <w:tc>
          <w:tcPr>
            <w:tcW w:w="2999" w:type="dxa"/>
            <w:tcBorders>
              <w:top w:val="single" w:sz="4" w:space="0" w:color="auto"/>
              <w:left w:val="nil"/>
              <w:bottom w:val="single" w:sz="4" w:space="0" w:color="auto"/>
              <w:right w:val="single" w:sz="4" w:space="0" w:color="auto"/>
            </w:tcBorders>
            <w:shd w:val="clear" w:color="auto" w:fill="auto"/>
            <w:vAlign w:val="bottom"/>
          </w:tcPr>
          <w:p w14:paraId="70CA3EDF" w14:textId="77777777" w:rsidR="0033480A" w:rsidRPr="00194883" w:rsidRDefault="0033480A" w:rsidP="00553DCD">
            <w:pPr>
              <w:autoSpaceDE w:val="0"/>
              <w:autoSpaceDN w:val="0"/>
              <w:adjustRightInd w:val="0"/>
              <w:jc w:val="center"/>
              <w:rPr>
                <w:rFonts w:ascii="Calibri" w:hAnsi="Calibri" w:cs="Calibri"/>
                <w:color w:val="FFFF00"/>
              </w:rPr>
            </w:pPr>
            <w:r>
              <w:rPr>
                <w:rFonts w:ascii="Calibri" w:hAnsi="Calibri" w:cs="Calibri"/>
                <w:color w:val="000000"/>
              </w:rPr>
              <w:t>0.004%</w:t>
            </w:r>
          </w:p>
        </w:tc>
      </w:tr>
      <w:tr w:rsidR="0033480A" w:rsidRPr="00194883" w14:paraId="10B73B63" w14:textId="77777777" w:rsidTr="00B554AD">
        <w:trPr>
          <w:cantSplit/>
        </w:trPr>
        <w:tc>
          <w:tcPr>
            <w:tcW w:w="2998" w:type="dxa"/>
            <w:shd w:val="clear" w:color="auto" w:fill="E7E6E6" w:themeFill="background2"/>
          </w:tcPr>
          <w:p w14:paraId="7E7047CB" w14:textId="77777777" w:rsidR="0033480A" w:rsidRPr="00194883" w:rsidRDefault="0033480A" w:rsidP="00553DCD">
            <w:pPr>
              <w:autoSpaceDE w:val="0"/>
              <w:autoSpaceDN w:val="0"/>
              <w:adjustRightInd w:val="0"/>
              <w:jc w:val="center"/>
              <w:rPr>
                <w:rFonts w:ascii="Calibri" w:hAnsi="Calibri" w:cs="Calibri"/>
                <w:b/>
                <w:bCs/>
              </w:rPr>
            </w:pPr>
            <w:r w:rsidRPr="00194883">
              <w:rPr>
                <w:rFonts w:ascii="Calibri" w:hAnsi="Calibri" w:cs="Calibri"/>
                <w:b/>
                <w:bCs/>
              </w:rPr>
              <w:t>Total</w:t>
            </w:r>
          </w:p>
        </w:tc>
        <w:tc>
          <w:tcPr>
            <w:tcW w:w="2998" w:type="dxa"/>
            <w:tcBorders>
              <w:top w:val="single" w:sz="4" w:space="0" w:color="auto"/>
              <w:left w:val="nil"/>
              <w:bottom w:val="single" w:sz="4" w:space="0" w:color="auto"/>
              <w:right w:val="single" w:sz="4" w:space="0" w:color="auto"/>
            </w:tcBorders>
            <w:shd w:val="clear" w:color="auto" w:fill="E7E6E6" w:themeFill="background2"/>
            <w:vAlign w:val="bottom"/>
          </w:tcPr>
          <w:p w14:paraId="347F2318" w14:textId="77777777" w:rsidR="0033480A" w:rsidRPr="00194883" w:rsidRDefault="0033480A" w:rsidP="00553DCD">
            <w:pPr>
              <w:autoSpaceDE w:val="0"/>
              <w:autoSpaceDN w:val="0"/>
              <w:adjustRightInd w:val="0"/>
              <w:jc w:val="center"/>
              <w:rPr>
                <w:rFonts w:ascii="Calibri" w:hAnsi="Calibri" w:cs="Calibri"/>
                <w:b/>
                <w:bCs/>
                <w:color w:val="FFFF00"/>
              </w:rPr>
            </w:pPr>
            <w:r>
              <w:rPr>
                <w:rFonts w:ascii="Calibri" w:hAnsi="Calibri" w:cs="Calibri"/>
                <w:b/>
                <w:bCs/>
                <w:color w:val="000000"/>
              </w:rPr>
              <w:t>94,800</w:t>
            </w:r>
          </w:p>
        </w:tc>
        <w:tc>
          <w:tcPr>
            <w:tcW w:w="2999" w:type="dxa"/>
            <w:tcBorders>
              <w:top w:val="single" w:sz="4" w:space="0" w:color="auto"/>
              <w:left w:val="nil"/>
              <w:bottom w:val="single" w:sz="4" w:space="0" w:color="auto"/>
              <w:right w:val="single" w:sz="4" w:space="0" w:color="auto"/>
            </w:tcBorders>
            <w:shd w:val="clear" w:color="auto" w:fill="E7E6E6" w:themeFill="background2"/>
            <w:vAlign w:val="bottom"/>
          </w:tcPr>
          <w:p w14:paraId="0C721C60" w14:textId="77777777" w:rsidR="0033480A" w:rsidRPr="00194883" w:rsidRDefault="0033480A" w:rsidP="00553DCD">
            <w:pPr>
              <w:autoSpaceDE w:val="0"/>
              <w:autoSpaceDN w:val="0"/>
              <w:adjustRightInd w:val="0"/>
              <w:jc w:val="center"/>
              <w:rPr>
                <w:rFonts w:ascii="Calibri" w:hAnsi="Calibri" w:cs="Calibri"/>
                <w:b/>
                <w:bCs/>
                <w:color w:val="FFFF00"/>
              </w:rPr>
            </w:pPr>
            <w:r>
              <w:rPr>
                <w:rFonts w:ascii="Calibri" w:hAnsi="Calibri" w:cs="Calibri"/>
                <w:b/>
                <w:bCs/>
                <w:color w:val="000000"/>
              </w:rPr>
              <w:t>100.000%</w:t>
            </w:r>
          </w:p>
        </w:tc>
      </w:tr>
    </w:tbl>
    <w:p w14:paraId="606DF465" w14:textId="77777777" w:rsidR="0033480A" w:rsidRDefault="0033480A" w:rsidP="0033480A">
      <w:pPr>
        <w:autoSpaceDE w:val="0"/>
        <w:autoSpaceDN w:val="0"/>
        <w:adjustRightInd w:val="0"/>
        <w:spacing w:after="0" w:line="240" w:lineRule="auto"/>
        <w:ind w:left="360"/>
        <w:jc w:val="both"/>
        <w:rPr>
          <w:rFonts w:ascii="Calibri" w:hAnsi="Calibri" w:cs="Calibri"/>
        </w:rPr>
      </w:pPr>
      <w:bookmarkStart w:id="10" w:name="_Hlk106196077"/>
      <w:r>
        <w:rPr>
          <w:rFonts w:ascii="Calibri" w:hAnsi="Calibri" w:cs="Calibri"/>
        </w:rPr>
        <w:t>FY21</w:t>
      </w:r>
    </w:p>
    <w:tbl>
      <w:tblPr>
        <w:tblStyle w:val="TableGrid"/>
        <w:tblW w:w="8995" w:type="dxa"/>
        <w:tblInd w:w="360" w:type="dxa"/>
        <w:tblLook w:val="04A0" w:firstRow="1" w:lastRow="0" w:firstColumn="1" w:lastColumn="0" w:noHBand="0" w:noVBand="1"/>
      </w:tblPr>
      <w:tblGrid>
        <w:gridCol w:w="2998"/>
        <w:gridCol w:w="2998"/>
        <w:gridCol w:w="2999"/>
      </w:tblGrid>
      <w:tr w:rsidR="0033480A" w14:paraId="11C70BE6" w14:textId="77777777" w:rsidTr="00B554AD">
        <w:trPr>
          <w:cantSplit/>
          <w:tblHeader/>
        </w:trPr>
        <w:tc>
          <w:tcPr>
            <w:tcW w:w="2998" w:type="dxa"/>
            <w:shd w:val="clear" w:color="auto" w:fill="002060"/>
          </w:tcPr>
          <w:p w14:paraId="75459FB4" w14:textId="77777777" w:rsidR="0033480A" w:rsidRPr="00624342" w:rsidRDefault="0033480A" w:rsidP="00553DCD">
            <w:pPr>
              <w:autoSpaceDE w:val="0"/>
              <w:autoSpaceDN w:val="0"/>
              <w:adjustRightInd w:val="0"/>
              <w:jc w:val="center"/>
              <w:rPr>
                <w:rFonts w:ascii="Calibri" w:hAnsi="Calibri" w:cs="Calibri"/>
                <w:color w:val="FFFFFF" w:themeColor="background1"/>
              </w:rPr>
            </w:pPr>
            <w:r w:rsidRPr="00624342">
              <w:rPr>
                <w:rFonts w:ascii="Calibri" w:hAnsi="Calibri" w:cs="Calibri"/>
                <w:color w:val="FFFFFF" w:themeColor="background1"/>
              </w:rPr>
              <w:t>Gender</w:t>
            </w:r>
          </w:p>
        </w:tc>
        <w:tc>
          <w:tcPr>
            <w:tcW w:w="2998" w:type="dxa"/>
            <w:tcBorders>
              <w:bottom w:val="single" w:sz="4" w:space="0" w:color="auto"/>
            </w:tcBorders>
            <w:shd w:val="clear" w:color="auto" w:fill="002060"/>
          </w:tcPr>
          <w:p w14:paraId="0B0CB481" w14:textId="77777777" w:rsidR="0033480A" w:rsidRPr="00624342" w:rsidRDefault="0033480A" w:rsidP="00553DCD">
            <w:pPr>
              <w:autoSpaceDE w:val="0"/>
              <w:autoSpaceDN w:val="0"/>
              <w:adjustRightInd w:val="0"/>
              <w:jc w:val="center"/>
              <w:rPr>
                <w:rFonts w:ascii="Calibri" w:hAnsi="Calibri" w:cs="Calibri"/>
                <w:color w:val="FFFFFF" w:themeColor="background1"/>
              </w:rPr>
            </w:pPr>
            <w:r w:rsidRPr="00624342">
              <w:rPr>
                <w:rFonts w:ascii="Calibri" w:hAnsi="Calibri" w:cs="Calibri"/>
                <w:color w:val="FFFFFF" w:themeColor="background1"/>
              </w:rPr>
              <w:t>#</w:t>
            </w:r>
          </w:p>
        </w:tc>
        <w:tc>
          <w:tcPr>
            <w:tcW w:w="2999" w:type="dxa"/>
            <w:tcBorders>
              <w:bottom w:val="single" w:sz="4" w:space="0" w:color="auto"/>
            </w:tcBorders>
            <w:shd w:val="clear" w:color="auto" w:fill="002060"/>
          </w:tcPr>
          <w:p w14:paraId="017572F0" w14:textId="77777777" w:rsidR="0033480A" w:rsidRPr="00624342" w:rsidRDefault="0033480A" w:rsidP="00553DCD">
            <w:pPr>
              <w:autoSpaceDE w:val="0"/>
              <w:autoSpaceDN w:val="0"/>
              <w:adjustRightInd w:val="0"/>
              <w:jc w:val="center"/>
              <w:rPr>
                <w:rFonts w:ascii="Calibri" w:hAnsi="Calibri" w:cs="Calibri"/>
                <w:color w:val="FFFFFF" w:themeColor="background1"/>
              </w:rPr>
            </w:pPr>
            <w:r w:rsidRPr="00624342">
              <w:rPr>
                <w:rFonts w:ascii="Calibri" w:hAnsi="Calibri" w:cs="Calibri"/>
                <w:color w:val="FFFFFF" w:themeColor="background1"/>
              </w:rPr>
              <w:t>%</w:t>
            </w:r>
          </w:p>
        </w:tc>
      </w:tr>
      <w:tr w:rsidR="0033480A" w14:paraId="2F22A388" w14:textId="77777777" w:rsidTr="00B554AD">
        <w:trPr>
          <w:cantSplit/>
        </w:trPr>
        <w:tc>
          <w:tcPr>
            <w:tcW w:w="2998" w:type="dxa"/>
          </w:tcPr>
          <w:p w14:paraId="1C203E91" w14:textId="77777777" w:rsidR="0033480A" w:rsidRDefault="0033480A" w:rsidP="00553DCD">
            <w:pPr>
              <w:autoSpaceDE w:val="0"/>
              <w:autoSpaceDN w:val="0"/>
              <w:adjustRightInd w:val="0"/>
              <w:jc w:val="center"/>
              <w:rPr>
                <w:rFonts w:ascii="Calibri" w:hAnsi="Calibri" w:cs="Calibri"/>
              </w:rPr>
            </w:pPr>
            <w:r>
              <w:rPr>
                <w:rFonts w:ascii="Calibri" w:hAnsi="Calibri" w:cs="Calibri"/>
              </w:rPr>
              <w:t>F- Female</w:t>
            </w:r>
          </w:p>
        </w:tc>
        <w:tc>
          <w:tcPr>
            <w:tcW w:w="2998" w:type="dxa"/>
            <w:tcBorders>
              <w:top w:val="single" w:sz="4" w:space="0" w:color="auto"/>
              <w:left w:val="nil"/>
              <w:bottom w:val="single" w:sz="4" w:space="0" w:color="auto"/>
              <w:right w:val="single" w:sz="4" w:space="0" w:color="auto"/>
            </w:tcBorders>
            <w:shd w:val="clear" w:color="auto" w:fill="auto"/>
            <w:vAlign w:val="bottom"/>
          </w:tcPr>
          <w:p w14:paraId="1C0CEEA6" w14:textId="77777777" w:rsidR="0033480A" w:rsidRDefault="0033480A" w:rsidP="00553DCD">
            <w:pPr>
              <w:autoSpaceDE w:val="0"/>
              <w:autoSpaceDN w:val="0"/>
              <w:adjustRightInd w:val="0"/>
              <w:jc w:val="center"/>
              <w:rPr>
                <w:rFonts w:ascii="Calibri" w:hAnsi="Calibri" w:cs="Calibri"/>
              </w:rPr>
            </w:pPr>
            <w:r>
              <w:rPr>
                <w:rFonts w:ascii="Calibri" w:hAnsi="Calibri" w:cs="Calibri"/>
                <w:color w:val="000000"/>
              </w:rPr>
              <w:t>60,271</w:t>
            </w:r>
          </w:p>
        </w:tc>
        <w:tc>
          <w:tcPr>
            <w:tcW w:w="2999" w:type="dxa"/>
            <w:tcBorders>
              <w:top w:val="single" w:sz="4" w:space="0" w:color="auto"/>
              <w:left w:val="single" w:sz="4" w:space="0" w:color="auto"/>
              <w:bottom w:val="single" w:sz="4" w:space="0" w:color="auto"/>
              <w:right w:val="single" w:sz="4" w:space="0" w:color="auto"/>
            </w:tcBorders>
            <w:shd w:val="clear" w:color="auto" w:fill="auto"/>
            <w:vAlign w:val="bottom"/>
          </w:tcPr>
          <w:p w14:paraId="372C0759" w14:textId="77777777" w:rsidR="0033480A" w:rsidRDefault="0033480A" w:rsidP="00553DCD">
            <w:pPr>
              <w:autoSpaceDE w:val="0"/>
              <w:autoSpaceDN w:val="0"/>
              <w:adjustRightInd w:val="0"/>
              <w:jc w:val="center"/>
              <w:rPr>
                <w:rFonts w:ascii="Calibri" w:hAnsi="Calibri" w:cs="Calibri"/>
              </w:rPr>
            </w:pPr>
            <w:r>
              <w:rPr>
                <w:rFonts w:ascii="Calibri" w:hAnsi="Calibri" w:cs="Calibri"/>
                <w:color w:val="000000"/>
              </w:rPr>
              <w:t>58.412%</w:t>
            </w:r>
          </w:p>
        </w:tc>
      </w:tr>
      <w:tr w:rsidR="0033480A" w14:paraId="439E3C9A" w14:textId="77777777" w:rsidTr="00B554AD">
        <w:trPr>
          <w:cantSplit/>
        </w:trPr>
        <w:tc>
          <w:tcPr>
            <w:tcW w:w="2998" w:type="dxa"/>
          </w:tcPr>
          <w:p w14:paraId="5EE8716B" w14:textId="77777777" w:rsidR="0033480A" w:rsidRDefault="0033480A" w:rsidP="00553DCD">
            <w:pPr>
              <w:autoSpaceDE w:val="0"/>
              <w:autoSpaceDN w:val="0"/>
              <w:adjustRightInd w:val="0"/>
              <w:jc w:val="center"/>
              <w:rPr>
                <w:rFonts w:ascii="Calibri" w:hAnsi="Calibri" w:cs="Calibri"/>
              </w:rPr>
            </w:pPr>
            <w:r>
              <w:rPr>
                <w:rFonts w:ascii="Calibri" w:hAnsi="Calibri" w:cs="Calibri"/>
              </w:rPr>
              <w:t>M -Male</w:t>
            </w:r>
          </w:p>
        </w:tc>
        <w:tc>
          <w:tcPr>
            <w:tcW w:w="2998" w:type="dxa"/>
            <w:tcBorders>
              <w:top w:val="single" w:sz="4" w:space="0" w:color="auto"/>
              <w:left w:val="nil"/>
              <w:bottom w:val="single" w:sz="4" w:space="0" w:color="auto"/>
              <w:right w:val="single" w:sz="4" w:space="0" w:color="auto"/>
            </w:tcBorders>
            <w:shd w:val="clear" w:color="auto" w:fill="auto"/>
            <w:vAlign w:val="bottom"/>
          </w:tcPr>
          <w:p w14:paraId="16540DFC" w14:textId="77777777" w:rsidR="0033480A" w:rsidRDefault="0033480A" w:rsidP="00553DCD">
            <w:pPr>
              <w:autoSpaceDE w:val="0"/>
              <w:autoSpaceDN w:val="0"/>
              <w:adjustRightInd w:val="0"/>
              <w:jc w:val="center"/>
              <w:rPr>
                <w:rFonts w:ascii="Calibri" w:hAnsi="Calibri" w:cs="Calibri"/>
              </w:rPr>
            </w:pPr>
            <w:r>
              <w:rPr>
                <w:rFonts w:ascii="Calibri" w:hAnsi="Calibri" w:cs="Calibri"/>
                <w:color w:val="000000"/>
              </w:rPr>
              <w:t>42,855</w:t>
            </w:r>
          </w:p>
        </w:tc>
        <w:tc>
          <w:tcPr>
            <w:tcW w:w="2999" w:type="dxa"/>
            <w:tcBorders>
              <w:top w:val="single" w:sz="4" w:space="0" w:color="auto"/>
              <w:left w:val="single" w:sz="4" w:space="0" w:color="auto"/>
              <w:bottom w:val="single" w:sz="4" w:space="0" w:color="auto"/>
              <w:right w:val="single" w:sz="4" w:space="0" w:color="auto"/>
            </w:tcBorders>
            <w:shd w:val="clear" w:color="auto" w:fill="auto"/>
            <w:vAlign w:val="bottom"/>
          </w:tcPr>
          <w:p w14:paraId="31A9368B" w14:textId="77777777" w:rsidR="0033480A" w:rsidRDefault="0033480A" w:rsidP="00553DCD">
            <w:pPr>
              <w:autoSpaceDE w:val="0"/>
              <w:autoSpaceDN w:val="0"/>
              <w:adjustRightInd w:val="0"/>
              <w:jc w:val="center"/>
              <w:rPr>
                <w:rFonts w:ascii="Calibri" w:hAnsi="Calibri" w:cs="Calibri"/>
              </w:rPr>
            </w:pPr>
            <w:r>
              <w:rPr>
                <w:rFonts w:ascii="Calibri" w:hAnsi="Calibri" w:cs="Calibri"/>
                <w:color w:val="000000"/>
              </w:rPr>
              <w:t>41.533%</w:t>
            </w:r>
          </w:p>
        </w:tc>
      </w:tr>
      <w:tr w:rsidR="0033480A" w14:paraId="5B168F91" w14:textId="77777777" w:rsidTr="00B554AD">
        <w:trPr>
          <w:cantSplit/>
        </w:trPr>
        <w:tc>
          <w:tcPr>
            <w:tcW w:w="2998" w:type="dxa"/>
          </w:tcPr>
          <w:p w14:paraId="2887AC13" w14:textId="77777777" w:rsidR="0033480A" w:rsidRDefault="0033480A" w:rsidP="00553DCD">
            <w:pPr>
              <w:autoSpaceDE w:val="0"/>
              <w:autoSpaceDN w:val="0"/>
              <w:adjustRightInd w:val="0"/>
              <w:jc w:val="center"/>
              <w:rPr>
                <w:rFonts w:ascii="Calibri" w:hAnsi="Calibri" w:cs="Calibri"/>
              </w:rPr>
            </w:pPr>
            <w:r>
              <w:rPr>
                <w:rFonts w:ascii="Calibri" w:hAnsi="Calibri" w:cs="Calibri"/>
              </w:rPr>
              <w:t>Unknown</w:t>
            </w:r>
          </w:p>
        </w:tc>
        <w:tc>
          <w:tcPr>
            <w:tcW w:w="2998" w:type="dxa"/>
            <w:tcBorders>
              <w:top w:val="single" w:sz="4" w:space="0" w:color="auto"/>
              <w:left w:val="nil"/>
              <w:bottom w:val="single" w:sz="4" w:space="0" w:color="auto"/>
              <w:right w:val="single" w:sz="4" w:space="0" w:color="auto"/>
            </w:tcBorders>
            <w:shd w:val="clear" w:color="auto" w:fill="auto"/>
            <w:vAlign w:val="bottom"/>
          </w:tcPr>
          <w:p w14:paraId="77E11D5B" w14:textId="77777777" w:rsidR="0033480A" w:rsidRDefault="0033480A" w:rsidP="00553DCD">
            <w:pPr>
              <w:autoSpaceDE w:val="0"/>
              <w:autoSpaceDN w:val="0"/>
              <w:adjustRightInd w:val="0"/>
              <w:jc w:val="center"/>
              <w:rPr>
                <w:rFonts w:ascii="Calibri" w:hAnsi="Calibri" w:cs="Calibri"/>
              </w:rPr>
            </w:pPr>
            <w:r>
              <w:rPr>
                <w:rFonts w:ascii="Calibri" w:hAnsi="Calibri" w:cs="Calibri"/>
                <w:color w:val="000000"/>
              </w:rPr>
              <w:t>57</w:t>
            </w:r>
          </w:p>
        </w:tc>
        <w:tc>
          <w:tcPr>
            <w:tcW w:w="2999" w:type="dxa"/>
            <w:tcBorders>
              <w:top w:val="single" w:sz="4" w:space="0" w:color="auto"/>
              <w:left w:val="single" w:sz="4" w:space="0" w:color="auto"/>
              <w:bottom w:val="single" w:sz="4" w:space="0" w:color="auto"/>
              <w:right w:val="single" w:sz="4" w:space="0" w:color="auto"/>
            </w:tcBorders>
            <w:shd w:val="clear" w:color="auto" w:fill="auto"/>
            <w:vAlign w:val="bottom"/>
          </w:tcPr>
          <w:p w14:paraId="12301EB4" w14:textId="77777777" w:rsidR="0033480A" w:rsidRDefault="0033480A" w:rsidP="00553DCD">
            <w:pPr>
              <w:autoSpaceDE w:val="0"/>
              <w:autoSpaceDN w:val="0"/>
              <w:adjustRightInd w:val="0"/>
              <w:jc w:val="center"/>
              <w:rPr>
                <w:rFonts w:ascii="Calibri" w:hAnsi="Calibri" w:cs="Calibri"/>
              </w:rPr>
            </w:pPr>
            <w:r>
              <w:rPr>
                <w:rFonts w:ascii="Calibri" w:hAnsi="Calibri" w:cs="Calibri"/>
                <w:color w:val="000000"/>
              </w:rPr>
              <w:t>0.055%</w:t>
            </w:r>
          </w:p>
        </w:tc>
      </w:tr>
      <w:tr w:rsidR="0033480A" w14:paraId="09F483B5" w14:textId="77777777" w:rsidTr="00B554AD">
        <w:trPr>
          <w:cantSplit/>
        </w:trPr>
        <w:tc>
          <w:tcPr>
            <w:tcW w:w="2998" w:type="dxa"/>
            <w:shd w:val="clear" w:color="auto" w:fill="E7E6E6" w:themeFill="background2"/>
          </w:tcPr>
          <w:p w14:paraId="0B8EA604" w14:textId="77777777" w:rsidR="0033480A" w:rsidRPr="00624342" w:rsidRDefault="0033480A" w:rsidP="00553DCD">
            <w:pPr>
              <w:autoSpaceDE w:val="0"/>
              <w:autoSpaceDN w:val="0"/>
              <w:adjustRightInd w:val="0"/>
              <w:jc w:val="center"/>
              <w:rPr>
                <w:rFonts w:ascii="Calibri" w:hAnsi="Calibri" w:cs="Calibri"/>
                <w:b/>
                <w:bCs/>
              </w:rPr>
            </w:pPr>
            <w:r w:rsidRPr="00624342">
              <w:rPr>
                <w:rFonts w:ascii="Calibri" w:hAnsi="Calibri" w:cs="Calibri"/>
                <w:b/>
                <w:bCs/>
              </w:rPr>
              <w:t>Total</w:t>
            </w:r>
          </w:p>
        </w:tc>
        <w:tc>
          <w:tcPr>
            <w:tcW w:w="2998" w:type="dxa"/>
            <w:tcBorders>
              <w:top w:val="single" w:sz="4" w:space="0" w:color="auto"/>
              <w:left w:val="nil"/>
              <w:bottom w:val="single" w:sz="4" w:space="0" w:color="auto"/>
              <w:right w:val="single" w:sz="4" w:space="0" w:color="auto"/>
            </w:tcBorders>
            <w:shd w:val="clear" w:color="auto" w:fill="E7E6E6" w:themeFill="background2"/>
            <w:vAlign w:val="bottom"/>
          </w:tcPr>
          <w:p w14:paraId="7A838FFC" w14:textId="77777777" w:rsidR="0033480A" w:rsidRPr="00624342" w:rsidRDefault="0033480A" w:rsidP="00553DCD">
            <w:pPr>
              <w:autoSpaceDE w:val="0"/>
              <w:autoSpaceDN w:val="0"/>
              <w:adjustRightInd w:val="0"/>
              <w:jc w:val="center"/>
              <w:rPr>
                <w:rFonts w:ascii="Calibri" w:hAnsi="Calibri" w:cs="Calibri"/>
                <w:b/>
                <w:bCs/>
              </w:rPr>
            </w:pPr>
            <w:r>
              <w:rPr>
                <w:rFonts w:ascii="Calibri" w:hAnsi="Calibri" w:cs="Calibri"/>
                <w:b/>
                <w:bCs/>
                <w:color w:val="000000"/>
              </w:rPr>
              <w:t>103,183</w:t>
            </w:r>
          </w:p>
        </w:tc>
        <w:tc>
          <w:tcPr>
            <w:tcW w:w="2999" w:type="dxa"/>
            <w:tcBorders>
              <w:top w:val="single" w:sz="4" w:space="0" w:color="auto"/>
              <w:left w:val="single" w:sz="4" w:space="0" w:color="auto"/>
              <w:bottom w:val="single" w:sz="4" w:space="0" w:color="auto"/>
              <w:right w:val="single" w:sz="4" w:space="0" w:color="auto"/>
            </w:tcBorders>
            <w:shd w:val="clear" w:color="auto" w:fill="E7E6E6" w:themeFill="background2"/>
            <w:vAlign w:val="bottom"/>
          </w:tcPr>
          <w:p w14:paraId="2437C104" w14:textId="77777777" w:rsidR="0033480A" w:rsidRPr="008F2E85" w:rsidRDefault="0033480A" w:rsidP="00553DCD">
            <w:pPr>
              <w:autoSpaceDE w:val="0"/>
              <w:autoSpaceDN w:val="0"/>
              <w:adjustRightInd w:val="0"/>
              <w:jc w:val="center"/>
              <w:rPr>
                <w:rFonts w:ascii="Calibri" w:hAnsi="Calibri" w:cs="Calibri"/>
                <w:b/>
                <w:bCs/>
              </w:rPr>
            </w:pPr>
            <w:r>
              <w:rPr>
                <w:rFonts w:ascii="Calibri" w:hAnsi="Calibri" w:cs="Calibri"/>
                <w:b/>
                <w:bCs/>
                <w:color w:val="000000"/>
              </w:rPr>
              <w:t>100.000%</w:t>
            </w:r>
          </w:p>
        </w:tc>
      </w:tr>
      <w:bookmarkEnd w:id="10"/>
    </w:tbl>
    <w:p w14:paraId="5670216D" w14:textId="77777777" w:rsidR="0033480A" w:rsidRDefault="0033480A" w:rsidP="0033480A">
      <w:pPr>
        <w:autoSpaceDE w:val="0"/>
        <w:autoSpaceDN w:val="0"/>
        <w:adjustRightInd w:val="0"/>
        <w:spacing w:after="0" w:line="240" w:lineRule="auto"/>
        <w:ind w:left="360"/>
        <w:jc w:val="both"/>
        <w:rPr>
          <w:rFonts w:ascii="Calibri" w:hAnsi="Calibri" w:cs="Calibri"/>
          <w:u w:val="single"/>
        </w:rPr>
      </w:pPr>
    </w:p>
    <w:p w14:paraId="26BF4191" w14:textId="77777777" w:rsidR="0033480A" w:rsidRPr="00E17154" w:rsidRDefault="0033480A" w:rsidP="0033480A">
      <w:pPr>
        <w:autoSpaceDE w:val="0"/>
        <w:autoSpaceDN w:val="0"/>
        <w:adjustRightInd w:val="0"/>
        <w:spacing w:after="0" w:line="240" w:lineRule="auto"/>
        <w:ind w:left="360"/>
        <w:jc w:val="both"/>
        <w:rPr>
          <w:rFonts w:ascii="Calibri" w:hAnsi="Calibri" w:cs="Calibri"/>
          <w:u w:val="single"/>
        </w:rPr>
      </w:pPr>
      <w:r w:rsidRPr="00E17154">
        <w:rPr>
          <w:rFonts w:ascii="Calibri" w:hAnsi="Calibri" w:cs="Calibri"/>
          <w:u w:val="single"/>
        </w:rPr>
        <w:t>The following table</w:t>
      </w:r>
      <w:r>
        <w:rPr>
          <w:rFonts w:ascii="Calibri" w:hAnsi="Calibri" w:cs="Calibri"/>
          <w:u w:val="single"/>
        </w:rPr>
        <w:t>s</w:t>
      </w:r>
      <w:r w:rsidRPr="00E17154">
        <w:rPr>
          <w:rFonts w:ascii="Calibri" w:hAnsi="Calibri" w:cs="Calibri"/>
          <w:u w:val="single"/>
        </w:rPr>
        <w:t xml:space="preserve"> display </w:t>
      </w:r>
      <w:r>
        <w:rPr>
          <w:rFonts w:ascii="Calibri" w:hAnsi="Calibri" w:cs="Calibri"/>
          <w:u w:val="single"/>
        </w:rPr>
        <w:t>MWH</w:t>
      </w:r>
      <w:r w:rsidRPr="00E17154">
        <w:rPr>
          <w:rFonts w:ascii="Calibri" w:hAnsi="Calibri" w:cs="Calibri"/>
          <w:u w:val="single"/>
        </w:rPr>
        <w:t xml:space="preserve"> patients by race over the last three years:</w:t>
      </w:r>
    </w:p>
    <w:p w14:paraId="124331E4" w14:textId="77777777" w:rsidR="0033480A" w:rsidRPr="00A71692" w:rsidRDefault="0033480A" w:rsidP="0033480A">
      <w:pPr>
        <w:autoSpaceDE w:val="0"/>
        <w:autoSpaceDN w:val="0"/>
        <w:adjustRightInd w:val="0"/>
        <w:spacing w:after="0" w:line="240" w:lineRule="auto"/>
        <w:ind w:left="360"/>
        <w:jc w:val="both"/>
        <w:rPr>
          <w:rFonts w:ascii="Calibri" w:hAnsi="Calibri" w:cs="Calibri"/>
        </w:rPr>
      </w:pPr>
      <w:r w:rsidRPr="00A71692">
        <w:rPr>
          <w:rFonts w:ascii="Calibri" w:hAnsi="Calibri" w:cs="Calibri"/>
        </w:rPr>
        <w:t>FY</w:t>
      </w:r>
      <w:r>
        <w:rPr>
          <w:rFonts w:ascii="Calibri" w:hAnsi="Calibri" w:cs="Calibri"/>
        </w:rPr>
        <w:t>19</w:t>
      </w:r>
    </w:p>
    <w:tbl>
      <w:tblPr>
        <w:tblStyle w:val="TableGrid"/>
        <w:tblW w:w="8995" w:type="dxa"/>
        <w:tblInd w:w="360" w:type="dxa"/>
        <w:tblLook w:val="04A0" w:firstRow="1" w:lastRow="0" w:firstColumn="1" w:lastColumn="0" w:noHBand="0" w:noVBand="1"/>
      </w:tblPr>
      <w:tblGrid>
        <w:gridCol w:w="3955"/>
        <w:gridCol w:w="2520"/>
        <w:gridCol w:w="2520"/>
      </w:tblGrid>
      <w:tr w:rsidR="0033480A" w:rsidRPr="00A71692" w14:paraId="05C00C63" w14:textId="77777777" w:rsidTr="00FD734A">
        <w:trPr>
          <w:cantSplit/>
          <w:tblHeader/>
        </w:trPr>
        <w:tc>
          <w:tcPr>
            <w:tcW w:w="3955" w:type="dxa"/>
            <w:tcBorders>
              <w:bottom w:val="single" w:sz="4" w:space="0" w:color="auto"/>
            </w:tcBorders>
            <w:shd w:val="clear" w:color="auto" w:fill="002060"/>
          </w:tcPr>
          <w:p w14:paraId="36DDC5FB" w14:textId="77777777" w:rsidR="0033480A" w:rsidRPr="00A71692" w:rsidRDefault="0033480A" w:rsidP="00553DCD">
            <w:pPr>
              <w:autoSpaceDE w:val="0"/>
              <w:autoSpaceDN w:val="0"/>
              <w:adjustRightInd w:val="0"/>
              <w:jc w:val="center"/>
              <w:rPr>
                <w:rFonts w:ascii="Calibri" w:hAnsi="Calibri" w:cs="Calibri"/>
              </w:rPr>
            </w:pPr>
            <w:r w:rsidRPr="00A71692">
              <w:rPr>
                <w:rFonts w:ascii="Calibri" w:hAnsi="Calibri" w:cs="Calibri"/>
              </w:rPr>
              <w:t>Category</w:t>
            </w:r>
          </w:p>
        </w:tc>
        <w:tc>
          <w:tcPr>
            <w:tcW w:w="2520" w:type="dxa"/>
            <w:tcBorders>
              <w:bottom w:val="single" w:sz="4" w:space="0" w:color="auto"/>
            </w:tcBorders>
            <w:shd w:val="clear" w:color="auto" w:fill="002060"/>
          </w:tcPr>
          <w:p w14:paraId="7500F2F7" w14:textId="77777777" w:rsidR="0033480A" w:rsidRPr="00A71692" w:rsidRDefault="0033480A" w:rsidP="00553DCD">
            <w:pPr>
              <w:autoSpaceDE w:val="0"/>
              <w:autoSpaceDN w:val="0"/>
              <w:adjustRightInd w:val="0"/>
              <w:jc w:val="center"/>
              <w:rPr>
                <w:rFonts w:ascii="Calibri" w:hAnsi="Calibri" w:cs="Calibri"/>
              </w:rPr>
            </w:pPr>
            <w:r w:rsidRPr="00A71692">
              <w:rPr>
                <w:rFonts w:ascii="Calibri" w:hAnsi="Calibri" w:cs="Calibri"/>
              </w:rPr>
              <w:t>#</w:t>
            </w:r>
          </w:p>
        </w:tc>
        <w:tc>
          <w:tcPr>
            <w:tcW w:w="2520" w:type="dxa"/>
            <w:tcBorders>
              <w:bottom w:val="single" w:sz="4" w:space="0" w:color="auto"/>
            </w:tcBorders>
            <w:shd w:val="clear" w:color="auto" w:fill="002060"/>
          </w:tcPr>
          <w:p w14:paraId="4075E431" w14:textId="77777777" w:rsidR="0033480A" w:rsidRPr="00A71692" w:rsidRDefault="0033480A" w:rsidP="00553DCD">
            <w:pPr>
              <w:autoSpaceDE w:val="0"/>
              <w:autoSpaceDN w:val="0"/>
              <w:adjustRightInd w:val="0"/>
              <w:jc w:val="center"/>
              <w:rPr>
                <w:rFonts w:ascii="Calibri" w:hAnsi="Calibri" w:cs="Calibri"/>
              </w:rPr>
            </w:pPr>
            <w:r w:rsidRPr="00A71692">
              <w:rPr>
                <w:rFonts w:ascii="Calibri" w:hAnsi="Calibri" w:cs="Calibri"/>
              </w:rPr>
              <w:t>%</w:t>
            </w:r>
          </w:p>
        </w:tc>
      </w:tr>
      <w:tr w:rsidR="0033480A" w:rsidRPr="00A71692" w14:paraId="4F699CCC" w14:textId="77777777" w:rsidTr="00FD734A">
        <w:trPr>
          <w:cantSplit/>
        </w:trPr>
        <w:tc>
          <w:tcPr>
            <w:tcW w:w="3955" w:type="dxa"/>
            <w:tcBorders>
              <w:top w:val="single" w:sz="4" w:space="0" w:color="auto"/>
              <w:left w:val="single" w:sz="4" w:space="0" w:color="auto"/>
              <w:bottom w:val="single" w:sz="4" w:space="0" w:color="auto"/>
              <w:right w:val="single" w:sz="4" w:space="0" w:color="auto"/>
            </w:tcBorders>
            <w:shd w:val="clear" w:color="auto" w:fill="auto"/>
            <w:vAlign w:val="bottom"/>
          </w:tcPr>
          <w:p w14:paraId="33A7EA9D" w14:textId="77777777" w:rsidR="0033480A" w:rsidRPr="00A71692" w:rsidRDefault="0033480A" w:rsidP="00553DCD">
            <w:pPr>
              <w:autoSpaceDE w:val="0"/>
              <w:autoSpaceDN w:val="0"/>
              <w:adjustRightInd w:val="0"/>
              <w:jc w:val="center"/>
              <w:rPr>
                <w:rFonts w:ascii="Calibri" w:hAnsi="Calibri" w:cs="Calibri"/>
              </w:rPr>
            </w:pPr>
            <w:r w:rsidRPr="00A71692">
              <w:rPr>
                <w:rFonts w:ascii="Calibri" w:hAnsi="Calibri" w:cs="Calibri"/>
              </w:rPr>
              <w:t>American Indian or Alaskan Native</w:t>
            </w:r>
          </w:p>
        </w:tc>
        <w:tc>
          <w:tcPr>
            <w:tcW w:w="2520" w:type="dxa"/>
            <w:tcBorders>
              <w:top w:val="single" w:sz="8" w:space="0" w:color="auto"/>
              <w:left w:val="nil"/>
              <w:bottom w:val="single" w:sz="8" w:space="0" w:color="auto"/>
              <w:right w:val="single" w:sz="8" w:space="0" w:color="auto"/>
            </w:tcBorders>
            <w:vAlign w:val="bottom"/>
          </w:tcPr>
          <w:p w14:paraId="4BE048CC" w14:textId="77777777" w:rsidR="0033480A" w:rsidRPr="00A71692" w:rsidRDefault="0033480A" w:rsidP="00553DCD">
            <w:pPr>
              <w:autoSpaceDE w:val="0"/>
              <w:autoSpaceDN w:val="0"/>
              <w:adjustRightInd w:val="0"/>
              <w:jc w:val="center"/>
              <w:rPr>
                <w:rFonts w:ascii="Calibri" w:hAnsi="Calibri" w:cs="Calibri"/>
              </w:rPr>
            </w:pPr>
            <w:r>
              <w:rPr>
                <w:color w:val="000000"/>
              </w:rPr>
              <w:t>72</w:t>
            </w:r>
          </w:p>
        </w:tc>
        <w:tc>
          <w:tcPr>
            <w:tcW w:w="2520" w:type="dxa"/>
            <w:tcBorders>
              <w:top w:val="single" w:sz="8" w:space="0" w:color="auto"/>
              <w:left w:val="nil"/>
              <w:bottom w:val="single" w:sz="8" w:space="0" w:color="auto"/>
              <w:right w:val="single" w:sz="8" w:space="0" w:color="auto"/>
            </w:tcBorders>
            <w:vAlign w:val="bottom"/>
          </w:tcPr>
          <w:p w14:paraId="7655AA0D" w14:textId="77777777" w:rsidR="0033480A" w:rsidRPr="00A71692" w:rsidRDefault="0033480A" w:rsidP="00553DCD">
            <w:pPr>
              <w:autoSpaceDE w:val="0"/>
              <w:autoSpaceDN w:val="0"/>
              <w:adjustRightInd w:val="0"/>
              <w:jc w:val="center"/>
              <w:rPr>
                <w:rFonts w:ascii="Calibri" w:hAnsi="Calibri" w:cs="Calibri"/>
              </w:rPr>
            </w:pPr>
            <w:r>
              <w:rPr>
                <w:color w:val="000000"/>
              </w:rPr>
              <w:t>0.07%</w:t>
            </w:r>
          </w:p>
        </w:tc>
      </w:tr>
      <w:tr w:rsidR="0033480A" w:rsidRPr="00A71692" w14:paraId="7689CA92" w14:textId="77777777" w:rsidTr="00FD734A">
        <w:trPr>
          <w:cantSplit/>
        </w:trPr>
        <w:tc>
          <w:tcPr>
            <w:tcW w:w="3955" w:type="dxa"/>
            <w:tcBorders>
              <w:top w:val="single" w:sz="4" w:space="0" w:color="auto"/>
              <w:left w:val="single" w:sz="4" w:space="0" w:color="auto"/>
              <w:bottom w:val="single" w:sz="4" w:space="0" w:color="auto"/>
              <w:right w:val="single" w:sz="4" w:space="0" w:color="auto"/>
            </w:tcBorders>
            <w:shd w:val="clear" w:color="auto" w:fill="auto"/>
            <w:vAlign w:val="bottom"/>
          </w:tcPr>
          <w:p w14:paraId="21B1237D" w14:textId="77777777" w:rsidR="0033480A" w:rsidRPr="00A71692" w:rsidRDefault="0033480A" w:rsidP="00553DCD">
            <w:pPr>
              <w:autoSpaceDE w:val="0"/>
              <w:autoSpaceDN w:val="0"/>
              <w:adjustRightInd w:val="0"/>
              <w:jc w:val="center"/>
              <w:rPr>
                <w:rFonts w:ascii="Calibri" w:hAnsi="Calibri" w:cs="Calibri"/>
              </w:rPr>
            </w:pPr>
            <w:r w:rsidRPr="00A71692">
              <w:rPr>
                <w:rFonts w:ascii="Calibri" w:hAnsi="Calibri" w:cs="Calibri"/>
              </w:rPr>
              <w:t>Asian</w:t>
            </w:r>
          </w:p>
        </w:tc>
        <w:tc>
          <w:tcPr>
            <w:tcW w:w="2520" w:type="dxa"/>
            <w:tcBorders>
              <w:top w:val="nil"/>
              <w:left w:val="nil"/>
              <w:bottom w:val="single" w:sz="8" w:space="0" w:color="auto"/>
              <w:right w:val="single" w:sz="8" w:space="0" w:color="auto"/>
            </w:tcBorders>
            <w:vAlign w:val="bottom"/>
          </w:tcPr>
          <w:p w14:paraId="23AB4309" w14:textId="77777777" w:rsidR="0033480A" w:rsidRPr="00A71692" w:rsidRDefault="0033480A" w:rsidP="00553DCD">
            <w:pPr>
              <w:autoSpaceDE w:val="0"/>
              <w:autoSpaceDN w:val="0"/>
              <w:adjustRightInd w:val="0"/>
              <w:jc w:val="center"/>
              <w:rPr>
                <w:rFonts w:ascii="Calibri" w:hAnsi="Calibri" w:cs="Calibri"/>
              </w:rPr>
            </w:pPr>
            <w:r>
              <w:rPr>
                <w:color w:val="000000"/>
              </w:rPr>
              <w:t>6,249</w:t>
            </w:r>
          </w:p>
        </w:tc>
        <w:tc>
          <w:tcPr>
            <w:tcW w:w="2520" w:type="dxa"/>
            <w:tcBorders>
              <w:top w:val="nil"/>
              <w:left w:val="nil"/>
              <w:bottom w:val="single" w:sz="8" w:space="0" w:color="auto"/>
              <w:right w:val="single" w:sz="8" w:space="0" w:color="auto"/>
            </w:tcBorders>
            <w:vAlign w:val="bottom"/>
          </w:tcPr>
          <w:p w14:paraId="7C3774D3" w14:textId="77777777" w:rsidR="0033480A" w:rsidRPr="00A71692" w:rsidRDefault="0033480A" w:rsidP="00553DCD">
            <w:pPr>
              <w:autoSpaceDE w:val="0"/>
              <w:autoSpaceDN w:val="0"/>
              <w:adjustRightInd w:val="0"/>
              <w:jc w:val="center"/>
              <w:rPr>
                <w:rFonts w:ascii="Calibri" w:hAnsi="Calibri" w:cs="Calibri"/>
              </w:rPr>
            </w:pPr>
            <w:r>
              <w:rPr>
                <w:color w:val="000000"/>
              </w:rPr>
              <w:t>5.73%</w:t>
            </w:r>
          </w:p>
        </w:tc>
      </w:tr>
      <w:tr w:rsidR="0033480A" w:rsidRPr="00A71692" w14:paraId="44A831CB" w14:textId="77777777" w:rsidTr="00FD734A">
        <w:trPr>
          <w:cantSplit/>
        </w:trPr>
        <w:tc>
          <w:tcPr>
            <w:tcW w:w="3955" w:type="dxa"/>
            <w:tcBorders>
              <w:top w:val="single" w:sz="4" w:space="0" w:color="auto"/>
              <w:left w:val="single" w:sz="4" w:space="0" w:color="auto"/>
              <w:bottom w:val="single" w:sz="4" w:space="0" w:color="auto"/>
              <w:right w:val="single" w:sz="4" w:space="0" w:color="auto"/>
            </w:tcBorders>
            <w:shd w:val="clear" w:color="auto" w:fill="auto"/>
            <w:vAlign w:val="bottom"/>
          </w:tcPr>
          <w:p w14:paraId="1F2D3010" w14:textId="77777777" w:rsidR="0033480A" w:rsidRPr="00A71692" w:rsidRDefault="0033480A" w:rsidP="00553DCD">
            <w:pPr>
              <w:autoSpaceDE w:val="0"/>
              <w:autoSpaceDN w:val="0"/>
              <w:adjustRightInd w:val="0"/>
              <w:jc w:val="center"/>
              <w:rPr>
                <w:rFonts w:ascii="Calibri" w:hAnsi="Calibri" w:cs="Calibri"/>
              </w:rPr>
            </w:pPr>
            <w:r w:rsidRPr="00A71692">
              <w:rPr>
                <w:rFonts w:ascii="Calibri" w:hAnsi="Calibri" w:cs="Calibri"/>
              </w:rPr>
              <w:t>Black or African American</w:t>
            </w:r>
          </w:p>
        </w:tc>
        <w:tc>
          <w:tcPr>
            <w:tcW w:w="2520" w:type="dxa"/>
            <w:tcBorders>
              <w:top w:val="nil"/>
              <w:left w:val="nil"/>
              <w:bottom w:val="single" w:sz="8" w:space="0" w:color="auto"/>
              <w:right w:val="single" w:sz="8" w:space="0" w:color="auto"/>
            </w:tcBorders>
            <w:vAlign w:val="bottom"/>
          </w:tcPr>
          <w:p w14:paraId="23999461" w14:textId="77777777" w:rsidR="0033480A" w:rsidRPr="00A71692" w:rsidRDefault="0033480A" w:rsidP="00553DCD">
            <w:pPr>
              <w:autoSpaceDE w:val="0"/>
              <w:autoSpaceDN w:val="0"/>
              <w:adjustRightInd w:val="0"/>
              <w:jc w:val="center"/>
              <w:rPr>
                <w:rFonts w:ascii="Calibri" w:hAnsi="Calibri" w:cs="Calibri"/>
              </w:rPr>
            </w:pPr>
            <w:r>
              <w:rPr>
                <w:color w:val="000000"/>
              </w:rPr>
              <w:t>5,192</w:t>
            </w:r>
          </w:p>
        </w:tc>
        <w:tc>
          <w:tcPr>
            <w:tcW w:w="2520" w:type="dxa"/>
            <w:tcBorders>
              <w:top w:val="nil"/>
              <w:left w:val="nil"/>
              <w:bottom w:val="single" w:sz="8" w:space="0" w:color="auto"/>
              <w:right w:val="single" w:sz="8" w:space="0" w:color="auto"/>
            </w:tcBorders>
            <w:vAlign w:val="bottom"/>
          </w:tcPr>
          <w:p w14:paraId="55DE1A6A" w14:textId="77777777" w:rsidR="0033480A" w:rsidRPr="00A71692" w:rsidRDefault="0033480A" w:rsidP="00553DCD">
            <w:pPr>
              <w:autoSpaceDE w:val="0"/>
              <w:autoSpaceDN w:val="0"/>
              <w:adjustRightInd w:val="0"/>
              <w:jc w:val="center"/>
              <w:rPr>
                <w:rFonts w:ascii="Calibri" w:hAnsi="Calibri" w:cs="Calibri"/>
              </w:rPr>
            </w:pPr>
            <w:r>
              <w:rPr>
                <w:color w:val="000000"/>
              </w:rPr>
              <w:t>4.76%</w:t>
            </w:r>
          </w:p>
        </w:tc>
      </w:tr>
      <w:tr w:rsidR="0033480A" w:rsidRPr="00A71692" w14:paraId="58CEA755" w14:textId="77777777" w:rsidTr="00FD734A">
        <w:trPr>
          <w:cantSplit/>
        </w:trPr>
        <w:tc>
          <w:tcPr>
            <w:tcW w:w="3955" w:type="dxa"/>
            <w:tcBorders>
              <w:top w:val="single" w:sz="4" w:space="0" w:color="auto"/>
              <w:left w:val="single" w:sz="4" w:space="0" w:color="auto"/>
              <w:bottom w:val="single" w:sz="4" w:space="0" w:color="auto"/>
              <w:right w:val="single" w:sz="4" w:space="0" w:color="auto"/>
            </w:tcBorders>
            <w:shd w:val="clear" w:color="auto" w:fill="auto"/>
            <w:vAlign w:val="bottom"/>
          </w:tcPr>
          <w:p w14:paraId="038B180F" w14:textId="77777777" w:rsidR="0033480A" w:rsidRPr="00A71692" w:rsidRDefault="0033480A" w:rsidP="00553DCD">
            <w:pPr>
              <w:autoSpaceDE w:val="0"/>
              <w:autoSpaceDN w:val="0"/>
              <w:adjustRightInd w:val="0"/>
              <w:jc w:val="center"/>
              <w:rPr>
                <w:rFonts w:ascii="Calibri" w:hAnsi="Calibri" w:cs="Calibri"/>
                <w:b/>
                <w:bCs/>
              </w:rPr>
            </w:pPr>
            <w:r w:rsidRPr="00A71692">
              <w:rPr>
                <w:rFonts w:ascii="Calibri" w:hAnsi="Calibri" w:cs="Calibri"/>
              </w:rPr>
              <w:t>Other/Unknown</w:t>
            </w:r>
          </w:p>
        </w:tc>
        <w:tc>
          <w:tcPr>
            <w:tcW w:w="2520" w:type="dxa"/>
            <w:tcBorders>
              <w:top w:val="nil"/>
              <w:left w:val="nil"/>
              <w:bottom w:val="single" w:sz="8" w:space="0" w:color="auto"/>
              <w:right w:val="single" w:sz="8" w:space="0" w:color="auto"/>
            </w:tcBorders>
            <w:vAlign w:val="bottom"/>
          </w:tcPr>
          <w:p w14:paraId="0A26ACBA" w14:textId="77777777" w:rsidR="0033480A" w:rsidRPr="00A71692" w:rsidRDefault="0033480A" w:rsidP="00553DCD">
            <w:pPr>
              <w:autoSpaceDE w:val="0"/>
              <w:autoSpaceDN w:val="0"/>
              <w:adjustRightInd w:val="0"/>
              <w:jc w:val="center"/>
              <w:rPr>
                <w:rFonts w:ascii="Calibri" w:hAnsi="Calibri" w:cs="Calibri"/>
                <w:b/>
                <w:bCs/>
              </w:rPr>
            </w:pPr>
            <w:r>
              <w:rPr>
                <w:color w:val="000000"/>
              </w:rPr>
              <w:t>10,599</w:t>
            </w:r>
          </w:p>
        </w:tc>
        <w:tc>
          <w:tcPr>
            <w:tcW w:w="2520" w:type="dxa"/>
            <w:tcBorders>
              <w:top w:val="nil"/>
              <w:left w:val="nil"/>
              <w:bottom w:val="single" w:sz="8" w:space="0" w:color="auto"/>
              <w:right w:val="single" w:sz="8" w:space="0" w:color="auto"/>
            </w:tcBorders>
            <w:vAlign w:val="bottom"/>
          </w:tcPr>
          <w:p w14:paraId="08BD14AB" w14:textId="77777777" w:rsidR="0033480A" w:rsidRPr="00A71692" w:rsidRDefault="0033480A" w:rsidP="00553DCD">
            <w:pPr>
              <w:autoSpaceDE w:val="0"/>
              <w:autoSpaceDN w:val="0"/>
              <w:adjustRightInd w:val="0"/>
              <w:jc w:val="center"/>
              <w:rPr>
                <w:rFonts w:ascii="Calibri" w:hAnsi="Calibri" w:cs="Calibri"/>
                <w:b/>
                <w:bCs/>
              </w:rPr>
            </w:pPr>
            <w:r>
              <w:rPr>
                <w:color w:val="000000"/>
              </w:rPr>
              <w:t>9.72%</w:t>
            </w:r>
          </w:p>
        </w:tc>
      </w:tr>
      <w:tr w:rsidR="0033480A" w:rsidRPr="00A71692" w14:paraId="478D4D19" w14:textId="77777777" w:rsidTr="00FD734A">
        <w:trPr>
          <w:cantSplit/>
        </w:trPr>
        <w:tc>
          <w:tcPr>
            <w:tcW w:w="3955" w:type="dxa"/>
            <w:tcBorders>
              <w:top w:val="single" w:sz="4" w:space="0" w:color="auto"/>
              <w:left w:val="single" w:sz="4" w:space="0" w:color="auto"/>
              <w:bottom w:val="single" w:sz="4" w:space="0" w:color="auto"/>
              <w:right w:val="single" w:sz="4" w:space="0" w:color="auto"/>
            </w:tcBorders>
            <w:shd w:val="clear" w:color="auto" w:fill="auto"/>
            <w:vAlign w:val="bottom"/>
          </w:tcPr>
          <w:p w14:paraId="0AF63F19" w14:textId="77777777" w:rsidR="0033480A" w:rsidRPr="00A71692" w:rsidRDefault="0033480A" w:rsidP="00553DCD">
            <w:pPr>
              <w:autoSpaceDE w:val="0"/>
              <w:autoSpaceDN w:val="0"/>
              <w:adjustRightInd w:val="0"/>
              <w:jc w:val="center"/>
              <w:rPr>
                <w:rFonts w:ascii="Calibri" w:hAnsi="Calibri" w:cs="Calibri"/>
                <w:b/>
                <w:bCs/>
              </w:rPr>
            </w:pPr>
            <w:r w:rsidRPr="00A71692">
              <w:rPr>
                <w:rFonts w:ascii="Calibri" w:hAnsi="Calibri" w:cs="Calibri"/>
              </w:rPr>
              <w:t>White</w:t>
            </w:r>
          </w:p>
        </w:tc>
        <w:tc>
          <w:tcPr>
            <w:tcW w:w="2520" w:type="dxa"/>
            <w:tcBorders>
              <w:top w:val="nil"/>
              <w:left w:val="nil"/>
              <w:bottom w:val="single" w:sz="8" w:space="0" w:color="auto"/>
              <w:right w:val="single" w:sz="8" w:space="0" w:color="auto"/>
            </w:tcBorders>
            <w:vAlign w:val="bottom"/>
          </w:tcPr>
          <w:p w14:paraId="23DF660B" w14:textId="77777777" w:rsidR="0033480A" w:rsidRPr="00A71692" w:rsidRDefault="0033480A" w:rsidP="00553DCD">
            <w:pPr>
              <w:autoSpaceDE w:val="0"/>
              <w:autoSpaceDN w:val="0"/>
              <w:adjustRightInd w:val="0"/>
              <w:jc w:val="center"/>
              <w:rPr>
                <w:rFonts w:ascii="Calibri" w:hAnsi="Calibri" w:cs="Calibri"/>
                <w:b/>
                <w:bCs/>
              </w:rPr>
            </w:pPr>
            <w:r>
              <w:rPr>
                <w:color w:val="000000"/>
              </w:rPr>
              <w:t>86,977</w:t>
            </w:r>
          </w:p>
        </w:tc>
        <w:tc>
          <w:tcPr>
            <w:tcW w:w="2520" w:type="dxa"/>
            <w:tcBorders>
              <w:top w:val="nil"/>
              <w:left w:val="nil"/>
              <w:bottom w:val="single" w:sz="8" w:space="0" w:color="auto"/>
              <w:right w:val="single" w:sz="8" w:space="0" w:color="auto"/>
            </w:tcBorders>
            <w:vAlign w:val="bottom"/>
          </w:tcPr>
          <w:p w14:paraId="4C5A842B" w14:textId="77777777" w:rsidR="0033480A" w:rsidRPr="00A71692" w:rsidRDefault="0033480A" w:rsidP="00553DCD">
            <w:pPr>
              <w:autoSpaceDE w:val="0"/>
              <w:autoSpaceDN w:val="0"/>
              <w:adjustRightInd w:val="0"/>
              <w:jc w:val="center"/>
              <w:rPr>
                <w:rFonts w:ascii="Calibri" w:hAnsi="Calibri" w:cs="Calibri"/>
                <w:b/>
                <w:bCs/>
              </w:rPr>
            </w:pPr>
            <w:r>
              <w:rPr>
                <w:color w:val="000000"/>
              </w:rPr>
              <w:t>79.73%</w:t>
            </w:r>
          </w:p>
        </w:tc>
      </w:tr>
      <w:tr w:rsidR="0033480A" w:rsidRPr="00A71692" w14:paraId="4F46B531" w14:textId="77777777" w:rsidTr="00FD734A">
        <w:trPr>
          <w:cantSplit/>
        </w:trPr>
        <w:tc>
          <w:tcPr>
            <w:tcW w:w="3955" w:type="dxa"/>
            <w:tcBorders>
              <w:top w:val="single" w:sz="4" w:space="0" w:color="auto"/>
              <w:left w:val="single" w:sz="4" w:space="0" w:color="auto"/>
              <w:bottom w:val="single" w:sz="4" w:space="0" w:color="auto"/>
              <w:right w:val="single" w:sz="4" w:space="0" w:color="auto"/>
            </w:tcBorders>
            <w:shd w:val="clear" w:color="auto" w:fill="E7E6E6" w:themeFill="background2"/>
            <w:vAlign w:val="bottom"/>
          </w:tcPr>
          <w:p w14:paraId="12D38C01" w14:textId="77777777" w:rsidR="0033480A" w:rsidRPr="00A71692" w:rsidRDefault="0033480A" w:rsidP="00553DCD">
            <w:pPr>
              <w:autoSpaceDE w:val="0"/>
              <w:autoSpaceDN w:val="0"/>
              <w:adjustRightInd w:val="0"/>
              <w:jc w:val="center"/>
              <w:rPr>
                <w:rFonts w:ascii="Calibri" w:hAnsi="Calibri" w:cs="Calibri"/>
                <w:b/>
                <w:bCs/>
              </w:rPr>
            </w:pPr>
            <w:r w:rsidRPr="00A71692">
              <w:rPr>
                <w:rFonts w:ascii="Calibri" w:hAnsi="Calibri" w:cs="Calibri"/>
                <w:b/>
                <w:bCs/>
              </w:rPr>
              <w:t>Total</w:t>
            </w:r>
          </w:p>
        </w:tc>
        <w:tc>
          <w:tcPr>
            <w:tcW w:w="2520" w:type="dxa"/>
            <w:tcBorders>
              <w:top w:val="nil"/>
              <w:left w:val="nil"/>
              <w:bottom w:val="single" w:sz="8" w:space="0" w:color="auto"/>
              <w:right w:val="single" w:sz="8" w:space="0" w:color="auto"/>
            </w:tcBorders>
            <w:shd w:val="clear" w:color="auto" w:fill="E7E6E6" w:themeFill="background2"/>
            <w:vAlign w:val="bottom"/>
          </w:tcPr>
          <w:p w14:paraId="58AEC69F" w14:textId="77777777" w:rsidR="0033480A" w:rsidRPr="005C5F10" w:rsidRDefault="0033480A" w:rsidP="00553DCD">
            <w:pPr>
              <w:autoSpaceDE w:val="0"/>
              <w:autoSpaceDN w:val="0"/>
              <w:adjustRightInd w:val="0"/>
              <w:jc w:val="center"/>
              <w:rPr>
                <w:rFonts w:ascii="Calibri" w:hAnsi="Calibri" w:cs="Calibri"/>
                <w:b/>
                <w:bCs/>
              </w:rPr>
            </w:pPr>
            <w:r w:rsidRPr="005C5F10">
              <w:rPr>
                <w:b/>
                <w:bCs/>
                <w:color w:val="000000"/>
              </w:rPr>
              <w:t>109,089</w:t>
            </w:r>
          </w:p>
        </w:tc>
        <w:tc>
          <w:tcPr>
            <w:tcW w:w="2520" w:type="dxa"/>
            <w:tcBorders>
              <w:top w:val="nil"/>
              <w:left w:val="nil"/>
              <w:bottom w:val="single" w:sz="8" w:space="0" w:color="auto"/>
              <w:right w:val="single" w:sz="8" w:space="0" w:color="auto"/>
            </w:tcBorders>
            <w:shd w:val="clear" w:color="auto" w:fill="E7E6E6" w:themeFill="background2"/>
            <w:vAlign w:val="bottom"/>
          </w:tcPr>
          <w:p w14:paraId="4406ADCF" w14:textId="77777777" w:rsidR="0033480A" w:rsidRPr="005C5F10" w:rsidRDefault="0033480A" w:rsidP="00553DCD">
            <w:pPr>
              <w:autoSpaceDE w:val="0"/>
              <w:autoSpaceDN w:val="0"/>
              <w:adjustRightInd w:val="0"/>
              <w:jc w:val="center"/>
              <w:rPr>
                <w:rFonts w:ascii="Calibri" w:hAnsi="Calibri" w:cs="Calibri"/>
                <w:b/>
                <w:bCs/>
              </w:rPr>
            </w:pPr>
            <w:r w:rsidRPr="005C5F10">
              <w:rPr>
                <w:b/>
                <w:bCs/>
                <w:color w:val="000000"/>
              </w:rPr>
              <w:t>100.00%</w:t>
            </w:r>
          </w:p>
        </w:tc>
      </w:tr>
    </w:tbl>
    <w:p w14:paraId="66A1EE38" w14:textId="77777777" w:rsidR="0033480A" w:rsidRPr="00A71692" w:rsidRDefault="0033480A" w:rsidP="0033480A">
      <w:pPr>
        <w:autoSpaceDE w:val="0"/>
        <w:autoSpaceDN w:val="0"/>
        <w:adjustRightInd w:val="0"/>
        <w:spacing w:after="0" w:line="240" w:lineRule="auto"/>
        <w:ind w:left="360"/>
        <w:jc w:val="both"/>
        <w:rPr>
          <w:rFonts w:ascii="Calibri" w:hAnsi="Calibri" w:cs="Calibri"/>
        </w:rPr>
      </w:pPr>
      <w:r w:rsidRPr="00A71692">
        <w:rPr>
          <w:rFonts w:ascii="Calibri" w:hAnsi="Calibri" w:cs="Calibri"/>
        </w:rPr>
        <w:t>FY2</w:t>
      </w:r>
      <w:r>
        <w:rPr>
          <w:rFonts w:ascii="Calibri" w:hAnsi="Calibri" w:cs="Calibri"/>
        </w:rPr>
        <w:t>0</w:t>
      </w:r>
    </w:p>
    <w:tbl>
      <w:tblPr>
        <w:tblStyle w:val="TableGrid"/>
        <w:tblW w:w="8995" w:type="dxa"/>
        <w:tblInd w:w="360" w:type="dxa"/>
        <w:tblLook w:val="04A0" w:firstRow="1" w:lastRow="0" w:firstColumn="1" w:lastColumn="0" w:noHBand="0" w:noVBand="1"/>
      </w:tblPr>
      <w:tblGrid>
        <w:gridCol w:w="3955"/>
        <w:gridCol w:w="2520"/>
        <w:gridCol w:w="2520"/>
      </w:tblGrid>
      <w:tr w:rsidR="0033480A" w:rsidRPr="00A71692" w14:paraId="129F7F90" w14:textId="77777777" w:rsidTr="002976A4">
        <w:trPr>
          <w:cantSplit/>
          <w:tblHeader/>
        </w:trPr>
        <w:tc>
          <w:tcPr>
            <w:tcW w:w="3955" w:type="dxa"/>
            <w:tcBorders>
              <w:bottom w:val="single" w:sz="4" w:space="0" w:color="auto"/>
            </w:tcBorders>
            <w:shd w:val="clear" w:color="auto" w:fill="002060"/>
          </w:tcPr>
          <w:p w14:paraId="6D3CB6E1" w14:textId="77777777" w:rsidR="0033480A" w:rsidRPr="00A71692" w:rsidRDefault="0033480A" w:rsidP="00553DCD">
            <w:pPr>
              <w:autoSpaceDE w:val="0"/>
              <w:autoSpaceDN w:val="0"/>
              <w:adjustRightInd w:val="0"/>
              <w:jc w:val="center"/>
              <w:rPr>
                <w:rFonts w:ascii="Calibri" w:hAnsi="Calibri" w:cs="Calibri"/>
              </w:rPr>
            </w:pPr>
            <w:r w:rsidRPr="00A71692">
              <w:rPr>
                <w:rFonts w:ascii="Calibri" w:hAnsi="Calibri" w:cs="Calibri"/>
              </w:rPr>
              <w:t>Category</w:t>
            </w:r>
          </w:p>
        </w:tc>
        <w:tc>
          <w:tcPr>
            <w:tcW w:w="2520" w:type="dxa"/>
            <w:tcBorders>
              <w:bottom w:val="single" w:sz="4" w:space="0" w:color="auto"/>
            </w:tcBorders>
            <w:shd w:val="clear" w:color="auto" w:fill="002060"/>
          </w:tcPr>
          <w:p w14:paraId="4D40BC17" w14:textId="77777777" w:rsidR="0033480A" w:rsidRPr="00A71692" w:rsidRDefault="0033480A" w:rsidP="00553DCD">
            <w:pPr>
              <w:autoSpaceDE w:val="0"/>
              <w:autoSpaceDN w:val="0"/>
              <w:adjustRightInd w:val="0"/>
              <w:jc w:val="center"/>
              <w:rPr>
                <w:rFonts w:ascii="Calibri" w:hAnsi="Calibri" w:cs="Calibri"/>
              </w:rPr>
            </w:pPr>
            <w:r w:rsidRPr="00A71692">
              <w:rPr>
                <w:rFonts w:ascii="Calibri" w:hAnsi="Calibri" w:cs="Calibri"/>
              </w:rPr>
              <w:t>#</w:t>
            </w:r>
          </w:p>
        </w:tc>
        <w:tc>
          <w:tcPr>
            <w:tcW w:w="2520" w:type="dxa"/>
            <w:tcBorders>
              <w:bottom w:val="single" w:sz="4" w:space="0" w:color="auto"/>
            </w:tcBorders>
            <w:shd w:val="clear" w:color="auto" w:fill="002060"/>
          </w:tcPr>
          <w:p w14:paraId="477C9CFD" w14:textId="77777777" w:rsidR="0033480A" w:rsidRPr="00A71692" w:rsidRDefault="0033480A" w:rsidP="00553DCD">
            <w:pPr>
              <w:autoSpaceDE w:val="0"/>
              <w:autoSpaceDN w:val="0"/>
              <w:adjustRightInd w:val="0"/>
              <w:jc w:val="center"/>
              <w:rPr>
                <w:rFonts w:ascii="Calibri" w:hAnsi="Calibri" w:cs="Calibri"/>
              </w:rPr>
            </w:pPr>
            <w:r w:rsidRPr="00A71692">
              <w:rPr>
                <w:rFonts w:ascii="Calibri" w:hAnsi="Calibri" w:cs="Calibri"/>
              </w:rPr>
              <w:t>%</w:t>
            </w:r>
          </w:p>
        </w:tc>
      </w:tr>
      <w:tr w:rsidR="0033480A" w:rsidRPr="00A71692" w14:paraId="49064D4E" w14:textId="77777777" w:rsidTr="002976A4">
        <w:trPr>
          <w:cantSplit/>
        </w:trPr>
        <w:tc>
          <w:tcPr>
            <w:tcW w:w="3955" w:type="dxa"/>
            <w:tcBorders>
              <w:top w:val="single" w:sz="4" w:space="0" w:color="auto"/>
              <w:left w:val="single" w:sz="4" w:space="0" w:color="auto"/>
              <w:bottom w:val="single" w:sz="4" w:space="0" w:color="auto"/>
              <w:right w:val="single" w:sz="4" w:space="0" w:color="auto"/>
            </w:tcBorders>
            <w:shd w:val="clear" w:color="auto" w:fill="auto"/>
            <w:vAlign w:val="bottom"/>
          </w:tcPr>
          <w:p w14:paraId="0BED6F23" w14:textId="77777777" w:rsidR="0033480A" w:rsidRPr="00A71692" w:rsidRDefault="0033480A" w:rsidP="00553DCD">
            <w:pPr>
              <w:autoSpaceDE w:val="0"/>
              <w:autoSpaceDN w:val="0"/>
              <w:adjustRightInd w:val="0"/>
              <w:jc w:val="center"/>
              <w:rPr>
                <w:rFonts w:ascii="Calibri" w:hAnsi="Calibri" w:cs="Calibri"/>
              </w:rPr>
            </w:pPr>
            <w:r w:rsidRPr="00A71692">
              <w:rPr>
                <w:rFonts w:ascii="Calibri" w:hAnsi="Calibri" w:cs="Calibri"/>
              </w:rPr>
              <w:t>American Indian or Alaskan Native</w:t>
            </w:r>
          </w:p>
        </w:tc>
        <w:tc>
          <w:tcPr>
            <w:tcW w:w="2520" w:type="dxa"/>
            <w:tcBorders>
              <w:top w:val="single" w:sz="8" w:space="0" w:color="auto"/>
              <w:left w:val="nil"/>
              <w:bottom w:val="single" w:sz="8" w:space="0" w:color="auto"/>
              <w:right w:val="single" w:sz="8" w:space="0" w:color="auto"/>
            </w:tcBorders>
            <w:vAlign w:val="bottom"/>
          </w:tcPr>
          <w:p w14:paraId="2ECD518E" w14:textId="77777777" w:rsidR="0033480A" w:rsidRPr="00A71692" w:rsidRDefault="0033480A" w:rsidP="00553DCD">
            <w:pPr>
              <w:autoSpaceDE w:val="0"/>
              <w:autoSpaceDN w:val="0"/>
              <w:adjustRightInd w:val="0"/>
              <w:jc w:val="center"/>
              <w:rPr>
                <w:rFonts w:ascii="Calibri" w:hAnsi="Calibri" w:cs="Calibri"/>
              </w:rPr>
            </w:pPr>
            <w:r>
              <w:rPr>
                <w:color w:val="000000"/>
              </w:rPr>
              <w:t>68</w:t>
            </w:r>
          </w:p>
        </w:tc>
        <w:tc>
          <w:tcPr>
            <w:tcW w:w="2520" w:type="dxa"/>
            <w:tcBorders>
              <w:top w:val="single" w:sz="8" w:space="0" w:color="auto"/>
              <w:left w:val="nil"/>
              <w:bottom w:val="single" w:sz="8" w:space="0" w:color="auto"/>
              <w:right w:val="single" w:sz="8" w:space="0" w:color="auto"/>
            </w:tcBorders>
            <w:vAlign w:val="bottom"/>
          </w:tcPr>
          <w:p w14:paraId="15BE8523" w14:textId="77777777" w:rsidR="0033480A" w:rsidRPr="00A71692" w:rsidRDefault="0033480A" w:rsidP="00553DCD">
            <w:pPr>
              <w:autoSpaceDE w:val="0"/>
              <w:autoSpaceDN w:val="0"/>
              <w:adjustRightInd w:val="0"/>
              <w:jc w:val="center"/>
              <w:rPr>
                <w:rFonts w:ascii="Calibri" w:hAnsi="Calibri" w:cs="Calibri"/>
              </w:rPr>
            </w:pPr>
            <w:r>
              <w:rPr>
                <w:color w:val="000000"/>
              </w:rPr>
              <w:t>0.07%</w:t>
            </w:r>
          </w:p>
        </w:tc>
      </w:tr>
      <w:tr w:rsidR="0033480A" w:rsidRPr="00A71692" w14:paraId="58EB7384" w14:textId="77777777" w:rsidTr="002976A4">
        <w:trPr>
          <w:cantSplit/>
        </w:trPr>
        <w:tc>
          <w:tcPr>
            <w:tcW w:w="3955" w:type="dxa"/>
            <w:tcBorders>
              <w:top w:val="single" w:sz="4" w:space="0" w:color="auto"/>
              <w:left w:val="single" w:sz="4" w:space="0" w:color="auto"/>
              <w:bottom w:val="single" w:sz="4" w:space="0" w:color="auto"/>
              <w:right w:val="single" w:sz="4" w:space="0" w:color="auto"/>
            </w:tcBorders>
            <w:shd w:val="clear" w:color="auto" w:fill="auto"/>
            <w:vAlign w:val="bottom"/>
          </w:tcPr>
          <w:p w14:paraId="11D08F04" w14:textId="77777777" w:rsidR="0033480A" w:rsidRPr="00A71692" w:rsidRDefault="0033480A" w:rsidP="00553DCD">
            <w:pPr>
              <w:autoSpaceDE w:val="0"/>
              <w:autoSpaceDN w:val="0"/>
              <w:adjustRightInd w:val="0"/>
              <w:jc w:val="center"/>
              <w:rPr>
                <w:rFonts w:ascii="Calibri" w:hAnsi="Calibri" w:cs="Calibri"/>
              </w:rPr>
            </w:pPr>
            <w:r w:rsidRPr="00A71692">
              <w:rPr>
                <w:rFonts w:ascii="Calibri" w:hAnsi="Calibri" w:cs="Calibri"/>
              </w:rPr>
              <w:t>Asian</w:t>
            </w:r>
          </w:p>
        </w:tc>
        <w:tc>
          <w:tcPr>
            <w:tcW w:w="2520" w:type="dxa"/>
            <w:tcBorders>
              <w:top w:val="nil"/>
              <w:left w:val="nil"/>
              <w:bottom w:val="single" w:sz="8" w:space="0" w:color="auto"/>
              <w:right w:val="single" w:sz="8" w:space="0" w:color="auto"/>
            </w:tcBorders>
            <w:vAlign w:val="bottom"/>
          </w:tcPr>
          <w:p w14:paraId="090B5297" w14:textId="77777777" w:rsidR="0033480A" w:rsidRPr="00A71692" w:rsidRDefault="0033480A" w:rsidP="00553DCD">
            <w:pPr>
              <w:autoSpaceDE w:val="0"/>
              <w:autoSpaceDN w:val="0"/>
              <w:adjustRightInd w:val="0"/>
              <w:jc w:val="center"/>
              <w:rPr>
                <w:rFonts w:ascii="Calibri" w:hAnsi="Calibri" w:cs="Calibri"/>
              </w:rPr>
            </w:pPr>
            <w:r>
              <w:rPr>
                <w:color w:val="000000"/>
              </w:rPr>
              <w:t>5,361</w:t>
            </w:r>
          </w:p>
        </w:tc>
        <w:tc>
          <w:tcPr>
            <w:tcW w:w="2520" w:type="dxa"/>
            <w:tcBorders>
              <w:top w:val="nil"/>
              <w:left w:val="nil"/>
              <w:bottom w:val="single" w:sz="8" w:space="0" w:color="auto"/>
              <w:right w:val="single" w:sz="8" w:space="0" w:color="auto"/>
            </w:tcBorders>
            <w:vAlign w:val="bottom"/>
          </w:tcPr>
          <w:p w14:paraId="126C1EEF" w14:textId="77777777" w:rsidR="0033480A" w:rsidRPr="00A71692" w:rsidRDefault="0033480A" w:rsidP="00553DCD">
            <w:pPr>
              <w:autoSpaceDE w:val="0"/>
              <w:autoSpaceDN w:val="0"/>
              <w:adjustRightInd w:val="0"/>
              <w:jc w:val="center"/>
              <w:rPr>
                <w:rFonts w:ascii="Calibri" w:hAnsi="Calibri" w:cs="Calibri"/>
              </w:rPr>
            </w:pPr>
            <w:r>
              <w:rPr>
                <w:color w:val="000000"/>
              </w:rPr>
              <w:t>5.66%</w:t>
            </w:r>
          </w:p>
        </w:tc>
      </w:tr>
      <w:tr w:rsidR="0033480A" w:rsidRPr="00A71692" w14:paraId="47B28CF3" w14:textId="77777777" w:rsidTr="002976A4">
        <w:trPr>
          <w:cantSplit/>
        </w:trPr>
        <w:tc>
          <w:tcPr>
            <w:tcW w:w="3955" w:type="dxa"/>
            <w:tcBorders>
              <w:top w:val="single" w:sz="4" w:space="0" w:color="auto"/>
              <w:left w:val="single" w:sz="4" w:space="0" w:color="auto"/>
              <w:bottom w:val="single" w:sz="4" w:space="0" w:color="auto"/>
              <w:right w:val="single" w:sz="4" w:space="0" w:color="auto"/>
            </w:tcBorders>
            <w:shd w:val="clear" w:color="auto" w:fill="auto"/>
            <w:vAlign w:val="bottom"/>
          </w:tcPr>
          <w:p w14:paraId="5BBB6DBC" w14:textId="77777777" w:rsidR="0033480A" w:rsidRPr="00A71692" w:rsidRDefault="0033480A" w:rsidP="00553DCD">
            <w:pPr>
              <w:autoSpaceDE w:val="0"/>
              <w:autoSpaceDN w:val="0"/>
              <w:adjustRightInd w:val="0"/>
              <w:jc w:val="center"/>
              <w:rPr>
                <w:rFonts w:ascii="Calibri" w:hAnsi="Calibri" w:cs="Calibri"/>
              </w:rPr>
            </w:pPr>
            <w:r w:rsidRPr="00A71692">
              <w:rPr>
                <w:rFonts w:ascii="Calibri" w:hAnsi="Calibri" w:cs="Calibri"/>
              </w:rPr>
              <w:t>Black or African American</w:t>
            </w:r>
          </w:p>
        </w:tc>
        <w:tc>
          <w:tcPr>
            <w:tcW w:w="2520" w:type="dxa"/>
            <w:tcBorders>
              <w:top w:val="nil"/>
              <w:left w:val="nil"/>
              <w:bottom w:val="single" w:sz="8" w:space="0" w:color="auto"/>
              <w:right w:val="single" w:sz="8" w:space="0" w:color="auto"/>
            </w:tcBorders>
            <w:vAlign w:val="bottom"/>
          </w:tcPr>
          <w:p w14:paraId="406DBCE2" w14:textId="77777777" w:rsidR="0033480A" w:rsidRPr="00A71692" w:rsidRDefault="0033480A" w:rsidP="00553DCD">
            <w:pPr>
              <w:autoSpaceDE w:val="0"/>
              <w:autoSpaceDN w:val="0"/>
              <w:adjustRightInd w:val="0"/>
              <w:jc w:val="center"/>
              <w:rPr>
                <w:rFonts w:ascii="Calibri" w:hAnsi="Calibri" w:cs="Calibri"/>
              </w:rPr>
            </w:pPr>
            <w:r>
              <w:rPr>
                <w:color w:val="000000"/>
              </w:rPr>
              <w:t>4,457</w:t>
            </w:r>
          </w:p>
        </w:tc>
        <w:tc>
          <w:tcPr>
            <w:tcW w:w="2520" w:type="dxa"/>
            <w:tcBorders>
              <w:top w:val="nil"/>
              <w:left w:val="nil"/>
              <w:bottom w:val="single" w:sz="8" w:space="0" w:color="auto"/>
              <w:right w:val="single" w:sz="8" w:space="0" w:color="auto"/>
            </w:tcBorders>
            <w:vAlign w:val="bottom"/>
          </w:tcPr>
          <w:p w14:paraId="4CF4000B" w14:textId="77777777" w:rsidR="0033480A" w:rsidRPr="00A71692" w:rsidRDefault="0033480A" w:rsidP="00553DCD">
            <w:pPr>
              <w:autoSpaceDE w:val="0"/>
              <w:autoSpaceDN w:val="0"/>
              <w:adjustRightInd w:val="0"/>
              <w:jc w:val="center"/>
              <w:rPr>
                <w:rFonts w:ascii="Calibri" w:hAnsi="Calibri" w:cs="Calibri"/>
              </w:rPr>
            </w:pPr>
            <w:r>
              <w:rPr>
                <w:color w:val="000000"/>
              </w:rPr>
              <w:t>4.70%</w:t>
            </w:r>
          </w:p>
        </w:tc>
      </w:tr>
      <w:tr w:rsidR="0033480A" w:rsidRPr="00A71692" w14:paraId="7830FFFB" w14:textId="77777777" w:rsidTr="002976A4">
        <w:trPr>
          <w:cantSplit/>
        </w:trPr>
        <w:tc>
          <w:tcPr>
            <w:tcW w:w="3955" w:type="dxa"/>
            <w:tcBorders>
              <w:top w:val="single" w:sz="4" w:space="0" w:color="auto"/>
              <w:left w:val="single" w:sz="4" w:space="0" w:color="auto"/>
              <w:bottom w:val="single" w:sz="4" w:space="0" w:color="auto"/>
              <w:right w:val="single" w:sz="4" w:space="0" w:color="auto"/>
            </w:tcBorders>
            <w:shd w:val="clear" w:color="auto" w:fill="auto"/>
            <w:vAlign w:val="bottom"/>
          </w:tcPr>
          <w:p w14:paraId="27D60FC9" w14:textId="77777777" w:rsidR="0033480A" w:rsidRPr="00A71692" w:rsidRDefault="0033480A" w:rsidP="00553DCD">
            <w:pPr>
              <w:autoSpaceDE w:val="0"/>
              <w:autoSpaceDN w:val="0"/>
              <w:adjustRightInd w:val="0"/>
              <w:jc w:val="center"/>
              <w:rPr>
                <w:rFonts w:ascii="Calibri" w:hAnsi="Calibri" w:cs="Calibri"/>
                <w:b/>
                <w:bCs/>
              </w:rPr>
            </w:pPr>
            <w:r w:rsidRPr="00A71692">
              <w:rPr>
                <w:rFonts w:ascii="Calibri" w:hAnsi="Calibri" w:cs="Calibri"/>
              </w:rPr>
              <w:t>Other/Unknown</w:t>
            </w:r>
          </w:p>
        </w:tc>
        <w:tc>
          <w:tcPr>
            <w:tcW w:w="2520" w:type="dxa"/>
            <w:tcBorders>
              <w:top w:val="nil"/>
              <w:left w:val="nil"/>
              <w:bottom w:val="single" w:sz="8" w:space="0" w:color="auto"/>
              <w:right w:val="single" w:sz="8" w:space="0" w:color="auto"/>
            </w:tcBorders>
            <w:vAlign w:val="bottom"/>
          </w:tcPr>
          <w:p w14:paraId="5A284CC3" w14:textId="77777777" w:rsidR="0033480A" w:rsidRPr="00A71692" w:rsidRDefault="0033480A" w:rsidP="00553DCD">
            <w:pPr>
              <w:autoSpaceDE w:val="0"/>
              <w:autoSpaceDN w:val="0"/>
              <w:adjustRightInd w:val="0"/>
              <w:jc w:val="center"/>
              <w:rPr>
                <w:rFonts w:ascii="Calibri" w:hAnsi="Calibri" w:cs="Calibri"/>
                <w:b/>
                <w:bCs/>
              </w:rPr>
            </w:pPr>
            <w:r>
              <w:rPr>
                <w:color w:val="000000"/>
              </w:rPr>
              <w:t>8,744</w:t>
            </w:r>
          </w:p>
        </w:tc>
        <w:tc>
          <w:tcPr>
            <w:tcW w:w="2520" w:type="dxa"/>
            <w:tcBorders>
              <w:top w:val="nil"/>
              <w:left w:val="nil"/>
              <w:bottom w:val="single" w:sz="8" w:space="0" w:color="auto"/>
              <w:right w:val="single" w:sz="8" w:space="0" w:color="auto"/>
            </w:tcBorders>
            <w:vAlign w:val="bottom"/>
          </w:tcPr>
          <w:p w14:paraId="5715BE43" w14:textId="77777777" w:rsidR="0033480A" w:rsidRPr="00A71692" w:rsidRDefault="0033480A" w:rsidP="00553DCD">
            <w:pPr>
              <w:autoSpaceDE w:val="0"/>
              <w:autoSpaceDN w:val="0"/>
              <w:adjustRightInd w:val="0"/>
              <w:jc w:val="center"/>
              <w:rPr>
                <w:rFonts w:ascii="Calibri" w:hAnsi="Calibri" w:cs="Calibri"/>
                <w:b/>
                <w:bCs/>
              </w:rPr>
            </w:pPr>
            <w:r>
              <w:rPr>
                <w:color w:val="000000"/>
              </w:rPr>
              <w:t>9.22%</w:t>
            </w:r>
          </w:p>
        </w:tc>
      </w:tr>
      <w:tr w:rsidR="0033480A" w:rsidRPr="00A71692" w14:paraId="12573A86" w14:textId="77777777" w:rsidTr="002976A4">
        <w:trPr>
          <w:cantSplit/>
        </w:trPr>
        <w:tc>
          <w:tcPr>
            <w:tcW w:w="3955" w:type="dxa"/>
            <w:tcBorders>
              <w:top w:val="single" w:sz="4" w:space="0" w:color="auto"/>
              <w:left w:val="single" w:sz="4" w:space="0" w:color="auto"/>
              <w:bottom w:val="single" w:sz="4" w:space="0" w:color="auto"/>
              <w:right w:val="single" w:sz="4" w:space="0" w:color="auto"/>
            </w:tcBorders>
            <w:shd w:val="clear" w:color="auto" w:fill="auto"/>
            <w:vAlign w:val="bottom"/>
          </w:tcPr>
          <w:p w14:paraId="0AD932C1" w14:textId="77777777" w:rsidR="0033480A" w:rsidRPr="00A71692" w:rsidRDefault="0033480A" w:rsidP="00553DCD">
            <w:pPr>
              <w:autoSpaceDE w:val="0"/>
              <w:autoSpaceDN w:val="0"/>
              <w:adjustRightInd w:val="0"/>
              <w:jc w:val="center"/>
              <w:rPr>
                <w:rFonts w:ascii="Calibri" w:hAnsi="Calibri" w:cs="Calibri"/>
                <w:b/>
                <w:bCs/>
              </w:rPr>
            </w:pPr>
            <w:r w:rsidRPr="00A71692">
              <w:rPr>
                <w:rFonts w:ascii="Calibri" w:hAnsi="Calibri" w:cs="Calibri"/>
              </w:rPr>
              <w:t>White</w:t>
            </w:r>
          </w:p>
        </w:tc>
        <w:tc>
          <w:tcPr>
            <w:tcW w:w="2520" w:type="dxa"/>
            <w:tcBorders>
              <w:top w:val="nil"/>
              <w:left w:val="nil"/>
              <w:bottom w:val="single" w:sz="8" w:space="0" w:color="auto"/>
              <w:right w:val="single" w:sz="8" w:space="0" w:color="auto"/>
            </w:tcBorders>
            <w:vAlign w:val="bottom"/>
          </w:tcPr>
          <w:p w14:paraId="497CBF40" w14:textId="77777777" w:rsidR="0033480A" w:rsidRPr="00A71692" w:rsidRDefault="0033480A" w:rsidP="00553DCD">
            <w:pPr>
              <w:autoSpaceDE w:val="0"/>
              <w:autoSpaceDN w:val="0"/>
              <w:adjustRightInd w:val="0"/>
              <w:jc w:val="center"/>
              <w:rPr>
                <w:rFonts w:ascii="Calibri" w:hAnsi="Calibri" w:cs="Calibri"/>
                <w:b/>
                <w:bCs/>
              </w:rPr>
            </w:pPr>
            <w:r>
              <w:rPr>
                <w:color w:val="000000"/>
              </w:rPr>
              <w:t>76,170</w:t>
            </w:r>
          </w:p>
        </w:tc>
        <w:tc>
          <w:tcPr>
            <w:tcW w:w="2520" w:type="dxa"/>
            <w:tcBorders>
              <w:top w:val="nil"/>
              <w:left w:val="nil"/>
              <w:bottom w:val="single" w:sz="8" w:space="0" w:color="auto"/>
              <w:right w:val="single" w:sz="8" w:space="0" w:color="auto"/>
            </w:tcBorders>
            <w:vAlign w:val="bottom"/>
          </w:tcPr>
          <w:p w14:paraId="51C1C960" w14:textId="77777777" w:rsidR="0033480A" w:rsidRPr="00A71692" w:rsidRDefault="0033480A" w:rsidP="00553DCD">
            <w:pPr>
              <w:autoSpaceDE w:val="0"/>
              <w:autoSpaceDN w:val="0"/>
              <w:adjustRightInd w:val="0"/>
              <w:jc w:val="center"/>
              <w:rPr>
                <w:rFonts w:ascii="Calibri" w:hAnsi="Calibri" w:cs="Calibri"/>
                <w:b/>
                <w:bCs/>
              </w:rPr>
            </w:pPr>
            <w:r>
              <w:rPr>
                <w:color w:val="000000"/>
              </w:rPr>
              <w:t>80.35%</w:t>
            </w:r>
          </w:p>
        </w:tc>
      </w:tr>
      <w:tr w:rsidR="0033480A" w:rsidRPr="00A71692" w14:paraId="7310D2AC" w14:textId="77777777" w:rsidTr="002976A4">
        <w:trPr>
          <w:cantSplit/>
        </w:trPr>
        <w:tc>
          <w:tcPr>
            <w:tcW w:w="3955" w:type="dxa"/>
            <w:tcBorders>
              <w:top w:val="single" w:sz="4" w:space="0" w:color="auto"/>
              <w:left w:val="single" w:sz="4" w:space="0" w:color="auto"/>
              <w:bottom w:val="single" w:sz="4" w:space="0" w:color="auto"/>
              <w:right w:val="single" w:sz="4" w:space="0" w:color="auto"/>
            </w:tcBorders>
            <w:shd w:val="clear" w:color="auto" w:fill="E7E6E6" w:themeFill="background2"/>
            <w:vAlign w:val="bottom"/>
          </w:tcPr>
          <w:p w14:paraId="376CE792" w14:textId="77777777" w:rsidR="0033480A" w:rsidRPr="00A71692" w:rsidRDefault="0033480A" w:rsidP="00553DCD">
            <w:pPr>
              <w:autoSpaceDE w:val="0"/>
              <w:autoSpaceDN w:val="0"/>
              <w:adjustRightInd w:val="0"/>
              <w:jc w:val="center"/>
              <w:rPr>
                <w:rFonts w:ascii="Calibri" w:hAnsi="Calibri" w:cs="Calibri"/>
                <w:b/>
                <w:bCs/>
              </w:rPr>
            </w:pPr>
            <w:r w:rsidRPr="00A71692">
              <w:rPr>
                <w:rFonts w:ascii="Calibri" w:hAnsi="Calibri" w:cs="Calibri"/>
                <w:b/>
                <w:bCs/>
              </w:rPr>
              <w:t>Total</w:t>
            </w:r>
          </w:p>
        </w:tc>
        <w:tc>
          <w:tcPr>
            <w:tcW w:w="2520" w:type="dxa"/>
            <w:tcBorders>
              <w:top w:val="nil"/>
              <w:left w:val="nil"/>
              <w:bottom w:val="single" w:sz="8" w:space="0" w:color="auto"/>
              <w:right w:val="single" w:sz="8" w:space="0" w:color="auto"/>
            </w:tcBorders>
            <w:shd w:val="clear" w:color="auto" w:fill="E7E6E6" w:themeFill="background2"/>
            <w:vAlign w:val="bottom"/>
          </w:tcPr>
          <w:p w14:paraId="67FC8B0D" w14:textId="77777777" w:rsidR="0033480A" w:rsidRPr="005C5F10" w:rsidRDefault="0033480A" w:rsidP="00553DCD">
            <w:pPr>
              <w:autoSpaceDE w:val="0"/>
              <w:autoSpaceDN w:val="0"/>
              <w:adjustRightInd w:val="0"/>
              <w:jc w:val="center"/>
              <w:rPr>
                <w:rFonts w:ascii="Calibri" w:hAnsi="Calibri" w:cs="Calibri"/>
                <w:b/>
                <w:bCs/>
              </w:rPr>
            </w:pPr>
            <w:r w:rsidRPr="005C5F10">
              <w:rPr>
                <w:b/>
                <w:bCs/>
                <w:color w:val="000000"/>
              </w:rPr>
              <w:t>94,800</w:t>
            </w:r>
          </w:p>
        </w:tc>
        <w:tc>
          <w:tcPr>
            <w:tcW w:w="2520" w:type="dxa"/>
            <w:tcBorders>
              <w:top w:val="nil"/>
              <w:left w:val="nil"/>
              <w:bottom w:val="single" w:sz="8" w:space="0" w:color="auto"/>
              <w:right w:val="single" w:sz="8" w:space="0" w:color="auto"/>
            </w:tcBorders>
            <w:shd w:val="clear" w:color="auto" w:fill="E7E6E6" w:themeFill="background2"/>
            <w:vAlign w:val="bottom"/>
          </w:tcPr>
          <w:p w14:paraId="5E6F68B5" w14:textId="77777777" w:rsidR="0033480A" w:rsidRPr="005C5F10" w:rsidRDefault="0033480A" w:rsidP="00553DCD">
            <w:pPr>
              <w:autoSpaceDE w:val="0"/>
              <w:autoSpaceDN w:val="0"/>
              <w:adjustRightInd w:val="0"/>
              <w:jc w:val="center"/>
              <w:rPr>
                <w:rFonts w:ascii="Calibri" w:hAnsi="Calibri" w:cs="Calibri"/>
                <w:b/>
                <w:bCs/>
              </w:rPr>
            </w:pPr>
            <w:r w:rsidRPr="005C5F10">
              <w:rPr>
                <w:b/>
                <w:bCs/>
                <w:color w:val="000000"/>
              </w:rPr>
              <w:t>100.00%</w:t>
            </w:r>
          </w:p>
        </w:tc>
      </w:tr>
    </w:tbl>
    <w:p w14:paraId="2D2F041E" w14:textId="77777777" w:rsidR="00F65CF6" w:rsidRDefault="00F65CF6" w:rsidP="0033480A">
      <w:pPr>
        <w:autoSpaceDE w:val="0"/>
        <w:autoSpaceDN w:val="0"/>
        <w:adjustRightInd w:val="0"/>
        <w:spacing w:after="0" w:line="240" w:lineRule="auto"/>
        <w:ind w:left="360"/>
        <w:jc w:val="both"/>
        <w:rPr>
          <w:rFonts w:ascii="Calibri" w:hAnsi="Calibri" w:cs="Calibri"/>
        </w:rPr>
      </w:pPr>
    </w:p>
    <w:p w14:paraId="2AD534D7" w14:textId="77777777" w:rsidR="00F65CF6" w:rsidRDefault="00F65CF6" w:rsidP="0033480A">
      <w:pPr>
        <w:autoSpaceDE w:val="0"/>
        <w:autoSpaceDN w:val="0"/>
        <w:adjustRightInd w:val="0"/>
        <w:spacing w:after="0" w:line="240" w:lineRule="auto"/>
        <w:ind w:left="360"/>
        <w:jc w:val="both"/>
        <w:rPr>
          <w:rFonts w:ascii="Calibri" w:hAnsi="Calibri" w:cs="Calibri"/>
        </w:rPr>
      </w:pPr>
    </w:p>
    <w:p w14:paraId="7D95B0F7" w14:textId="77777777" w:rsidR="00F65CF6" w:rsidRDefault="00F65CF6" w:rsidP="0033480A">
      <w:pPr>
        <w:autoSpaceDE w:val="0"/>
        <w:autoSpaceDN w:val="0"/>
        <w:adjustRightInd w:val="0"/>
        <w:spacing w:after="0" w:line="240" w:lineRule="auto"/>
        <w:ind w:left="360"/>
        <w:jc w:val="both"/>
        <w:rPr>
          <w:rFonts w:ascii="Calibri" w:hAnsi="Calibri" w:cs="Calibri"/>
        </w:rPr>
      </w:pPr>
    </w:p>
    <w:p w14:paraId="55B53009" w14:textId="77777777" w:rsidR="00F65CF6" w:rsidRDefault="00F65CF6" w:rsidP="0033480A">
      <w:pPr>
        <w:autoSpaceDE w:val="0"/>
        <w:autoSpaceDN w:val="0"/>
        <w:adjustRightInd w:val="0"/>
        <w:spacing w:after="0" w:line="240" w:lineRule="auto"/>
        <w:ind w:left="360"/>
        <w:jc w:val="both"/>
        <w:rPr>
          <w:rFonts w:ascii="Calibri" w:hAnsi="Calibri" w:cs="Calibri"/>
        </w:rPr>
      </w:pPr>
    </w:p>
    <w:p w14:paraId="676F1867" w14:textId="72B2F02F" w:rsidR="0033480A" w:rsidRDefault="0033480A" w:rsidP="0033480A">
      <w:pPr>
        <w:autoSpaceDE w:val="0"/>
        <w:autoSpaceDN w:val="0"/>
        <w:adjustRightInd w:val="0"/>
        <w:spacing w:after="0" w:line="240" w:lineRule="auto"/>
        <w:ind w:left="360"/>
        <w:jc w:val="both"/>
        <w:rPr>
          <w:rFonts w:ascii="Calibri" w:hAnsi="Calibri" w:cs="Calibri"/>
        </w:rPr>
      </w:pPr>
      <w:r>
        <w:rPr>
          <w:rFonts w:ascii="Calibri" w:hAnsi="Calibri" w:cs="Calibri"/>
        </w:rPr>
        <w:lastRenderedPageBreak/>
        <w:t>FY21</w:t>
      </w:r>
    </w:p>
    <w:tbl>
      <w:tblPr>
        <w:tblStyle w:val="TableGrid"/>
        <w:tblW w:w="8995" w:type="dxa"/>
        <w:tblInd w:w="360" w:type="dxa"/>
        <w:tblLook w:val="04A0" w:firstRow="1" w:lastRow="0" w:firstColumn="1" w:lastColumn="0" w:noHBand="0" w:noVBand="1"/>
      </w:tblPr>
      <w:tblGrid>
        <w:gridCol w:w="3955"/>
        <w:gridCol w:w="2520"/>
        <w:gridCol w:w="2520"/>
      </w:tblGrid>
      <w:tr w:rsidR="0033480A" w:rsidRPr="004B3D24" w14:paraId="610705CC" w14:textId="77777777" w:rsidTr="002976A4">
        <w:trPr>
          <w:cantSplit/>
          <w:tblHeader/>
        </w:trPr>
        <w:tc>
          <w:tcPr>
            <w:tcW w:w="3955" w:type="dxa"/>
            <w:tcBorders>
              <w:bottom w:val="single" w:sz="4" w:space="0" w:color="auto"/>
            </w:tcBorders>
            <w:shd w:val="clear" w:color="auto" w:fill="002060"/>
          </w:tcPr>
          <w:p w14:paraId="2C081471" w14:textId="77777777" w:rsidR="0033480A" w:rsidRPr="004B3D24" w:rsidRDefault="0033480A" w:rsidP="00553DCD">
            <w:pPr>
              <w:autoSpaceDE w:val="0"/>
              <w:autoSpaceDN w:val="0"/>
              <w:adjustRightInd w:val="0"/>
              <w:jc w:val="center"/>
              <w:rPr>
                <w:rFonts w:ascii="Calibri" w:hAnsi="Calibri" w:cs="Calibri"/>
              </w:rPr>
            </w:pPr>
            <w:r>
              <w:rPr>
                <w:rFonts w:ascii="Calibri" w:hAnsi="Calibri" w:cs="Calibri"/>
              </w:rPr>
              <w:t>Category</w:t>
            </w:r>
          </w:p>
        </w:tc>
        <w:tc>
          <w:tcPr>
            <w:tcW w:w="2520" w:type="dxa"/>
            <w:tcBorders>
              <w:bottom w:val="single" w:sz="4" w:space="0" w:color="auto"/>
            </w:tcBorders>
            <w:shd w:val="clear" w:color="auto" w:fill="002060"/>
          </w:tcPr>
          <w:p w14:paraId="4D04F18A" w14:textId="77777777" w:rsidR="0033480A" w:rsidRPr="004B3D24" w:rsidRDefault="0033480A" w:rsidP="00553DCD">
            <w:pPr>
              <w:autoSpaceDE w:val="0"/>
              <w:autoSpaceDN w:val="0"/>
              <w:adjustRightInd w:val="0"/>
              <w:jc w:val="center"/>
              <w:rPr>
                <w:rFonts w:ascii="Calibri" w:hAnsi="Calibri" w:cs="Calibri"/>
              </w:rPr>
            </w:pPr>
            <w:r w:rsidRPr="004B3D24">
              <w:rPr>
                <w:rFonts w:ascii="Calibri" w:hAnsi="Calibri" w:cs="Calibri"/>
              </w:rPr>
              <w:t>#</w:t>
            </w:r>
          </w:p>
        </w:tc>
        <w:tc>
          <w:tcPr>
            <w:tcW w:w="2520" w:type="dxa"/>
            <w:tcBorders>
              <w:bottom w:val="single" w:sz="4" w:space="0" w:color="auto"/>
            </w:tcBorders>
            <w:shd w:val="clear" w:color="auto" w:fill="002060"/>
          </w:tcPr>
          <w:p w14:paraId="51B327B4" w14:textId="77777777" w:rsidR="0033480A" w:rsidRPr="004B3D24" w:rsidRDefault="0033480A" w:rsidP="00553DCD">
            <w:pPr>
              <w:autoSpaceDE w:val="0"/>
              <w:autoSpaceDN w:val="0"/>
              <w:adjustRightInd w:val="0"/>
              <w:jc w:val="center"/>
              <w:rPr>
                <w:rFonts w:ascii="Calibri" w:hAnsi="Calibri" w:cs="Calibri"/>
              </w:rPr>
            </w:pPr>
            <w:r w:rsidRPr="004B3D24">
              <w:rPr>
                <w:rFonts w:ascii="Calibri" w:hAnsi="Calibri" w:cs="Calibri"/>
              </w:rPr>
              <w:t>%</w:t>
            </w:r>
          </w:p>
        </w:tc>
      </w:tr>
      <w:tr w:rsidR="0033480A" w:rsidRPr="004B3D24" w14:paraId="31A89223" w14:textId="77777777" w:rsidTr="002976A4">
        <w:trPr>
          <w:cantSplit/>
        </w:trPr>
        <w:tc>
          <w:tcPr>
            <w:tcW w:w="3955" w:type="dxa"/>
            <w:tcBorders>
              <w:top w:val="single" w:sz="4" w:space="0" w:color="auto"/>
              <w:left w:val="single" w:sz="4" w:space="0" w:color="auto"/>
              <w:bottom w:val="single" w:sz="4" w:space="0" w:color="auto"/>
              <w:right w:val="single" w:sz="4" w:space="0" w:color="auto"/>
            </w:tcBorders>
            <w:shd w:val="clear" w:color="auto" w:fill="auto"/>
            <w:vAlign w:val="bottom"/>
          </w:tcPr>
          <w:p w14:paraId="6576420B" w14:textId="77777777" w:rsidR="0033480A" w:rsidRPr="004B3D24" w:rsidRDefault="0033480A" w:rsidP="00553DCD">
            <w:pPr>
              <w:autoSpaceDE w:val="0"/>
              <w:autoSpaceDN w:val="0"/>
              <w:adjustRightInd w:val="0"/>
              <w:ind w:left="360"/>
              <w:jc w:val="center"/>
              <w:rPr>
                <w:rFonts w:ascii="Calibri" w:hAnsi="Calibri" w:cs="Calibri"/>
              </w:rPr>
            </w:pPr>
            <w:r>
              <w:rPr>
                <w:rFonts w:ascii="Calibri" w:hAnsi="Calibri" w:cs="Calibri"/>
                <w:color w:val="000000"/>
              </w:rPr>
              <w:t>American Indian or Alaskan Native</w:t>
            </w:r>
          </w:p>
        </w:tc>
        <w:tc>
          <w:tcPr>
            <w:tcW w:w="2520" w:type="dxa"/>
            <w:tcBorders>
              <w:top w:val="single" w:sz="8" w:space="0" w:color="auto"/>
              <w:left w:val="nil"/>
              <w:bottom w:val="single" w:sz="8" w:space="0" w:color="auto"/>
              <w:right w:val="single" w:sz="8" w:space="0" w:color="auto"/>
            </w:tcBorders>
            <w:vAlign w:val="bottom"/>
          </w:tcPr>
          <w:p w14:paraId="04D07F29" w14:textId="77777777" w:rsidR="0033480A" w:rsidRPr="004B3D24" w:rsidRDefault="0033480A" w:rsidP="00553DCD">
            <w:pPr>
              <w:autoSpaceDE w:val="0"/>
              <w:autoSpaceDN w:val="0"/>
              <w:adjustRightInd w:val="0"/>
              <w:jc w:val="center"/>
              <w:rPr>
                <w:rFonts w:ascii="Calibri" w:hAnsi="Calibri" w:cs="Calibri"/>
              </w:rPr>
            </w:pPr>
            <w:r>
              <w:rPr>
                <w:color w:val="000000"/>
              </w:rPr>
              <w:t>69</w:t>
            </w:r>
          </w:p>
        </w:tc>
        <w:tc>
          <w:tcPr>
            <w:tcW w:w="2520" w:type="dxa"/>
            <w:tcBorders>
              <w:top w:val="single" w:sz="8" w:space="0" w:color="auto"/>
              <w:left w:val="nil"/>
              <w:bottom w:val="single" w:sz="8" w:space="0" w:color="auto"/>
              <w:right w:val="single" w:sz="8" w:space="0" w:color="auto"/>
            </w:tcBorders>
            <w:vAlign w:val="bottom"/>
          </w:tcPr>
          <w:p w14:paraId="4DAAEF3B" w14:textId="77777777" w:rsidR="0033480A" w:rsidRPr="004B3D24" w:rsidRDefault="0033480A" w:rsidP="00553DCD">
            <w:pPr>
              <w:autoSpaceDE w:val="0"/>
              <w:autoSpaceDN w:val="0"/>
              <w:adjustRightInd w:val="0"/>
              <w:jc w:val="center"/>
              <w:rPr>
                <w:rFonts w:ascii="Calibri" w:hAnsi="Calibri" w:cs="Calibri"/>
              </w:rPr>
            </w:pPr>
            <w:r>
              <w:rPr>
                <w:color w:val="000000"/>
              </w:rPr>
              <w:t>0.07%</w:t>
            </w:r>
          </w:p>
        </w:tc>
      </w:tr>
      <w:tr w:rsidR="0033480A" w:rsidRPr="004B3D24" w14:paraId="7E1C192F" w14:textId="77777777" w:rsidTr="002976A4">
        <w:trPr>
          <w:cantSplit/>
        </w:trPr>
        <w:tc>
          <w:tcPr>
            <w:tcW w:w="3955" w:type="dxa"/>
            <w:tcBorders>
              <w:top w:val="single" w:sz="4" w:space="0" w:color="auto"/>
              <w:left w:val="single" w:sz="4" w:space="0" w:color="auto"/>
              <w:bottom w:val="single" w:sz="4" w:space="0" w:color="auto"/>
              <w:right w:val="single" w:sz="4" w:space="0" w:color="auto"/>
            </w:tcBorders>
            <w:shd w:val="clear" w:color="auto" w:fill="auto"/>
            <w:vAlign w:val="bottom"/>
          </w:tcPr>
          <w:p w14:paraId="2AFB0B2E" w14:textId="77777777" w:rsidR="0033480A" w:rsidRPr="004B3D24" w:rsidRDefault="0033480A" w:rsidP="00553DCD">
            <w:pPr>
              <w:autoSpaceDE w:val="0"/>
              <w:autoSpaceDN w:val="0"/>
              <w:adjustRightInd w:val="0"/>
              <w:ind w:left="360"/>
              <w:jc w:val="center"/>
              <w:rPr>
                <w:rFonts w:ascii="Calibri" w:hAnsi="Calibri" w:cs="Calibri"/>
              </w:rPr>
            </w:pPr>
            <w:r>
              <w:rPr>
                <w:rFonts w:ascii="Calibri" w:hAnsi="Calibri" w:cs="Calibri"/>
                <w:color w:val="000000"/>
              </w:rPr>
              <w:t>Asian</w:t>
            </w:r>
          </w:p>
        </w:tc>
        <w:tc>
          <w:tcPr>
            <w:tcW w:w="2520" w:type="dxa"/>
            <w:tcBorders>
              <w:top w:val="nil"/>
              <w:left w:val="nil"/>
              <w:bottom w:val="single" w:sz="8" w:space="0" w:color="auto"/>
              <w:right w:val="single" w:sz="8" w:space="0" w:color="auto"/>
            </w:tcBorders>
            <w:vAlign w:val="bottom"/>
          </w:tcPr>
          <w:p w14:paraId="7BE89B9B" w14:textId="77777777" w:rsidR="0033480A" w:rsidRPr="004B3D24" w:rsidRDefault="0033480A" w:rsidP="00553DCD">
            <w:pPr>
              <w:autoSpaceDE w:val="0"/>
              <w:autoSpaceDN w:val="0"/>
              <w:adjustRightInd w:val="0"/>
              <w:jc w:val="center"/>
              <w:rPr>
                <w:rFonts w:ascii="Calibri" w:hAnsi="Calibri" w:cs="Calibri"/>
              </w:rPr>
            </w:pPr>
            <w:r>
              <w:rPr>
                <w:color w:val="000000"/>
              </w:rPr>
              <w:t>5,946</w:t>
            </w:r>
          </w:p>
        </w:tc>
        <w:tc>
          <w:tcPr>
            <w:tcW w:w="2520" w:type="dxa"/>
            <w:tcBorders>
              <w:top w:val="nil"/>
              <w:left w:val="nil"/>
              <w:bottom w:val="single" w:sz="8" w:space="0" w:color="auto"/>
              <w:right w:val="single" w:sz="8" w:space="0" w:color="auto"/>
            </w:tcBorders>
            <w:vAlign w:val="bottom"/>
          </w:tcPr>
          <w:p w14:paraId="25A6767B" w14:textId="77777777" w:rsidR="0033480A" w:rsidRPr="004B3D24" w:rsidRDefault="0033480A" w:rsidP="00553DCD">
            <w:pPr>
              <w:autoSpaceDE w:val="0"/>
              <w:autoSpaceDN w:val="0"/>
              <w:adjustRightInd w:val="0"/>
              <w:jc w:val="center"/>
              <w:rPr>
                <w:rFonts w:ascii="Calibri" w:hAnsi="Calibri" w:cs="Calibri"/>
              </w:rPr>
            </w:pPr>
            <w:r>
              <w:rPr>
                <w:color w:val="000000"/>
              </w:rPr>
              <w:t>5.76%</w:t>
            </w:r>
          </w:p>
        </w:tc>
      </w:tr>
      <w:tr w:rsidR="0033480A" w:rsidRPr="004B3D24" w14:paraId="70B9EC6A" w14:textId="77777777" w:rsidTr="002976A4">
        <w:trPr>
          <w:cantSplit/>
        </w:trPr>
        <w:tc>
          <w:tcPr>
            <w:tcW w:w="3955" w:type="dxa"/>
            <w:tcBorders>
              <w:top w:val="single" w:sz="4" w:space="0" w:color="auto"/>
              <w:left w:val="single" w:sz="4" w:space="0" w:color="auto"/>
              <w:bottom w:val="single" w:sz="4" w:space="0" w:color="auto"/>
              <w:right w:val="single" w:sz="4" w:space="0" w:color="auto"/>
            </w:tcBorders>
            <w:shd w:val="clear" w:color="auto" w:fill="auto"/>
            <w:vAlign w:val="bottom"/>
          </w:tcPr>
          <w:p w14:paraId="16FF0B60" w14:textId="77777777" w:rsidR="0033480A" w:rsidRPr="004B3D24" w:rsidRDefault="0033480A" w:rsidP="00553DCD">
            <w:pPr>
              <w:autoSpaceDE w:val="0"/>
              <w:autoSpaceDN w:val="0"/>
              <w:adjustRightInd w:val="0"/>
              <w:ind w:left="360"/>
              <w:jc w:val="center"/>
              <w:rPr>
                <w:rFonts w:ascii="Calibri" w:hAnsi="Calibri" w:cs="Calibri"/>
              </w:rPr>
            </w:pPr>
            <w:r>
              <w:rPr>
                <w:rFonts w:ascii="Calibri" w:hAnsi="Calibri" w:cs="Calibri"/>
                <w:color w:val="000000"/>
              </w:rPr>
              <w:t>Black or African American</w:t>
            </w:r>
          </w:p>
        </w:tc>
        <w:tc>
          <w:tcPr>
            <w:tcW w:w="2520" w:type="dxa"/>
            <w:tcBorders>
              <w:top w:val="nil"/>
              <w:left w:val="nil"/>
              <w:bottom w:val="single" w:sz="8" w:space="0" w:color="auto"/>
              <w:right w:val="single" w:sz="8" w:space="0" w:color="auto"/>
            </w:tcBorders>
            <w:vAlign w:val="bottom"/>
          </w:tcPr>
          <w:p w14:paraId="5164198C" w14:textId="77777777" w:rsidR="0033480A" w:rsidRPr="004B3D24" w:rsidRDefault="0033480A" w:rsidP="00553DCD">
            <w:pPr>
              <w:autoSpaceDE w:val="0"/>
              <w:autoSpaceDN w:val="0"/>
              <w:adjustRightInd w:val="0"/>
              <w:jc w:val="center"/>
              <w:rPr>
                <w:rFonts w:ascii="Calibri" w:hAnsi="Calibri" w:cs="Calibri"/>
              </w:rPr>
            </w:pPr>
            <w:r>
              <w:rPr>
                <w:color w:val="000000"/>
              </w:rPr>
              <w:t>4,739</w:t>
            </w:r>
          </w:p>
        </w:tc>
        <w:tc>
          <w:tcPr>
            <w:tcW w:w="2520" w:type="dxa"/>
            <w:tcBorders>
              <w:top w:val="nil"/>
              <w:left w:val="nil"/>
              <w:bottom w:val="single" w:sz="8" w:space="0" w:color="auto"/>
              <w:right w:val="single" w:sz="8" w:space="0" w:color="auto"/>
            </w:tcBorders>
            <w:vAlign w:val="bottom"/>
          </w:tcPr>
          <w:p w14:paraId="0834E821" w14:textId="77777777" w:rsidR="0033480A" w:rsidRPr="004B3D24" w:rsidRDefault="0033480A" w:rsidP="00553DCD">
            <w:pPr>
              <w:autoSpaceDE w:val="0"/>
              <w:autoSpaceDN w:val="0"/>
              <w:adjustRightInd w:val="0"/>
              <w:jc w:val="center"/>
              <w:rPr>
                <w:rFonts w:ascii="Calibri" w:hAnsi="Calibri" w:cs="Calibri"/>
              </w:rPr>
            </w:pPr>
            <w:r>
              <w:rPr>
                <w:color w:val="000000"/>
              </w:rPr>
              <w:t>4.59%</w:t>
            </w:r>
          </w:p>
        </w:tc>
      </w:tr>
      <w:tr w:rsidR="0033480A" w:rsidRPr="004B3D24" w14:paraId="2C3E46B0" w14:textId="77777777" w:rsidTr="002976A4">
        <w:trPr>
          <w:cantSplit/>
        </w:trPr>
        <w:tc>
          <w:tcPr>
            <w:tcW w:w="3955" w:type="dxa"/>
            <w:tcBorders>
              <w:top w:val="single" w:sz="4" w:space="0" w:color="auto"/>
              <w:left w:val="single" w:sz="4" w:space="0" w:color="auto"/>
              <w:bottom w:val="single" w:sz="4" w:space="0" w:color="auto"/>
              <w:right w:val="single" w:sz="4" w:space="0" w:color="auto"/>
            </w:tcBorders>
            <w:shd w:val="clear" w:color="auto" w:fill="auto"/>
            <w:vAlign w:val="bottom"/>
          </w:tcPr>
          <w:p w14:paraId="27AF81B7" w14:textId="77777777" w:rsidR="0033480A" w:rsidRPr="004B3D24" w:rsidRDefault="0033480A" w:rsidP="00553DCD">
            <w:pPr>
              <w:autoSpaceDE w:val="0"/>
              <w:autoSpaceDN w:val="0"/>
              <w:adjustRightInd w:val="0"/>
              <w:ind w:left="360"/>
              <w:jc w:val="center"/>
              <w:rPr>
                <w:rFonts w:ascii="Calibri" w:hAnsi="Calibri" w:cs="Calibri"/>
                <w:b/>
                <w:bCs/>
              </w:rPr>
            </w:pPr>
            <w:r>
              <w:rPr>
                <w:rFonts w:ascii="Calibri" w:hAnsi="Calibri" w:cs="Calibri"/>
                <w:color w:val="000000"/>
              </w:rPr>
              <w:t>Other/Unknown</w:t>
            </w:r>
          </w:p>
        </w:tc>
        <w:tc>
          <w:tcPr>
            <w:tcW w:w="2520" w:type="dxa"/>
            <w:tcBorders>
              <w:top w:val="nil"/>
              <w:left w:val="nil"/>
              <w:bottom w:val="single" w:sz="8" w:space="0" w:color="auto"/>
              <w:right w:val="single" w:sz="8" w:space="0" w:color="auto"/>
            </w:tcBorders>
            <w:vAlign w:val="bottom"/>
          </w:tcPr>
          <w:p w14:paraId="13100FD7" w14:textId="77777777" w:rsidR="0033480A" w:rsidRPr="004B3D24" w:rsidRDefault="0033480A" w:rsidP="00553DCD">
            <w:pPr>
              <w:autoSpaceDE w:val="0"/>
              <w:autoSpaceDN w:val="0"/>
              <w:adjustRightInd w:val="0"/>
              <w:jc w:val="center"/>
              <w:rPr>
                <w:rFonts w:ascii="Calibri" w:hAnsi="Calibri" w:cs="Calibri"/>
                <w:b/>
                <w:bCs/>
              </w:rPr>
            </w:pPr>
            <w:r>
              <w:rPr>
                <w:color w:val="000000"/>
              </w:rPr>
              <w:t>12,516</w:t>
            </w:r>
          </w:p>
        </w:tc>
        <w:tc>
          <w:tcPr>
            <w:tcW w:w="2520" w:type="dxa"/>
            <w:tcBorders>
              <w:top w:val="nil"/>
              <w:left w:val="nil"/>
              <w:bottom w:val="single" w:sz="8" w:space="0" w:color="auto"/>
              <w:right w:val="single" w:sz="8" w:space="0" w:color="auto"/>
            </w:tcBorders>
            <w:vAlign w:val="bottom"/>
          </w:tcPr>
          <w:p w14:paraId="6A3C7415" w14:textId="77777777" w:rsidR="0033480A" w:rsidRPr="004B3D24" w:rsidRDefault="0033480A" w:rsidP="00553DCD">
            <w:pPr>
              <w:autoSpaceDE w:val="0"/>
              <w:autoSpaceDN w:val="0"/>
              <w:adjustRightInd w:val="0"/>
              <w:jc w:val="center"/>
              <w:rPr>
                <w:rFonts w:ascii="Calibri" w:hAnsi="Calibri" w:cs="Calibri"/>
                <w:b/>
                <w:bCs/>
              </w:rPr>
            </w:pPr>
            <w:r>
              <w:rPr>
                <w:color w:val="000000"/>
              </w:rPr>
              <w:t>12.13%</w:t>
            </w:r>
          </w:p>
        </w:tc>
      </w:tr>
      <w:tr w:rsidR="0033480A" w:rsidRPr="004B3D24" w14:paraId="55A2D2F7" w14:textId="77777777" w:rsidTr="002976A4">
        <w:trPr>
          <w:cantSplit/>
        </w:trPr>
        <w:tc>
          <w:tcPr>
            <w:tcW w:w="3955" w:type="dxa"/>
            <w:tcBorders>
              <w:top w:val="single" w:sz="4" w:space="0" w:color="auto"/>
              <w:left w:val="single" w:sz="4" w:space="0" w:color="auto"/>
              <w:bottom w:val="single" w:sz="4" w:space="0" w:color="auto"/>
              <w:right w:val="single" w:sz="4" w:space="0" w:color="auto"/>
            </w:tcBorders>
            <w:shd w:val="clear" w:color="auto" w:fill="auto"/>
            <w:vAlign w:val="bottom"/>
          </w:tcPr>
          <w:p w14:paraId="6C2A877B" w14:textId="77777777" w:rsidR="0033480A" w:rsidRPr="004B3D24" w:rsidRDefault="0033480A" w:rsidP="00553DCD">
            <w:pPr>
              <w:autoSpaceDE w:val="0"/>
              <w:autoSpaceDN w:val="0"/>
              <w:adjustRightInd w:val="0"/>
              <w:ind w:left="360"/>
              <w:jc w:val="center"/>
              <w:rPr>
                <w:rFonts w:ascii="Calibri" w:hAnsi="Calibri" w:cs="Calibri"/>
                <w:b/>
                <w:bCs/>
              </w:rPr>
            </w:pPr>
            <w:r>
              <w:rPr>
                <w:rFonts w:ascii="Calibri" w:hAnsi="Calibri" w:cs="Calibri"/>
                <w:color w:val="000000"/>
              </w:rPr>
              <w:t>White</w:t>
            </w:r>
          </w:p>
        </w:tc>
        <w:tc>
          <w:tcPr>
            <w:tcW w:w="2520" w:type="dxa"/>
            <w:tcBorders>
              <w:top w:val="nil"/>
              <w:left w:val="nil"/>
              <w:bottom w:val="single" w:sz="8" w:space="0" w:color="auto"/>
              <w:right w:val="single" w:sz="8" w:space="0" w:color="auto"/>
            </w:tcBorders>
            <w:vAlign w:val="bottom"/>
          </w:tcPr>
          <w:p w14:paraId="369C66B5" w14:textId="77777777" w:rsidR="0033480A" w:rsidRPr="004B3D24" w:rsidRDefault="0033480A" w:rsidP="00553DCD">
            <w:pPr>
              <w:autoSpaceDE w:val="0"/>
              <w:autoSpaceDN w:val="0"/>
              <w:adjustRightInd w:val="0"/>
              <w:jc w:val="center"/>
              <w:rPr>
                <w:rFonts w:ascii="Calibri" w:hAnsi="Calibri" w:cs="Calibri"/>
                <w:b/>
                <w:bCs/>
              </w:rPr>
            </w:pPr>
            <w:r>
              <w:rPr>
                <w:color w:val="000000"/>
              </w:rPr>
              <w:t>79,913</w:t>
            </w:r>
          </w:p>
        </w:tc>
        <w:tc>
          <w:tcPr>
            <w:tcW w:w="2520" w:type="dxa"/>
            <w:tcBorders>
              <w:top w:val="nil"/>
              <w:left w:val="nil"/>
              <w:bottom w:val="single" w:sz="8" w:space="0" w:color="auto"/>
              <w:right w:val="single" w:sz="8" w:space="0" w:color="auto"/>
            </w:tcBorders>
            <w:vAlign w:val="bottom"/>
          </w:tcPr>
          <w:p w14:paraId="291CEC52" w14:textId="77777777" w:rsidR="0033480A" w:rsidRPr="004B3D24" w:rsidRDefault="0033480A" w:rsidP="00553DCD">
            <w:pPr>
              <w:autoSpaceDE w:val="0"/>
              <w:autoSpaceDN w:val="0"/>
              <w:adjustRightInd w:val="0"/>
              <w:jc w:val="center"/>
              <w:rPr>
                <w:rFonts w:ascii="Calibri" w:hAnsi="Calibri" w:cs="Calibri"/>
                <w:b/>
                <w:bCs/>
              </w:rPr>
            </w:pPr>
            <w:r>
              <w:rPr>
                <w:color w:val="000000"/>
              </w:rPr>
              <w:t>77.45%</w:t>
            </w:r>
          </w:p>
        </w:tc>
      </w:tr>
      <w:tr w:rsidR="0033480A" w:rsidRPr="004B3D24" w14:paraId="0EB87AC8" w14:textId="77777777" w:rsidTr="002976A4">
        <w:trPr>
          <w:cantSplit/>
        </w:trPr>
        <w:tc>
          <w:tcPr>
            <w:tcW w:w="3955" w:type="dxa"/>
            <w:tcBorders>
              <w:top w:val="single" w:sz="4" w:space="0" w:color="auto"/>
              <w:left w:val="single" w:sz="4" w:space="0" w:color="auto"/>
              <w:bottom w:val="single" w:sz="4" w:space="0" w:color="auto"/>
              <w:right w:val="single" w:sz="4" w:space="0" w:color="auto"/>
            </w:tcBorders>
            <w:shd w:val="clear" w:color="auto" w:fill="E7E6E6" w:themeFill="background2"/>
            <w:vAlign w:val="bottom"/>
          </w:tcPr>
          <w:p w14:paraId="62842B04" w14:textId="77777777" w:rsidR="0033480A" w:rsidRPr="00E01774" w:rsidRDefault="0033480A" w:rsidP="00553DCD">
            <w:pPr>
              <w:autoSpaceDE w:val="0"/>
              <w:autoSpaceDN w:val="0"/>
              <w:adjustRightInd w:val="0"/>
              <w:ind w:left="360"/>
              <w:jc w:val="center"/>
              <w:rPr>
                <w:rFonts w:ascii="Calibri" w:hAnsi="Calibri" w:cs="Calibri"/>
                <w:b/>
                <w:bCs/>
              </w:rPr>
            </w:pPr>
            <w:r w:rsidRPr="00E01774">
              <w:rPr>
                <w:rFonts w:ascii="Calibri" w:hAnsi="Calibri" w:cs="Calibri"/>
                <w:b/>
                <w:bCs/>
                <w:color w:val="000000"/>
              </w:rPr>
              <w:t>Total</w:t>
            </w:r>
          </w:p>
        </w:tc>
        <w:tc>
          <w:tcPr>
            <w:tcW w:w="2520" w:type="dxa"/>
            <w:tcBorders>
              <w:top w:val="nil"/>
              <w:left w:val="nil"/>
              <w:bottom w:val="single" w:sz="8" w:space="0" w:color="auto"/>
              <w:right w:val="single" w:sz="8" w:space="0" w:color="auto"/>
            </w:tcBorders>
            <w:shd w:val="clear" w:color="auto" w:fill="E7E6E6" w:themeFill="background2"/>
            <w:vAlign w:val="bottom"/>
          </w:tcPr>
          <w:p w14:paraId="037317C4" w14:textId="77777777" w:rsidR="0033480A" w:rsidRPr="005C5F10" w:rsidRDefault="0033480A" w:rsidP="00553DCD">
            <w:pPr>
              <w:autoSpaceDE w:val="0"/>
              <w:autoSpaceDN w:val="0"/>
              <w:adjustRightInd w:val="0"/>
              <w:jc w:val="center"/>
              <w:rPr>
                <w:rFonts w:ascii="Calibri" w:hAnsi="Calibri" w:cs="Calibri"/>
                <w:b/>
                <w:bCs/>
              </w:rPr>
            </w:pPr>
            <w:r w:rsidRPr="005C5F10">
              <w:rPr>
                <w:b/>
                <w:bCs/>
                <w:color w:val="000000"/>
              </w:rPr>
              <w:t>103,183</w:t>
            </w:r>
          </w:p>
        </w:tc>
        <w:tc>
          <w:tcPr>
            <w:tcW w:w="2520" w:type="dxa"/>
            <w:tcBorders>
              <w:top w:val="nil"/>
              <w:left w:val="nil"/>
              <w:bottom w:val="single" w:sz="8" w:space="0" w:color="auto"/>
              <w:right w:val="single" w:sz="8" w:space="0" w:color="auto"/>
            </w:tcBorders>
            <w:shd w:val="clear" w:color="auto" w:fill="E7E6E6" w:themeFill="background2"/>
            <w:vAlign w:val="bottom"/>
          </w:tcPr>
          <w:p w14:paraId="71636F79" w14:textId="77777777" w:rsidR="0033480A" w:rsidRPr="005C5F10" w:rsidRDefault="0033480A" w:rsidP="00553DCD">
            <w:pPr>
              <w:autoSpaceDE w:val="0"/>
              <w:autoSpaceDN w:val="0"/>
              <w:adjustRightInd w:val="0"/>
              <w:jc w:val="center"/>
              <w:rPr>
                <w:rFonts w:ascii="Calibri" w:hAnsi="Calibri" w:cs="Calibri"/>
                <w:b/>
                <w:bCs/>
              </w:rPr>
            </w:pPr>
            <w:r w:rsidRPr="005C5F10">
              <w:rPr>
                <w:b/>
                <w:bCs/>
                <w:color w:val="000000"/>
              </w:rPr>
              <w:t>100.00%</w:t>
            </w:r>
          </w:p>
        </w:tc>
      </w:tr>
    </w:tbl>
    <w:p w14:paraId="564B0E04" w14:textId="77777777" w:rsidR="0033480A" w:rsidRDefault="0033480A" w:rsidP="0033480A">
      <w:pPr>
        <w:autoSpaceDE w:val="0"/>
        <w:autoSpaceDN w:val="0"/>
        <w:adjustRightInd w:val="0"/>
        <w:spacing w:after="0" w:line="240" w:lineRule="auto"/>
        <w:ind w:left="360"/>
        <w:jc w:val="both"/>
        <w:rPr>
          <w:rFonts w:ascii="Calibri" w:hAnsi="Calibri" w:cs="Calibri"/>
        </w:rPr>
      </w:pPr>
    </w:p>
    <w:p w14:paraId="1865949C" w14:textId="77777777" w:rsidR="0033480A" w:rsidRDefault="0033480A" w:rsidP="0033480A">
      <w:pPr>
        <w:autoSpaceDE w:val="0"/>
        <w:autoSpaceDN w:val="0"/>
        <w:adjustRightInd w:val="0"/>
        <w:spacing w:after="0" w:line="240" w:lineRule="auto"/>
        <w:ind w:left="360"/>
        <w:jc w:val="both"/>
        <w:rPr>
          <w:rFonts w:ascii="Calibri" w:hAnsi="Calibri" w:cs="Calibri"/>
        </w:rPr>
      </w:pPr>
      <w:r>
        <w:rPr>
          <w:rFonts w:ascii="Calibri" w:hAnsi="Calibri" w:cs="Calibri"/>
        </w:rPr>
        <w:t>It is noteworthy that the MelroseWakefield Hospital Community Health Needs Assessment (CHNA)</w:t>
      </w:r>
      <w:r>
        <w:rPr>
          <w:rStyle w:val="FootnoteReference"/>
          <w:rFonts w:ascii="Calibri" w:hAnsi="Calibri" w:cs="Calibri"/>
        </w:rPr>
        <w:footnoteReference w:id="14"/>
      </w:r>
      <w:r>
        <w:rPr>
          <w:rFonts w:ascii="Calibri" w:hAnsi="Calibri" w:cs="Calibri"/>
        </w:rPr>
        <w:t xml:space="preserve"> reveals that c</w:t>
      </w:r>
      <w:r w:rsidRPr="003F74E9">
        <w:rPr>
          <w:rFonts w:ascii="Calibri" w:hAnsi="Calibri" w:cs="Calibri"/>
        </w:rPr>
        <w:t>ompared to Massachusetts as a whole, the MWH community benefits service area</w:t>
      </w:r>
      <w:r>
        <w:rPr>
          <w:rStyle w:val="FootnoteReference"/>
          <w:rFonts w:ascii="Calibri" w:hAnsi="Calibri" w:cs="Calibri"/>
        </w:rPr>
        <w:footnoteReference w:id="15"/>
      </w:r>
      <w:r>
        <w:t xml:space="preserve"> </w:t>
      </w:r>
      <w:r w:rsidRPr="003F74E9">
        <w:rPr>
          <w:rFonts w:ascii="Calibri" w:hAnsi="Calibri" w:cs="Calibri"/>
        </w:rPr>
        <w:t>has a smaller Hispanic population (8%, compared to 11%in MA) and larger populations of Asian residents (9%, compared to 6% in MA) and Black/</w:t>
      </w:r>
      <w:proofErr w:type="gramStart"/>
      <w:r w:rsidRPr="003F74E9">
        <w:rPr>
          <w:rFonts w:ascii="Calibri" w:hAnsi="Calibri" w:cs="Calibri"/>
        </w:rPr>
        <w:t>African-American</w:t>
      </w:r>
      <w:proofErr w:type="gramEnd"/>
      <w:r w:rsidRPr="003F74E9">
        <w:rPr>
          <w:rFonts w:ascii="Calibri" w:hAnsi="Calibri" w:cs="Calibri"/>
        </w:rPr>
        <w:t xml:space="preserve"> residents (9%, compared to 7% in MA). </w:t>
      </w:r>
    </w:p>
    <w:p w14:paraId="0C02E065" w14:textId="77777777" w:rsidR="0033480A" w:rsidRDefault="0033480A" w:rsidP="0033480A">
      <w:pPr>
        <w:autoSpaceDE w:val="0"/>
        <w:autoSpaceDN w:val="0"/>
        <w:adjustRightInd w:val="0"/>
        <w:spacing w:after="0" w:line="240" w:lineRule="auto"/>
        <w:ind w:left="360"/>
        <w:jc w:val="both"/>
        <w:rPr>
          <w:rFonts w:ascii="Calibri" w:hAnsi="Calibri" w:cs="Calibri"/>
        </w:rPr>
      </w:pPr>
    </w:p>
    <w:p w14:paraId="65672D40" w14:textId="77777777" w:rsidR="0033480A" w:rsidRPr="003F74E9" w:rsidRDefault="0033480A" w:rsidP="0033480A">
      <w:pPr>
        <w:autoSpaceDE w:val="0"/>
        <w:autoSpaceDN w:val="0"/>
        <w:adjustRightInd w:val="0"/>
        <w:spacing w:after="0" w:line="240" w:lineRule="auto"/>
        <w:ind w:left="360"/>
        <w:jc w:val="both"/>
        <w:rPr>
          <w:rFonts w:ascii="Calibri" w:hAnsi="Calibri" w:cs="Calibri"/>
        </w:rPr>
      </w:pPr>
      <w:r>
        <w:rPr>
          <w:rFonts w:ascii="Calibri" w:hAnsi="Calibri" w:cs="Calibri"/>
        </w:rPr>
        <w:t>B</w:t>
      </w:r>
      <w:r w:rsidRPr="003F74E9">
        <w:rPr>
          <w:rFonts w:ascii="Calibri" w:hAnsi="Calibri" w:cs="Calibri"/>
        </w:rPr>
        <w:t>reaking it down by community, more variation is observed. Malden has the highest rate of people describing themselves as Asian (24%, compared to a MA rate of 6%), and Everett has the highest rates of people identifying as Hispanic (23%, versus MA rate of 11%) and Black/African-American (19%, versus a MA rate of 6%)</w:t>
      </w:r>
      <w:r>
        <w:rPr>
          <w:rFonts w:ascii="Calibri" w:hAnsi="Calibri" w:cs="Calibri"/>
        </w:rPr>
        <w:t>.</w:t>
      </w:r>
    </w:p>
    <w:p w14:paraId="423FD0AF" w14:textId="77777777" w:rsidR="0033480A" w:rsidRDefault="0033480A" w:rsidP="0033480A">
      <w:pPr>
        <w:autoSpaceDE w:val="0"/>
        <w:autoSpaceDN w:val="0"/>
        <w:adjustRightInd w:val="0"/>
        <w:spacing w:after="0" w:line="240" w:lineRule="auto"/>
        <w:ind w:left="360"/>
        <w:jc w:val="both"/>
        <w:rPr>
          <w:rFonts w:ascii="Calibri" w:hAnsi="Calibri" w:cs="Calibri"/>
        </w:rPr>
      </w:pPr>
    </w:p>
    <w:p w14:paraId="25359AA6" w14:textId="77777777" w:rsidR="0033480A" w:rsidRPr="0095095A" w:rsidRDefault="0033480A" w:rsidP="0033480A">
      <w:pPr>
        <w:autoSpaceDE w:val="0"/>
        <w:autoSpaceDN w:val="0"/>
        <w:adjustRightInd w:val="0"/>
        <w:spacing w:after="0" w:line="240" w:lineRule="auto"/>
        <w:ind w:left="360"/>
        <w:jc w:val="both"/>
        <w:rPr>
          <w:rFonts w:ascii="Calibri" w:hAnsi="Calibri" w:cs="Calibri"/>
          <w:u w:val="single"/>
        </w:rPr>
      </w:pPr>
      <w:r w:rsidRPr="0095095A">
        <w:rPr>
          <w:rFonts w:ascii="Calibri" w:hAnsi="Calibri" w:cs="Calibri"/>
          <w:u w:val="single"/>
        </w:rPr>
        <w:t xml:space="preserve">PET-CT-Specific </w:t>
      </w:r>
      <w:r>
        <w:rPr>
          <w:rFonts w:ascii="Calibri" w:hAnsi="Calibri" w:cs="Calibri"/>
          <w:u w:val="single"/>
        </w:rPr>
        <w:t>Overview</w:t>
      </w:r>
    </w:p>
    <w:p w14:paraId="147A9A50" w14:textId="77777777" w:rsidR="0033480A" w:rsidRDefault="0033480A" w:rsidP="0033480A">
      <w:pPr>
        <w:autoSpaceDE w:val="0"/>
        <w:autoSpaceDN w:val="0"/>
        <w:adjustRightInd w:val="0"/>
        <w:spacing w:after="0" w:line="240" w:lineRule="auto"/>
        <w:ind w:left="360"/>
        <w:jc w:val="both"/>
        <w:rPr>
          <w:rFonts w:ascii="Calibri" w:hAnsi="Calibri" w:cs="Calibri"/>
        </w:rPr>
      </w:pPr>
    </w:p>
    <w:p w14:paraId="3E7EB7E5" w14:textId="77777777" w:rsidR="0033480A" w:rsidRDefault="0033480A" w:rsidP="0033480A">
      <w:pPr>
        <w:autoSpaceDE w:val="0"/>
        <w:autoSpaceDN w:val="0"/>
        <w:adjustRightInd w:val="0"/>
        <w:spacing w:after="0" w:line="240" w:lineRule="auto"/>
        <w:ind w:left="360"/>
        <w:jc w:val="both"/>
        <w:rPr>
          <w:rFonts w:ascii="Calibri" w:hAnsi="Calibri" w:cs="Calibri"/>
        </w:rPr>
      </w:pPr>
      <w:r w:rsidRPr="0095095A">
        <w:rPr>
          <w:rFonts w:ascii="Calibri" w:hAnsi="Calibri" w:cs="Calibri"/>
        </w:rPr>
        <w:t xml:space="preserve">The Applicant reviewed the </w:t>
      </w:r>
      <w:r>
        <w:rPr>
          <w:rFonts w:ascii="Calibri" w:hAnsi="Calibri" w:cs="Calibri"/>
        </w:rPr>
        <w:t xml:space="preserve">total </w:t>
      </w:r>
      <w:r w:rsidRPr="0095095A">
        <w:rPr>
          <w:rFonts w:ascii="Calibri" w:hAnsi="Calibri" w:cs="Calibri"/>
        </w:rPr>
        <w:t xml:space="preserve">number of PET-CT scans </w:t>
      </w:r>
      <w:r>
        <w:rPr>
          <w:rFonts w:ascii="Calibri" w:hAnsi="Calibri" w:cs="Calibri"/>
        </w:rPr>
        <w:t>referred to Montvale PET-CT for diagnostic imaging</w:t>
      </w:r>
      <w:r w:rsidRPr="0095095A">
        <w:rPr>
          <w:rFonts w:ascii="Calibri" w:hAnsi="Calibri" w:cs="Calibri"/>
        </w:rPr>
        <w:t xml:space="preserve"> </w:t>
      </w:r>
      <w:r>
        <w:rPr>
          <w:rFonts w:ascii="Calibri" w:hAnsi="Calibri" w:cs="Calibri"/>
        </w:rPr>
        <w:t xml:space="preserve">in FY19, FY20, and FY21. These data are provided in the table below. </w:t>
      </w:r>
    </w:p>
    <w:p w14:paraId="1E6194F3" w14:textId="77777777" w:rsidR="0033480A" w:rsidRDefault="0033480A" w:rsidP="0033480A">
      <w:pPr>
        <w:autoSpaceDE w:val="0"/>
        <w:autoSpaceDN w:val="0"/>
        <w:adjustRightInd w:val="0"/>
        <w:spacing w:after="0" w:line="240" w:lineRule="auto"/>
        <w:ind w:left="360"/>
        <w:jc w:val="both"/>
        <w:rPr>
          <w:rFonts w:ascii="Calibri" w:hAnsi="Calibri" w:cs="Calibri"/>
        </w:rPr>
      </w:pPr>
    </w:p>
    <w:tbl>
      <w:tblPr>
        <w:tblStyle w:val="TableGrid"/>
        <w:tblW w:w="0" w:type="auto"/>
        <w:tblInd w:w="360" w:type="dxa"/>
        <w:tblLook w:val="04A0" w:firstRow="1" w:lastRow="0" w:firstColumn="1" w:lastColumn="0" w:noHBand="0" w:noVBand="1"/>
      </w:tblPr>
      <w:tblGrid>
        <w:gridCol w:w="2271"/>
        <w:gridCol w:w="2239"/>
        <w:gridCol w:w="2240"/>
        <w:gridCol w:w="2240"/>
      </w:tblGrid>
      <w:tr w:rsidR="0033480A" w14:paraId="1A0CF3BF" w14:textId="77777777" w:rsidTr="00553DCD">
        <w:tc>
          <w:tcPr>
            <w:tcW w:w="2271" w:type="dxa"/>
            <w:shd w:val="clear" w:color="auto" w:fill="002060"/>
          </w:tcPr>
          <w:p w14:paraId="209BF011" w14:textId="77777777" w:rsidR="0033480A" w:rsidRPr="00B61F33" w:rsidRDefault="0033480A" w:rsidP="00553DCD">
            <w:pPr>
              <w:autoSpaceDE w:val="0"/>
              <w:autoSpaceDN w:val="0"/>
              <w:adjustRightInd w:val="0"/>
              <w:jc w:val="both"/>
              <w:rPr>
                <w:rFonts w:ascii="Calibri" w:hAnsi="Calibri" w:cs="Calibri"/>
                <w:color w:val="FFFFFF" w:themeColor="background1"/>
              </w:rPr>
            </w:pPr>
          </w:p>
        </w:tc>
        <w:tc>
          <w:tcPr>
            <w:tcW w:w="2239" w:type="dxa"/>
            <w:shd w:val="clear" w:color="auto" w:fill="002060"/>
          </w:tcPr>
          <w:p w14:paraId="19558216" w14:textId="77777777" w:rsidR="0033480A" w:rsidRPr="00B61F33" w:rsidRDefault="0033480A" w:rsidP="00553DCD">
            <w:pPr>
              <w:autoSpaceDE w:val="0"/>
              <w:autoSpaceDN w:val="0"/>
              <w:adjustRightInd w:val="0"/>
              <w:jc w:val="center"/>
              <w:rPr>
                <w:rFonts w:ascii="Calibri" w:hAnsi="Calibri" w:cs="Calibri"/>
                <w:color w:val="FFFFFF" w:themeColor="background1"/>
              </w:rPr>
            </w:pPr>
            <w:r w:rsidRPr="00B61F33">
              <w:rPr>
                <w:rFonts w:ascii="Calibri" w:hAnsi="Calibri" w:cs="Calibri"/>
                <w:color w:val="FFFFFF" w:themeColor="background1"/>
              </w:rPr>
              <w:t>FY19</w:t>
            </w:r>
            <w:r>
              <w:rPr>
                <w:rFonts w:ascii="Calibri" w:hAnsi="Calibri" w:cs="Calibri"/>
                <w:color w:val="FFFFFF" w:themeColor="background1"/>
              </w:rPr>
              <w:t xml:space="preserve"> #scans</w:t>
            </w:r>
          </w:p>
        </w:tc>
        <w:tc>
          <w:tcPr>
            <w:tcW w:w="2240" w:type="dxa"/>
            <w:shd w:val="clear" w:color="auto" w:fill="002060"/>
          </w:tcPr>
          <w:p w14:paraId="006C4B88" w14:textId="77777777" w:rsidR="0033480A" w:rsidRPr="00B61F33" w:rsidRDefault="0033480A" w:rsidP="00553DCD">
            <w:pPr>
              <w:autoSpaceDE w:val="0"/>
              <w:autoSpaceDN w:val="0"/>
              <w:adjustRightInd w:val="0"/>
              <w:jc w:val="center"/>
              <w:rPr>
                <w:rFonts w:ascii="Calibri" w:hAnsi="Calibri" w:cs="Calibri"/>
                <w:color w:val="FFFFFF" w:themeColor="background1"/>
              </w:rPr>
            </w:pPr>
            <w:r w:rsidRPr="00B61F33">
              <w:rPr>
                <w:rFonts w:ascii="Calibri" w:hAnsi="Calibri" w:cs="Calibri"/>
                <w:color w:val="FFFFFF" w:themeColor="background1"/>
              </w:rPr>
              <w:t>FY20</w:t>
            </w:r>
            <w:r>
              <w:rPr>
                <w:rFonts w:ascii="Calibri" w:hAnsi="Calibri" w:cs="Calibri"/>
                <w:color w:val="FFFFFF" w:themeColor="background1"/>
              </w:rPr>
              <w:t xml:space="preserve"> #scans</w:t>
            </w:r>
          </w:p>
        </w:tc>
        <w:tc>
          <w:tcPr>
            <w:tcW w:w="2240" w:type="dxa"/>
            <w:shd w:val="clear" w:color="auto" w:fill="002060"/>
          </w:tcPr>
          <w:p w14:paraId="559A4319" w14:textId="77777777" w:rsidR="0033480A" w:rsidRPr="00B61F33" w:rsidRDefault="0033480A" w:rsidP="00553DCD">
            <w:pPr>
              <w:autoSpaceDE w:val="0"/>
              <w:autoSpaceDN w:val="0"/>
              <w:adjustRightInd w:val="0"/>
              <w:jc w:val="center"/>
              <w:rPr>
                <w:rFonts w:ascii="Calibri" w:hAnsi="Calibri" w:cs="Calibri"/>
                <w:color w:val="FFFFFF" w:themeColor="background1"/>
              </w:rPr>
            </w:pPr>
            <w:r w:rsidRPr="00B61F33">
              <w:rPr>
                <w:rFonts w:ascii="Calibri" w:hAnsi="Calibri" w:cs="Calibri"/>
                <w:color w:val="FFFFFF" w:themeColor="background1"/>
              </w:rPr>
              <w:t>FY21</w:t>
            </w:r>
            <w:r>
              <w:rPr>
                <w:rFonts w:ascii="Calibri" w:hAnsi="Calibri" w:cs="Calibri"/>
                <w:color w:val="FFFFFF" w:themeColor="background1"/>
              </w:rPr>
              <w:t xml:space="preserve"> #scans</w:t>
            </w:r>
          </w:p>
        </w:tc>
      </w:tr>
      <w:tr w:rsidR="0033480A" w14:paraId="4AB8B7EF" w14:textId="77777777" w:rsidTr="00553DCD">
        <w:tc>
          <w:tcPr>
            <w:tcW w:w="2271" w:type="dxa"/>
          </w:tcPr>
          <w:p w14:paraId="7DEFA745" w14:textId="77777777" w:rsidR="0033480A" w:rsidRPr="004E7471" w:rsidRDefault="0033480A" w:rsidP="00553DCD">
            <w:pPr>
              <w:autoSpaceDE w:val="0"/>
              <w:autoSpaceDN w:val="0"/>
              <w:adjustRightInd w:val="0"/>
              <w:jc w:val="both"/>
              <w:rPr>
                <w:rFonts w:ascii="Calibri" w:hAnsi="Calibri" w:cs="Calibri"/>
              </w:rPr>
            </w:pPr>
            <w:r w:rsidRPr="004E7471">
              <w:rPr>
                <w:rFonts w:ascii="Calibri" w:hAnsi="Calibri" w:cs="Calibri"/>
              </w:rPr>
              <w:t xml:space="preserve">Total Scans </w:t>
            </w:r>
          </w:p>
        </w:tc>
        <w:tc>
          <w:tcPr>
            <w:tcW w:w="2239" w:type="dxa"/>
            <w:shd w:val="clear" w:color="auto" w:fill="auto"/>
          </w:tcPr>
          <w:p w14:paraId="6DF10DCE" w14:textId="77777777" w:rsidR="0033480A" w:rsidRPr="004E7471" w:rsidRDefault="0033480A" w:rsidP="00553DCD">
            <w:pPr>
              <w:autoSpaceDE w:val="0"/>
              <w:autoSpaceDN w:val="0"/>
              <w:adjustRightInd w:val="0"/>
              <w:jc w:val="center"/>
              <w:rPr>
                <w:rFonts w:ascii="Calibri" w:hAnsi="Calibri" w:cs="Calibri"/>
              </w:rPr>
            </w:pPr>
            <w:r w:rsidRPr="004E7471">
              <w:rPr>
                <w:rFonts w:ascii="Calibri" w:hAnsi="Calibri" w:cs="Calibri"/>
              </w:rPr>
              <w:t>450</w:t>
            </w:r>
          </w:p>
        </w:tc>
        <w:tc>
          <w:tcPr>
            <w:tcW w:w="2240" w:type="dxa"/>
            <w:shd w:val="clear" w:color="auto" w:fill="auto"/>
          </w:tcPr>
          <w:p w14:paraId="53AB8EE5" w14:textId="77777777" w:rsidR="0033480A" w:rsidRPr="004E7471" w:rsidRDefault="0033480A" w:rsidP="00553DCD">
            <w:pPr>
              <w:autoSpaceDE w:val="0"/>
              <w:autoSpaceDN w:val="0"/>
              <w:adjustRightInd w:val="0"/>
              <w:jc w:val="center"/>
              <w:rPr>
                <w:rFonts w:ascii="Calibri" w:hAnsi="Calibri" w:cs="Calibri"/>
              </w:rPr>
            </w:pPr>
            <w:r w:rsidRPr="004E7471">
              <w:rPr>
                <w:rFonts w:ascii="Calibri" w:hAnsi="Calibri" w:cs="Calibri"/>
              </w:rPr>
              <w:t>455</w:t>
            </w:r>
          </w:p>
        </w:tc>
        <w:tc>
          <w:tcPr>
            <w:tcW w:w="2240" w:type="dxa"/>
            <w:shd w:val="clear" w:color="auto" w:fill="auto"/>
          </w:tcPr>
          <w:p w14:paraId="7795D927" w14:textId="77777777" w:rsidR="0033480A" w:rsidRPr="004E7471" w:rsidRDefault="0033480A" w:rsidP="00553DCD">
            <w:pPr>
              <w:autoSpaceDE w:val="0"/>
              <w:autoSpaceDN w:val="0"/>
              <w:adjustRightInd w:val="0"/>
              <w:jc w:val="center"/>
              <w:rPr>
                <w:rFonts w:ascii="Calibri" w:hAnsi="Calibri" w:cs="Calibri"/>
              </w:rPr>
            </w:pPr>
            <w:r w:rsidRPr="004E7471">
              <w:rPr>
                <w:rFonts w:ascii="Calibri" w:hAnsi="Calibri" w:cs="Calibri"/>
              </w:rPr>
              <w:t>522</w:t>
            </w:r>
          </w:p>
        </w:tc>
      </w:tr>
    </w:tbl>
    <w:p w14:paraId="627C9AF2" w14:textId="77777777" w:rsidR="002C6FF3" w:rsidRDefault="002C6FF3" w:rsidP="002C6FF3">
      <w:pPr>
        <w:pStyle w:val="ListParagraph"/>
        <w:rPr>
          <w:b/>
          <w:u w:val="single"/>
        </w:rPr>
      </w:pPr>
    </w:p>
    <w:p w14:paraId="2B7534F3" w14:textId="03D376AE" w:rsidR="0033480A" w:rsidRPr="0095095A" w:rsidRDefault="0033480A" w:rsidP="0033480A">
      <w:pPr>
        <w:pStyle w:val="ListParagraph"/>
        <w:numPr>
          <w:ilvl w:val="0"/>
          <w:numId w:val="1"/>
        </w:numPr>
        <w:rPr>
          <w:b/>
          <w:u w:val="single"/>
        </w:rPr>
      </w:pPr>
      <w:r w:rsidRPr="0095095A">
        <w:rPr>
          <w:b/>
          <w:u w:val="single"/>
        </w:rPr>
        <w:t xml:space="preserve">Payer Mix </w:t>
      </w:r>
    </w:p>
    <w:p w14:paraId="4A7D220C" w14:textId="77777777" w:rsidR="0033480A" w:rsidRPr="00D072B9" w:rsidRDefault="0033480A" w:rsidP="0033480A">
      <w:pPr>
        <w:ind w:firstLine="360"/>
        <w:rPr>
          <w:bCs/>
        </w:rPr>
      </w:pPr>
      <w:r w:rsidRPr="00D072B9">
        <w:rPr>
          <w:bCs/>
        </w:rPr>
        <w:t xml:space="preserve">The </w:t>
      </w:r>
      <w:r>
        <w:rPr>
          <w:bCs/>
        </w:rPr>
        <w:t xml:space="preserve">Product/Payer </w:t>
      </w:r>
      <w:r w:rsidRPr="00D072B9">
        <w:rPr>
          <w:bCs/>
        </w:rPr>
        <w:t xml:space="preserve">mix for </w:t>
      </w:r>
      <w:r>
        <w:rPr>
          <w:bCs/>
        </w:rPr>
        <w:t>MWH</w:t>
      </w:r>
      <w:r w:rsidRPr="00D072B9">
        <w:rPr>
          <w:bCs/>
        </w:rPr>
        <w:t xml:space="preserve"> from FY19 to F</w:t>
      </w:r>
      <w:r>
        <w:rPr>
          <w:bCs/>
        </w:rPr>
        <w:t>Y</w:t>
      </w:r>
      <w:r w:rsidRPr="00D072B9">
        <w:rPr>
          <w:bCs/>
        </w:rPr>
        <w:t>21 is demonstrated in the table</w:t>
      </w:r>
      <w:r>
        <w:rPr>
          <w:bCs/>
        </w:rPr>
        <w:t>s</w:t>
      </w:r>
      <w:r w:rsidRPr="00D072B9">
        <w:rPr>
          <w:bCs/>
        </w:rPr>
        <w:t xml:space="preserve"> below: </w:t>
      </w:r>
    </w:p>
    <w:p w14:paraId="3D90030C" w14:textId="103CB97D" w:rsidR="0033480A" w:rsidRDefault="0033480A" w:rsidP="0033480A">
      <w:pPr>
        <w:autoSpaceDE w:val="0"/>
        <w:autoSpaceDN w:val="0"/>
        <w:adjustRightInd w:val="0"/>
        <w:spacing w:after="0" w:line="240" w:lineRule="auto"/>
        <w:ind w:left="360"/>
        <w:jc w:val="both"/>
        <w:rPr>
          <w:rFonts w:ascii="Calibri" w:hAnsi="Calibri" w:cs="Calibri"/>
        </w:rPr>
      </w:pPr>
      <w:r>
        <w:rPr>
          <w:rFonts w:ascii="Calibri" w:hAnsi="Calibri" w:cs="Calibri"/>
        </w:rPr>
        <w:t>Case percentages by Product</w:t>
      </w:r>
      <w:r w:rsidR="00092336">
        <w:rPr>
          <w:rStyle w:val="FootnoteReference"/>
          <w:rFonts w:ascii="Calibri" w:hAnsi="Calibri" w:cs="Calibri"/>
        </w:rPr>
        <w:footnoteReference w:id="16"/>
      </w:r>
      <w:r>
        <w:rPr>
          <w:rFonts w:ascii="Calibri" w:hAnsi="Calibri" w:cs="Calibri"/>
        </w:rPr>
        <w:t xml:space="preserve"> </w:t>
      </w:r>
    </w:p>
    <w:tbl>
      <w:tblPr>
        <w:tblStyle w:val="TableGrid"/>
        <w:tblW w:w="0" w:type="auto"/>
        <w:tblInd w:w="355" w:type="dxa"/>
        <w:tblLook w:val="04A0" w:firstRow="1" w:lastRow="0" w:firstColumn="1" w:lastColumn="0" w:noHBand="0" w:noVBand="1"/>
      </w:tblPr>
      <w:tblGrid>
        <w:gridCol w:w="2160"/>
        <w:gridCol w:w="1707"/>
        <w:gridCol w:w="1708"/>
        <w:gridCol w:w="1707"/>
        <w:gridCol w:w="1708"/>
      </w:tblGrid>
      <w:tr w:rsidR="0033480A" w14:paraId="0F2CD6E1" w14:textId="77777777" w:rsidTr="00B87B3D">
        <w:trPr>
          <w:cantSplit/>
          <w:tblHeader/>
        </w:trPr>
        <w:tc>
          <w:tcPr>
            <w:tcW w:w="2160" w:type="dxa"/>
            <w:tcBorders>
              <w:top w:val="single" w:sz="4" w:space="0" w:color="auto"/>
              <w:left w:val="single" w:sz="4" w:space="0" w:color="auto"/>
              <w:bottom w:val="single" w:sz="4" w:space="0" w:color="auto"/>
              <w:right w:val="single" w:sz="4" w:space="0" w:color="auto"/>
            </w:tcBorders>
            <w:shd w:val="clear" w:color="auto" w:fill="002060"/>
            <w:vAlign w:val="bottom"/>
          </w:tcPr>
          <w:p w14:paraId="58D1B149" w14:textId="77777777" w:rsidR="0033480A" w:rsidRPr="007A4570" w:rsidRDefault="0033480A" w:rsidP="00553DCD">
            <w:pPr>
              <w:autoSpaceDE w:val="0"/>
              <w:autoSpaceDN w:val="0"/>
              <w:adjustRightInd w:val="0"/>
              <w:jc w:val="center"/>
              <w:rPr>
                <w:rFonts w:ascii="Calibri" w:hAnsi="Calibri" w:cs="Calibri"/>
                <w:color w:val="FFFFFF" w:themeColor="background1"/>
              </w:rPr>
            </w:pPr>
            <w:r w:rsidRPr="007A4570">
              <w:rPr>
                <w:rFonts w:ascii="Calibri" w:hAnsi="Calibri" w:cs="Calibri"/>
                <w:b/>
                <w:bCs/>
                <w:color w:val="FFFFFF" w:themeColor="background1"/>
              </w:rPr>
              <w:t>Product</w:t>
            </w:r>
          </w:p>
        </w:tc>
        <w:tc>
          <w:tcPr>
            <w:tcW w:w="1707" w:type="dxa"/>
            <w:tcBorders>
              <w:top w:val="single" w:sz="4" w:space="0" w:color="auto"/>
              <w:left w:val="single" w:sz="4" w:space="0" w:color="auto"/>
              <w:bottom w:val="single" w:sz="4" w:space="0" w:color="auto"/>
              <w:right w:val="single" w:sz="4" w:space="0" w:color="auto"/>
            </w:tcBorders>
            <w:shd w:val="clear" w:color="auto" w:fill="002060"/>
            <w:vAlign w:val="bottom"/>
          </w:tcPr>
          <w:p w14:paraId="7F8B13C2" w14:textId="77777777" w:rsidR="0033480A" w:rsidRPr="007A4570" w:rsidRDefault="0033480A" w:rsidP="00553DCD">
            <w:pPr>
              <w:autoSpaceDE w:val="0"/>
              <w:autoSpaceDN w:val="0"/>
              <w:adjustRightInd w:val="0"/>
              <w:jc w:val="center"/>
              <w:rPr>
                <w:rFonts w:ascii="Calibri" w:hAnsi="Calibri" w:cs="Calibri"/>
                <w:color w:val="FFFFFF" w:themeColor="background1"/>
              </w:rPr>
            </w:pPr>
            <w:r w:rsidRPr="007A4570">
              <w:rPr>
                <w:rFonts w:ascii="Calibri" w:hAnsi="Calibri" w:cs="Calibri"/>
                <w:b/>
                <w:bCs/>
                <w:color w:val="FFFFFF" w:themeColor="background1"/>
              </w:rPr>
              <w:t>FY 2019</w:t>
            </w:r>
          </w:p>
        </w:tc>
        <w:tc>
          <w:tcPr>
            <w:tcW w:w="1708" w:type="dxa"/>
            <w:tcBorders>
              <w:top w:val="single" w:sz="4" w:space="0" w:color="auto"/>
              <w:left w:val="single" w:sz="4" w:space="0" w:color="auto"/>
              <w:bottom w:val="single" w:sz="4" w:space="0" w:color="auto"/>
              <w:right w:val="single" w:sz="4" w:space="0" w:color="auto"/>
            </w:tcBorders>
            <w:shd w:val="clear" w:color="auto" w:fill="002060"/>
            <w:vAlign w:val="bottom"/>
          </w:tcPr>
          <w:p w14:paraId="1581FC4E" w14:textId="77777777" w:rsidR="0033480A" w:rsidRPr="007A4570" w:rsidRDefault="0033480A" w:rsidP="00553DCD">
            <w:pPr>
              <w:autoSpaceDE w:val="0"/>
              <w:autoSpaceDN w:val="0"/>
              <w:adjustRightInd w:val="0"/>
              <w:jc w:val="center"/>
              <w:rPr>
                <w:rFonts w:ascii="Calibri" w:hAnsi="Calibri" w:cs="Calibri"/>
                <w:color w:val="FFFFFF" w:themeColor="background1"/>
              </w:rPr>
            </w:pPr>
            <w:r w:rsidRPr="007A4570">
              <w:rPr>
                <w:rFonts w:ascii="Calibri" w:hAnsi="Calibri" w:cs="Calibri"/>
                <w:b/>
                <w:bCs/>
                <w:color w:val="FFFFFF" w:themeColor="background1"/>
              </w:rPr>
              <w:t>FY 2020</w:t>
            </w:r>
          </w:p>
        </w:tc>
        <w:tc>
          <w:tcPr>
            <w:tcW w:w="1707" w:type="dxa"/>
            <w:tcBorders>
              <w:top w:val="single" w:sz="4" w:space="0" w:color="auto"/>
              <w:left w:val="single" w:sz="4" w:space="0" w:color="auto"/>
              <w:bottom w:val="single" w:sz="4" w:space="0" w:color="auto"/>
              <w:right w:val="single" w:sz="4" w:space="0" w:color="auto"/>
            </w:tcBorders>
            <w:shd w:val="clear" w:color="auto" w:fill="002060"/>
            <w:vAlign w:val="bottom"/>
          </w:tcPr>
          <w:p w14:paraId="36B8F582" w14:textId="77777777" w:rsidR="0033480A" w:rsidRPr="007A4570" w:rsidRDefault="0033480A" w:rsidP="00553DCD">
            <w:pPr>
              <w:autoSpaceDE w:val="0"/>
              <w:autoSpaceDN w:val="0"/>
              <w:adjustRightInd w:val="0"/>
              <w:jc w:val="center"/>
              <w:rPr>
                <w:rFonts w:ascii="Calibri" w:hAnsi="Calibri" w:cs="Calibri"/>
                <w:color w:val="FFFFFF" w:themeColor="background1"/>
              </w:rPr>
            </w:pPr>
            <w:r w:rsidRPr="007A4570">
              <w:rPr>
                <w:rFonts w:ascii="Calibri" w:hAnsi="Calibri" w:cs="Calibri"/>
                <w:b/>
                <w:bCs/>
                <w:color w:val="FFFFFF" w:themeColor="background1"/>
              </w:rPr>
              <w:t>FY 2021</w:t>
            </w:r>
          </w:p>
        </w:tc>
        <w:tc>
          <w:tcPr>
            <w:tcW w:w="1708" w:type="dxa"/>
            <w:tcBorders>
              <w:top w:val="single" w:sz="4" w:space="0" w:color="auto"/>
              <w:left w:val="single" w:sz="4" w:space="0" w:color="auto"/>
              <w:bottom w:val="single" w:sz="4" w:space="0" w:color="auto"/>
              <w:right w:val="single" w:sz="4" w:space="0" w:color="auto"/>
            </w:tcBorders>
            <w:shd w:val="clear" w:color="auto" w:fill="002060"/>
            <w:vAlign w:val="bottom"/>
          </w:tcPr>
          <w:p w14:paraId="70AF4667" w14:textId="77777777" w:rsidR="0033480A" w:rsidRPr="007A4570" w:rsidRDefault="0033480A" w:rsidP="00553DCD">
            <w:pPr>
              <w:autoSpaceDE w:val="0"/>
              <w:autoSpaceDN w:val="0"/>
              <w:adjustRightInd w:val="0"/>
              <w:jc w:val="center"/>
              <w:rPr>
                <w:rFonts w:ascii="Calibri" w:hAnsi="Calibri" w:cs="Calibri"/>
                <w:color w:val="FFFFFF" w:themeColor="background1"/>
              </w:rPr>
            </w:pPr>
            <w:r w:rsidRPr="007A4570">
              <w:rPr>
                <w:rFonts w:ascii="Calibri" w:hAnsi="Calibri" w:cs="Calibri"/>
                <w:b/>
                <w:bCs/>
                <w:color w:val="FFFFFF" w:themeColor="background1"/>
              </w:rPr>
              <w:t>Grand Total</w:t>
            </w:r>
          </w:p>
        </w:tc>
      </w:tr>
      <w:tr w:rsidR="0033480A" w14:paraId="75FB91C6" w14:textId="77777777" w:rsidTr="00B87B3D">
        <w:trPr>
          <w:cantSplit/>
        </w:trPr>
        <w:tc>
          <w:tcPr>
            <w:tcW w:w="216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63C3A26" w14:textId="77777777" w:rsidR="0033480A" w:rsidRDefault="0033480A" w:rsidP="00553DCD">
            <w:pPr>
              <w:autoSpaceDE w:val="0"/>
              <w:autoSpaceDN w:val="0"/>
              <w:adjustRightInd w:val="0"/>
              <w:jc w:val="center"/>
              <w:rPr>
                <w:rFonts w:ascii="Calibri" w:hAnsi="Calibri" w:cs="Calibri"/>
              </w:rPr>
            </w:pPr>
            <w:r>
              <w:rPr>
                <w:rFonts w:ascii="Calibri" w:hAnsi="Calibri" w:cs="Calibri"/>
                <w:color w:val="000000"/>
              </w:rPr>
              <w:t>Commercial</w:t>
            </w:r>
          </w:p>
        </w:tc>
        <w:tc>
          <w:tcPr>
            <w:tcW w:w="170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F8F976E" w14:textId="77777777" w:rsidR="0033480A" w:rsidRDefault="0033480A" w:rsidP="00553DCD">
            <w:pPr>
              <w:autoSpaceDE w:val="0"/>
              <w:autoSpaceDN w:val="0"/>
              <w:adjustRightInd w:val="0"/>
              <w:jc w:val="center"/>
              <w:rPr>
                <w:rFonts w:ascii="Calibri" w:hAnsi="Calibri" w:cs="Calibri"/>
              </w:rPr>
            </w:pPr>
            <w:r>
              <w:rPr>
                <w:rFonts w:ascii="Calibri" w:hAnsi="Calibri" w:cs="Calibri"/>
                <w:color w:val="000000"/>
              </w:rPr>
              <w:t>45.26%</w:t>
            </w:r>
          </w:p>
        </w:tc>
        <w:tc>
          <w:tcPr>
            <w:tcW w:w="170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2B0FF5A" w14:textId="77777777" w:rsidR="0033480A" w:rsidRDefault="0033480A" w:rsidP="00553DCD">
            <w:pPr>
              <w:autoSpaceDE w:val="0"/>
              <w:autoSpaceDN w:val="0"/>
              <w:adjustRightInd w:val="0"/>
              <w:jc w:val="center"/>
              <w:rPr>
                <w:rFonts w:ascii="Calibri" w:hAnsi="Calibri" w:cs="Calibri"/>
              </w:rPr>
            </w:pPr>
            <w:r>
              <w:rPr>
                <w:rFonts w:ascii="Calibri" w:hAnsi="Calibri" w:cs="Calibri"/>
                <w:color w:val="000000"/>
              </w:rPr>
              <w:t>44.99%</w:t>
            </w:r>
          </w:p>
        </w:tc>
        <w:tc>
          <w:tcPr>
            <w:tcW w:w="170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B40CF80" w14:textId="77777777" w:rsidR="0033480A" w:rsidRDefault="0033480A" w:rsidP="00553DCD">
            <w:pPr>
              <w:autoSpaceDE w:val="0"/>
              <w:autoSpaceDN w:val="0"/>
              <w:adjustRightInd w:val="0"/>
              <w:jc w:val="center"/>
              <w:rPr>
                <w:rFonts w:ascii="Calibri" w:hAnsi="Calibri" w:cs="Calibri"/>
              </w:rPr>
            </w:pPr>
            <w:r>
              <w:rPr>
                <w:rFonts w:ascii="Calibri" w:hAnsi="Calibri" w:cs="Calibri"/>
                <w:color w:val="000000"/>
              </w:rPr>
              <w:t>44.63%</w:t>
            </w:r>
          </w:p>
        </w:tc>
        <w:tc>
          <w:tcPr>
            <w:tcW w:w="170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06536FE" w14:textId="77777777" w:rsidR="0033480A" w:rsidRDefault="0033480A" w:rsidP="00553DCD">
            <w:pPr>
              <w:autoSpaceDE w:val="0"/>
              <w:autoSpaceDN w:val="0"/>
              <w:adjustRightInd w:val="0"/>
              <w:jc w:val="center"/>
              <w:rPr>
                <w:rFonts w:ascii="Calibri" w:hAnsi="Calibri" w:cs="Calibri"/>
              </w:rPr>
            </w:pPr>
            <w:r>
              <w:rPr>
                <w:rFonts w:ascii="Calibri" w:hAnsi="Calibri" w:cs="Calibri"/>
                <w:color w:val="000000"/>
              </w:rPr>
              <w:t>44.96%</w:t>
            </w:r>
          </w:p>
        </w:tc>
      </w:tr>
      <w:tr w:rsidR="0033480A" w14:paraId="6F218E5E" w14:textId="77777777" w:rsidTr="00B87B3D">
        <w:trPr>
          <w:cantSplit/>
        </w:trPr>
        <w:tc>
          <w:tcPr>
            <w:tcW w:w="216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F146186" w14:textId="77777777" w:rsidR="0033480A" w:rsidRDefault="0033480A" w:rsidP="00553DCD">
            <w:pPr>
              <w:autoSpaceDE w:val="0"/>
              <w:autoSpaceDN w:val="0"/>
              <w:adjustRightInd w:val="0"/>
              <w:jc w:val="center"/>
              <w:rPr>
                <w:rFonts w:ascii="Calibri" w:hAnsi="Calibri" w:cs="Calibri"/>
              </w:rPr>
            </w:pPr>
            <w:r>
              <w:rPr>
                <w:rFonts w:ascii="Calibri" w:hAnsi="Calibri" w:cs="Calibri"/>
                <w:color w:val="000000"/>
              </w:rPr>
              <w:t>Medicare</w:t>
            </w:r>
          </w:p>
        </w:tc>
        <w:tc>
          <w:tcPr>
            <w:tcW w:w="170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BEE309D" w14:textId="77777777" w:rsidR="0033480A" w:rsidRDefault="0033480A" w:rsidP="00553DCD">
            <w:pPr>
              <w:autoSpaceDE w:val="0"/>
              <w:autoSpaceDN w:val="0"/>
              <w:adjustRightInd w:val="0"/>
              <w:jc w:val="center"/>
              <w:rPr>
                <w:rFonts w:ascii="Calibri" w:hAnsi="Calibri" w:cs="Calibri"/>
              </w:rPr>
            </w:pPr>
            <w:r>
              <w:rPr>
                <w:rFonts w:ascii="Calibri" w:hAnsi="Calibri" w:cs="Calibri"/>
                <w:color w:val="000000"/>
              </w:rPr>
              <w:t>34.66%</w:t>
            </w:r>
          </w:p>
        </w:tc>
        <w:tc>
          <w:tcPr>
            <w:tcW w:w="170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BCBD631" w14:textId="77777777" w:rsidR="0033480A" w:rsidRDefault="0033480A" w:rsidP="00553DCD">
            <w:pPr>
              <w:autoSpaceDE w:val="0"/>
              <w:autoSpaceDN w:val="0"/>
              <w:adjustRightInd w:val="0"/>
              <w:jc w:val="center"/>
              <w:rPr>
                <w:rFonts w:ascii="Calibri" w:hAnsi="Calibri" w:cs="Calibri"/>
              </w:rPr>
            </w:pPr>
            <w:r>
              <w:rPr>
                <w:rFonts w:ascii="Calibri" w:hAnsi="Calibri" w:cs="Calibri"/>
                <w:color w:val="000000"/>
              </w:rPr>
              <w:t>34.33%</w:t>
            </w:r>
          </w:p>
        </w:tc>
        <w:tc>
          <w:tcPr>
            <w:tcW w:w="170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5E509DE" w14:textId="77777777" w:rsidR="0033480A" w:rsidRDefault="0033480A" w:rsidP="00553DCD">
            <w:pPr>
              <w:autoSpaceDE w:val="0"/>
              <w:autoSpaceDN w:val="0"/>
              <w:adjustRightInd w:val="0"/>
              <w:jc w:val="center"/>
              <w:rPr>
                <w:rFonts w:ascii="Calibri" w:hAnsi="Calibri" w:cs="Calibri"/>
              </w:rPr>
            </w:pPr>
            <w:r>
              <w:rPr>
                <w:rFonts w:ascii="Calibri" w:hAnsi="Calibri" w:cs="Calibri"/>
                <w:color w:val="000000"/>
              </w:rPr>
              <w:t>33.03%</w:t>
            </w:r>
          </w:p>
        </w:tc>
        <w:tc>
          <w:tcPr>
            <w:tcW w:w="170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EB84AFD" w14:textId="77777777" w:rsidR="0033480A" w:rsidRDefault="0033480A" w:rsidP="00553DCD">
            <w:pPr>
              <w:autoSpaceDE w:val="0"/>
              <w:autoSpaceDN w:val="0"/>
              <w:adjustRightInd w:val="0"/>
              <w:jc w:val="center"/>
              <w:rPr>
                <w:rFonts w:ascii="Calibri" w:hAnsi="Calibri" w:cs="Calibri"/>
              </w:rPr>
            </w:pPr>
            <w:r>
              <w:rPr>
                <w:rFonts w:ascii="Calibri" w:hAnsi="Calibri" w:cs="Calibri"/>
                <w:color w:val="000000"/>
              </w:rPr>
              <w:t>34.00%</w:t>
            </w:r>
          </w:p>
        </w:tc>
      </w:tr>
      <w:tr w:rsidR="0033480A" w14:paraId="771270A2" w14:textId="77777777" w:rsidTr="00B87B3D">
        <w:trPr>
          <w:cantSplit/>
        </w:trPr>
        <w:tc>
          <w:tcPr>
            <w:tcW w:w="216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55FB0C5" w14:textId="77777777" w:rsidR="0033480A" w:rsidRDefault="0033480A" w:rsidP="00553DCD">
            <w:pPr>
              <w:autoSpaceDE w:val="0"/>
              <w:autoSpaceDN w:val="0"/>
              <w:adjustRightInd w:val="0"/>
              <w:jc w:val="center"/>
              <w:rPr>
                <w:rFonts w:ascii="Calibri" w:hAnsi="Calibri" w:cs="Calibri"/>
              </w:rPr>
            </w:pPr>
            <w:r>
              <w:rPr>
                <w:rFonts w:ascii="Calibri" w:hAnsi="Calibri" w:cs="Calibri"/>
                <w:color w:val="000000"/>
              </w:rPr>
              <w:t>Medicaid</w:t>
            </w:r>
          </w:p>
        </w:tc>
        <w:tc>
          <w:tcPr>
            <w:tcW w:w="170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30D62E2" w14:textId="77777777" w:rsidR="0033480A" w:rsidRDefault="0033480A" w:rsidP="00553DCD">
            <w:pPr>
              <w:autoSpaceDE w:val="0"/>
              <w:autoSpaceDN w:val="0"/>
              <w:adjustRightInd w:val="0"/>
              <w:jc w:val="center"/>
              <w:rPr>
                <w:rFonts w:ascii="Calibri" w:hAnsi="Calibri" w:cs="Calibri"/>
              </w:rPr>
            </w:pPr>
            <w:r>
              <w:rPr>
                <w:rFonts w:ascii="Calibri" w:hAnsi="Calibri" w:cs="Calibri"/>
                <w:color w:val="000000"/>
              </w:rPr>
              <w:t>14.69%</w:t>
            </w:r>
          </w:p>
        </w:tc>
        <w:tc>
          <w:tcPr>
            <w:tcW w:w="170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39778E7" w14:textId="77777777" w:rsidR="0033480A" w:rsidRDefault="0033480A" w:rsidP="00553DCD">
            <w:pPr>
              <w:autoSpaceDE w:val="0"/>
              <w:autoSpaceDN w:val="0"/>
              <w:adjustRightInd w:val="0"/>
              <w:jc w:val="center"/>
              <w:rPr>
                <w:rFonts w:ascii="Calibri" w:hAnsi="Calibri" w:cs="Calibri"/>
              </w:rPr>
            </w:pPr>
            <w:r>
              <w:rPr>
                <w:rFonts w:ascii="Calibri" w:hAnsi="Calibri" w:cs="Calibri"/>
                <w:color w:val="000000"/>
              </w:rPr>
              <w:t>14.74%</w:t>
            </w:r>
          </w:p>
        </w:tc>
        <w:tc>
          <w:tcPr>
            <w:tcW w:w="170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506190C" w14:textId="77777777" w:rsidR="0033480A" w:rsidRDefault="0033480A" w:rsidP="00553DCD">
            <w:pPr>
              <w:autoSpaceDE w:val="0"/>
              <w:autoSpaceDN w:val="0"/>
              <w:adjustRightInd w:val="0"/>
              <w:jc w:val="center"/>
              <w:rPr>
                <w:rFonts w:ascii="Calibri" w:hAnsi="Calibri" w:cs="Calibri"/>
              </w:rPr>
            </w:pPr>
            <w:r>
              <w:rPr>
                <w:rFonts w:ascii="Calibri" w:hAnsi="Calibri" w:cs="Calibri"/>
                <w:color w:val="000000"/>
              </w:rPr>
              <w:t>15.54%</w:t>
            </w:r>
          </w:p>
        </w:tc>
        <w:tc>
          <w:tcPr>
            <w:tcW w:w="170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5FBC71D" w14:textId="77777777" w:rsidR="0033480A" w:rsidRDefault="0033480A" w:rsidP="00553DCD">
            <w:pPr>
              <w:autoSpaceDE w:val="0"/>
              <w:autoSpaceDN w:val="0"/>
              <w:adjustRightInd w:val="0"/>
              <w:jc w:val="center"/>
              <w:rPr>
                <w:rFonts w:ascii="Calibri" w:hAnsi="Calibri" w:cs="Calibri"/>
              </w:rPr>
            </w:pPr>
            <w:r>
              <w:rPr>
                <w:rFonts w:ascii="Calibri" w:hAnsi="Calibri" w:cs="Calibri"/>
                <w:color w:val="000000"/>
              </w:rPr>
              <w:t>15.00%</w:t>
            </w:r>
          </w:p>
        </w:tc>
      </w:tr>
      <w:tr w:rsidR="0033480A" w14:paraId="3997AC5D" w14:textId="77777777" w:rsidTr="00B87B3D">
        <w:trPr>
          <w:cantSplit/>
        </w:trPr>
        <w:tc>
          <w:tcPr>
            <w:tcW w:w="216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977F389" w14:textId="77777777" w:rsidR="0033480A" w:rsidRDefault="0033480A" w:rsidP="00553DCD">
            <w:pPr>
              <w:autoSpaceDE w:val="0"/>
              <w:autoSpaceDN w:val="0"/>
              <w:adjustRightInd w:val="0"/>
              <w:jc w:val="center"/>
              <w:rPr>
                <w:rFonts w:ascii="Calibri" w:hAnsi="Calibri" w:cs="Calibri"/>
              </w:rPr>
            </w:pPr>
            <w:r>
              <w:rPr>
                <w:rFonts w:ascii="Calibri" w:hAnsi="Calibri" w:cs="Calibri"/>
                <w:color w:val="000000"/>
              </w:rPr>
              <w:t>Other</w:t>
            </w:r>
          </w:p>
        </w:tc>
        <w:tc>
          <w:tcPr>
            <w:tcW w:w="170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9C68BD6" w14:textId="77777777" w:rsidR="0033480A" w:rsidRDefault="0033480A" w:rsidP="00553DCD">
            <w:pPr>
              <w:autoSpaceDE w:val="0"/>
              <w:autoSpaceDN w:val="0"/>
              <w:adjustRightInd w:val="0"/>
              <w:jc w:val="center"/>
              <w:rPr>
                <w:rFonts w:ascii="Calibri" w:hAnsi="Calibri" w:cs="Calibri"/>
              </w:rPr>
            </w:pPr>
            <w:r>
              <w:rPr>
                <w:rFonts w:ascii="Calibri" w:hAnsi="Calibri" w:cs="Calibri"/>
                <w:color w:val="000000"/>
              </w:rPr>
              <w:t>2.45%</w:t>
            </w:r>
          </w:p>
        </w:tc>
        <w:tc>
          <w:tcPr>
            <w:tcW w:w="170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0EF6C01" w14:textId="77777777" w:rsidR="0033480A" w:rsidRDefault="0033480A" w:rsidP="00553DCD">
            <w:pPr>
              <w:autoSpaceDE w:val="0"/>
              <w:autoSpaceDN w:val="0"/>
              <w:adjustRightInd w:val="0"/>
              <w:jc w:val="center"/>
              <w:rPr>
                <w:rFonts w:ascii="Calibri" w:hAnsi="Calibri" w:cs="Calibri"/>
              </w:rPr>
            </w:pPr>
            <w:r>
              <w:rPr>
                <w:rFonts w:ascii="Calibri" w:hAnsi="Calibri" w:cs="Calibri"/>
                <w:color w:val="000000"/>
              </w:rPr>
              <w:t>2.19%</w:t>
            </w:r>
          </w:p>
        </w:tc>
        <w:tc>
          <w:tcPr>
            <w:tcW w:w="170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C0F4558" w14:textId="77777777" w:rsidR="0033480A" w:rsidRDefault="0033480A" w:rsidP="00553DCD">
            <w:pPr>
              <w:autoSpaceDE w:val="0"/>
              <w:autoSpaceDN w:val="0"/>
              <w:adjustRightInd w:val="0"/>
              <w:jc w:val="center"/>
              <w:rPr>
                <w:rFonts w:ascii="Calibri" w:hAnsi="Calibri" w:cs="Calibri"/>
              </w:rPr>
            </w:pPr>
            <w:r>
              <w:rPr>
                <w:rFonts w:ascii="Calibri" w:hAnsi="Calibri" w:cs="Calibri"/>
                <w:color w:val="000000"/>
              </w:rPr>
              <w:t>3.06%</w:t>
            </w:r>
          </w:p>
        </w:tc>
        <w:tc>
          <w:tcPr>
            <w:tcW w:w="170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0E418C9" w14:textId="77777777" w:rsidR="0033480A" w:rsidRDefault="0033480A" w:rsidP="00553DCD">
            <w:pPr>
              <w:autoSpaceDE w:val="0"/>
              <w:autoSpaceDN w:val="0"/>
              <w:adjustRightInd w:val="0"/>
              <w:jc w:val="center"/>
              <w:rPr>
                <w:rFonts w:ascii="Calibri" w:hAnsi="Calibri" w:cs="Calibri"/>
              </w:rPr>
            </w:pPr>
            <w:r>
              <w:rPr>
                <w:rFonts w:ascii="Calibri" w:hAnsi="Calibri" w:cs="Calibri"/>
                <w:color w:val="000000"/>
              </w:rPr>
              <w:t>2.59%</w:t>
            </w:r>
          </w:p>
        </w:tc>
      </w:tr>
      <w:tr w:rsidR="0033480A" w14:paraId="64C50476" w14:textId="77777777" w:rsidTr="00B87B3D">
        <w:trPr>
          <w:cantSplit/>
        </w:trPr>
        <w:tc>
          <w:tcPr>
            <w:tcW w:w="216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ABC415B" w14:textId="77777777" w:rsidR="0033480A" w:rsidRDefault="0033480A" w:rsidP="00553DCD">
            <w:pPr>
              <w:autoSpaceDE w:val="0"/>
              <w:autoSpaceDN w:val="0"/>
              <w:adjustRightInd w:val="0"/>
              <w:jc w:val="center"/>
              <w:rPr>
                <w:rFonts w:ascii="Calibri" w:hAnsi="Calibri" w:cs="Calibri"/>
              </w:rPr>
            </w:pPr>
            <w:r>
              <w:rPr>
                <w:rFonts w:ascii="Calibri" w:hAnsi="Calibri" w:cs="Calibri"/>
                <w:color w:val="000000"/>
              </w:rPr>
              <w:t>Dual</w:t>
            </w:r>
          </w:p>
        </w:tc>
        <w:tc>
          <w:tcPr>
            <w:tcW w:w="170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324042A" w14:textId="77777777" w:rsidR="0033480A" w:rsidRDefault="0033480A" w:rsidP="00553DCD">
            <w:pPr>
              <w:autoSpaceDE w:val="0"/>
              <w:autoSpaceDN w:val="0"/>
              <w:adjustRightInd w:val="0"/>
              <w:jc w:val="center"/>
              <w:rPr>
                <w:rFonts w:ascii="Calibri" w:hAnsi="Calibri" w:cs="Calibri"/>
              </w:rPr>
            </w:pPr>
            <w:r>
              <w:rPr>
                <w:rFonts w:ascii="Calibri" w:hAnsi="Calibri" w:cs="Calibri"/>
                <w:color w:val="000000"/>
              </w:rPr>
              <w:t>2.01%</w:t>
            </w:r>
          </w:p>
        </w:tc>
        <w:tc>
          <w:tcPr>
            <w:tcW w:w="170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7C0C3BB" w14:textId="77777777" w:rsidR="0033480A" w:rsidRDefault="0033480A" w:rsidP="00553DCD">
            <w:pPr>
              <w:autoSpaceDE w:val="0"/>
              <w:autoSpaceDN w:val="0"/>
              <w:adjustRightInd w:val="0"/>
              <w:jc w:val="center"/>
              <w:rPr>
                <w:rFonts w:ascii="Calibri" w:hAnsi="Calibri" w:cs="Calibri"/>
              </w:rPr>
            </w:pPr>
            <w:r>
              <w:rPr>
                <w:rFonts w:ascii="Calibri" w:hAnsi="Calibri" w:cs="Calibri"/>
                <w:color w:val="000000"/>
              </w:rPr>
              <w:t>2.36%</w:t>
            </w:r>
          </w:p>
        </w:tc>
        <w:tc>
          <w:tcPr>
            <w:tcW w:w="170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921BC2B" w14:textId="77777777" w:rsidR="0033480A" w:rsidRDefault="0033480A" w:rsidP="00553DCD">
            <w:pPr>
              <w:autoSpaceDE w:val="0"/>
              <w:autoSpaceDN w:val="0"/>
              <w:adjustRightInd w:val="0"/>
              <w:jc w:val="center"/>
              <w:rPr>
                <w:rFonts w:ascii="Calibri" w:hAnsi="Calibri" w:cs="Calibri"/>
              </w:rPr>
            </w:pPr>
            <w:r>
              <w:rPr>
                <w:rFonts w:ascii="Calibri" w:hAnsi="Calibri" w:cs="Calibri"/>
                <w:color w:val="000000"/>
              </w:rPr>
              <w:t>2.31%</w:t>
            </w:r>
          </w:p>
        </w:tc>
        <w:tc>
          <w:tcPr>
            <w:tcW w:w="170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E3C924B" w14:textId="77777777" w:rsidR="0033480A" w:rsidRDefault="0033480A" w:rsidP="00553DCD">
            <w:pPr>
              <w:autoSpaceDE w:val="0"/>
              <w:autoSpaceDN w:val="0"/>
              <w:adjustRightInd w:val="0"/>
              <w:jc w:val="center"/>
              <w:rPr>
                <w:rFonts w:ascii="Calibri" w:hAnsi="Calibri" w:cs="Calibri"/>
              </w:rPr>
            </w:pPr>
            <w:r>
              <w:rPr>
                <w:rFonts w:ascii="Calibri" w:hAnsi="Calibri" w:cs="Calibri"/>
                <w:color w:val="000000"/>
              </w:rPr>
              <w:t>2.22%</w:t>
            </w:r>
          </w:p>
        </w:tc>
      </w:tr>
      <w:tr w:rsidR="0033480A" w14:paraId="40B8B898" w14:textId="77777777" w:rsidTr="00B87B3D">
        <w:trPr>
          <w:cantSplit/>
        </w:trPr>
        <w:tc>
          <w:tcPr>
            <w:tcW w:w="216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5490C10" w14:textId="77777777" w:rsidR="0033480A" w:rsidRDefault="0033480A" w:rsidP="00553DCD">
            <w:pPr>
              <w:autoSpaceDE w:val="0"/>
              <w:autoSpaceDN w:val="0"/>
              <w:adjustRightInd w:val="0"/>
              <w:jc w:val="center"/>
              <w:rPr>
                <w:rFonts w:ascii="Calibri" w:hAnsi="Calibri" w:cs="Calibri"/>
              </w:rPr>
            </w:pPr>
            <w:r>
              <w:rPr>
                <w:rFonts w:ascii="Calibri" w:hAnsi="Calibri" w:cs="Calibri"/>
                <w:color w:val="000000"/>
              </w:rPr>
              <w:t>Behavioral Health</w:t>
            </w:r>
          </w:p>
        </w:tc>
        <w:tc>
          <w:tcPr>
            <w:tcW w:w="170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E60C2EB" w14:textId="77777777" w:rsidR="0033480A" w:rsidRDefault="0033480A" w:rsidP="00553DCD">
            <w:pPr>
              <w:autoSpaceDE w:val="0"/>
              <w:autoSpaceDN w:val="0"/>
              <w:adjustRightInd w:val="0"/>
              <w:jc w:val="center"/>
              <w:rPr>
                <w:rFonts w:ascii="Calibri" w:hAnsi="Calibri" w:cs="Calibri"/>
              </w:rPr>
            </w:pPr>
            <w:r>
              <w:rPr>
                <w:rFonts w:ascii="Calibri" w:hAnsi="Calibri" w:cs="Calibri"/>
                <w:color w:val="000000"/>
              </w:rPr>
              <w:t>0.93%</w:t>
            </w:r>
          </w:p>
        </w:tc>
        <w:tc>
          <w:tcPr>
            <w:tcW w:w="170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12263A6" w14:textId="77777777" w:rsidR="0033480A" w:rsidRDefault="0033480A" w:rsidP="00553DCD">
            <w:pPr>
              <w:autoSpaceDE w:val="0"/>
              <w:autoSpaceDN w:val="0"/>
              <w:adjustRightInd w:val="0"/>
              <w:jc w:val="center"/>
              <w:rPr>
                <w:rFonts w:ascii="Calibri" w:hAnsi="Calibri" w:cs="Calibri"/>
              </w:rPr>
            </w:pPr>
            <w:r>
              <w:rPr>
                <w:rFonts w:ascii="Calibri" w:hAnsi="Calibri" w:cs="Calibri"/>
                <w:color w:val="000000"/>
              </w:rPr>
              <w:t>1.37%</w:t>
            </w:r>
          </w:p>
        </w:tc>
        <w:tc>
          <w:tcPr>
            <w:tcW w:w="170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F55AC94" w14:textId="77777777" w:rsidR="0033480A" w:rsidRDefault="0033480A" w:rsidP="00553DCD">
            <w:pPr>
              <w:autoSpaceDE w:val="0"/>
              <w:autoSpaceDN w:val="0"/>
              <w:adjustRightInd w:val="0"/>
              <w:jc w:val="center"/>
              <w:rPr>
                <w:rFonts w:ascii="Calibri" w:hAnsi="Calibri" w:cs="Calibri"/>
              </w:rPr>
            </w:pPr>
            <w:r>
              <w:rPr>
                <w:rFonts w:ascii="Calibri" w:hAnsi="Calibri" w:cs="Calibri"/>
                <w:color w:val="000000"/>
              </w:rPr>
              <w:t>1.43%</w:t>
            </w:r>
          </w:p>
        </w:tc>
        <w:tc>
          <w:tcPr>
            <w:tcW w:w="170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4CA5200" w14:textId="77777777" w:rsidR="0033480A" w:rsidRDefault="0033480A" w:rsidP="00553DCD">
            <w:pPr>
              <w:autoSpaceDE w:val="0"/>
              <w:autoSpaceDN w:val="0"/>
              <w:adjustRightInd w:val="0"/>
              <w:jc w:val="center"/>
              <w:rPr>
                <w:rFonts w:ascii="Calibri" w:hAnsi="Calibri" w:cs="Calibri"/>
              </w:rPr>
            </w:pPr>
            <w:r>
              <w:rPr>
                <w:rFonts w:ascii="Calibri" w:hAnsi="Calibri" w:cs="Calibri"/>
                <w:color w:val="000000"/>
              </w:rPr>
              <w:t>1.23%</w:t>
            </w:r>
          </w:p>
        </w:tc>
      </w:tr>
      <w:tr w:rsidR="0033480A" w14:paraId="2320A31A" w14:textId="77777777" w:rsidTr="00B87B3D">
        <w:trPr>
          <w:cantSplit/>
        </w:trPr>
        <w:tc>
          <w:tcPr>
            <w:tcW w:w="2160" w:type="dxa"/>
            <w:tcBorders>
              <w:top w:val="single" w:sz="4" w:space="0" w:color="auto"/>
              <w:left w:val="single" w:sz="4" w:space="0" w:color="auto"/>
              <w:bottom w:val="single" w:sz="4" w:space="0" w:color="auto"/>
              <w:right w:val="single" w:sz="4" w:space="0" w:color="auto"/>
            </w:tcBorders>
            <w:shd w:val="clear" w:color="auto" w:fill="E7E6E6" w:themeFill="background2"/>
            <w:vAlign w:val="bottom"/>
          </w:tcPr>
          <w:p w14:paraId="098E7CF5" w14:textId="77777777" w:rsidR="0033480A" w:rsidRDefault="0033480A" w:rsidP="00553DCD">
            <w:pPr>
              <w:autoSpaceDE w:val="0"/>
              <w:autoSpaceDN w:val="0"/>
              <w:adjustRightInd w:val="0"/>
              <w:jc w:val="center"/>
              <w:rPr>
                <w:rFonts w:ascii="Calibri" w:hAnsi="Calibri" w:cs="Calibri"/>
              </w:rPr>
            </w:pPr>
            <w:r>
              <w:rPr>
                <w:rFonts w:ascii="Calibri" w:hAnsi="Calibri" w:cs="Calibri"/>
                <w:b/>
                <w:bCs/>
                <w:color w:val="000000"/>
              </w:rPr>
              <w:t>Total</w:t>
            </w:r>
          </w:p>
        </w:tc>
        <w:tc>
          <w:tcPr>
            <w:tcW w:w="1707" w:type="dxa"/>
            <w:tcBorders>
              <w:top w:val="single" w:sz="4" w:space="0" w:color="auto"/>
              <w:left w:val="single" w:sz="4" w:space="0" w:color="auto"/>
              <w:bottom w:val="single" w:sz="4" w:space="0" w:color="auto"/>
              <w:right w:val="single" w:sz="4" w:space="0" w:color="auto"/>
            </w:tcBorders>
            <w:shd w:val="clear" w:color="auto" w:fill="E7E6E6" w:themeFill="background2"/>
            <w:vAlign w:val="bottom"/>
          </w:tcPr>
          <w:p w14:paraId="3A5C7F66" w14:textId="77777777" w:rsidR="0033480A" w:rsidRDefault="0033480A" w:rsidP="00553DCD">
            <w:pPr>
              <w:autoSpaceDE w:val="0"/>
              <w:autoSpaceDN w:val="0"/>
              <w:adjustRightInd w:val="0"/>
              <w:jc w:val="center"/>
              <w:rPr>
                <w:rFonts w:ascii="Calibri" w:hAnsi="Calibri" w:cs="Calibri"/>
              </w:rPr>
            </w:pPr>
            <w:r>
              <w:rPr>
                <w:rFonts w:ascii="Calibri" w:hAnsi="Calibri" w:cs="Calibri"/>
                <w:b/>
                <w:bCs/>
                <w:color w:val="000000"/>
              </w:rPr>
              <w:t>100.00%</w:t>
            </w:r>
          </w:p>
        </w:tc>
        <w:tc>
          <w:tcPr>
            <w:tcW w:w="1708" w:type="dxa"/>
            <w:tcBorders>
              <w:top w:val="single" w:sz="4" w:space="0" w:color="auto"/>
              <w:left w:val="single" w:sz="4" w:space="0" w:color="auto"/>
              <w:bottom w:val="single" w:sz="4" w:space="0" w:color="auto"/>
              <w:right w:val="single" w:sz="4" w:space="0" w:color="auto"/>
            </w:tcBorders>
            <w:shd w:val="clear" w:color="auto" w:fill="E7E6E6" w:themeFill="background2"/>
            <w:vAlign w:val="bottom"/>
          </w:tcPr>
          <w:p w14:paraId="09902EF8" w14:textId="77777777" w:rsidR="0033480A" w:rsidRDefault="0033480A" w:rsidP="00553DCD">
            <w:pPr>
              <w:autoSpaceDE w:val="0"/>
              <w:autoSpaceDN w:val="0"/>
              <w:adjustRightInd w:val="0"/>
              <w:jc w:val="center"/>
              <w:rPr>
                <w:rFonts w:ascii="Calibri" w:hAnsi="Calibri" w:cs="Calibri"/>
              </w:rPr>
            </w:pPr>
            <w:r>
              <w:rPr>
                <w:rFonts w:ascii="Calibri" w:hAnsi="Calibri" w:cs="Calibri"/>
                <w:b/>
                <w:bCs/>
                <w:color w:val="000000"/>
              </w:rPr>
              <w:t>100.00%</w:t>
            </w:r>
          </w:p>
        </w:tc>
        <w:tc>
          <w:tcPr>
            <w:tcW w:w="1707" w:type="dxa"/>
            <w:tcBorders>
              <w:top w:val="single" w:sz="4" w:space="0" w:color="auto"/>
              <w:left w:val="single" w:sz="4" w:space="0" w:color="auto"/>
              <w:bottom w:val="single" w:sz="4" w:space="0" w:color="auto"/>
              <w:right w:val="single" w:sz="4" w:space="0" w:color="auto"/>
            </w:tcBorders>
            <w:shd w:val="clear" w:color="auto" w:fill="E7E6E6" w:themeFill="background2"/>
            <w:vAlign w:val="bottom"/>
          </w:tcPr>
          <w:p w14:paraId="7B669B6F" w14:textId="77777777" w:rsidR="0033480A" w:rsidRDefault="0033480A" w:rsidP="00553DCD">
            <w:pPr>
              <w:autoSpaceDE w:val="0"/>
              <w:autoSpaceDN w:val="0"/>
              <w:adjustRightInd w:val="0"/>
              <w:jc w:val="center"/>
              <w:rPr>
                <w:rFonts w:ascii="Calibri" w:hAnsi="Calibri" w:cs="Calibri"/>
              </w:rPr>
            </w:pPr>
            <w:r>
              <w:rPr>
                <w:rFonts w:ascii="Calibri" w:hAnsi="Calibri" w:cs="Calibri"/>
                <w:b/>
                <w:bCs/>
                <w:color w:val="000000"/>
              </w:rPr>
              <w:t>100.00%</w:t>
            </w:r>
          </w:p>
        </w:tc>
        <w:tc>
          <w:tcPr>
            <w:tcW w:w="1708" w:type="dxa"/>
            <w:tcBorders>
              <w:top w:val="single" w:sz="4" w:space="0" w:color="auto"/>
              <w:left w:val="single" w:sz="4" w:space="0" w:color="auto"/>
              <w:bottom w:val="single" w:sz="4" w:space="0" w:color="auto"/>
              <w:right w:val="single" w:sz="4" w:space="0" w:color="auto"/>
            </w:tcBorders>
            <w:shd w:val="clear" w:color="auto" w:fill="E7E6E6" w:themeFill="background2"/>
            <w:vAlign w:val="bottom"/>
          </w:tcPr>
          <w:p w14:paraId="2A65EC22" w14:textId="77777777" w:rsidR="0033480A" w:rsidRDefault="0033480A" w:rsidP="00553DCD">
            <w:pPr>
              <w:autoSpaceDE w:val="0"/>
              <w:autoSpaceDN w:val="0"/>
              <w:adjustRightInd w:val="0"/>
              <w:jc w:val="center"/>
              <w:rPr>
                <w:rFonts w:ascii="Calibri" w:hAnsi="Calibri" w:cs="Calibri"/>
              </w:rPr>
            </w:pPr>
            <w:r>
              <w:rPr>
                <w:rFonts w:ascii="Calibri" w:hAnsi="Calibri" w:cs="Calibri"/>
                <w:b/>
                <w:bCs/>
                <w:color w:val="000000"/>
              </w:rPr>
              <w:t>100.00%</w:t>
            </w:r>
          </w:p>
        </w:tc>
      </w:tr>
    </w:tbl>
    <w:p w14:paraId="2F20575B" w14:textId="77777777" w:rsidR="005341DE" w:rsidRDefault="005341DE" w:rsidP="0033480A">
      <w:pPr>
        <w:autoSpaceDE w:val="0"/>
        <w:autoSpaceDN w:val="0"/>
        <w:adjustRightInd w:val="0"/>
        <w:spacing w:after="0" w:line="240" w:lineRule="auto"/>
        <w:ind w:left="360"/>
        <w:jc w:val="both"/>
        <w:rPr>
          <w:rFonts w:ascii="Calibri" w:hAnsi="Calibri" w:cs="Calibri"/>
        </w:rPr>
      </w:pPr>
    </w:p>
    <w:p w14:paraId="55173144" w14:textId="77777777" w:rsidR="00F74984" w:rsidRPr="00F74984" w:rsidRDefault="00F74984" w:rsidP="00F74984">
      <w:pPr>
        <w:rPr>
          <w:b/>
        </w:rPr>
      </w:pPr>
      <w:r w:rsidRPr="00F74984">
        <w:rPr>
          <w:b/>
        </w:rPr>
        <w:lastRenderedPageBreak/>
        <w:t>F1.</w:t>
      </w:r>
      <w:proofErr w:type="gramStart"/>
      <w:r w:rsidRPr="00F74984">
        <w:rPr>
          <w:b/>
        </w:rPr>
        <w:t>a.ii</w:t>
      </w:r>
      <w:proofErr w:type="gramEnd"/>
      <w:r w:rsidRPr="00F74984">
        <w:rPr>
          <w:b/>
        </w:rPr>
        <w:tab/>
      </w:r>
      <w:r w:rsidRPr="00F74984">
        <w:rPr>
          <w:b/>
          <w:u w:val="single"/>
        </w:rPr>
        <w:t>Need by Patient Panel</w:t>
      </w:r>
      <w:r w:rsidRPr="00F74984">
        <w:rPr>
          <w:b/>
        </w:rPr>
        <w:t>:</w:t>
      </w:r>
    </w:p>
    <w:p w14:paraId="75C9E88C" w14:textId="77777777" w:rsidR="00F74984" w:rsidRPr="00F74984" w:rsidRDefault="00F74984" w:rsidP="00F74984">
      <w:pPr>
        <w:jc w:val="both"/>
        <w:rPr>
          <w:b/>
        </w:rPr>
      </w:pPr>
      <w:r w:rsidRPr="00F74984">
        <w:rPr>
          <w:b/>
        </w:rPr>
        <w:t>Provide supporting data to demonstrate the need for the Proposed Project. Such data should demonstrate the disease burden, behavioral risk factors, acuity mix, health disparities, or other objective Patient Panel measures as noted in your response to Question F1.a.i that demonstrates the need that the Proposed Project is attempting to address. If an inequity or disparity is not identified as relating to the Proposed Project, provide information justifying the need. In your description of Need, consider the principles underlying Public Health Value (see instructions) and ensure that Need is addressed in that context as well.</w:t>
      </w:r>
    </w:p>
    <w:p w14:paraId="5DEB43CF" w14:textId="77777777" w:rsidR="00F74984" w:rsidRPr="00F74984" w:rsidRDefault="00F74984" w:rsidP="00F74984">
      <w:pPr>
        <w:numPr>
          <w:ilvl w:val="0"/>
          <w:numId w:val="2"/>
        </w:numPr>
        <w:contextualSpacing/>
        <w:rPr>
          <w:b/>
        </w:rPr>
      </w:pPr>
      <w:r w:rsidRPr="00F74984">
        <w:rPr>
          <w:b/>
        </w:rPr>
        <w:t xml:space="preserve">Overview </w:t>
      </w:r>
    </w:p>
    <w:p w14:paraId="25954D45" w14:textId="77777777" w:rsidR="00F74984" w:rsidRPr="00F74984" w:rsidRDefault="00F74984" w:rsidP="00F74984">
      <w:pPr>
        <w:ind w:left="360"/>
        <w:jc w:val="both"/>
        <w:rPr>
          <w:bCs/>
        </w:rPr>
      </w:pPr>
      <w:r w:rsidRPr="00F74984">
        <w:rPr>
          <w:bCs/>
        </w:rPr>
        <w:t>Through the Proposed Project, the Applicant will satisfy both existing and future patient panel needs by continuing to provide local access to PET-CT imaging services</w:t>
      </w:r>
      <w:r w:rsidRPr="00F74984">
        <w:rPr>
          <w:bCs/>
          <w:lang w:bidi="en-US"/>
        </w:rPr>
        <w:t xml:space="preserve">, at a proximate location to the MWH campus. </w:t>
      </w:r>
      <w:r w:rsidRPr="00F74984">
        <w:rPr>
          <w:bCs/>
        </w:rPr>
        <w:t xml:space="preserve"> As mentioned previously in this narrative, MWH currently offers PET-CT services to its patients through a joint venture with their Montvale partner – that joint venture will cease operations in the summer of 2023.   </w:t>
      </w:r>
      <w:bookmarkStart w:id="11" w:name="_Hlk113958762"/>
      <w:r w:rsidRPr="00F74984">
        <w:rPr>
          <w:bCs/>
        </w:rPr>
        <w:t>The existing and future need for continued local PET-CT imaging access is further demonstrated by historical volume demand, operational capacity limitations, projected volume, and disease burden trends, in addition to the growth in the number of older patients seeking care at MWH, and the increased number of patients with underlying age-related oncologic, cardiac, and neurologic conditions for which PET-CT has proven clinical applicability.</w:t>
      </w:r>
      <w:r w:rsidRPr="00F74984">
        <w:rPr>
          <w:bCs/>
          <w:vertAlign w:val="superscript"/>
        </w:rPr>
        <w:footnoteReference w:id="17"/>
      </w:r>
      <w:r w:rsidRPr="00F74984">
        <w:rPr>
          <w:bCs/>
        </w:rPr>
        <w:t xml:space="preserve"> </w:t>
      </w:r>
      <w:bookmarkEnd w:id="11"/>
      <w:r w:rsidRPr="00F74984">
        <w:rPr>
          <w:bCs/>
        </w:rPr>
        <w:t xml:space="preserve"> </w:t>
      </w:r>
    </w:p>
    <w:p w14:paraId="6BC20736" w14:textId="77777777" w:rsidR="00F74984" w:rsidRPr="00F74984" w:rsidRDefault="00F74984" w:rsidP="00F74984">
      <w:pPr>
        <w:ind w:left="360"/>
        <w:jc w:val="both"/>
        <w:rPr>
          <w:bCs/>
        </w:rPr>
      </w:pPr>
      <w:r w:rsidRPr="00F74984">
        <w:rPr>
          <w:bCs/>
        </w:rPr>
        <w:t>Access to healthcare emerged as a concern among community survey respondents in MWH’s most recent Community Health Needs Assessment – 34% of respondents thought that access to care was one of the top health concerns in their community.</w:t>
      </w:r>
    </w:p>
    <w:p w14:paraId="0D9B96D6" w14:textId="77777777" w:rsidR="00F74984" w:rsidRPr="00F74984" w:rsidRDefault="00F74984" w:rsidP="00F74984">
      <w:pPr>
        <w:ind w:left="360"/>
        <w:jc w:val="both"/>
        <w:rPr>
          <w:bCs/>
        </w:rPr>
      </w:pPr>
      <w:r w:rsidRPr="00F74984">
        <w:rPr>
          <w:bCs/>
        </w:rPr>
        <w:t>To further underscore the importance of local access, it is noteworthy that barriers, such as challenges related to access to health care often result in unmet health care needs, including a lack of preventive and screening services and treatment of illnesses.</w:t>
      </w:r>
      <w:r w:rsidRPr="00F74984">
        <w:rPr>
          <w:bCs/>
          <w:vertAlign w:val="superscript"/>
        </w:rPr>
        <w:footnoteReference w:id="18"/>
      </w:r>
      <w:r w:rsidRPr="00F74984">
        <w:rPr>
          <w:bCs/>
        </w:rPr>
        <w:t xml:space="preserve"> For example, 80% of the women who should have an annual mammography exam won’t because they are unable to find a mammography facility that is conveniently located.</w:t>
      </w:r>
      <w:r w:rsidRPr="00F74984">
        <w:rPr>
          <w:bCs/>
          <w:vertAlign w:val="superscript"/>
        </w:rPr>
        <w:footnoteReference w:id="19"/>
      </w:r>
      <w:r w:rsidRPr="00F74984">
        <w:rPr>
          <w:bCs/>
        </w:rPr>
        <w:t xml:space="preserve">  </w:t>
      </w:r>
    </w:p>
    <w:p w14:paraId="24F638BB" w14:textId="77777777" w:rsidR="00F74984" w:rsidRPr="00F74984" w:rsidRDefault="00F74984" w:rsidP="00F74984">
      <w:pPr>
        <w:numPr>
          <w:ilvl w:val="0"/>
          <w:numId w:val="2"/>
        </w:numPr>
        <w:contextualSpacing/>
        <w:rPr>
          <w:b/>
        </w:rPr>
      </w:pPr>
      <w:r w:rsidRPr="00F74984">
        <w:rPr>
          <w:b/>
        </w:rPr>
        <w:t xml:space="preserve">Need for Additional Services </w:t>
      </w:r>
    </w:p>
    <w:p w14:paraId="14EB1F20" w14:textId="4C8C4AD6" w:rsidR="00F74984" w:rsidRPr="004D04DE" w:rsidRDefault="00F74984" w:rsidP="00F74984">
      <w:pPr>
        <w:numPr>
          <w:ilvl w:val="1"/>
          <w:numId w:val="2"/>
        </w:numPr>
        <w:contextualSpacing/>
        <w:jc w:val="both"/>
        <w:rPr>
          <w:b/>
        </w:rPr>
      </w:pPr>
      <w:r w:rsidRPr="00F74984">
        <w:rPr>
          <w:bCs/>
        </w:rPr>
        <w:t xml:space="preserve">The need for local PET-CT imaging services is demonstrated by historical volume demand, operational capacity limits, projected volume, and disease burden trends. </w:t>
      </w:r>
    </w:p>
    <w:p w14:paraId="3D1FE2C9" w14:textId="317FA131" w:rsidR="004D04DE" w:rsidRDefault="004D04DE" w:rsidP="004D04DE">
      <w:pPr>
        <w:ind w:left="1440"/>
        <w:contextualSpacing/>
        <w:jc w:val="both"/>
        <w:rPr>
          <w:b/>
        </w:rPr>
      </w:pPr>
    </w:p>
    <w:p w14:paraId="1B15C327" w14:textId="77777777" w:rsidR="00F74984" w:rsidRPr="00F74984" w:rsidRDefault="00F74984" w:rsidP="00F74984">
      <w:pPr>
        <w:autoSpaceDE w:val="0"/>
        <w:autoSpaceDN w:val="0"/>
        <w:adjustRightInd w:val="0"/>
        <w:spacing w:after="0" w:line="240" w:lineRule="auto"/>
        <w:ind w:left="1440"/>
        <w:jc w:val="both"/>
        <w:rPr>
          <w:rFonts w:ascii="Calibri" w:hAnsi="Calibri" w:cs="Calibri"/>
          <w:u w:val="single"/>
        </w:rPr>
      </w:pPr>
      <w:r w:rsidRPr="00F74984">
        <w:rPr>
          <w:rFonts w:ascii="Calibri" w:hAnsi="Calibri" w:cs="Calibri"/>
          <w:u w:val="single"/>
        </w:rPr>
        <w:t>Historical Volume</w:t>
      </w:r>
    </w:p>
    <w:p w14:paraId="2CEC6F4F" w14:textId="77777777" w:rsidR="00F74984" w:rsidRPr="00F74984" w:rsidRDefault="00F74984" w:rsidP="00F74984">
      <w:pPr>
        <w:autoSpaceDE w:val="0"/>
        <w:autoSpaceDN w:val="0"/>
        <w:adjustRightInd w:val="0"/>
        <w:spacing w:after="0" w:line="240" w:lineRule="auto"/>
        <w:ind w:left="1440"/>
        <w:jc w:val="both"/>
        <w:rPr>
          <w:rFonts w:ascii="Calibri" w:hAnsi="Calibri" w:cs="Calibri"/>
        </w:rPr>
      </w:pPr>
      <w:r w:rsidRPr="00F74984">
        <w:rPr>
          <w:rFonts w:ascii="Calibri" w:hAnsi="Calibri" w:cs="Calibri"/>
        </w:rPr>
        <w:t xml:space="preserve">The Applicant reviewed the total number of PET-CT scans referred to Montvale PET-CT for diagnostic imaging in FY19, FY20, and FY21. These data are provided in the table below. </w:t>
      </w:r>
    </w:p>
    <w:p w14:paraId="0576EFC3" w14:textId="77777777" w:rsidR="00F74984" w:rsidRPr="00F74984" w:rsidRDefault="00F74984" w:rsidP="00F74984">
      <w:pPr>
        <w:autoSpaceDE w:val="0"/>
        <w:autoSpaceDN w:val="0"/>
        <w:adjustRightInd w:val="0"/>
        <w:spacing w:after="0" w:line="240" w:lineRule="auto"/>
        <w:ind w:left="360"/>
        <w:jc w:val="both"/>
        <w:rPr>
          <w:rFonts w:ascii="Calibri" w:hAnsi="Calibri" w:cs="Calibri"/>
        </w:rPr>
      </w:pPr>
    </w:p>
    <w:tbl>
      <w:tblPr>
        <w:tblStyle w:val="TableGrid"/>
        <w:tblW w:w="0" w:type="auto"/>
        <w:tblInd w:w="1435" w:type="dxa"/>
        <w:tblLook w:val="04A0" w:firstRow="1" w:lastRow="0" w:firstColumn="1" w:lastColumn="0" w:noHBand="0" w:noVBand="1"/>
      </w:tblPr>
      <w:tblGrid>
        <w:gridCol w:w="1800"/>
        <w:gridCol w:w="2038"/>
        <w:gridCol w:w="2038"/>
        <w:gridCol w:w="2039"/>
      </w:tblGrid>
      <w:tr w:rsidR="00F74984" w:rsidRPr="00F74984" w14:paraId="1B7A9477" w14:textId="77777777" w:rsidTr="00553DCD">
        <w:tc>
          <w:tcPr>
            <w:tcW w:w="1800" w:type="dxa"/>
            <w:shd w:val="clear" w:color="auto" w:fill="002060"/>
          </w:tcPr>
          <w:p w14:paraId="3ED8B8F2" w14:textId="77777777" w:rsidR="00F74984" w:rsidRPr="00F74984" w:rsidRDefault="00F74984" w:rsidP="00F74984">
            <w:pPr>
              <w:autoSpaceDE w:val="0"/>
              <w:autoSpaceDN w:val="0"/>
              <w:adjustRightInd w:val="0"/>
              <w:jc w:val="both"/>
              <w:rPr>
                <w:rFonts w:ascii="Calibri" w:hAnsi="Calibri" w:cs="Calibri"/>
                <w:color w:val="FFFFFF" w:themeColor="background1"/>
              </w:rPr>
            </w:pPr>
          </w:p>
        </w:tc>
        <w:tc>
          <w:tcPr>
            <w:tcW w:w="2038" w:type="dxa"/>
            <w:shd w:val="clear" w:color="auto" w:fill="002060"/>
          </w:tcPr>
          <w:p w14:paraId="1B3C0318" w14:textId="77777777" w:rsidR="00F74984" w:rsidRPr="00F74984" w:rsidRDefault="00F74984" w:rsidP="00F74984">
            <w:pPr>
              <w:autoSpaceDE w:val="0"/>
              <w:autoSpaceDN w:val="0"/>
              <w:adjustRightInd w:val="0"/>
              <w:jc w:val="center"/>
              <w:rPr>
                <w:rFonts w:ascii="Calibri" w:hAnsi="Calibri" w:cs="Calibri"/>
                <w:color w:val="FFFFFF" w:themeColor="background1"/>
              </w:rPr>
            </w:pPr>
            <w:r w:rsidRPr="00F74984">
              <w:rPr>
                <w:rFonts w:ascii="Calibri" w:hAnsi="Calibri" w:cs="Calibri"/>
                <w:color w:val="FFFFFF" w:themeColor="background1"/>
              </w:rPr>
              <w:t>FY19 #scans</w:t>
            </w:r>
          </w:p>
        </w:tc>
        <w:tc>
          <w:tcPr>
            <w:tcW w:w="2038" w:type="dxa"/>
            <w:shd w:val="clear" w:color="auto" w:fill="002060"/>
          </w:tcPr>
          <w:p w14:paraId="684F67C3" w14:textId="77777777" w:rsidR="00F74984" w:rsidRPr="00F74984" w:rsidRDefault="00F74984" w:rsidP="00F74984">
            <w:pPr>
              <w:autoSpaceDE w:val="0"/>
              <w:autoSpaceDN w:val="0"/>
              <w:adjustRightInd w:val="0"/>
              <w:jc w:val="center"/>
              <w:rPr>
                <w:rFonts w:ascii="Calibri" w:hAnsi="Calibri" w:cs="Calibri"/>
                <w:color w:val="FFFFFF" w:themeColor="background1"/>
              </w:rPr>
            </w:pPr>
            <w:r w:rsidRPr="00F74984">
              <w:rPr>
                <w:rFonts w:ascii="Calibri" w:hAnsi="Calibri" w:cs="Calibri"/>
                <w:color w:val="FFFFFF" w:themeColor="background1"/>
              </w:rPr>
              <w:t>FY20 #scans</w:t>
            </w:r>
          </w:p>
        </w:tc>
        <w:tc>
          <w:tcPr>
            <w:tcW w:w="2039" w:type="dxa"/>
            <w:shd w:val="clear" w:color="auto" w:fill="002060"/>
          </w:tcPr>
          <w:p w14:paraId="494C9EF2" w14:textId="77777777" w:rsidR="00F74984" w:rsidRPr="00F74984" w:rsidRDefault="00F74984" w:rsidP="00F74984">
            <w:pPr>
              <w:autoSpaceDE w:val="0"/>
              <w:autoSpaceDN w:val="0"/>
              <w:adjustRightInd w:val="0"/>
              <w:jc w:val="center"/>
              <w:rPr>
                <w:rFonts w:ascii="Calibri" w:hAnsi="Calibri" w:cs="Calibri"/>
                <w:color w:val="FFFFFF" w:themeColor="background1"/>
              </w:rPr>
            </w:pPr>
            <w:r w:rsidRPr="00F74984">
              <w:rPr>
                <w:rFonts w:ascii="Calibri" w:hAnsi="Calibri" w:cs="Calibri"/>
                <w:color w:val="FFFFFF" w:themeColor="background1"/>
              </w:rPr>
              <w:t>FY21 #scans</w:t>
            </w:r>
          </w:p>
        </w:tc>
      </w:tr>
      <w:tr w:rsidR="00F74984" w:rsidRPr="00F74984" w14:paraId="65CED2AF" w14:textId="77777777" w:rsidTr="00553DCD">
        <w:tc>
          <w:tcPr>
            <w:tcW w:w="1800" w:type="dxa"/>
          </w:tcPr>
          <w:p w14:paraId="489E57F2" w14:textId="77777777" w:rsidR="00F74984" w:rsidRPr="00F74984" w:rsidRDefault="00F74984" w:rsidP="00F74984">
            <w:pPr>
              <w:autoSpaceDE w:val="0"/>
              <w:autoSpaceDN w:val="0"/>
              <w:adjustRightInd w:val="0"/>
              <w:jc w:val="both"/>
              <w:rPr>
                <w:rFonts w:ascii="Calibri" w:hAnsi="Calibri" w:cs="Calibri"/>
              </w:rPr>
            </w:pPr>
            <w:r w:rsidRPr="00F74984">
              <w:rPr>
                <w:rFonts w:ascii="Calibri" w:hAnsi="Calibri" w:cs="Calibri"/>
              </w:rPr>
              <w:t xml:space="preserve">Total Scans </w:t>
            </w:r>
          </w:p>
        </w:tc>
        <w:tc>
          <w:tcPr>
            <w:tcW w:w="2038" w:type="dxa"/>
            <w:shd w:val="clear" w:color="auto" w:fill="auto"/>
          </w:tcPr>
          <w:p w14:paraId="7DA0BA06" w14:textId="77777777" w:rsidR="00F74984" w:rsidRPr="00F74984" w:rsidRDefault="00F74984" w:rsidP="00F74984">
            <w:pPr>
              <w:autoSpaceDE w:val="0"/>
              <w:autoSpaceDN w:val="0"/>
              <w:adjustRightInd w:val="0"/>
              <w:jc w:val="center"/>
              <w:rPr>
                <w:rFonts w:ascii="Calibri" w:hAnsi="Calibri" w:cs="Calibri"/>
              </w:rPr>
            </w:pPr>
            <w:r w:rsidRPr="00F74984">
              <w:rPr>
                <w:rFonts w:ascii="Calibri" w:hAnsi="Calibri" w:cs="Calibri"/>
              </w:rPr>
              <w:t>450</w:t>
            </w:r>
          </w:p>
        </w:tc>
        <w:tc>
          <w:tcPr>
            <w:tcW w:w="2038" w:type="dxa"/>
            <w:shd w:val="clear" w:color="auto" w:fill="auto"/>
          </w:tcPr>
          <w:p w14:paraId="1A0D7397" w14:textId="77777777" w:rsidR="00F74984" w:rsidRPr="00F74984" w:rsidRDefault="00F74984" w:rsidP="00F74984">
            <w:pPr>
              <w:autoSpaceDE w:val="0"/>
              <w:autoSpaceDN w:val="0"/>
              <w:adjustRightInd w:val="0"/>
              <w:jc w:val="center"/>
              <w:rPr>
                <w:rFonts w:ascii="Calibri" w:hAnsi="Calibri" w:cs="Calibri"/>
              </w:rPr>
            </w:pPr>
            <w:r w:rsidRPr="00F74984">
              <w:rPr>
                <w:rFonts w:ascii="Calibri" w:hAnsi="Calibri" w:cs="Calibri"/>
              </w:rPr>
              <w:t>455</w:t>
            </w:r>
          </w:p>
        </w:tc>
        <w:tc>
          <w:tcPr>
            <w:tcW w:w="2039" w:type="dxa"/>
            <w:shd w:val="clear" w:color="auto" w:fill="auto"/>
          </w:tcPr>
          <w:p w14:paraId="111821A1" w14:textId="77777777" w:rsidR="00F74984" w:rsidRPr="00F74984" w:rsidRDefault="00F74984" w:rsidP="00F74984">
            <w:pPr>
              <w:autoSpaceDE w:val="0"/>
              <w:autoSpaceDN w:val="0"/>
              <w:adjustRightInd w:val="0"/>
              <w:jc w:val="center"/>
              <w:rPr>
                <w:rFonts w:ascii="Calibri" w:hAnsi="Calibri" w:cs="Calibri"/>
              </w:rPr>
            </w:pPr>
            <w:r w:rsidRPr="00F74984">
              <w:rPr>
                <w:rFonts w:ascii="Calibri" w:hAnsi="Calibri" w:cs="Calibri"/>
              </w:rPr>
              <w:t>522</w:t>
            </w:r>
          </w:p>
        </w:tc>
      </w:tr>
    </w:tbl>
    <w:p w14:paraId="4A75826D" w14:textId="77777777" w:rsidR="00F74984" w:rsidRPr="00F74984" w:rsidRDefault="00F74984" w:rsidP="00F74984">
      <w:pPr>
        <w:ind w:left="1440"/>
        <w:contextualSpacing/>
        <w:rPr>
          <w:b/>
        </w:rPr>
      </w:pPr>
    </w:p>
    <w:p w14:paraId="19197D4C" w14:textId="77777777" w:rsidR="00F74984" w:rsidRPr="00F74984" w:rsidRDefault="00F74984" w:rsidP="00F74984">
      <w:pPr>
        <w:ind w:left="1440"/>
        <w:contextualSpacing/>
        <w:jc w:val="both"/>
        <w:rPr>
          <w:bCs/>
        </w:rPr>
      </w:pPr>
      <w:r w:rsidRPr="00F74984">
        <w:rPr>
          <w:bCs/>
        </w:rPr>
        <w:t>It is noteworthy that within the Applicant’s PSA</w:t>
      </w:r>
      <w:r w:rsidRPr="00F74984">
        <w:rPr>
          <w:bCs/>
          <w:vertAlign w:val="superscript"/>
        </w:rPr>
        <w:footnoteReference w:id="20"/>
      </w:r>
      <w:r w:rsidRPr="00F74984">
        <w:rPr>
          <w:bCs/>
        </w:rPr>
        <w:t xml:space="preserve"> the Montvale PET-CT clinic is the only PET-CT imaging center offering Independent Diagnostic Facility (IDTF) rates.  This is significant given that IDTF services are reimbursed at lower rates than hospital-based rates.</w:t>
      </w:r>
      <w:r w:rsidRPr="00F74984">
        <w:rPr>
          <w:bCs/>
          <w:vertAlign w:val="superscript"/>
        </w:rPr>
        <w:footnoteReference w:id="21"/>
      </w:r>
      <w:r w:rsidRPr="00F74984">
        <w:rPr>
          <w:bCs/>
        </w:rPr>
        <w:t xml:space="preserve"> The MWH/Montvale joint venture partnership ceases in 2023 leaving an opportunity for the Applicant to maintain the local PET-CT imaging service offering under different operational management. </w:t>
      </w:r>
    </w:p>
    <w:p w14:paraId="6E487BC8" w14:textId="77777777" w:rsidR="002C6FF3" w:rsidRDefault="002C6FF3" w:rsidP="00F74984">
      <w:pPr>
        <w:ind w:left="1440"/>
        <w:contextualSpacing/>
        <w:jc w:val="both"/>
        <w:rPr>
          <w:bCs/>
          <w:u w:val="single"/>
        </w:rPr>
      </w:pPr>
    </w:p>
    <w:p w14:paraId="72DDC7C0" w14:textId="3A6921F5" w:rsidR="00F74984" w:rsidRPr="00F74984" w:rsidRDefault="00F74984" w:rsidP="00F74984">
      <w:pPr>
        <w:ind w:left="1440"/>
        <w:contextualSpacing/>
        <w:jc w:val="both"/>
        <w:rPr>
          <w:bCs/>
          <w:u w:val="single"/>
        </w:rPr>
      </w:pPr>
      <w:r w:rsidRPr="00F74984">
        <w:rPr>
          <w:bCs/>
          <w:u w:val="single"/>
        </w:rPr>
        <w:t>Projected Volume</w:t>
      </w:r>
    </w:p>
    <w:p w14:paraId="4144FCA6" w14:textId="77777777" w:rsidR="00F74984" w:rsidRPr="00F74984" w:rsidRDefault="00F74984" w:rsidP="00F74984">
      <w:pPr>
        <w:ind w:left="1440"/>
        <w:contextualSpacing/>
        <w:jc w:val="both"/>
        <w:rPr>
          <w:bCs/>
        </w:rPr>
      </w:pPr>
      <w:r w:rsidRPr="00F74984">
        <w:rPr>
          <w:bCs/>
        </w:rPr>
        <w:t>The Applicant evaluated the growing demand for continued local access to PET-CT services – the Veralon financial pro forma reveals the following.</w:t>
      </w:r>
      <w:r w:rsidRPr="00F74984">
        <w:rPr>
          <w:bCs/>
          <w:vertAlign w:val="superscript"/>
        </w:rPr>
        <w:footnoteReference w:id="22"/>
      </w:r>
    </w:p>
    <w:tbl>
      <w:tblPr>
        <w:tblStyle w:val="TableGrid"/>
        <w:tblW w:w="0" w:type="auto"/>
        <w:tblInd w:w="1440" w:type="dxa"/>
        <w:tblLook w:val="04A0" w:firstRow="1" w:lastRow="0" w:firstColumn="1" w:lastColumn="0" w:noHBand="0" w:noVBand="1"/>
      </w:tblPr>
      <w:tblGrid>
        <w:gridCol w:w="1245"/>
        <w:gridCol w:w="1110"/>
        <w:gridCol w:w="1111"/>
        <w:gridCol w:w="1111"/>
        <w:gridCol w:w="1111"/>
        <w:gridCol w:w="1111"/>
        <w:gridCol w:w="1111"/>
      </w:tblGrid>
      <w:tr w:rsidR="00F74984" w:rsidRPr="00F74984" w14:paraId="67450AAA" w14:textId="77777777" w:rsidTr="00553DCD">
        <w:tc>
          <w:tcPr>
            <w:tcW w:w="1335" w:type="dxa"/>
            <w:shd w:val="clear" w:color="auto" w:fill="002060"/>
            <w:vAlign w:val="center"/>
          </w:tcPr>
          <w:p w14:paraId="0E9D355D" w14:textId="77777777" w:rsidR="00F74984" w:rsidRPr="00F74984" w:rsidRDefault="00F74984" w:rsidP="00F74984">
            <w:pPr>
              <w:jc w:val="center"/>
              <w:rPr>
                <w:bCs/>
                <w:color w:val="FFFFFF" w:themeColor="background1"/>
              </w:rPr>
            </w:pPr>
          </w:p>
        </w:tc>
        <w:tc>
          <w:tcPr>
            <w:tcW w:w="1335" w:type="dxa"/>
            <w:shd w:val="clear" w:color="auto" w:fill="002060"/>
            <w:vAlign w:val="center"/>
          </w:tcPr>
          <w:p w14:paraId="4014E815" w14:textId="77777777" w:rsidR="00F74984" w:rsidRPr="00F74984" w:rsidRDefault="00F74984" w:rsidP="00F74984">
            <w:pPr>
              <w:jc w:val="center"/>
              <w:rPr>
                <w:bCs/>
                <w:color w:val="FFFFFF" w:themeColor="background1"/>
              </w:rPr>
            </w:pPr>
            <w:r w:rsidRPr="00F74984">
              <w:rPr>
                <w:bCs/>
                <w:color w:val="FFFFFF" w:themeColor="background1"/>
              </w:rPr>
              <w:t>Year 1</w:t>
            </w:r>
          </w:p>
        </w:tc>
        <w:tc>
          <w:tcPr>
            <w:tcW w:w="1336" w:type="dxa"/>
            <w:shd w:val="clear" w:color="auto" w:fill="002060"/>
            <w:vAlign w:val="center"/>
          </w:tcPr>
          <w:p w14:paraId="7D18496A" w14:textId="77777777" w:rsidR="00F74984" w:rsidRPr="00F74984" w:rsidRDefault="00F74984" w:rsidP="00F74984">
            <w:pPr>
              <w:jc w:val="center"/>
              <w:rPr>
                <w:bCs/>
                <w:color w:val="FFFFFF" w:themeColor="background1"/>
              </w:rPr>
            </w:pPr>
            <w:r w:rsidRPr="00F74984">
              <w:rPr>
                <w:bCs/>
                <w:color w:val="FFFFFF" w:themeColor="background1"/>
              </w:rPr>
              <w:t>Year 2</w:t>
            </w:r>
          </w:p>
        </w:tc>
        <w:tc>
          <w:tcPr>
            <w:tcW w:w="1336" w:type="dxa"/>
            <w:shd w:val="clear" w:color="auto" w:fill="002060"/>
            <w:vAlign w:val="center"/>
          </w:tcPr>
          <w:p w14:paraId="27C554E8" w14:textId="77777777" w:rsidR="00F74984" w:rsidRPr="00F74984" w:rsidRDefault="00F74984" w:rsidP="00F74984">
            <w:pPr>
              <w:jc w:val="center"/>
              <w:rPr>
                <w:bCs/>
                <w:color w:val="FFFFFF" w:themeColor="background1"/>
              </w:rPr>
            </w:pPr>
            <w:r w:rsidRPr="00F74984">
              <w:rPr>
                <w:bCs/>
                <w:color w:val="FFFFFF" w:themeColor="background1"/>
              </w:rPr>
              <w:t>Year 3</w:t>
            </w:r>
          </w:p>
        </w:tc>
        <w:tc>
          <w:tcPr>
            <w:tcW w:w="1336" w:type="dxa"/>
            <w:shd w:val="clear" w:color="auto" w:fill="002060"/>
            <w:vAlign w:val="center"/>
          </w:tcPr>
          <w:p w14:paraId="58570340" w14:textId="77777777" w:rsidR="00F74984" w:rsidRPr="00F74984" w:rsidRDefault="00F74984" w:rsidP="00F74984">
            <w:pPr>
              <w:jc w:val="center"/>
              <w:rPr>
                <w:bCs/>
                <w:color w:val="FFFFFF" w:themeColor="background1"/>
              </w:rPr>
            </w:pPr>
            <w:r w:rsidRPr="00F74984">
              <w:rPr>
                <w:bCs/>
                <w:color w:val="FFFFFF" w:themeColor="background1"/>
              </w:rPr>
              <w:t>Year 4</w:t>
            </w:r>
          </w:p>
        </w:tc>
        <w:tc>
          <w:tcPr>
            <w:tcW w:w="1336" w:type="dxa"/>
            <w:shd w:val="clear" w:color="auto" w:fill="002060"/>
            <w:vAlign w:val="center"/>
          </w:tcPr>
          <w:p w14:paraId="1D248638" w14:textId="77777777" w:rsidR="00F74984" w:rsidRPr="00F74984" w:rsidRDefault="00F74984" w:rsidP="00F74984">
            <w:pPr>
              <w:jc w:val="center"/>
              <w:rPr>
                <w:bCs/>
                <w:color w:val="FFFFFF" w:themeColor="background1"/>
              </w:rPr>
            </w:pPr>
            <w:r w:rsidRPr="00F74984">
              <w:rPr>
                <w:bCs/>
                <w:color w:val="FFFFFF" w:themeColor="background1"/>
              </w:rPr>
              <w:t>Year 5</w:t>
            </w:r>
          </w:p>
        </w:tc>
        <w:tc>
          <w:tcPr>
            <w:tcW w:w="1336" w:type="dxa"/>
            <w:shd w:val="clear" w:color="auto" w:fill="002060"/>
            <w:vAlign w:val="center"/>
          </w:tcPr>
          <w:p w14:paraId="1D3DCF43" w14:textId="77777777" w:rsidR="00F74984" w:rsidRPr="00F74984" w:rsidRDefault="00F74984" w:rsidP="00F74984">
            <w:pPr>
              <w:jc w:val="center"/>
              <w:rPr>
                <w:bCs/>
                <w:color w:val="FFFFFF" w:themeColor="background1"/>
              </w:rPr>
            </w:pPr>
            <w:r w:rsidRPr="00F74984">
              <w:rPr>
                <w:bCs/>
                <w:color w:val="FFFFFF" w:themeColor="background1"/>
              </w:rPr>
              <w:t>Year 6</w:t>
            </w:r>
          </w:p>
        </w:tc>
      </w:tr>
      <w:tr w:rsidR="00F74984" w:rsidRPr="00F74984" w14:paraId="6871401D" w14:textId="77777777" w:rsidTr="00553DCD">
        <w:tc>
          <w:tcPr>
            <w:tcW w:w="1335" w:type="dxa"/>
            <w:vAlign w:val="center"/>
          </w:tcPr>
          <w:p w14:paraId="5EB706FB" w14:textId="77777777" w:rsidR="00F74984" w:rsidRPr="00F74984" w:rsidRDefault="00F74984" w:rsidP="00F74984">
            <w:pPr>
              <w:rPr>
                <w:bCs/>
              </w:rPr>
            </w:pPr>
            <w:r w:rsidRPr="00F74984">
              <w:rPr>
                <w:bCs/>
              </w:rPr>
              <w:t>Total Volume</w:t>
            </w:r>
            <w:r w:rsidRPr="00F74984">
              <w:rPr>
                <w:bCs/>
                <w:vertAlign w:val="superscript"/>
              </w:rPr>
              <w:footnoteReference w:id="23"/>
            </w:r>
          </w:p>
        </w:tc>
        <w:tc>
          <w:tcPr>
            <w:tcW w:w="1335" w:type="dxa"/>
            <w:vAlign w:val="center"/>
          </w:tcPr>
          <w:p w14:paraId="2E93A240" w14:textId="77777777" w:rsidR="00F74984" w:rsidRPr="00F74984" w:rsidRDefault="00F74984" w:rsidP="00F74984">
            <w:pPr>
              <w:jc w:val="center"/>
              <w:rPr>
                <w:bCs/>
              </w:rPr>
            </w:pPr>
            <w:r w:rsidRPr="00F74984">
              <w:rPr>
                <w:bCs/>
              </w:rPr>
              <w:t>605</w:t>
            </w:r>
          </w:p>
        </w:tc>
        <w:tc>
          <w:tcPr>
            <w:tcW w:w="1336" w:type="dxa"/>
            <w:vAlign w:val="center"/>
          </w:tcPr>
          <w:p w14:paraId="70C44DA2" w14:textId="77777777" w:rsidR="00F74984" w:rsidRPr="00F74984" w:rsidRDefault="00F74984" w:rsidP="00F74984">
            <w:pPr>
              <w:jc w:val="center"/>
              <w:rPr>
                <w:bCs/>
              </w:rPr>
            </w:pPr>
            <w:r w:rsidRPr="00F74984">
              <w:rPr>
                <w:bCs/>
              </w:rPr>
              <w:t>678</w:t>
            </w:r>
          </w:p>
        </w:tc>
        <w:tc>
          <w:tcPr>
            <w:tcW w:w="1336" w:type="dxa"/>
            <w:vAlign w:val="center"/>
          </w:tcPr>
          <w:p w14:paraId="35E33EA2" w14:textId="77777777" w:rsidR="00F74984" w:rsidRPr="00F74984" w:rsidRDefault="00F74984" w:rsidP="00F74984">
            <w:pPr>
              <w:jc w:val="center"/>
              <w:rPr>
                <w:bCs/>
              </w:rPr>
            </w:pPr>
            <w:r w:rsidRPr="00F74984">
              <w:rPr>
                <w:bCs/>
              </w:rPr>
              <w:t>746</w:t>
            </w:r>
          </w:p>
        </w:tc>
        <w:tc>
          <w:tcPr>
            <w:tcW w:w="1336" w:type="dxa"/>
            <w:vAlign w:val="center"/>
          </w:tcPr>
          <w:p w14:paraId="69E68D36" w14:textId="77777777" w:rsidR="00F74984" w:rsidRPr="00F74984" w:rsidRDefault="00F74984" w:rsidP="00F74984">
            <w:pPr>
              <w:jc w:val="center"/>
              <w:rPr>
                <w:bCs/>
              </w:rPr>
            </w:pPr>
            <w:r w:rsidRPr="00F74984">
              <w:rPr>
                <w:bCs/>
              </w:rPr>
              <w:t>821</w:t>
            </w:r>
          </w:p>
        </w:tc>
        <w:tc>
          <w:tcPr>
            <w:tcW w:w="1336" w:type="dxa"/>
            <w:vAlign w:val="center"/>
          </w:tcPr>
          <w:p w14:paraId="4CC451F1" w14:textId="77777777" w:rsidR="00F74984" w:rsidRPr="00F74984" w:rsidRDefault="00F74984" w:rsidP="00F74984">
            <w:pPr>
              <w:jc w:val="center"/>
              <w:rPr>
                <w:bCs/>
              </w:rPr>
            </w:pPr>
            <w:r w:rsidRPr="00F74984">
              <w:rPr>
                <w:bCs/>
              </w:rPr>
              <w:t>862</w:t>
            </w:r>
          </w:p>
        </w:tc>
        <w:tc>
          <w:tcPr>
            <w:tcW w:w="1336" w:type="dxa"/>
            <w:vAlign w:val="center"/>
          </w:tcPr>
          <w:p w14:paraId="22887806" w14:textId="77777777" w:rsidR="00F74984" w:rsidRPr="00F74984" w:rsidRDefault="00F74984" w:rsidP="00F74984">
            <w:pPr>
              <w:jc w:val="center"/>
              <w:rPr>
                <w:bCs/>
              </w:rPr>
            </w:pPr>
            <w:r w:rsidRPr="00F74984">
              <w:rPr>
                <w:bCs/>
              </w:rPr>
              <w:t>905</w:t>
            </w:r>
          </w:p>
        </w:tc>
      </w:tr>
    </w:tbl>
    <w:p w14:paraId="5BB592BE" w14:textId="77777777" w:rsidR="00F74984" w:rsidRPr="00F74984" w:rsidRDefault="00F74984" w:rsidP="00F74984">
      <w:pPr>
        <w:ind w:left="1440"/>
        <w:contextualSpacing/>
        <w:jc w:val="both"/>
        <w:rPr>
          <w:bCs/>
          <w:sz w:val="16"/>
          <w:szCs w:val="16"/>
        </w:rPr>
      </w:pPr>
      <w:r w:rsidRPr="00F74984">
        <w:rPr>
          <w:bCs/>
          <w:sz w:val="16"/>
          <w:szCs w:val="16"/>
        </w:rPr>
        <w:t>*The Applicant did not assign a specific start year, as it dependent on regulatory approval – for this project, Shields anticipates that Year 1 will be 2023.</w:t>
      </w:r>
    </w:p>
    <w:p w14:paraId="5FCB66AD" w14:textId="77777777" w:rsidR="00F74984" w:rsidRPr="00F74984" w:rsidRDefault="00F74984" w:rsidP="00F74984">
      <w:pPr>
        <w:ind w:left="1440"/>
        <w:contextualSpacing/>
        <w:jc w:val="both"/>
        <w:rPr>
          <w:bCs/>
        </w:rPr>
      </w:pPr>
    </w:p>
    <w:p w14:paraId="192EEB05" w14:textId="77777777" w:rsidR="00F74984" w:rsidRPr="00F74984" w:rsidRDefault="00F74984" w:rsidP="00F74984">
      <w:pPr>
        <w:ind w:left="1440"/>
        <w:contextualSpacing/>
        <w:jc w:val="both"/>
        <w:rPr>
          <w:bCs/>
        </w:rPr>
      </w:pPr>
      <w:r w:rsidRPr="00F74984">
        <w:rPr>
          <w:bCs/>
        </w:rPr>
        <w:t xml:space="preserve">The Applicant also relies on recent data from the Advisory Board Company ("Advisory Board”), to further demonstrate the need for PET-CT in the proposed Primary Service Area (“PSA”). The Advisory Board projects that demand for PET-CT services in the freestanding and the hospital-based outpatient departments (HOPDs) combined, within the PSA will grow by +8.5% over the next five (5) years and +15.0% over the next 10 years. </w:t>
      </w:r>
    </w:p>
    <w:p w14:paraId="37FACF12" w14:textId="77777777" w:rsidR="00F74984" w:rsidRPr="00F74984" w:rsidRDefault="00F74984" w:rsidP="00F74984">
      <w:pPr>
        <w:ind w:left="1440"/>
        <w:contextualSpacing/>
        <w:jc w:val="both"/>
        <w:rPr>
          <w:bCs/>
        </w:rPr>
      </w:pPr>
    </w:p>
    <w:p w14:paraId="2BE6BE7B" w14:textId="77777777" w:rsidR="00F74984" w:rsidRPr="00F74984" w:rsidRDefault="00F74984" w:rsidP="00F74984">
      <w:pPr>
        <w:ind w:left="1440"/>
        <w:contextualSpacing/>
        <w:jc w:val="both"/>
        <w:rPr>
          <w:bCs/>
        </w:rPr>
      </w:pPr>
      <w:r w:rsidRPr="00F74984">
        <w:rPr>
          <w:bCs/>
        </w:rPr>
        <w:t>The freestanding market alone reveals even more growth -- the Advisory Board projects that demand for freestanding PET-CT services within the PSA will grow by +14.8% over the next five (5) years and +28.6% over the next 10 years.</w:t>
      </w:r>
    </w:p>
    <w:p w14:paraId="4E263F76" w14:textId="77777777" w:rsidR="00F74984" w:rsidRPr="00F74984" w:rsidRDefault="00F74984" w:rsidP="00F74984">
      <w:pPr>
        <w:ind w:left="1440"/>
        <w:contextualSpacing/>
        <w:jc w:val="both"/>
        <w:rPr>
          <w:bCs/>
        </w:rPr>
      </w:pPr>
    </w:p>
    <w:p w14:paraId="2C5D7659" w14:textId="77777777" w:rsidR="00F74984" w:rsidRPr="00F74984" w:rsidRDefault="00F74984" w:rsidP="00F74984">
      <w:pPr>
        <w:ind w:left="1440"/>
        <w:contextualSpacing/>
        <w:jc w:val="both"/>
        <w:rPr>
          <w:bCs/>
          <w:u w:val="single"/>
        </w:rPr>
      </w:pPr>
      <w:r w:rsidRPr="00F74984">
        <w:rPr>
          <w:bCs/>
          <w:u w:val="single"/>
        </w:rPr>
        <w:t>Patients who could benefit from PET-CT</w:t>
      </w:r>
    </w:p>
    <w:p w14:paraId="1891FE10" w14:textId="77777777" w:rsidR="00F74984" w:rsidRPr="00F74984" w:rsidRDefault="00F74984" w:rsidP="00F74984">
      <w:pPr>
        <w:ind w:left="1440"/>
        <w:contextualSpacing/>
        <w:jc w:val="both"/>
        <w:rPr>
          <w:bCs/>
        </w:rPr>
      </w:pPr>
      <w:r w:rsidRPr="00F74984">
        <w:rPr>
          <w:bCs/>
        </w:rPr>
        <w:t>The Applicant evaluated the number of patients that MWH treated during the last three fiscal years who had an underlying oncologic, cardiovascular, and neurological   conditions, as evidence-based research supports the use of PET-CT in these areas</w:t>
      </w:r>
      <w:r w:rsidRPr="00F74984">
        <w:rPr>
          <w:bCs/>
          <w:vertAlign w:val="superscript"/>
        </w:rPr>
        <w:footnoteReference w:id="24"/>
      </w:r>
      <w:r w:rsidRPr="00F74984">
        <w:rPr>
          <w:bCs/>
        </w:rPr>
        <w:t xml:space="preserve">  (please see table below). The Applicant also assessed the number of patients that MWH treated over the last three fiscal years who had an underlying urological condition, as PET-CT has a current and growing future role in the management of urological conditions, </w:t>
      </w:r>
      <w:r w:rsidRPr="00F74984">
        <w:rPr>
          <w:bCs/>
        </w:rPr>
        <w:lastRenderedPageBreak/>
        <w:t xml:space="preserve">especially urological cancer (kidney, bladder, urinary tract, prostate, adrenal gland, and testicular cancer). </w:t>
      </w:r>
    </w:p>
    <w:p w14:paraId="33CC7B76" w14:textId="77777777" w:rsidR="00F74984" w:rsidRPr="00F74984" w:rsidRDefault="00F74984" w:rsidP="00F74984">
      <w:pPr>
        <w:ind w:left="1440"/>
        <w:contextualSpacing/>
        <w:jc w:val="both"/>
        <w:rPr>
          <w:bCs/>
        </w:rPr>
      </w:pPr>
    </w:p>
    <w:tbl>
      <w:tblPr>
        <w:tblStyle w:val="TableGrid"/>
        <w:tblW w:w="0" w:type="auto"/>
        <w:tblInd w:w="1440" w:type="dxa"/>
        <w:tblLook w:val="04A0" w:firstRow="1" w:lastRow="0" w:firstColumn="1" w:lastColumn="0" w:noHBand="0" w:noVBand="1"/>
      </w:tblPr>
      <w:tblGrid>
        <w:gridCol w:w="1975"/>
        <w:gridCol w:w="1483"/>
        <w:gridCol w:w="1484"/>
        <w:gridCol w:w="1484"/>
        <w:gridCol w:w="1484"/>
      </w:tblGrid>
      <w:tr w:rsidR="00F74984" w:rsidRPr="00F74984" w14:paraId="0820B08D" w14:textId="77777777" w:rsidTr="00B13311">
        <w:trPr>
          <w:cantSplit/>
          <w:trHeight w:val="269"/>
          <w:tblHeader/>
        </w:trPr>
        <w:tc>
          <w:tcPr>
            <w:tcW w:w="1975" w:type="dxa"/>
            <w:shd w:val="clear" w:color="auto" w:fill="002060"/>
          </w:tcPr>
          <w:p w14:paraId="46A93AEE" w14:textId="77777777" w:rsidR="00F74984" w:rsidRPr="00F74984" w:rsidRDefault="00F74984" w:rsidP="00F74984">
            <w:pPr>
              <w:contextualSpacing/>
              <w:jc w:val="both"/>
              <w:rPr>
                <w:bCs/>
              </w:rPr>
            </w:pPr>
            <w:r w:rsidRPr="00F74984">
              <w:rPr>
                <w:bCs/>
              </w:rPr>
              <w:t>Service Line</w:t>
            </w:r>
          </w:p>
        </w:tc>
        <w:tc>
          <w:tcPr>
            <w:tcW w:w="1483" w:type="dxa"/>
            <w:shd w:val="clear" w:color="auto" w:fill="002060"/>
          </w:tcPr>
          <w:p w14:paraId="654686DD" w14:textId="77777777" w:rsidR="00F74984" w:rsidRPr="00F74984" w:rsidRDefault="00F74984" w:rsidP="00F74984">
            <w:pPr>
              <w:contextualSpacing/>
              <w:jc w:val="center"/>
              <w:rPr>
                <w:bCs/>
              </w:rPr>
            </w:pPr>
            <w:r w:rsidRPr="00F74984">
              <w:rPr>
                <w:bCs/>
              </w:rPr>
              <w:t>2019</w:t>
            </w:r>
          </w:p>
        </w:tc>
        <w:tc>
          <w:tcPr>
            <w:tcW w:w="1484" w:type="dxa"/>
            <w:shd w:val="clear" w:color="auto" w:fill="002060"/>
          </w:tcPr>
          <w:p w14:paraId="5DB0B449" w14:textId="77777777" w:rsidR="00F74984" w:rsidRPr="00F74984" w:rsidRDefault="00F74984" w:rsidP="00F74984">
            <w:pPr>
              <w:contextualSpacing/>
              <w:jc w:val="center"/>
              <w:rPr>
                <w:bCs/>
              </w:rPr>
            </w:pPr>
            <w:r w:rsidRPr="00F74984">
              <w:rPr>
                <w:bCs/>
              </w:rPr>
              <w:t>2020</w:t>
            </w:r>
          </w:p>
        </w:tc>
        <w:tc>
          <w:tcPr>
            <w:tcW w:w="1484" w:type="dxa"/>
            <w:shd w:val="clear" w:color="auto" w:fill="002060"/>
          </w:tcPr>
          <w:p w14:paraId="5F0132DA" w14:textId="77777777" w:rsidR="00F74984" w:rsidRPr="00F74984" w:rsidRDefault="00F74984" w:rsidP="00F74984">
            <w:pPr>
              <w:contextualSpacing/>
              <w:jc w:val="center"/>
              <w:rPr>
                <w:bCs/>
              </w:rPr>
            </w:pPr>
            <w:r w:rsidRPr="00F74984">
              <w:rPr>
                <w:bCs/>
              </w:rPr>
              <w:t>2021</w:t>
            </w:r>
          </w:p>
        </w:tc>
        <w:tc>
          <w:tcPr>
            <w:tcW w:w="1484" w:type="dxa"/>
            <w:shd w:val="clear" w:color="auto" w:fill="002060"/>
          </w:tcPr>
          <w:p w14:paraId="4C08C955" w14:textId="77777777" w:rsidR="00F74984" w:rsidRPr="00F74984" w:rsidRDefault="00F74984" w:rsidP="00F74984">
            <w:pPr>
              <w:contextualSpacing/>
              <w:jc w:val="center"/>
              <w:rPr>
                <w:bCs/>
              </w:rPr>
            </w:pPr>
            <w:r w:rsidRPr="00F74984">
              <w:rPr>
                <w:bCs/>
              </w:rPr>
              <w:t>Total</w:t>
            </w:r>
          </w:p>
        </w:tc>
      </w:tr>
      <w:tr w:rsidR="00F74984" w:rsidRPr="00F74984" w14:paraId="24A86828" w14:textId="77777777" w:rsidTr="00B13311">
        <w:trPr>
          <w:cantSplit/>
          <w:trHeight w:val="269"/>
        </w:trPr>
        <w:tc>
          <w:tcPr>
            <w:tcW w:w="1975" w:type="dxa"/>
          </w:tcPr>
          <w:p w14:paraId="6921CF90" w14:textId="77777777" w:rsidR="00F74984" w:rsidRPr="00F74984" w:rsidRDefault="00F74984" w:rsidP="00F74984">
            <w:pPr>
              <w:contextualSpacing/>
              <w:jc w:val="both"/>
              <w:rPr>
                <w:bCs/>
              </w:rPr>
            </w:pPr>
            <w:r w:rsidRPr="00F74984">
              <w:rPr>
                <w:bCs/>
              </w:rPr>
              <w:t>Cancer</w:t>
            </w:r>
          </w:p>
        </w:tc>
        <w:tc>
          <w:tcPr>
            <w:tcW w:w="1483" w:type="dxa"/>
          </w:tcPr>
          <w:p w14:paraId="5124A5F2" w14:textId="77777777" w:rsidR="00F74984" w:rsidRPr="00F74984" w:rsidRDefault="00F74984" w:rsidP="00F74984">
            <w:pPr>
              <w:contextualSpacing/>
              <w:jc w:val="center"/>
              <w:rPr>
                <w:bCs/>
              </w:rPr>
            </w:pPr>
            <w:r w:rsidRPr="00F74984">
              <w:rPr>
                <w:bCs/>
              </w:rPr>
              <w:t>3,007</w:t>
            </w:r>
          </w:p>
        </w:tc>
        <w:tc>
          <w:tcPr>
            <w:tcW w:w="1484" w:type="dxa"/>
          </w:tcPr>
          <w:p w14:paraId="05FF1E91" w14:textId="77777777" w:rsidR="00F74984" w:rsidRPr="00F74984" w:rsidRDefault="00F74984" w:rsidP="00F74984">
            <w:pPr>
              <w:contextualSpacing/>
              <w:jc w:val="center"/>
              <w:rPr>
                <w:bCs/>
              </w:rPr>
            </w:pPr>
            <w:r w:rsidRPr="00F74984">
              <w:rPr>
                <w:bCs/>
              </w:rPr>
              <w:t>2,656</w:t>
            </w:r>
          </w:p>
        </w:tc>
        <w:tc>
          <w:tcPr>
            <w:tcW w:w="1484" w:type="dxa"/>
          </w:tcPr>
          <w:p w14:paraId="27445880" w14:textId="77777777" w:rsidR="00F74984" w:rsidRPr="00F74984" w:rsidRDefault="00F74984" w:rsidP="00F74984">
            <w:pPr>
              <w:contextualSpacing/>
              <w:jc w:val="center"/>
              <w:rPr>
                <w:bCs/>
              </w:rPr>
            </w:pPr>
            <w:r w:rsidRPr="00F74984">
              <w:rPr>
                <w:bCs/>
              </w:rPr>
              <w:t>2,671</w:t>
            </w:r>
          </w:p>
        </w:tc>
        <w:tc>
          <w:tcPr>
            <w:tcW w:w="1484" w:type="dxa"/>
            <w:shd w:val="clear" w:color="auto" w:fill="FFFFFF" w:themeFill="background1"/>
          </w:tcPr>
          <w:p w14:paraId="0403E658" w14:textId="77777777" w:rsidR="00F74984" w:rsidRPr="00F74984" w:rsidRDefault="00F74984" w:rsidP="00F74984">
            <w:pPr>
              <w:contextualSpacing/>
              <w:jc w:val="center"/>
              <w:rPr>
                <w:b/>
              </w:rPr>
            </w:pPr>
            <w:r w:rsidRPr="00F74984">
              <w:rPr>
                <w:b/>
              </w:rPr>
              <w:t>8,334</w:t>
            </w:r>
          </w:p>
        </w:tc>
      </w:tr>
      <w:tr w:rsidR="00F74984" w:rsidRPr="00F74984" w14:paraId="38326352" w14:textId="77777777" w:rsidTr="00B13311">
        <w:trPr>
          <w:cantSplit/>
          <w:trHeight w:val="269"/>
        </w:trPr>
        <w:tc>
          <w:tcPr>
            <w:tcW w:w="1975" w:type="dxa"/>
          </w:tcPr>
          <w:p w14:paraId="6BB0841F" w14:textId="77777777" w:rsidR="00F74984" w:rsidRPr="00F74984" w:rsidRDefault="00F74984" w:rsidP="00F74984">
            <w:pPr>
              <w:contextualSpacing/>
              <w:jc w:val="both"/>
              <w:rPr>
                <w:bCs/>
              </w:rPr>
            </w:pPr>
            <w:r w:rsidRPr="00F74984">
              <w:rPr>
                <w:bCs/>
              </w:rPr>
              <w:t>Cardiovascular</w:t>
            </w:r>
          </w:p>
        </w:tc>
        <w:tc>
          <w:tcPr>
            <w:tcW w:w="1483" w:type="dxa"/>
          </w:tcPr>
          <w:p w14:paraId="6DC97EF0" w14:textId="77777777" w:rsidR="00F74984" w:rsidRPr="00F74984" w:rsidRDefault="00F74984" w:rsidP="00F74984">
            <w:pPr>
              <w:contextualSpacing/>
              <w:jc w:val="center"/>
              <w:rPr>
                <w:bCs/>
              </w:rPr>
            </w:pPr>
            <w:r w:rsidRPr="00F74984">
              <w:rPr>
                <w:bCs/>
              </w:rPr>
              <w:t>9,373</w:t>
            </w:r>
          </w:p>
        </w:tc>
        <w:tc>
          <w:tcPr>
            <w:tcW w:w="1484" w:type="dxa"/>
          </w:tcPr>
          <w:p w14:paraId="6617A9C2" w14:textId="77777777" w:rsidR="00F74984" w:rsidRPr="00F74984" w:rsidRDefault="00F74984" w:rsidP="00F74984">
            <w:pPr>
              <w:contextualSpacing/>
              <w:jc w:val="center"/>
              <w:rPr>
                <w:bCs/>
              </w:rPr>
            </w:pPr>
            <w:r w:rsidRPr="00F74984">
              <w:rPr>
                <w:bCs/>
              </w:rPr>
              <w:t>8,087</w:t>
            </w:r>
          </w:p>
        </w:tc>
        <w:tc>
          <w:tcPr>
            <w:tcW w:w="1484" w:type="dxa"/>
          </w:tcPr>
          <w:p w14:paraId="34D858F6" w14:textId="77777777" w:rsidR="00F74984" w:rsidRPr="00F74984" w:rsidRDefault="00F74984" w:rsidP="00F74984">
            <w:pPr>
              <w:contextualSpacing/>
              <w:jc w:val="center"/>
              <w:rPr>
                <w:bCs/>
              </w:rPr>
            </w:pPr>
            <w:r w:rsidRPr="00F74984">
              <w:rPr>
                <w:bCs/>
              </w:rPr>
              <w:t>8,014</w:t>
            </w:r>
          </w:p>
        </w:tc>
        <w:tc>
          <w:tcPr>
            <w:tcW w:w="1484" w:type="dxa"/>
            <w:shd w:val="clear" w:color="auto" w:fill="FFFFFF" w:themeFill="background1"/>
          </w:tcPr>
          <w:p w14:paraId="6AD994E7" w14:textId="77777777" w:rsidR="00F74984" w:rsidRPr="00F74984" w:rsidRDefault="00F74984" w:rsidP="00F74984">
            <w:pPr>
              <w:contextualSpacing/>
              <w:jc w:val="center"/>
              <w:rPr>
                <w:b/>
              </w:rPr>
            </w:pPr>
            <w:r w:rsidRPr="00F74984">
              <w:rPr>
                <w:b/>
              </w:rPr>
              <w:t>25,474</w:t>
            </w:r>
          </w:p>
        </w:tc>
      </w:tr>
      <w:tr w:rsidR="00F74984" w:rsidRPr="00F74984" w14:paraId="26545AD4" w14:textId="77777777" w:rsidTr="00B13311">
        <w:trPr>
          <w:cantSplit/>
          <w:trHeight w:val="269"/>
        </w:trPr>
        <w:tc>
          <w:tcPr>
            <w:tcW w:w="1975" w:type="dxa"/>
          </w:tcPr>
          <w:p w14:paraId="00190EF2" w14:textId="77777777" w:rsidR="00F74984" w:rsidRPr="00F74984" w:rsidRDefault="00F74984" w:rsidP="00F74984">
            <w:pPr>
              <w:contextualSpacing/>
              <w:jc w:val="both"/>
              <w:rPr>
                <w:bCs/>
              </w:rPr>
            </w:pPr>
            <w:r w:rsidRPr="00F74984">
              <w:rPr>
                <w:bCs/>
              </w:rPr>
              <w:t>Neurological</w:t>
            </w:r>
          </w:p>
        </w:tc>
        <w:tc>
          <w:tcPr>
            <w:tcW w:w="1483" w:type="dxa"/>
          </w:tcPr>
          <w:p w14:paraId="5C5EF855" w14:textId="77777777" w:rsidR="00F74984" w:rsidRPr="00F74984" w:rsidRDefault="00F74984" w:rsidP="00F74984">
            <w:pPr>
              <w:contextualSpacing/>
              <w:jc w:val="center"/>
              <w:rPr>
                <w:bCs/>
              </w:rPr>
            </w:pPr>
            <w:r w:rsidRPr="00F74984">
              <w:rPr>
                <w:bCs/>
              </w:rPr>
              <w:t>7,000</w:t>
            </w:r>
          </w:p>
        </w:tc>
        <w:tc>
          <w:tcPr>
            <w:tcW w:w="1484" w:type="dxa"/>
          </w:tcPr>
          <w:p w14:paraId="4269CB58" w14:textId="77777777" w:rsidR="00F74984" w:rsidRPr="00F74984" w:rsidRDefault="00F74984" w:rsidP="00F74984">
            <w:pPr>
              <w:contextualSpacing/>
              <w:jc w:val="center"/>
              <w:rPr>
                <w:bCs/>
              </w:rPr>
            </w:pPr>
            <w:r w:rsidRPr="00F74984">
              <w:rPr>
                <w:bCs/>
              </w:rPr>
              <w:t>5,989</w:t>
            </w:r>
          </w:p>
        </w:tc>
        <w:tc>
          <w:tcPr>
            <w:tcW w:w="1484" w:type="dxa"/>
          </w:tcPr>
          <w:p w14:paraId="6FAAB6BF" w14:textId="77777777" w:rsidR="00F74984" w:rsidRPr="00F74984" w:rsidRDefault="00F74984" w:rsidP="00F74984">
            <w:pPr>
              <w:contextualSpacing/>
              <w:jc w:val="center"/>
              <w:rPr>
                <w:bCs/>
              </w:rPr>
            </w:pPr>
            <w:r w:rsidRPr="00F74984">
              <w:rPr>
                <w:bCs/>
              </w:rPr>
              <w:t>6,484</w:t>
            </w:r>
          </w:p>
        </w:tc>
        <w:tc>
          <w:tcPr>
            <w:tcW w:w="1484" w:type="dxa"/>
            <w:shd w:val="clear" w:color="auto" w:fill="FFFFFF" w:themeFill="background1"/>
          </w:tcPr>
          <w:p w14:paraId="0331BE0B" w14:textId="77777777" w:rsidR="00F74984" w:rsidRPr="00F74984" w:rsidRDefault="00F74984" w:rsidP="00F74984">
            <w:pPr>
              <w:contextualSpacing/>
              <w:jc w:val="center"/>
              <w:rPr>
                <w:b/>
              </w:rPr>
            </w:pPr>
            <w:r w:rsidRPr="00F74984">
              <w:rPr>
                <w:b/>
              </w:rPr>
              <w:t>19,473</w:t>
            </w:r>
          </w:p>
        </w:tc>
      </w:tr>
      <w:tr w:rsidR="00F74984" w:rsidRPr="00F74984" w14:paraId="215B67C5" w14:textId="77777777" w:rsidTr="00B13311">
        <w:trPr>
          <w:cantSplit/>
          <w:trHeight w:val="269"/>
        </w:trPr>
        <w:tc>
          <w:tcPr>
            <w:tcW w:w="1975" w:type="dxa"/>
          </w:tcPr>
          <w:p w14:paraId="0D2D3EA7" w14:textId="77777777" w:rsidR="00F74984" w:rsidRPr="00F74984" w:rsidRDefault="00F74984" w:rsidP="00F74984">
            <w:pPr>
              <w:contextualSpacing/>
              <w:jc w:val="both"/>
              <w:rPr>
                <w:bCs/>
              </w:rPr>
            </w:pPr>
            <w:r w:rsidRPr="00F74984">
              <w:rPr>
                <w:bCs/>
              </w:rPr>
              <w:t>Urological</w:t>
            </w:r>
          </w:p>
        </w:tc>
        <w:tc>
          <w:tcPr>
            <w:tcW w:w="1483" w:type="dxa"/>
          </w:tcPr>
          <w:p w14:paraId="1BC949AA" w14:textId="77777777" w:rsidR="00F74984" w:rsidRPr="00F74984" w:rsidRDefault="00F74984" w:rsidP="00F74984">
            <w:pPr>
              <w:contextualSpacing/>
              <w:jc w:val="center"/>
              <w:rPr>
                <w:bCs/>
              </w:rPr>
            </w:pPr>
            <w:r w:rsidRPr="00F74984">
              <w:rPr>
                <w:bCs/>
              </w:rPr>
              <w:t>5,529</w:t>
            </w:r>
          </w:p>
        </w:tc>
        <w:tc>
          <w:tcPr>
            <w:tcW w:w="1484" w:type="dxa"/>
          </w:tcPr>
          <w:p w14:paraId="141BACB1" w14:textId="77777777" w:rsidR="00F74984" w:rsidRPr="00F74984" w:rsidRDefault="00F74984" w:rsidP="00F74984">
            <w:pPr>
              <w:contextualSpacing/>
              <w:jc w:val="center"/>
              <w:rPr>
                <w:bCs/>
              </w:rPr>
            </w:pPr>
            <w:r w:rsidRPr="00F74984">
              <w:rPr>
                <w:bCs/>
              </w:rPr>
              <w:t>4,421</w:t>
            </w:r>
          </w:p>
        </w:tc>
        <w:tc>
          <w:tcPr>
            <w:tcW w:w="1484" w:type="dxa"/>
          </w:tcPr>
          <w:p w14:paraId="04BCC30B" w14:textId="77777777" w:rsidR="00F74984" w:rsidRPr="00F74984" w:rsidRDefault="00F74984" w:rsidP="00F74984">
            <w:pPr>
              <w:contextualSpacing/>
              <w:jc w:val="center"/>
              <w:rPr>
                <w:bCs/>
              </w:rPr>
            </w:pPr>
            <w:r w:rsidRPr="00F74984">
              <w:rPr>
                <w:bCs/>
              </w:rPr>
              <w:t>4,694</w:t>
            </w:r>
          </w:p>
        </w:tc>
        <w:tc>
          <w:tcPr>
            <w:tcW w:w="1484" w:type="dxa"/>
            <w:shd w:val="clear" w:color="auto" w:fill="FFFFFF" w:themeFill="background1"/>
          </w:tcPr>
          <w:p w14:paraId="58932E13" w14:textId="77777777" w:rsidR="00F74984" w:rsidRPr="00F74984" w:rsidRDefault="00F74984" w:rsidP="00F74984">
            <w:pPr>
              <w:contextualSpacing/>
              <w:jc w:val="center"/>
              <w:rPr>
                <w:b/>
              </w:rPr>
            </w:pPr>
            <w:r w:rsidRPr="00F74984">
              <w:rPr>
                <w:b/>
              </w:rPr>
              <w:t>14,644</w:t>
            </w:r>
          </w:p>
        </w:tc>
      </w:tr>
      <w:tr w:rsidR="00F74984" w:rsidRPr="00F74984" w14:paraId="4588A089" w14:textId="77777777" w:rsidTr="00B13311">
        <w:trPr>
          <w:cantSplit/>
          <w:trHeight w:val="269"/>
        </w:trPr>
        <w:tc>
          <w:tcPr>
            <w:tcW w:w="1975" w:type="dxa"/>
            <w:shd w:val="clear" w:color="auto" w:fill="FFFFFF" w:themeFill="background1"/>
          </w:tcPr>
          <w:p w14:paraId="4AA8B460" w14:textId="77777777" w:rsidR="00F74984" w:rsidRPr="00F74984" w:rsidRDefault="00F74984" w:rsidP="00F74984">
            <w:pPr>
              <w:contextualSpacing/>
              <w:jc w:val="both"/>
              <w:rPr>
                <w:b/>
              </w:rPr>
            </w:pPr>
            <w:r w:rsidRPr="00F74984">
              <w:rPr>
                <w:b/>
              </w:rPr>
              <w:t xml:space="preserve">Total </w:t>
            </w:r>
          </w:p>
        </w:tc>
        <w:tc>
          <w:tcPr>
            <w:tcW w:w="1483" w:type="dxa"/>
            <w:shd w:val="clear" w:color="auto" w:fill="FFFFFF" w:themeFill="background1"/>
          </w:tcPr>
          <w:p w14:paraId="451CAF7A" w14:textId="77777777" w:rsidR="00F74984" w:rsidRPr="00F74984" w:rsidRDefault="00F74984" w:rsidP="00F74984">
            <w:pPr>
              <w:contextualSpacing/>
              <w:jc w:val="center"/>
              <w:rPr>
                <w:b/>
              </w:rPr>
            </w:pPr>
            <w:r w:rsidRPr="00F74984">
              <w:rPr>
                <w:b/>
              </w:rPr>
              <w:t>24,909</w:t>
            </w:r>
          </w:p>
        </w:tc>
        <w:tc>
          <w:tcPr>
            <w:tcW w:w="1484" w:type="dxa"/>
            <w:shd w:val="clear" w:color="auto" w:fill="FFFFFF" w:themeFill="background1"/>
          </w:tcPr>
          <w:p w14:paraId="7884A4AC" w14:textId="77777777" w:rsidR="00F74984" w:rsidRPr="00F74984" w:rsidRDefault="00F74984" w:rsidP="00F74984">
            <w:pPr>
              <w:contextualSpacing/>
              <w:jc w:val="center"/>
              <w:rPr>
                <w:b/>
              </w:rPr>
            </w:pPr>
            <w:r w:rsidRPr="00F74984">
              <w:rPr>
                <w:b/>
              </w:rPr>
              <w:t>21,153</w:t>
            </w:r>
          </w:p>
        </w:tc>
        <w:tc>
          <w:tcPr>
            <w:tcW w:w="1484" w:type="dxa"/>
            <w:shd w:val="clear" w:color="auto" w:fill="FFFFFF" w:themeFill="background1"/>
          </w:tcPr>
          <w:p w14:paraId="13AE5405" w14:textId="77777777" w:rsidR="00F74984" w:rsidRPr="00F74984" w:rsidRDefault="00F74984" w:rsidP="00F74984">
            <w:pPr>
              <w:contextualSpacing/>
              <w:jc w:val="center"/>
              <w:rPr>
                <w:b/>
              </w:rPr>
            </w:pPr>
            <w:r w:rsidRPr="00F74984">
              <w:rPr>
                <w:b/>
              </w:rPr>
              <w:t>21,863</w:t>
            </w:r>
          </w:p>
        </w:tc>
        <w:tc>
          <w:tcPr>
            <w:tcW w:w="1484" w:type="dxa"/>
            <w:shd w:val="clear" w:color="auto" w:fill="FFFFFF" w:themeFill="background1"/>
          </w:tcPr>
          <w:p w14:paraId="21DA0F45" w14:textId="77777777" w:rsidR="00F74984" w:rsidRPr="00F74984" w:rsidRDefault="00F74984" w:rsidP="00F74984">
            <w:pPr>
              <w:contextualSpacing/>
              <w:jc w:val="center"/>
              <w:rPr>
                <w:b/>
              </w:rPr>
            </w:pPr>
            <w:r w:rsidRPr="00F74984">
              <w:rPr>
                <w:b/>
              </w:rPr>
              <w:t>67,925</w:t>
            </w:r>
          </w:p>
        </w:tc>
      </w:tr>
    </w:tbl>
    <w:p w14:paraId="258372C6" w14:textId="77777777" w:rsidR="00F74984" w:rsidRPr="00F74984" w:rsidRDefault="00F74984" w:rsidP="00F74984">
      <w:pPr>
        <w:ind w:left="1440"/>
        <w:contextualSpacing/>
        <w:jc w:val="both"/>
        <w:rPr>
          <w:bCs/>
        </w:rPr>
      </w:pPr>
      <w:r w:rsidRPr="00F74984">
        <w:rPr>
          <w:bCs/>
        </w:rPr>
        <w:t>*</w:t>
      </w:r>
      <w:r w:rsidRPr="00F74984">
        <w:rPr>
          <w:bCs/>
          <w:sz w:val="20"/>
          <w:szCs w:val="20"/>
        </w:rPr>
        <w:t>These are unique patients who are only counted once per category per year.</w:t>
      </w:r>
      <w:r w:rsidRPr="00F74984">
        <w:rPr>
          <w:bCs/>
          <w:sz w:val="20"/>
          <w:szCs w:val="20"/>
          <w:vertAlign w:val="superscript"/>
        </w:rPr>
        <w:footnoteReference w:id="25"/>
      </w:r>
    </w:p>
    <w:p w14:paraId="734ABFBC" w14:textId="77777777" w:rsidR="00D46808" w:rsidRDefault="00D46808" w:rsidP="00D46808">
      <w:pPr>
        <w:ind w:left="1440"/>
        <w:contextualSpacing/>
        <w:rPr>
          <w:bCs/>
        </w:rPr>
      </w:pPr>
    </w:p>
    <w:p w14:paraId="3ED6E8F3" w14:textId="5AFE9298" w:rsidR="00F74984" w:rsidRPr="00F74984" w:rsidRDefault="00F74984" w:rsidP="00F74984">
      <w:pPr>
        <w:numPr>
          <w:ilvl w:val="1"/>
          <w:numId w:val="2"/>
        </w:numPr>
        <w:contextualSpacing/>
        <w:rPr>
          <w:bCs/>
        </w:rPr>
      </w:pPr>
      <w:r w:rsidRPr="00F74984">
        <w:rPr>
          <w:bCs/>
        </w:rPr>
        <w:t xml:space="preserve">The growth in the number of older patients helps define the need to maintain local PET-CT imaging services. </w:t>
      </w:r>
    </w:p>
    <w:p w14:paraId="55B39602" w14:textId="77777777" w:rsidR="00F74984" w:rsidRPr="00F74984" w:rsidRDefault="00F74984" w:rsidP="00F74984">
      <w:pPr>
        <w:ind w:left="1440"/>
        <w:contextualSpacing/>
        <w:rPr>
          <w:bCs/>
        </w:rPr>
      </w:pPr>
    </w:p>
    <w:p w14:paraId="658E9B7F" w14:textId="77777777" w:rsidR="00F74984" w:rsidRPr="00F74984" w:rsidRDefault="00F74984" w:rsidP="00F74984">
      <w:pPr>
        <w:ind w:left="1440"/>
        <w:contextualSpacing/>
        <w:rPr>
          <w:bCs/>
          <w:u w:val="single"/>
        </w:rPr>
      </w:pPr>
      <w:r w:rsidRPr="00F74984">
        <w:rPr>
          <w:bCs/>
          <w:u w:val="single"/>
        </w:rPr>
        <w:t>Melrose</w:t>
      </w:r>
    </w:p>
    <w:p w14:paraId="2AF04FFF" w14:textId="77777777" w:rsidR="00F74984" w:rsidRPr="00F74984" w:rsidRDefault="00F74984" w:rsidP="00F74984">
      <w:pPr>
        <w:ind w:left="1440"/>
        <w:contextualSpacing/>
        <w:jc w:val="both"/>
      </w:pPr>
      <w:r w:rsidRPr="00F74984">
        <w:t>The city of Melrose’s demographic profile is demonstrated by data collected from the most recent U.S. Census Bureau, which was released in 2021. As of July 1, 2021, the population of Melrose was reported to be 29,312; this is a 10.5% increase since April of 2010.</w:t>
      </w:r>
      <w:r w:rsidRPr="00F74984">
        <w:rPr>
          <w:vertAlign w:val="superscript"/>
        </w:rPr>
        <w:footnoteReference w:id="26"/>
      </w:r>
      <w:r w:rsidRPr="00F74984">
        <w:t xml:space="preserve"> The median age of the population of Melrose is 41.7, over 2 years older than the median age of the total population of Massachusetts, 39.6.</w:t>
      </w:r>
      <w:r w:rsidRPr="00F74984">
        <w:rPr>
          <w:vertAlign w:val="superscript"/>
        </w:rPr>
        <w:footnoteReference w:id="27"/>
      </w:r>
      <w:r w:rsidRPr="00F74984">
        <w:t xml:space="preserve"> </w:t>
      </w:r>
    </w:p>
    <w:p w14:paraId="6039C2F3" w14:textId="77777777" w:rsidR="00F74984" w:rsidRPr="00F74984" w:rsidRDefault="00F74984" w:rsidP="00F74984">
      <w:pPr>
        <w:ind w:left="1440"/>
        <w:contextualSpacing/>
        <w:jc w:val="both"/>
      </w:pPr>
    </w:p>
    <w:p w14:paraId="22F8D1E6" w14:textId="0D7F0322" w:rsidR="00F74984" w:rsidRDefault="00F74984" w:rsidP="00F74984">
      <w:pPr>
        <w:ind w:left="1440"/>
        <w:contextualSpacing/>
        <w:jc w:val="both"/>
      </w:pPr>
      <w:r w:rsidRPr="00F74984">
        <w:t>Currently, 18.9% of the Melrose population is older than 65.</w:t>
      </w:r>
      <w:r w:rsidRPr="00F74984">
        <w:rPr>
          <w:vertAlign w:val="superscript"/>
        </w:rPr>
        <w:footnoteReference w:id="28"/>
      </w:r>
      <w:r w:rsidRPr="00F74984">
        <w:t xml:space="preserve"> The table below compares the percent of the population in four (4) age ranges for three (3) different locations: the town of Melrose, the Boston-Cambridge-Newton, MA-NH Metro are, and the state of Massachusetts. As presented in the table, Melrose has higher percentages than the other two locations for the age ranges of 50-59, 70-79, and 80+.</w:t>
      </w:r>
      <w:r w:rsidRPr="00F74984">
        <w:rPr>
          <w:vertAlign w:val="superscript"/>
        </w:rPr>
        <w:footnoteReference w:id="29"/>
      </w:r>
      <w:r w:rsidRPr="00F74984">
        <w:t xml:space="preserve"> </w:t>
      </w:r>
    </w:p>
    <w:p w14:paraId="5CA7D9C2" w14:textId="7DBBA53D" w:rsidR="006836F8" w:rsidRDefault="006836F8" w:rsidP="00F74984">
      <w:pPr>
        <w:ind w:left="1440"/>
        <w:contextualSpacing/>
        <w:jc w:val="both"/>
      </w:pPr>
    </w:p>
    <w:tbl>
      <w:tblPr>
        <w:tblStyle w:val="TableGrid11"/>
        <w:tblW w:w="8010" w:type="dxa"/>
        <w:tblInd w:w="1435" w:type="dxa"/>
        <w:tblLook w:val="04A0" w:firstRow="1" w:lastRow="0" w:firstColumn="1" w:lastColumn="0" w:noHBand="0" w:noVBand="1"/>
      </w:tblPr>
      <w:tblGrid>
        <w:gridCol w:w="892"/>
        <w:gridCol w:w="1988"/>
        <w:gridCol w:w="2935"/>
        <w:gridCol w:w="2195"/>
      </w:tblGrid>
      <w:tr w:rsidR="00F74984" w:rsidRPr="00F74984" w14:paraId="691AFE14" w14:textId="77777777" w:rsidTr="00B13311">
        <w:trPr>
          <w:cantSplit/>
          <w:tblHeader/>
        </w:trPr>
        <w:tc>
          <w:tcPr>
            <w:tcW w:w="892" w:type="dxa"/>
            <w:shd w:val="clear" w:color="auto" w:fill="002060"/>
          </w:tcPr>
          <w:p w14:paraId="3E99346E" w14:textId="77777777" w:rsidR="00F74984" w:rsidRPr="00F74984" w:rsidRDefault="00F74984" w:rsidP="00F74984">
            <w:pPr>
              <w:spacing w:line="276" w:lineRule="auto"/>
              <w:rPr>
                <w:rFonts w:eastAsia="Times New Roman" w:cstheme="minorHAnsi"/>
                <w:sz w:val="20"/>
                <w:szCs w:val="20"/>
              </w:rPr>
            </w:pPr>
            <w:r w:rsidRPr="00F74984">
              <w:rPr>
                <w:rFonts w:eastAsia="Times New Roman" w:cstheme="minorHAnsi"/>
                <w:sz w:val="20"/>
                <w:szCs w:val="20"/>
              </w:rPr>
              <w:t>Age Range</w:t>
            </w:r>
          </w:p>
        </w:tc>
        <w:tc>
          <w:tcPr>
            <w:tcW w:w="1988" w:type="dxa"/>
            <w:shd w:val="clear" w:color="auto" w:fill="002060"/>
            <w:vAlign w:val="center"/>
          </w:tcPr>
          <w:p w14:paraId="167D2B91" w14:textId="77777777" w:rsidR="00F74984" w:rsidRPr="00F74984" w:rsidRDefault="00F74984" w:rsidP="002526B8">
            <w:pPr>
              <w:spacing w:line="276" w:lineRule="auto"/>
              <w:jc w:val="center"/>
              <w:rPr>
                <w:rFonts w:eastAsia="Times New Roman" w:cstheme="minorHAnsi"/>
                <w:sz w:val="20"/>
                <w:szCs w:val="20"/>
              </w:rPr>
            </w:pPr>
            <w:r w:rsidRPr="00F74984">
              <w:rPr>
                <w:rFonts w:eastAsia="Times New Roman" w:cstheme="minorHAnsi"/>
                <w:sz w:val="20"/>
                <w:szCs w:val="20"/>
              </w:rPr>
              <w:t>Melrose</w:t>
            </w:r>
          </w:p>
        </w:tc>
        <w:tc>
          <w:tcPr>
            <w:tcW w:w="2935" w:type="dxa"/>
            <w:shd w:val="clear" w:color="auto" w:fill="002060"/>
            <w:vAlign w:val="center"/>
          </w:tcPr>
          <w:p w14:paraId="5AFD17B7" w14:textId="77777777" w:rsidR="00F74984" w:rsidRPr="00F74984" w:rsidRDefault="00F74984" w:rsidP="002526B8">
            <w:pPr>
              <w:spacing w:line="276" w:lineRule="auto"/>
              <w:jc w:val="center"/>
              <w:rPr>
                <w:rFonts w:eastAsia="Times New Roman" w:cstheme="minorHAnsi"/>
                <w:sz w:val="20"/>
                <w:szCs w:val="20"/>
              </w:rPr>
            </w:pPr>
            <w:r w:rsidRPr="00F74984">
              <w:rPr>
                <w:rFonts w:eastAsia="Times New Roman" w:cstheme="minorHAnsi"/>
                <w:sz w:val="20"/>
                <w:szCs w:val="20"/>
              </w:rPr>
              <w:t>Boston-Cambridge-Newton, MA-NH Metro Area</w:t>
            </w:r>
          </w:p>
        </w:tc>
        <w:tc>
          <w:tcPr>
            <w:tcW w:w="2195" w:type="dxa"/>
            <w:shd w:val="clear" w:color="auto" w:fill="002060"/>
            <w:vAlign w:val="center"/>
          </w:tcPr>
          <w:p w14:paraId="3A83B09B" w14:textId="77777777" w:rsidR="00F74984" w:rsidRPr="00F74984" w:rsidRDefault="00F74984" w:rsidP="002526B8">
            <w:pPr>
              <w:spacing w:line="276" w:lineRule="auto"/>
              <w:jc w:val="center"/>
              <w:rPr>
                <w:rFonts w:eastAsia="Times New Roman" w:cstheme="minorHAnsi"/>
                <w:sz w:val="20"/>
                <w:szCs w:val="20"/>
              </w:rPr>
            </w:pPr>
            <w:r w:rsidRPr="00F74984">
              <w:rPr>
                <w:rFonts w:eastAsia="Times New Roman" w:cstheme="minorHAnsi"/>
                <w:sz w:val="20"/>
                <w:szCs w:val="20"/>
              </w:rPr>
              <w:t>Massachusetts</w:t>
            </w:r>
          </w:p>
        </w:tc>
      </w:tr>
      <w:tr w:rsidR="00F74984" w:rsidRPr="00F74984" w14:paraId="11E388C4" w14:textId="77777777" w:rsidTr="00B13311">
        <w:trPr>
          <w:cantSplit/>
        </w:trPr>
        <w:tc>
          <w:tcPr>
            <w:tcW w:w="892" w:type="dxa"/>
          </w:tcPr>
          <w:p w14:paraId="4B9221F4" w14:textId="77777777" w:rsidR="00F74984" w:rsidRPr="00F74984" w:rsidRDefault="00F74984" w:rsidP="00F74984">
            <w:pPr>
              <w:spacing w:line="276" w:lineRule="auto"/>
              <w:rPr>
                <w:rFonts w:eastAsia="Times New Roman" w:cstheme="minorHAnsi"/>
                <w:sz w:val="20"/>
                <w:szCs w:val="20"/>
              </w:rPr>
            </w:pPr>
            <w:r w:rsidRPr="00F74984">
              <w:rPr>
                <w:rFonts w:eastAsia="Times New Roman" w:cstheme="minorHAnsi"/>
                <w:sz w:val="20"/>
                <w:szCs w:val="20"/>
              </w:rPr>
              <w:t>50-59</w:t>
            </w:r>
          </w:p>
        </w:tc>
        <w:tc>
          <w:tcPr>
            <w:tcW w:w="1988" w:type="dxa"/>
          </w:tcPr>
          <w:p w14:paraId="402D5B91" w14:textId="77777777" w:rsidR="00F74984" w:rsidRPr="00F74984" w:rsidRDefault="00F74984" w:rsidP="00F74984">
            <w:pPr>
              <w:spacing w:line="276" w:lineRule="auto"/>
              <w:jc w:val="center"/>
              <w:rPr>
                <w:rFonts w:eastAsia="Times New Roman" w:cstheme="minorHAnsi"/>
                <w:sz w:val="20"/>
                <w:szCs w:val="20"/>
              </w:rPr>
            </w:pPr>
            <w:r w:rsidRPr="00F74984">
              <w:rPr>
                <w:rFonts w:eastAsia="Times New Roman" w:cstheme="minorHAnsi"/>
                <w:sz w:val="20"/>
                <w:szCs w:val="20"/>
              </w:rPr>
              <w:t>14.5%</w:t>
            </w:r>
          </w:p>
        </w:tc>
        <w:tc>
          <w:tcPr>
            <w:tcW w:w="2935" w:type="dxa"/>
          </w:tcPr>
          <w:p w14:paraId="271E9FEC" w14:textId="77777777" w:rsidR="00F74984" w:rsidRPr="00F74984" w:rsidRDefault="00F74984" w:rsidP="00F74984">
            <w:pPr>
              <w:spacing w:line="276" w:lineRule="auto"/>
              <w:jc w:val="center"/>
              <w:rPr>
                <w:rFonts w:eastAsia="Times New Roman" w:cstheme="minorHAnsi"/>
                <w:sz w:val="20"/>
                <w:szCs w:val="20"/>
              </w:rPr>
            </w:pPr>
            <w:r w:rsidRPr="00F74984">
              <w:rPr>
                <w:rFonts w:eastAsia="Times New Roman" w:cstheme="minorHAnsi"/>
                <w:sz w:val="20"/>
                <w:szCs w:val="20"/>
              </w:rPr>
              <w:t>14.1%</w:t>
            </w:r>
          </w:p>
        </w:tc>
        <w:tc>
          <w:tcPr>
            <w:tcW w:w="2195" w:type="dxa"/>
          </w:tcPr>
          <w:p w14:paraId="5CE9D6D5" w14:textId="77777777" w:rsidR="00F74984" w:rsidRPr="00F74984" w:rsidRDefault="00F74984" w:rsidP="00F74984">
            <w:pPr>
              <w:spacing w:line="276" w:lineRule="auto"/>
              <w:jc w:val="center"/>
              <w:rPr>
                <w:rFonts w:eastAsia="Times New Roman" w:cstheme="minorHAnsi"/>
                <w:sz w:val="20"/>
                <w:szCs w:val="20"/>
              </w:rPr>
            </w:pPr>
            <w:r w:rsidRPr="00F74984">
              <w:rPr>
                <w:rFonts w:eastAsia="Times New Roman" w:cstheme="minorHAnsi"/>
                <w:sz w:val="20"/>
                <w:szCs w:val="20"/>
              </w:rPr>
              <w:t>14.1%</w:t>
            </w:r>
          </w:p>
        </w:tc>
      </w:tr>
      <w:tr w:rsidR="00F74984" w:rsidRPr="00F74984" w14:paraId="56F8E6ED" w14:textId="77777777" w:rsidTr="00B13311">
        <w:trPr>
          <w:cantSplit/>
        </w:trPr>
        <w:tc>
          <w:tcPr>
            <w:tcW w:w="892" w:type="dxa"/>
          </w:tcPr>
          <w:p w14:paraId="61028372" w14:textId="77777777" w:rsidR="00F74984" w:rsidRPr="00F74984" w:rsidRDefault="00F74984" w:rsidP="00F74984">
            <w:pPr>
              <w:spacing w:line="276" w:lineRule="auto"/>
              <w:rPr>
                <w:rFonts w:eastAsia="Times New Roman" w:cstheme="minorHAnsi"/>
                <w:sz w:val="20"/>
                <w:szCs w:val="20"/>
              </w:rPr>
            </w:pPr>
            <w:r w:rsidRPr="00F74984">
              <w:rPr>
                <w:rFonts w:eastAsia="Times New Roman" w:cstheme="minorHAnsi"/>
                <w:sz w:val="20"/>
                <w:szCs w:val="20"/>
              </w:rPr>
              <w:t>60-69</w:t>
            </w:r>
          </w:p>
        </w:tc>
        <w:tc>
          <w:tcPr>
            <w:tcW w:w="1988" w:type="dxa"/>
          </w:tcPr>
          <w:p w14:paraId="387987C1" w14:textId="77777777" w:rsidR="00F74984" w:rsidRPr="00F74984" w:rsidRDefault="00F74984" w:rsidP="00F74984">
            <w:pPr>
              <w:spacing w:line="276" w:lineRule="auto"/>
              <w:jc w:val="center"/>
              <w:rPr>
                <w:rFonts w:eastAsia="Times New Roman" w:cstheme="minorHAnsi"/>
                <w:sz w:val="20"/>
                <w:szCs w:val="20"/>
              </w:rPr>
            </w:pPr>
            <w:r w:rsidRPr="00F74984">
              <w:rPr>
                <w:rFonts w:eastAsia="Times New Roman" w:cstheme="minorHAnsi"/>
                <w:sz w:val="20"/>
                <w:szCs w:val="20"/>
              </w:rPr>
              <w:t>11.2%</w:t>
            </w:r>
          </w:p>
        </w:tc>
        <w:tc>
          <w:tcPr>
            <w:tcW w:w="2935" w:type="dxa"/>
          </w:tcPr>
          <w:p w14:paraId="2959BAB3" w14:textId="77777777" w:rsidR="00F74984" w:rsidRPr="00F74984" w:rsidRDefault="00F74984" w:rsidP="00F74984">
            <w:pPr>
              <w:spacing w:line="276" w:lineRule="auto"/>
              <w:jc w:val="center"/>
              <w:rPr>
                <w:rFonts w:eastAsia="Times New Roman" w:cstheme="minorHAnsi"/>
                <w:sz w:val="20"/>
                <w:szCs w:val="20"/>
              </w:rPr>
            </w:pPr>
            <w:r w:rsidRPr="00F74984">
              <w:rPr>
                <w:rFonts w:eastAsia="Times New Roman" w:cstheme="minorHAnsi"/>
                <w:sz w:val="20"/>
                <w:szCs w:val="20"/>
              </w:rPr>
              <w:t>11.3%</w:t>
            </w:r>
          </w:p>
        </w:tc>
        <w:tc>
          <w:tcPr>
            <w:tcW w:w="2195" w:type="dxa"/>
          </w:tcPr>
          <w:p w14:paraId="725C38B8" w14:textId="77777777" w:rsidR="00F74984" w:rsidRPr="00F74984" w:rsidRDefault="00F74984" w:rsidP="00F74984">
            <w:pPr>
              <w:spacing w:line="276" w:lineRule="auto"/>
              <w:jc w:val="center"/>
              <w:rPr>
                <w:rFonts w:eastAsia="Times New Roman" w:cstheme="minorHAnsi"/>
                <w:sz w:val="20"/>
                <w:szCs w:val="20"/>
              </w:rPr>
            </w:pPr>
            <w:r w:rsidRPr="00F74984">
              <w:rPr>
                <w:rFonts w:eastAsia="Times New Roman" w:cstheme="minorHAnsi"/>
                <w:sz w:val="20"/>
                <w:szCs w:val="20"/>
              </w:rPr>
              <w:t>11.8%</w:t>
            </w:r>
          </w:p>
        </w:tc>
      </w:tr>
      <w:tr w:rsidR="00F74984" w:rsidRPr="00F74984" w14:paraId="6E99FF42" w14:textId="77777777" w:rsidTr="00B13311">
        <w:trPr>
          <w:cantSplit/>
        </w:trPr>
        <w:tc>
          <w:tcPr>
            <w:tcW w:w="892" w:type="dxa"/>
          </w:tcPr>
          <w:p w14:paraId="25BFE425" w14:textId="77777777" w:rsidR="00F74984" w:rsidRPr="00F74984" w:rsidRDefault="00F74984" w:rsidP="00F74984">
            <w:pPr>
              <w:spacing w:line="276" w:lineRule="auto"/>
              <w:rPr>
                <w:rFonts w:eastAsia="Times New Roman" w:cstheme="minorHAnsi"/>
                <w:sz w:val="20"/>
                <w:szCs w:val="20"/>
              </w:rPr>
            </w:pPr>
            <w:r w:rsidRPr="00F74984">
              <w:rPr>
                <w:rFonts w:eastAsia="Times New Roman" w:cstheme="minorHAnsi"/>
                <w:sz w:val="20"/>
                <w:szCs w:val="20"/>
              </w:rPr>
              <w:t>70-79</w:t>
            </w:r>
          </w:p>
        </w:tc>
        <w:tc>
          <w:tcPr>
            <w:tcW w:w="1988" w:type="dxa"/>
          </w:tcPr>
          <w:p w14:paraId="4DA0354F" w14:textId="77777777" w:rsidR="00F74984" w:rsidRPr="00F74984" w:rsidRDefault="00F74984" w:rsidP="00F74984">
            <w:pPr>
              <w:spacing w:line="276" w:lineRule="auto"/>
              <w:jc w:val="center"/>
              <w:rPr>
                <w:rFonts w:eastAsia="Times New Roman" w:cstheme="minorHAnsi"/>
                <w:sz w:val="20"/>
                <w:szCs w:val="20"/>
              </w:rPr>
            </w:pPr>
            <w:r w:rsidRPr="00F74984">
              <w:rPr>
                <w:rFonts w:eastAsia="Times New Roman" w:cstheme="minorHAnsi"/>
                <w:sz w:val="20"/>
                <w:szCs w:val="20"/>
              </w:rPr>
              <w:t>8.0%</w:t>
            </w:r>
          </w:p>
        </w:tc>
        <w:tc>
          <w:tcPr>
            <w:tcW w:w="2935" w:type="dxa"/>
          </w:tcPr>
          <w:p w14:paraId="1629F7AF" w14:textId="77777777" w:rsidR="00F74984" w:rsidRPr="00F74984" w:rsidRDefault="00F74984" w:rsidP="00F74984">
            <w:pPr>
              <w:spacing w:line="276" w:lineRule="auto"/>
              <w:jc w:val="center"/>
              <w:rPr>
                <w:rFonts w:eastAsia="Times New Roman" w:cstheme="minorHAnsi"/>
                <w:sz w:val="20"/>
                <w:szCs w:val="20"/>
              </w:rPr>
            </w:pPr>
            <w:r w:rsidRPr="00F74984">
              <w:rPr>
                <w:rFonts w:eastAsia="Times New Roman" w:cstheme="minorHAnsi"/>
                <w:sz w:val="20"/>
                <w:szCs w:val="20"/>
              </w:rPr>
              <w:t>6.6%</w:t>
            </w:r>
          </w:p>
        </w:tc>
        <w:tc>
          <w:tcPr>
            <w:tcW w:w="2195" w:type="dxa"/>
          </w:tcPr>
          <w:p w14:paraId="630FC233" w14:textId="77777777" w:rsidR="00F74984" w:rsidRPr="00F74984" w:rsidRDefault="00F74984" w:rsidP="00F74984">
            <w:pPr>
              <w:spacing w:line="276" w:lineRule="auto"/>
              <w:jc w:val="center"/>
              <w:rPr>
                <w:rFonts w:eastAsia="Times New Roman" w:cstheme="minorHAnsi"/>
                <w:sz w:val="20"/>
                <w:szCs w:val="20"/>
              </w:rPr>
            </w:pPr>
            <w:r w:rsidRPr="00F74984">
              <w:rPr>
                <w:rFonts w:eastAsia="Times New Roman" w:cstheme="minorHAnsi"/>
                <w:sz w:val="20"/>
                <w:szCs w:val="20"/>
              </w:rPr>
              <w:t>6.9%</w:t>
            </w:r>
          </w:p>
        </w:tc>
      </w:tr>
      <w:tr w:rsidR="00F74984" w:rsidRPr="00F74984" w14:paraId="0D8897D4" w14:textId="77777777" w:rsidTr="00B13311">
        <w:trPr>
          <w:cantSplit/>
        </w:trPr>
        <w:tc>
          <w:tcPr>
            <w:tcW w:w="892" w:type="dxa"/>
          </w:tcPr>
          <w:p w14:paraId="24E273ED" w14:textId="77777777" w:rsidR="00F74984" w:rsidRPr="00F74984" w:rsidRDefault="00F74984" w:rsidP="00F74984">
            <w:pPr>
              <w:spacing w:line="276" w:lineRule="auto"/>
              <w:rPr>
                <w:rFonts w:eastAsia="Times New Roman" w:cstheme="minorHAnsi"/>
                <w:sz w:val="20"/>
                <w:szCs w:val="20"/>
              </w:rPr>
            </w:pPr>
            <w:r w:rsidRPr="00F74984">
              <w:rPr>
                <w:rFonts w:eastAsia="Times New Roman" w:cstheme="minorHAnsi"/>
                <w:sz w:val="20"/>
                <w:szCs w:val="20"/>
              </w:rPr>
              <w:t>80+</w:t>
            </w:r>
          </w:p>
        </w:tc>
        <w:tc>
          <w:tcPr>
            <w:tcW w:w="1988" w:type="dxa"/>
          </w:tcPr>
          <w:p w14:paraId="1E8602C6" w14:textId="77777777" w:rsidR="00F74984" w:rsidRPr="00F74984" w:rsidRDefault="00F74984" w:rsidP="00F74984">
            <w:pPr>
              <w:spacing w:line="276" w:lineRule="auto"/>
              <w:jc w:val="center"/>
              <w:rPr>
                <w:rFonts w:eastAsia="Times New Roman" w:cstheme="minorHAnsi"/>
                <w:sz w:val="20"/>
                <w:szCs w:val="20"/>
              </w:rPr>
            </w:pPr>
            <w:r w:rsidRPr="00F74984">
              <w:rPr>
                <w:rFonts w:eastAsia="Times New Roman" w:cstheme="minorHAnsi"/>
                <w:sz w:val="20"/>
                <w:szCs w:val="20"/>
              </w:rPr>
              <w:t>4.9%</w:t>
            </w:r>
          </w:p>
        </w:tc>
        <w:tc>
          <w:tcPr>
            <w:tcW w:w="2935" w:type="dxa"/>
          </w:tcPr>
          <w:p w14:paraId="162517D6" w14:textId="77777777" w:rsidR="00F74984" w:rsidRPr="00F74984" w:rsidRDefault="00F74984" w:rsidP="00F74984">
            <w:pPr>
              <w:spacing w:line="276" w:lineRule="auto"/>
              <w:jc w:val="center"/>
              <w:rPr>
                <w:rFonts w:eastAsia="Times New Roman" w:cstheme="minorHAnsi"/>
                <w:sz w:val="20"/>
                <w:szCs w:val="20"/>
              </w:rPr>
            </w:pPr>
            <w:r w:rsidRPr="00F74984">
              <w:rPr>
                <w:rFonts w:eastAsia="Times New Roman" w:cstheme="minorHAnsi"/>
                <w:sz w:val="20"/>
                <w:szCs w:val="20"/>
              </w:rPr>
              <w:t>4.1%</w:t>
            </w:r>
          </w:p>
        </w:tc>
        <w:tc>
          <w:tcPr>
            <w:tcW w:w="2195" w:type="dxa"/>
          </w:tcPr>
          <w:p w14:paraId="28101F2C" w14:textId="77777777" w:rsidR="00F74984" w:rsidRPr="00F74984" w:rsidRDefault="00F74984" w:rsidP="00F74984">
            <w:pPr>
              <w:spacing w:line="276" w:lineRule="auto"/>
              <w:jc w:val="center"/>
              <w:rPr>
                <w:rFonts w:eastAsia="Times New Roman" w:cstheme="minorHAnsi"/>
                <w:sz w:val="20"/>
                <w:szCs w:val="20"/>
              </w:rPr>
            </w:pPr>
            <w:r w:rsidRPr="00F74984">
              <w:rPr>
                <w:rFonts w:eastAsia="Times New Roman" w:cstheme="minorHAnsi"/>
                <w:sz w:val="20"/>
                <w:szCs w:val="20"/>
              </w:rPr>
              <w:t>4.3%</w:t>
            </w:r>
          </w:p>
        </w:tc>
      </w:tr>
    </w:tbl>
    <w:p w14:paraId="4C35665F" w14:textId="77777777" w:rsidR="00F74984" w:rsidRPr="00F74984" w:rsidRDefault="00F74984" w:rsidP="00F74984">
      <w:pPr>
        <w:ind w:left="1440"/>
        <w:contextualSpacing/>
        <w:jc w:val="both"/>
      </w:pPr>
    </w:p>
    <w:p w14:paraId="37A539DB" w14:textId="77777777" w:rsidR="00F74984" w:rsidRPr="00F74984" w:rsidRDefault="00F74984" w:rsidP="00F74984">
      <w:pPr>
        <w:ind w:left="1440"/>
        <w:contextualSpacing/>
        <w:jc w:val="both"/>
        <w:rPr>
          <w:u w:val="single"/>
        </w:rPr>
      </w:pPr>
      <w:r w:rsidRPr="00F74984">
        <w:rPr>
          <w:u w:val="single"/>
        </w:rPr>
        <w:t>Wakefield</w:t>
      </w:r>
    </w:p>
    <w:p w14:paraId="58A95D40" w14:textId="77777777" w:rsidR="00F74984" w:rsidRPr="00F74984" w:rsidRDefault="00F74984" w:rsidP="00F74984">
      <w:pPr>
        <w:ind w:left="1440"/>
        <w:contextualSpacing/>
        <w:jc w:val="both"/>
      </w:pPr>
      <w:r w:rsidRPr="00F74984">
        <w:t xml:space="preserve">The town of Wakefield’s demographic profile is demonstrated by data collected from the most recent U.S. Census Bureau, which was released in 2021. As of July 1, 2021, the population of Wakefield was reported to be 27,104; this is an 8.71% increase since April </w:t>
      </w:r>
      <w:r w:rsidRPr="00F74984">
        <w:lastRenderedPageBreak/>
        <w:t>of 2010.</w:t>
      </w:r>
      <w:r w:rsidRPr="00F74984">
        <w:rPr>
          <w:vertAlign w:val="superscript"/>
        </w:rPr>
        <w:footnoteReference w:id="30"/>
      </w:r>
      <w:r w:rsidRPr="00F74984">
        <w:t xml:space="preserve"> The median age of the population of Wakefield is 42.7, over 3 years older than the median age of the total population of Massachusetts, 39.6.</w:t>
      </w:r>
      <w:r w:rsidRPr="00F74984">
        <w:rPr>
          <w:vertAlign w:val="superscript"/>
        </w:rPr>
        <w:footnoteReference w:id="31"/>
      </w:r>
    </w:p>
    <w:p w14:paraId="746B4028" w14:textId="77777777" w:rsidR="00F74984" w:rsidRPr="00F74984" w:rsidRDefault="00F74984" w:rsidP="00F74984">
      <w:pPr>
        <w:ind w:left="1440"/>
        <w:contextualSpacing/>
        <w:jc w:val="both"/>
      </w:pPr>
    </w:p>
    <w:p w14:paraId="51892B8D" w14:textId="77777777" w:rsidR="00F74984" w:rsidRPr="00F74984" w:rsidRDefault="00F74984" w:rsidP="00F74984">
      <w:pPr>
        <w:ind w:left="1440"/>
        <w:contextualSpacing/>
        <w:jc w:val="both"/>
      </w:pPr>
      <w:r w:rsidRPr="00F74984">
        <w:t>Currently, 17.6% of the Wakefield population is older than 65.</w:t>
      </w:r>
      <w:r w:rsidRPr="00F74984">
        <w:rPr>
          <w:vertAlign w:val="superscript"/>
        </w:rPr>
        <w:footnoteReference w:id="32"/>
      </w:r>
      <w:r w:rsidRPr="00F74984">
        <w:t xml:space="preserve"> The table below compares the percent of the population in four (4) age ranges for three (3) different locations: the town of Wakefield, the Boston-Cambridge-Newton, MA-NH Metro are, and the state of Massachusetts. As presented in the table, Wakefield has higher percentages than the other two locations for all age ranges.</w:t>
      </w:r>
    </w:p>
    <w:p w14:paraId="1658A527" w14:textId="77777777" w:rsidR="00F74984" w:rsidRPr="00F74984" w:rsidRDefault="00F74984" w:rsidP="00F74984">
      <w:pPr>
        <w:ind w:left="1440"/>
        <w:contextualSpacing/>
        <w:jc w:val="both"/>
      </w:pPr>
    </w:p>
    <w:tbl>
      <w:tblPr>
        <w:tblStyle w:val="TableGrid2"/>
        <w:tblW w:w="0" w:type="auto"/>
        <w:tblInd w:w="1435" w:type="dxa"/>
        <w:tblLook w:val="04A0" w:firstRow="1" w:lastRow="0" w:firstColumn="1" w:lastColumn="0" w:noHBand="0" w:noVBand="1"/>
      </w:tblPr>
      <w:tblGrid>
        <w:gridCol w:w="892"/>
        <w:gridCol w:w="1988"/>
        <w:gridCol w:w="2935"/>
        <w:gridCol w:w="2100"/>
      </w:tblGrid>
      <w:tr w:rsidR="00F74984" w:rsidRPr="00F74984" w14:paraId="408503F8" w14:textId="77777777" w:rsidTr="008A6A55">
        <w:trPr>
          <w:cantSplit/>
          <w:tblHeader/>
        </w:trPr>
        <w:tc>
          <w:tcPr>
            <w:tcW w:w="892" w:type="dxa"/>
            <w:shd w:val="clear" w:color="auto" w:fill="002060"/>
            <w:vAlign w:val="center"/>
          </w:tcPr>
          <w:p w14:paraId="61C49658" w14:textId="77777777" w:rsidR="00F74984" w:rsidRPr="00F74984" w:rsidRDefault="00F74984" w:rsidP="00F74984">
            <w:pPr>
              <w:spacing w:line="276" w:lineRule="auto"/>
              <w:rPr>
                <w:rFonts w:eastAsia="Times New Roman" w:cstheme="minorHAnsi"/>
                <w:sz w:val="20"/>
                <w:szCs w:val="20"/>
              </w:rPr>
            </w:pPr>
            <w:r w:rsidRPr="00F74984">
              <w:rPr>
                <w:rFonts w:eastAsia="Times New Roman" w:cstheme="minorHAnsi"/>
                <w:sz w:val="20"/>
                <w:szCs w:val="20"/>
              </w:rPr>
              <w:t>Age Range</w:t>
            </w:r>
          </w:p>
        </w:tc>
        <w:tc>
          <w:tcPr>
            <w:tcW w:w="1988" w:type="dxa"/>
            <w:shd w:val="clear" w:color="auto" w:fill="002060"/>
            <w:vAlign w:val="center"/>
          </w:tcPr>
          <w:p w14:paraId="4DC88B41" w14:textId="77777777" w:rsidR="00F74984" w:rsidRPr="00F74984" w:rsidRDefault="00F74984" w:rsidP="002526B8">
            <w:pPr>
              <w:spacing w:line="276" w:lineRule="auto"/>
              <w:jc w:val="center"/>
              <w:rPr>
                <w:rFonts w:eastAsia="Times New Roman" w:cstheme="minorHAnsi"/>
                <w:sz w:val="20"/>
                <w:szCs w:val="20"/>
              </w:rPr>
            </w:pPr>
            <w:r w:rsidRPr="00F74984">
              <w:rPr>
                <w:rFonts w:eastAsia="Times New Roman" w:cstheme="minorHAnsi"/>
                <w:sz w:val="20"/>
                <w:szCs w:val="20"/>
              </w:rPr>
              <w:t>Wakefield</w:t>
            </w:r>
          </w:p>
        </w:tc>
        <w:tc>
          <w:tcPr>
            <w:tcW w:w="2935" w:type="dxa"/>
            <w:shd w:val="clear" w:color="auto" w:fill="002060"/>
            <w:vAlign w:val="center"/>
          </w:tcPr>
          <w:p w14:paraId="21931BED" w14:textId="77777777" w:rsidR="00F74984" w:rsidRPr="00F74984" w:rsidRDefault="00F74984" w:rsidP="002526B8">
            <w:pPr>
              <w:spacing w:line="276" w:lineRule="auto"/>
              <w:jc w:val="center"/>
              <w:rPr>
                <w:rFonts w:eastAsia="Times New Roman" w:cstheme="minorHAnsi"/>
                <w:sz w:val="20"/>
                <w:szCs w:val="20"/>
              </w:rPr>
            </w:pPr>
            <w:r w:rsidRPr="00F74984">
              <w:rPr>
                <w:rFonts w:eastAsia="Times New Roman" w:cstheme="minorHAnsi"/>
                <w:sz w:val="20"/>
                <w:szCs w:val="20"/>
              </w:rPr>
              <w:t>Boston-Cambridge-Newton, MA-NH Metro Area</w:t>
            </w:r>
          </w:p>
        </w:tc>
        <w:tc>
          <w:tcPr>
            <w:tcW w:w="2100" w:type="dxa"/>
            <w:shd w:val="clear" w:color="auto" w:fill="002060"/>
            <w:vAlign w:val="center"/>
          </w:tcPr>
          <w:p w14:paraId="23A30860" w14:textId="77777777" w:rsidR="00F74984" w:rsidRPr="00F74984" w:rsidRDefault="00F74984" w:rsidP="002526B8">
            <w:pPr>
              <w:spacing w:line="276" w:lineRule="auto"/>
              <w:jc w:val="center"/>
              <w:rPr>
                <w:rFonts w:eastAsia="Times New Roman" w:cstheme="minorHAnsi"/>
                <w:sz w:val="20"/>
                <w:szCs w:val="20"/>
              </w:rPr>
            </w:pPr>
            <w:r w:rsidRPr="00F74984">
              <w:rPr>
                <w:rFonts w:eastAsia="Times New Roman" w:cstheme="minorHAnsi"/>
                <w:sz w:val="20"/>
                <w:szCs w:val="20"/>
              </w:rPr>
              <w:t>Massachusetts</w:t>
            </w:r>
          </w:p>
        </w:tc>
      </w:tr>
      <w:tr w:rsidR="00F74984" w:rsidRPr="00F74984" w14:paraId="3467204F" w14:textId="77777777" w:rsidTr="008A6A55">
        <w:trPr>
          <w:cantSplit/>
        </w:trPr>
        <w:tc>
          <w:tcPr>
            <w:tcW w:w="892" w:type="dxa"/>
          </w:tcPr>
          <w:p w14:paraId="49F62AAB" w14:textId="77777777" w:rsidR="00F74984" w:rsidRPr="00F74984" w:rsidRDefault="00F74984" w:rsidP="00F74984">
            <w:pPr>
              <w:spacing w:line="276" w:lineRule="auto"/>
              <w:rPr>
                <w:rFonts w:eastAsia="Times New Roman" w:cstheme="minorHAnsi"/>
                <w:sz w:val="20"/>
                <w:szCs w:val="20"/>
              </w:rPr>
            </w:pPr>
            <w:r w:rsidRPr="00F74984">
              <w:rPr>
                <w:rFonts w:eastAsia="Times New Roman" w:cstheme="minorHAnsi"/>
                <w:sz w:val="20"/>
                <w:szCs w:val="20"/>
              </w:rPr>
              <w:t>50-59</w:t>
            </w:r>
          </w:p>
        </w:tc>
        <w:tc>
          <w:tcPr>
            <w:tcW w:w="1988" w:type="dxa"/>
          </w:tcPr>
          <w:p w14:paraId="03CFB957" w14:textId="77777777" w:rsidR="00F74984" w:rsidRPr="00F74984" w:rsidRDefault="00F74984" w:rsidP="00F74984">
            <w:pPr>
              <w:spacing w:line="276" w:lineRule="auto"/>
              <w:jc w:val="center"/>
              <w:rPr>
                <w:rFonts w:eastAsia="Times New Roman" w:cstheme="minorHAnsi"/>
                <w:sz w:val="20"/>
                <w:szCs w:val="20"/>
              </w:rPr>
            </w:pPr>
            <w:r w:rsidRPr="00F74984">
              <w:rPr>
                <w:rFonts w:eastAsia="Times New Roman" w:cstheme="minorHAnsi"/>
                <w:sz w:val="20"/>
                <w:szCs w:val="20"/>
              </w:rPr>
              <w:t>14.4%</w:t>
            </w:r>
          </w:p>
        </w:tc>
        <w:tc>
          <w:tcPr>
            <w:tcW w:w="2935" w:type="dxa"/>
          </w:tcPr>
          <w:p w14:paraId="53060291" w14:textId="77777777" w:rsidR="00F74984" w:rsidRPr="00F74984" w:rsidRDefault="00F74984" w:rsidP="00F74984">
            <w:pPr>
              <w:spacing w:line="276" w:lineRule="auto"/>
              <w:jc w:val="center"/>
              <w:rPr>
                <w:rFonts w:eastAsia="Times New Roman" w:cstheme="minorHAnsi"/>
                <w:sz w:val="20"/>
                <w:szCs w:val="20"/>
              </w:rPr>
            </w:pPr>
            <w:r w:rsidRPr="00F74984">
              <w:rPr>
                <w:rFonts w:eastAsia="Times New Roman" w:cstheme="minorHAnsi"/>
                <w:sz w:val="20"/>
                <w:szCs w:val="20"/>
              </w:rPr>
              <w:t>14.1%</w:t>
            </w:r>
          </w:p>
        </w:tc>
        <w:tc>
          <w:tcPr>
            <w:tcW w:w="2100" w:type="dxa"/>
          </w:tcPr>
          <w:p w14:paraId="289D44DA" w14:textId="77777777" w:rsidR="00F74984" w:rsidRPr="00F74984" w:rsidRDefault="00F74984" w:rsidP="00F74984">
            <w:pPr>
              <w:spacing w:line="276" w:lineRule="auto"/>
              <w:jc w:val="center"/>
              <w:rPr>
                <w:rFonts w:eastAsia="Times New Roman" w:cstheme="minorHAnsi"/>
                <w:sz w:val="20"/>
                <w:szCs w:val="20"/>
              </w:rPr>
            </w:pPr>
            <w:r w:rsidRPr="00F74984">
              <w:rPr>
                <w:rFonts w:eastAsia="Times New Roman" w:cstheme="minorHAnsi"/>
                <w:sz w:val="20"/>
                <w:szCs w:val="20"/>
              </w:rPr>
              <w:t>14.1%</w:t>
            </w:r>
          </w:p>
        </w:tc>
      </w:tr>
      <w:tr w:rsidR="00F74984" w:rsidRPr="00F74984" w14:paraId="5660891A" w14:textId="77777777" w:rsidTr="008A6A55">
        <w:trPr>
          <w:cantSplit/>
        </w:trPr>
        <w:tc>
          <w:tcPr>
            <w:tcW w:w="892" w:type="dxa"/>
          </w:tcPr>
          <w:p w14:paraId="734F4A9E" w14:textId="77777777" w:rsidR="00F74984" w:rsidRPr="00F74984" w:rsidRDefault="00F74984" w:rsidP="00F74984">
            <w:pPr>
              <w:spacing w:line="276" w:lineRule="auto"/>
              <w:rPr>
                <w:rFonts w:eastAsia="Times New Roman" w:cstheme="minorHAnsi"/>
                <w:sz w:val="20"/>
                <w:szCs w:val="20"/>
              </w:rPr>
            </w:pPr>
            <w:r w:rsidRPr="00F74984">
              <w:rPr>
                <w:rFonts w:eastAsia="Times New Roman" w:cstheme="minorHAnsi"/>
                <w:sz w:val="20"/>
                <w:szCs w:val="20"/>
              </w:rPr>
              <w:t>60-69</w:t>
            </w:r>
          </w:p>
        </w:tc>
        <w:tc>
          <w:tcPr>
            <w:tcW w:w="1988" w:type="dxa"/>
          </w:tcPr>
          <w:p w14:paraId="43EE7A06" w14:textId="77777777" w:rsidR="00F74984" w:rsidRPr="00F74984" w:rsidRDefault="00F74984" w:rsidP="00F74984">
            <w:pPr>
              <w:spacing w:line="276" w:lineRule="auto"/>
              <w:jc w:val="center"/>
              <w:rPr>
                <w:rFonts w:eastAsia="Times New Roman" w:cstheme="minorHAnsi"/>
                <w:sz w:val="20"/>
                <w:szCs w:val="20"/>
              </w:rPr>
            </w:pPr>
            <w:r w:rsidRPr="00F74984">
              <w:rPr>
                <w:rFonts w:eastAsia="Times New Roman" w:cstheme="minorHAnsi"/>
                <w:sz w:val="20"/>
                <w:szCs w:val="20"/>
              </w:rPr>
              <w:t>13.5%</w:t>
            </w:r>
          </w:p>
        </w:tc>
        <w:tc>
          <w:tcPr>
            <w:tcW w:w="2935" w:type="dxa"/>
          </w:tcPr>
          <w:p w14:paraId="2ECBFDF0" w14:textId="77777777" w:rsidR="00F74984" w:rsidRPr="00F74984" w:rsidRDefault="00F74984" w:rsidP="00F74984">
            <w:pPr>
              <w:spacing w:line="276" w:lineRule="auto"/>
              <w:jc w:val="center"/>
              <w:rPr>
                <w:rFonts w:eastAsia="Times New Roman" w:cstheme="minorHAnsi"/>
                <w:sz w:val="20"/>
                <w:szCs w:val="20"/>
              </w:rPr>
            </w:pPr>
            <w:r w:rsidRPr="00F74984">
              <w:rPr>
                <w:rFonts w:eastAsia="Times New Roman" w:cstheme="minorHAnsi"/>
                <w:sz w:val="20"/>
                <w:szCs w:val="20"/>
              </w:rPr>
              <w:t>11.3%</w:t>
            </w:r>
          </w:p>
        </w:tc>
        <w:tc>
          <w:tcPr>
            <w:tcW w:w="2100" w:type="dxa"/>
          </w:tcPr>
          <w:p w14:paraId="62D9BE25" w14:textId="77777777" w:rsidR="00F74984" w:rsidRPr="00F74984" w:rsidRDefault="00F74984" w:rsidP="00F74984">
            <w:pPr>
              <w:spacing w:line="276" w:lineRule="auto"/>
              <w:jc w:val="center"/>
              <w:rPr>
                <w:rFonts w:eastAsia="Times New Roman" w:cstheme="minorHAnsi"/>
                <w:sz w:val="20"/>
                <w:szCs w:val="20"/>
              </w:rPr>
            </w:pPr>
            <w:r w:rsidRPr="00F74984">
              <w:rPr>
                <w:rFonts w:eastAsia="Times New Roman" w:cstheme="minorHAnsi"/>
                <w:sz w:val="20"/>
                <w:szCs w:val="20"/>
              </w:rPr>
              <w:t>11.8%</w:t>
            </w:r>
          </w:p>
        </w:tc>
      </w:tr>
      <w:tr w:rsidR="00F74984" w:rsidRPr="00F74984" w14:paraId="65542B6C" w14:textId="77777777" w:rsidTr="008A6A55">
        <w:trPr>
          <w:cantSplit/>
        </w:trPr>
        <w:tc>
          <w:tcPr>
            <w:tcW w:w="892" w:type="dxa"/>
          </w:tcPr>
          <w:p w14:paraId="5078875B" w14:textId="77777777" w:rsidR="00F74984" w:rsidRPr="00F74984" w:rsidRDefault="00F74984" w:rsidP="00F74984">
            <w:pPr>
              <w:spacing w:line="276" w:lineRule="auto"/>
              <w:rPr>
                <w:rFonts w:eastAsia="Times New Roman" w:cstheme="minorHAnsi"/>
                <w:sz w:val="20"/>
                <w:szCs w:val="20"/>
              </w:rPr>
            </w:pPr>
            <w:r w:rsidRPr="00F74984">
              <w:rPr>
                <w:rFonts w:eastAsia="Times New Roman" w:cstheme="minorHAnsi"/>
                <w:sz w:val="20"/>
                <w:szCs w:val="20"/>
              </w:rPr>
              <w:t>70-79</w:t>
            </w:r>
          </w:p>
        </w:tc>
        <w:tc>
          <w:tcPr>
            <w:tcW w:w="1988" w:type="dxa"/>
          </w:tcPr>
          <w:p w14:paraId="3AED90E4" w14:textId="77777777" w:rsidR="00F74984" w:rsidRPr="00F74984" w:rsidRDefault="00F74984" w:rsidP="00F74984">
            <w:pPr>
              <w:spacing w:line="276" w:lineRule="auto"/>
              <w:jc w:val="center"/>
              <w:rPr>
                <w:rFonts w:eastAsia="Times New Roman" w:cstheme="minorHAnsi"/>
                <w:sz w:val="20"/>
                <w:szCs w:val="20"/>
              </w:rPr>
            </w:pPr>
            <w:r w:rsidRPr="00F74984">
              <w:rPr>
                <w:rFonts w:eastAsia="Times New Roman" w:cstheme="minorHAnsi"/>
                <w:sz w:val="20"/>
                <w:szCs w:val="20"/>
              </w:rPr>
              <w:t>7.5%</w:t>
            </w:r>
          </w:p>
        </w:tc>
        <w:tc>
          <w:tcPr>
            <w:tcW w:w="2935" w:type="dxa"/>
          </w:tcPr>
          <w:p w14:paraId="46DC44B5" w14:textId="77777777" w:rsidR="00F74984" w:rsidRPr="00F74984" w:rsidRDefault="00F74984" w:rsidP="00F74984">
            <w:pPr>
              <w:spacing w:line="276" w:lineRule="auto"/>
              <w:jc w:val="center"/>
              <w:rPr>
                <w:rFonts w:eastAsia="Times New Roman" w:cstheme="minorHAnsi"/>
                <w:sz w:val="20"/>
                <w:szCs w:val="20"/>
              </w:rPr>
            </w:pPr>
            <w:r w:rsidRPr="00F74984">
              <w:rPr>
                <w:rFonts w:eastAsia="Times New Roman" w:cstheme="minorHAnsi"/>
                <w:sz w:val="20"/>
                <w:szCs w:val="20"/>
              </w:rPr>
              <w:t>6.6%</w:t>
            </w:r>
          </w:p>
        </w:tc>
        <w:tc>
          <w:tcPr>
            <w:tcW w:w="2100" w:type="dxa"/>
          </w:tcPr>
          <w:p w14:paraId="0B44B158" w14:textId="77777777" w:rsidR="00F74984" w:rsidRPr="00F74984" w:rsidRDefault="00F74984" w:rsidP="00F74984">
            <w:pPr>
              <w:spacing w:line="276" w:lineRule="auto"/>
              <w:jc w:val="center"/>
              <w:rPr>
                <w:rFonts w:eastAsia="Times New Roman" w:cstheme="minorHAnsi"/>
                <w:sz w:val="20"/>
                <w:szCs w:val="20"/>
              </w:rPr>
            </w:pPr>
            <w:r w:rsidRPr="00F74984">
              <w:rPr>
                <w:rFonts w:eastAsia="Times New Roman" w:cstheme="minorHAnsi"/>
                <w:sz w:val="20"/>
                <w:szCs w:val="20"/>
              </w:rPr>
              <w:t>6.9%</w:t>
            </w:r>
          </w:p>
        </w:tc>
      </w:tr>
      <w:tr w:rsidR="00F74984" w:rsidRPr="00F74984" w14:paraId="6C9903CF" w14:textId="77777777" w:rsidTr="008A6A55">
        <w:trPr>
          <w:cantSplit/>
        </w:trPr>
        <w:tc>
          <w:tcPr>
            <w:tcW w:w="892" w:type="dxa"/>
          </w:tcPr>
          <w:p w14:paraId="6912BFC0" w14:textId="77777777" w:rsidR="00F74984" w:rsidRPr="00F74984" w:rsidRDefault="00F74984" w:rsidP="00F74984">
            <w:pPr>
              <w:spacing w:line="276" w:lineRule="auto"/>
              <w:rPr>
                <w:rFonts w:eastAsia="Times New Roman" w:cstheme="minorHAnsi"/>
                <w:sz w:val="20"/>
                <w:szCs w:val="20"/>
              </w:rPr>
            </w:pPr>
            <w:r w:rsidRPr="00F74984">
              <w:rPr>
                <w:rFonts w:eastAsia="Times New Roman" w:cstheme="minorHAnsi"/>
                <w:sz w:val="20"/>
                <w:szCs w:val="20"/>
              </w:rPr>
              <w:t>80+</w:t>
            </w:r>
          </w:p>
        </w:tc>
        <w:tc>
          <w:tcPr>
            <w:tcW w:w="1988" w:type="dxa"/>
          </w:tcPr>
          <w:p w14:paraId="0F5309B6" w14:textId="77777777" w:rsidR="00F74984" w:rsidRPr="00F74984" w:rsidRDefault="00F74984" w:rsidP="00F74984">
            <w:pPr>
              <w:spacing w:line="276" w:lineRule="auto"/>
              <w:jc w:val="center"/>
              <w:rPr>
                <w:rFonts w:eastAsia="Times New Roman" w:cstheme="minorHAnsi"/>
                <w:sz w:val="20"/>
                <w:szCs w:val="20"/>
              </w:rPr>
            </w:pPr>
            <w:r w:rsidRPr="00F74984">
              <w:rPr>
                <w:rFonts w:eastAsia="Times New Roman" w:cstheme="minorHAnsi"/>
                <w:sz w:val="20"/>
                <w:szCs w:val="20"/>
              </w:rPr>
              <w:t>5.0%</w:t>
            </w:r>
          </w:p>
        </w:tc>
        <w:tc>
          <w:tcPr>
            <w:tcW w:w="2935" w:type="dxa"/>
          </w:tcPr>
          <w:p w14:paraId="7FA8403D" w14:textId="77777777" w:rsidR="00F74984" w:rsidRPr="00F74984" w:rsidRDefault="00F74984" w:rsidP="00F74984">
            <w:pPr>
              <w:spacing w:line="276" w:lineRule="auto"/>
              <w:jc w:val="center"/>
              <w:rPr>
                <w:rFonts w:eastAsia="Times New Roman" w:cstheme="minorHAnsi"/>
                <w:sz w:val="20"/>
                <w:szCs w:val="20"/>
              </w:rPr>
            </w:pPr>
            <w:r w:rsidRPr="00F74984">
              <w:rPr>
                <w:rFonts w:eastAsia="Times New Roman" w:cstheme="minorHAnsi"/>
                <w:sz w:val="20"/>
                <w:szCs w:val="20"/>
              </w:rPr>
              <w:t>4.1%</w:t>
            </w:r>
          </w:p>
        </w:tc>
        <w:tc>
          <w:tcPr>
            <w:tcW w:w="2100" w:type="dxa"/>
          </w:tcPr>
          <w:p w14:paraId="74B55C0B" w14:textId="77777777" w:rsidR="00F74984" w:rsidRPr="00F74984" w:rsidRDefault="00F74984" w:rsidP="00F74984">
            <w:pPr>
              <w:spacing w:line="276" w:lineRule="auto"/>
              <w:jc w:val="center"/>
              <w:rPr>
                <w:rFonts w:eastAsia="Times New Roman" w:cstheme="minorHAnsi"/>
                <w:sz w:val="20"/>
                <w:szCs w:val="20"/>
              </w:rPr>
            </w:pPr>
            <w:r w:rsidRPr="00F74984">
              <w:rPr>
                <w:rFonts w:eastAsia="Times New Roman" w:cstheme="minorHAnsi"/>
                <w:sz w:val="20"/>
                <w:szCs w:val="20"/>
              </w:rPr>
              <w:t>4.3%</w:t>
            </w:r>
          </w:p>
        </w:tc>
      </w:tr>
    </w:tbl>
    <w:p w14:paraId="4534191B" w14:textId="77777777" w:rsidR="00F74984" w:rsidRPr="00F74984" w:rsidRDefault="00F74984" w:rsidP="00F74984">
      <w:pPr>
        <w:ind w:left="1440"/>
        <w:contextualSpacing/>
        <w:jc w:val="both"/>
      </w:pPr>
    </w:p>
    <w:p w14:paraId="7AB3F2DA" w14:textId="77777777" w:rsidR="00F74984" w:rsidRPr="00F74984" w:rsidRDefault="00F74984" w:rsidP="00F74984">
      <w:pPr>
        <w:ind w:left="1440"/>
        <w:contextualSpacing/>
        <w:jc w:val="both"/>
        <w:rPr>
          <w:u w:val="single"/>
        </w:rPr>
      </w:pPr>
      <w:r w:rsidRPr="00F74984">
        <w:rPr>
          <w:u w:val="single"/>
        </w:rPr>
        <w:t>Melrose / Wakefield</w:t>
      </w:r>
    </w:p>
    <w:p w14:paraId="6478916D" w14:textId="77777777" w:rsidR="00F74984" w:rsidRPr="00F74984" w:rsidRDefault="00F74984" w:rsidP="00F74984">
      <w:pPr>
        <w:ind w:left="1440"/>
        <w:contextualSpacing/>
        <w:jc w:val="both"/>
      </w:pPr>
      <w:r w:rsidRPr="00F74984">
        <w:t>The top three causes of death in both Melrose and Wakefield are: dementia; chronic ischemic heart disease; and lung cancer.</w:t>
      </w:r>
      <w:r w:rsidRPr="00F74984">
        <w:rPr>
          <w:vertAlign w:val="superscript"/>
        </w:rPr>
        <w:footnoteReference w:id="33"/>
      </w:r>
      <w:r w:rsidRPr="00F74984">
        <w:t xml:space="preserve"> Clinical use of PET-CT is well established in neurodegenerative disorders,</w:t>
      </w:r>
      <w:r w:rsidRPr="00F74984">
        <w:rPr>
          <w:vertAlign w:val="superscript"/>
        </w:rPr>
        <w:footnoteReference w:id="34"/>
      </w:r>
      <w:r w:rsidRPr="00F74984">
        <w:t xml:space="preserve"> cardiac conditions,</w:t>
      </w:r>
      <w:r w:rsidRPr="00F74984">
        <w:rPr>
          <w:vertAlign w:val="superscript"/>
        </w:rPr>
        <w:footnoteReference w:id="35"/>
      </w:r>
      <w:r w:rsidRPr="00F74984">
        <w:t xml:space="preserve"> and oncologic disease states,</w:t>
      </w:r>
      <w:r w:rsidRPr="00F74984">
        <w:rPr>
          <w:vertAlign w:val="superscript"/>
        </w:rPr>
        <w:footnoteReference w:id="36"/>
      </w:r>
      <w:r w:rsidRPr="00F74984">
        <w:t xml:space="preserve"> for its capacity to identify and diagnosis of specific conditions as discussed in further detail later in this narrative.</w:t>
      </w:r>
    </w:p>
    <w:p w14:paraId="006FE2BC" w14:textId="77777777" w:rsidR="00F74984" w:rsidRPr="00F74984" w:rsidRDefault="00F74984" w:rsidP="00F74984">
      <w:pPr>
        <w:ind w:left="1440"/>
        <w:contextualSpacing/>
        <w:jc w:val="both"/>
      </w:pPr>
    </w:p>
    <w:p w14:paraId="5F59FB7F" w14:textId="77777777" w:rsidR="00F74984" w:rsidRPr="00F74984" w:rsidRDefault="00F74984" w:rsidP="00F74984">
      <w:pPr>
        <w:ind w:left="1440"/>
        <w:contextualSpacing/>
        <w:jc w:val="both"/>
        <w:rPr>
          <w:u w:val="single"/>
        </w:rPr>
      </w:pPr>
      <w:r w:rsidRPr="00F74984">
        <w:rPr>
          <w:u w:val="single"/>
        </w:rPr>
        <w:t>Statewide</w:t>
      </w:r>
    </w:p>
    <w:p w14:paraId="1A120FA1" w14:textId="77777777" w:rsidR="00F74984" w:rsidRPr="00F74984" w:rsidRDefault="00F74984" w:rsidP="00F74984">
      <w:pPr>
        <w:ind w:left="1440"/>
        <w:contextualSpacing/>
        <w:jc w:val="both"/>
        <w:rPr>
          <w:bCs/>
        </w:rPr>
      </w:pPr>
      <w:r w:rsidRPr="00F74984">
        <w:t>Statewide population projections provided by the University of Massachusetts’ Donahue Institute suggest that population growth in Massachusetts is expected to increase through 2035.</w:t>
      </w:r>
      <w:r w:rsidRPr="00F74984">
        <w:rPr>
          <w:vertAlign w:val="superscript"/>
        </w:rPr>
        <w:footnoteReference w:id="37"/>
      </w:r>
      <w:r w:rsidRPr="00F74984">
        <w:t xml:space="preserve"> While overall statewide population growth will continue to grow at a consistent rate of 3.2% during this period, estimates suggest that certain age cohorts will account for a greater share of the population than others. Specifically, within the next 15-</w:t>
      </w:r>
      <w:r w:rsidRPr="00F74984">
        <w:lastRenderedPageBreak/>
        <w:t>20 years, the largest part of the Commonwealth’s population growth will be attributable to residents within the 50+ age cohort, and residents that are 65+ will represent a 21% of the Massachusetts population</w:t>
      </w:r>
      <w:r w:rsidRPr="00F74984">
        <w:rPr>
          <w:bCs/>
        </w:rPr>
        <w:t>.</w:t>
      </w:r>
      <w:r w:rsidRPr="00F74984">
        <w:rPr>
          <w:vertAlign w:val="superscript"/>
        </w:rPr>
        <w:footnoteReference w:id="38"/>
      </w:r>
      <w:r w:rsidRPr="00F74984">
        <w:rPr>
          <w:bCs/>
        </w:rPr>
        <w:t xml:space="preserve"> </w:t>
      </w:r>
    </w:p>
    <w:p w14:paraId="41EE6649" w14:textId="77777777" w:rsidR="00F74984" w:rsidRPr="00F74984" w:rsidRDefault="00F74984" w:rsidP="00F74984">
      <w:pPr>
        <w:ind w:left="1440"/>
        <w:contextualSpacing/>
        <w:jc w:val="both"/>
        <w:rPr>
          <w:bCs/>
        </w:rPr>
      </w:pPr>
    </w:p>
    <w:p w14:paraId="71D6CD57" w14:textId="77777777" w:rsidR="00F74984" w:rsidRPr="00F74984" w:rsidRDefault="00F74984" w:rsidP="00F74984">
      <w:pPr>
        <w:ind w:left="1440"/>
        <w:contextualSpacing/>
        <w:jc w:val="both"/>
      </w:pPr>
      <w:r w:rsidRPr="00F74984">
        <w:t xml:space="preserve">Assuming the demographic trends within the Melrose/Wakefield area continue to mirror that of the state, it is expected that these areas will continue to see growth in the 50+ age cohort that the Applicant hopes to serve.  Also compelling is the Advisory Board’s forecast that the MelroseWakefield PSA for people aged 65+ is projected to increase on average by +12.9% over the next five (5) years (CAGR of +2.5%). As the number of patients that fall into that age cohort continues to grow, the </w:t>
      </w:r>
      <w:bookmarkStart w:id="14" w:name="_Hlk98500256"/>
      <w:r w:rsidRPr="00F74984">
        <w:t>need for imaging services, such as PET-CT, becomes more important for detecting, managing, and treating age-related condition</w:t>
      </w:r>
      <w:bookmarkEnd w:id="14"/>
      <w:r w:rsidRPr="00F74984">
        <w:t>s,</w:t>
      </w:r>
      <w:r w:rsidRPr="00F74984">
        <w:rPr>
          <w:vertAlign w:val="superscript"/>
        </w:rPr>
        <w:footnoteReference w:id="39"/>
      </w:r>
      <w:r w:rsidRPr="00F74984">
        <w:t xml:space="preserve"> as discussed in further detail later in this narrative. </w:t>
      </w:r>
    </w:p>
    <w:p w14:paraId="5890861A" w14:textId="77777777" w:rsidR="00F74984" w:rsidRPr="00F74984" w:rsidRDefault="00F74984" w:rsidP="00F74984">
      <w:pPr>
        <w:ind w:left="1440"/>
        <w:contextualSpacing/>
        <w:jc w:val="both"/>
      </w:pPr>
    </w:p>
    <w:p w14:paraId="3B758B42" w14:textId="77777777" w:rsidR="00F74984" w:rsidRPr="00F74984" w:rsidRDefault="00F74984" w:rsidP="00F74984">
      <w:pPr>
        <w:ind w:left="1440"/>
        <w:contextualSpacing/>
        <w:jc w:val="both"/>
      </w:pPr>
      <w:r w:rsidRPr="00F74984">
        <w:t>To ensure that Melrose/Wakefield’s aging population has continued access to high quality PET-CT services with proven</w:t>
      </w:r>
      <w:r w:rsidRPr="00F74984">
        <w:rPr>
          <w:bCs/>
        </w:rPr>
        <w:t xml:space="preserve"> </w:t>
      </w:r>
      <w:r w:rsidRPr="00F74984">
        <w:t>effectiveness in the fields of oncology, cardiology, and neurology, the Applicant seeks to establish a licensed IDTF satellite clinic to replace and maintain PET-CT imaging services within the serviceable catchment area.</w:t>
      </w:r>
    </w:p>
    <w:p w14:paraId="276C2776" w14:textId="77777777" w:rsidR="00F74984" w:rsidRPr="00F74984" w:rsidRDefault="00F74984" w:rsidP="00F74984">
      <w:pPr>
        <w:ind w:left="1440"/>
        <w:contextualSpacing/>
        <w:jc w:val="both"/>
        <w:rPr>
          <w:bCs/>
        </w:rPr>
      </w:pPr>
    </w:p>
    <w:p w14:paraId="7B32B474" w14:textId="77777777" w:rsidR="00F74984" w:rsidRPr="00F74984" w:rsidRDefault="00F74984" w:rsidP="00F74984">
      <w:pPr>
        <w:numPr>
          <w:ilvl w:val="1"/>
          <w:numId w:val="2"/>
        </w:numPr>
        <w:contextualSpacing/>
        <w:rPr>
          <w:bCs/>
        </w:rPr>
      </w:pPr>
      <w:r w:rsidRPr="00F74984">
        <w:rPr>
          <w:bCs/>
        </w:rPr>
        <w:t>The increased number of patients, especially older patients, with underlying age-related oncologic, cardiac, and neurologic conditions supports the need for PET-CT imaging services.</w:t>
      </w:r>
    </w:p>
    <w:p w14:paraId="6341B721" w14:textId="77777777" w:rsidR="00F74984" w:rsidRPr="00F74984" w:rsidRDefault="00F74984" w:rsidP="00F74984">
      <w:pPr>
        <w:ind w:left="1080"/>
        <w:contextualSpacing/>
        <w:rPr>
          <w:bCs/>
        </w:rPr>
      </w:pPr>
    </w:p>
    <w:p w14:paraId="6B1B69E4" w14:textId="77777777" w:rsidR="00F74984" w:rsidRPr="00F74984" w:rsidRDefault="00F74984" w:rsidP="00F74984">
      <w:pPr>
        <w:ind w:left="1440"/>
        <w:contextualSpacing/>
        <w:jc w:val="both"/>
        <w:rPr>
          <w:bCs/>
        </w:rPr>
      </w:pPr>
      <w:r w:rsidRPr="00F74984">
        <w:rPr>
          <w:bCs/>
        </w:rPr>
        <w:t>In consideration of the aging population, “imaging strongly contributes to establishing accurate and timely diagnosis, informs and guides treatment decisions and contributes to improving treatment outcomes.”</w:t>
      </w:r>
      <w:r w:rsidRPr="00F74984">
        <w:rPr>
          <w:bCs/>
          <w:vertAlign w:val="superscript"/>
        </w:rPr>
        <w:footnoteReference w:id="40"/>
      </w:r>
      <w:r w:rsidRPr="00F74984">
        <w:rPr>
          <w:bCs/>
        </w:rPr>
        <w:t xml:space="preserve"> Imaging is used for precise planning of radiotherapy procedures as well as for real-time visualization of different image-guided interventions and is essential in tumor sampling for pathology work-up,</w:t>
      </w:r>
      <w:r w:rsidRPr="00F74984">
        <w:rPr>
          <w:bCs/>
          <w:vertAlign w:val="superscript"/>
        </w:rPr>
        <w:footnoteReference w:id="41"/>
      </w:r>
      <w:r w:rsidRPr="00F74984">
        <w:rPr>
          <w:bCs/>
        </w:rPr>
        <w:t xml:space="preserve"> which is essential to the Applicant’s aging patients with oncologic, cardiac, and/or neurological concerns.  Following the concept of value-based healthcare, a multi-society statement was recently published to elucidate the value that radiology provides to patients and healthcare.</w:t>
      </w:r>
      <w:r w:rsidRPr="00F74984">
        <w:rPr>
          <w:bCs/>
          <w:vertAlign w:val="superscript"/>
        </w:rPr>
        <w:footnoteReference w:id="42"/>
      </w:r>
    </w:p>
    <w:p w14:paraId="6C697E0B" w14:textId="77777777" w:rsidR="006836F8" w:rsidRPr="00F74984" w:rsidRDefault="006836F8" w:rsidP="00F74984">
      <w:pPr>
        <w:ind w:left="1440"/>
        <w:contextualSpacing/>
        <w:jc w:val="both"/>
        <w:rPr>
          <w:bCs/>
        </w:rPr>
      </w:pPr>
    </w:p>
    <w:p w14:paraId="04888098" w14:textId="77777777" w:rsidR="009151B0" w:rsidRDefault="009151B0" w:rsidP="00F74984">
      <w:pPr>
        <w:ind w:left="1440"/>
        <w:contextualSpacing/>
        <w:rPr>
          <w:bCs/>
          <w:u w:val="single"/>
        </w:rPr>
      </w:pPr>
    </w:p>
    <w:p w14:paraId="131AD616" w14:textId="77777777" w:rsidR="009151B0" w:rsidRDefault="009151B0" w:rsidP="00F74984">
      <w:pPr>
        <w:ind w:left="1440"/>
        <w:contextualSpacing/>
        <w:rPr>
          <w:bCs/>
          <w:u w:val="single"/>
        </w:rPr>
      </w:pPr>
    </w:p>
    <w:p w14:paraId="4AE3CA3D" w14:textId="77777777" w:rsidR="009151B0" w:rsidRDefault="009151B0" w:rsidP="00F74984">
      <w:pPr>
        <w:ind w:left="1440"/>
        <w:contextualSpacing/>
        <w:rPr>
          <w:bCs/>
          <w:u w:val="single"/>
        </w:rPr>
      </w:pPr>
    </w:p>
    <w:p w14:paraId="64B6D1CD" w14:textId="77777777" w:rsidR="009151B0" w:rsidRDefault="009151B0" w:rsidP="00F74984">
      <w:pPr>
        <w:ind w:left="1440"/>
        <w:contextualSpacing/>
        <w:rPr>
          <w:bCs/>
          <w:u w:val="single"/>
        </w:rPr>
      </w:pPr>
    </w:p>
    <w:p w14:paraId="6CFCCB65" w14:textId="77777777" w:rsidR="009151B0" w:rsidRDefault="009151B0" w:rsidP="00F74984">
      <w:pPr>
        <w:ind w:left="1440"/>
        <w:contextualSpacing/>
        <w:rPr>
          <w:bCs/>
          <w:u w:val="single"/>
        </w:rPr>
      </w:pPr>
    </w:p>
    <w:p w14:paraId="266F424F" w14:textId="549B82FB" w:rsidR="00F74984" w:rsidRPr="00F74984" w:rsidRDefault="00F74984" w:rsidP="00F74984">
      <w:pPr>
        <w:ind w:left="1440"/>
        <w:contextualSpacing/>
        <w:rPr>
          <w:bCs/>
          <w:u w:val="single"/>
        </w:rPr>
      </w:pPr>
      <w:r w:rsidRPr="00F74984">
        <w:rPr>
          <w:bCs/>
          <w:u w:val="single"/>
        </w:rPr>
        <w:lastRenderedPageBreak/>
        <w:t>Oncologic Conditions and the Need for PET-CT</w:t>
      </w:r>
    </w:p>
    <w:p w14:paraId="715EC7E8" w14:textId="77777777" w:rsidR="009151B0" w:rsidRDefault="009151B0" w:rsidP="00F74984">
      <w:pPr>
        <w:ind w:left="1440"/>
        <w:contextualSpacing/>
        <w:jc w:val="both"/>
        <w:rPr>
          <w:bCs/>
        </w:rPr>
      </w:pPr>
    </w:p>
    <w:p w14:paraId="2A2EFA40" w14:textId="2E759EED" w:rsidR="00F74984" w:rsidRPr="00F74984" w:rsidRDefault="00F74984" w:rsidP="00F74984">
      <w:pPr>
        <w:ind w:left="1440"/>
        <w:contextualSpacing/>
        <w:jc w:val="both"/>
        <w:rPr>
          <w:bCs/>
        </w:rPr>
      </w:pPr>
      <w:r w:rsidRPr="00F74984">
        <w:rPr>
          <w:bCs/>
        </w:rPr>
        <w:t>Research studies and their findings demonstrate that the prevalence of cancer increases with age.</w:t>
      </w:r>
      <w:r w:rsidRPr="00F74984">
        <w:rPr>
          <w:bCs/>
          <w:vertAlign w:val="superscript"/>
        </w:rPr>
        <w:footnoteReference w:id="43"/>
      </w:r>
      <w:r w:rsidRPr="00F74984">
        <w:rPr>
          <w:bCs/>
        </w:rPr>
        <w:t xml:space="preserve"> Persons over 65 account for 60% of newly diagnosed malignancies and 70% of all cancer deaths, the incidence of cancer in individuals over 65 is 10 times greater than in those younger than 65, and the cancer death rate is 16 times greater in patients over 65 compared to younger patients.</w:t>
      </w:r>
      <w:r w:rsidRPr="00F74984">
        <w:rPr>
          <w:bCs/>
          <w:vertAlign w:val="superscript"/>
        </w:rPr>
        <w:footnoteReference w:id="44"/>
      </w:r>
      <w:r w:rsidRPr="00F74984">
        <w:rPr>
          <w:bCs/>
        </w:rPr>
        <w:t xml:space="preserve"> Furthermore, even with a progressive decrease in the cancer incidence and death rate, aging of the population will be accompanied by a marked increase in the total number of patients with cancer,</w:t>
      </w:r>
      <w:r w:rsidRPr="00F74984">
        <w:rPr>
          <w:bCs/>
          <w:vertAlign w:val="superscript"/>
        </w:rPr>
        <w:footnoteReference w:id="45"/>
      </w:r>
      <w:r w:rsidRPr="00F74984">
        <w:rPr>
          <w:bCs/>
        </w:rPr>
        <w:t xml:space="preserve"> the majority of whom will require the most precise diagnostic imaging. </w:t>
      </w:r>
    </w:p>
    <w:p w14:paraId="674327E3" w14:textId="77777777" w:rsidR="00F74984" w:rsidRPr="00F74984" w:rsidRDefault="00F74984" w:rsidP="00F74984">
      <w:pPr>
        <w:ind w:left="1440"/>
        <w:contextualSpacing/>
        <w:jc w:val="both"/>
        <w:rPr>
          <w:bCs/>
        </w:rPr>
      </w:pPr>
    </w:p>
    <w:p w14:paraId="165E29FA" w14:textId="77777777" w:rsidR="00F74984" w:rsidRPr="00F74984" w:rsidRDefault="00F74984" w:rsidP="00F74984">
      <w:pPr>
        <w:ind w:left="1440"/>
        <w:contextualSpacing/>
        <w:jc w:val="both"/>
      </w:pPr>
      <w:r w:rsidRPr="00F74984">
        <w:t>In Middlesex County, where MWH and the proposed PET-CT facility are located, the age adjusted annual incidence of cancer rate was 436.5</w:t>
      </w:r>
      <w:r w:rsidRPr="00F74984">
        <w:rPr>
          <w:bCs/>
        </w:rPr>
        <w:t xml:space="preserve"> - </w:t>
      </w:r>
      <w:r w:rsidRPr="00F74984">
        <w:t>462.3 per 100,000 persons.</w:t>
      </w:r>
      <w:r w:rsidRPr="00F74984">
        <w:rPr>
          <w:vertAlign w:val="superscript"/>
        </w:rPr>
        <w:footnoteReference w:id="46"/>
      </w:r>
      <w:r w:rsidRPr="00F74984">
        <w:t xml:space="preserve">  According to the American Cancer Society, there is projected to be 42,190 new cases of cancer in Massachusetts in 2022</w:t>
      </w:r>
      <w:r w:rsidRPr="00F74984">
        <w:rPr>
          <w:bCs/>
        </w:rPr>
        <w:t>,</w:t>
      </w:r>
      <w:r w:rsidRPr="00F74984">
        <w:rPr>
          <w:vertAlign w:val="superscript"/>
        </w:rPr>
        <w:footnoteReference w:id="47"/>
      </w:r>
      <w:r w:rsidRPr="00F74984">
        <w:t xml:space="preserve"> and 12,520 cancer related deaths.</w:t>
      </w:r>
      <w:r w:rsidRPr="00F74984">
        <w:rPr>
          <w:vertAlign w:val="superscript"/>
        </w:rPr>
        <w:footnoteReference w:id="48"/>
      </w:r>
      <w:r w:rsidRPr="00F74984">
        <w:rPr>
          <w:bCs/>
        </w:rPr>
        <w:t xml:space="preserve">  </w:t>
      </w:r>
      <w:r w:rsidRPr="00F74984">
        <w:t>The most diagnosed type of cancer in Massachusetts for men between 2014-2018 was prostate cancer, followed by cancers of the bronchus and lung, colon/rectum, and urinary bladder. Among women in Massachusetts during that same period, the most diagnosed cancer types were cancers of the breast, bronchus and lung, colon/rectum, and corpus uteri (uterus).</w:t>
      </w:r>
      <w:r w:rsidRPr="00F74984">
        <w:rPr>
          <w:vertAlign w:val="superscript"/>
        </w:rPr>
        <w:footnoteReference w:id="49"/>
      </w:r>
      <w:r w:rsidRPr="00F74984">
        <w:rPr>
          <w:bCs/>
        </w:rPr>
        <w:t xml:space="preserve">  </w:t>
      </w:r>
    </w:p>
    <w:p w14:paraId="357D0E9F" w14:textId="77777777" w:rsidR="00F74984" w:rsidRPr="00F74984" w:rsidRDefault="00F74984" w:rsidP="00F74984">
      <w:pPr>
        <w:ind w:left="1440"/>
        <w:contextualSpacing/>
        <w:jc w:val="both"/>
        <w:rPr>
          <w:bCs/>
        </w:rPr>
      </w:pPr>
    </w:p>
    <w:p w14:paraId="19A6C973" w14:textId="77777777" w:rsidR="00F74984" w:rsidRPr="00F74984" w:rsidRDefault="00F74984" w:rsidP="00F74984">
      <w:pPr>
        <w:ind w:left="1440"/>
        <w:contextualSpacing/>
        <w:jc w:val="both"/>
        <w:rPr>
          <w:bCs/>
        </w:rPr>
      </w:pPr>
      <w:r w:rsidRPr="00F74984">
        <w:rPr>
          <w:bCs/>
        </w:rPr>
        <w:t xml:space="preserve">Lower rates of cancer screening caused by the COVID-19 pandemic will likely translate into increased cancer deaths over the next decade, according to recent research published in the journal </w:t>
      </w:r>
      <w:r w:rsidRPr="00F74984">
        <w:rPr>
          <w:bCs/>
          <w:i/>
          <w:iCs/>
        </w:rPr>
        <w:t>Cancer</w:t>
      </w:r>
      <w:r w:rsidRPr="00F74984">
        <w:rPr>
          <w:bCs/>
        </w:rPr>
        <w:t>.</w:t>
      </w:r>
      <w:r w:rsidRPr="00F74984">
        <w:rPr>
          <w:bCs/>
          <w:vertAlign w:val="superscript"/>
        </w:rPr>
        <w:footnoteReference w:id="50"/>
      </w:r>
      <w:r w:rsidRPr="00F74984">
        <w:rPr>
          <w:bCs/>
        </w:rPr>
        <w:t xml:space="preserve"> The report shows how the pandemic affected screening rates for breast, colorectal, lung, and cervical cancers in the U.S. – more than 9.4 million screening exams were missed in 2020 – and underscores the effort needed to tackle the problem, according to a group led by Dr. Rachel Joung of Northwestern University in Chicago.</w:t>
      </w:r>
      <w:r w:rsidRPr="00F74984">
        <w:rPr>
          <w:bCs/>
          <w:vertAlign w:val="superscript"/>
        </w:rPr>
        <w:footnoteReference w:id="51"/>
      </w:r>
    </w:p>
    <w:p w14:paraId="2E8AF288" w14:textId="77777777" w:rsidR="00F74984" w:rsidRPr="00F74984" w:rsidRDefault="00F74984" w:rsidP="00F74984">
      <w:pPr>
        <w:ind w:left="1440"/>
        <w:contextualSpacing/>
        <w:jc w:val="both"/>
        <w:rPr>
          <w:bCs/>
        </w:rPr>
      </w:pPr>
    </w:p>
    <w:p w14:paraId="23871643" w14:textId="77777777" w:rsidR="00F74984" w:rsidRPr="00F74984" w:rsidRDefault="00F74984" w:rsidP="00F74984">
      <w:pPr>
        <w:ind w:left="1440"/>
        <w:contextualSpacing/>
        <w:jc w:val="both"/>
        <w:rPr>
          <w:bCs/>
        </w:rPr>
      </w:pPr>
      <w:bookmarkStart w:id="17" w:name="_Hlk111029197"/>
      <w:r w:rsidRPr="00F74984">
        <w:rPr>
          <w:bCs/>
        </w:rPr>
        <w:t>Patient panel data for MWH’s patients provide that 3,007 patients were treated for oncological-related issues in FY19; 2,656 patients in FY20; and 2,671 in FY21</w:t>
      </w:r>
      <w:bookmarkEnd w:id="17"/>
      <w:r w:rsidRPr="00F74984">
        <w:rPr>
          <w:bCs/>
        </w:rPr>
        <w:t xml:space="preserve">.  </w:t>
      </w:r>
    </w:p>
    <w:p w14:paraId="106DCD6D" w14:textId="77777777" w:rsidR="00F74984" w:rsidRPr="00F74984" w:rsidRDefault="00F74984" w:rsidP="00F74984">
      <w:pPr>
        <w:ind w:left="1440"/>
        <w:contextualSpacing/>
        <w:jc w:val="both"/>
        <w:rPr>
          <w:bCs/>
        </w:rPr>
      </w:pPr>
    </w:p>
    <w:p w14:paraId="5F6E9434" w14:textId="77777777" w:rsidR="00F74984" w:rsidRPr="00F74984" w:rsidRDefault="00F74984" w:rsidP="00F74984">
      <w:pPr>
        <w:ind w:left="1440"/>
        <w:contextualSpacing/>
        <w:jc w:val="both"/>
        <w:rPr>
          <w:bCs/>
        </w:rPr>
      </w:pPr>
      <w:r w:rsidRPr="00F74984">
        <w:rPr>
          <w:bCs/>
        </w:rPr>
        <w:lastRenderedPageBreak/>
        <w:t>Furthermore, in the realm of expanded uses for PET-CT, several new PET tracers are under investigation for potential use in urological oncology.</w:t>
      </w:r>
      <w:r w:rsidRPr="00F74984">
        <w:rPr>
          <w:bCs/>
          <w:vertAlign w:val="superscript"/>
        </w:rPr>
        <w:footnoteReference w:id="52"/>
      </w:r>
      <w:r w:rsidRPr="00F74984">
        <w:rPr>
          <w:bCs/>
        </w:rPr>
        <w:t xml:space="preserve"> There is a future role for PET-CT in the management of urological malignancies, including testicular, kidney, bladder, and prostate cancer.</w:t>
      </w:r>
      <w:r w:rsidRPr="00F74984">
        <w:rPr>
          <w:bCs/>
          <w:vertAlign w:val="superscript"/>
        </w:rPr>
        <w:footnoteReference w:id="53"/>
      </w:r>
      <w:r w:rsidRPr="00F74984">
        <w:rPr>
          <w:bCs/>
        </w:rPr>
        <w:t xml:space="preserve"> There is increasing evidence that PET-CT influences urological treatment decisions by the detection and localization of recurrent disease that is often missed by using conventional imaging methods.</w:t>
      </w:r>
      <w:r w:rsidRPr="00F74984">
        <w:rPr>
          <w:bCs/>
          <w:vertAlign w:val="superscript"/>
        </w:rPr>
        <w:footnoteReference w:id="54"/>
      </w:r>
    </w:p>
    <w:p w14:paraId="30388547" w14:textId="77777777" w:rsidR="00F74984" w:rsidRPr="00F74984" w:rsidRDefault="00F74984" w:rsidP="00F74984">
      <w:pPr>
        <w:ind w:left="1440"/>
        <w:contextualSpacing/>
        <w:jc w:val="both"/>
        <w:rPr>
          <w:bCs/>
        </w:rPr>
      </w:pPr>
    </w:p>
    <w:p w14:paraId="035DCE56" w14:textId="77777777" w:rsidR="00F74984" w:rsidRPr="00F74984" w:rsidRDefault="00F74984" w:rsidP="00F74984">
      <w:pPr>
        <w:ind w:left="1440"/>
        <w:contextualSpacing/>
        <w:jc w:val="both"/>
        <w:rPr>
          <w:bCs/>
        </w:rPr>
      </w:pPr>
      <w:r w:rsidRPr="00F74984">
        <w:rPr>
          <w:bCs/>
        </w:rPr>
        <w:t>Patient panel data for MWH’s patients provide that 5,529 patients were treated for urological-related issues in FY19; 4,421 patients in FY20; and 4,694 in FY21.</w:t>
      </w:r>
    </w:p>
    <w:p w14:paraId="40C16F0A" w14:textId="77777777" w:rsidR="00F74984" w:rsidRPr="00F74984" w:rsidRDefault="00F74984" w:rsidP="00F74984">
      <w:pPr>
        <w:ind w:left="1440"/>
        <w:contextualSpacing/>
        <w:jc w:val="both"/>
        <w:rPr>
          <w:bCs/>
          <w:u w:val="single"/>
        </w:rPr>
      </w:pPr>
    </w:p>
    <w:p w14:paraId="57CDBC81" w14:textId="77777777" w:rsidR="00F74984" w:rsidRPr="00F74984" w:rsidRDefault="00F74984" w:rsidP="00F74984">
      <w:pPr>
        <w:ind w:left="1440"/>
        <w:contextualSpacing/>
        <w:jc w:val="both"/>
        <w:rPr>
          <w:bCs/>
          <w:u w:val="single"/>
        </w:rPr>
      </w:pPr>
      <w:r w:rsidRPr="00F74984">
        <w:rPr>
          <w:bCs/>
          <w:u w:val="single"/>
        </w:rPr>
        <w:t>Cancer Rates for Melrose and Wakefield</w:t>
      </w:r>
    </w:p>
    <w:p w14:paraId="0AC593F5" w14:textId="77777777" w:rsidR="00F74984" w:rsidRPr="00F74984" w:rsidRDefault="00F74984" w:rsidP="00F74984">
      <w:pPr>
        <w:ind w:left="1440"/>
        <w:contextualSpacing/>
        <w:jc w:val="both"/>
        <w:rPr>
          <w:bCs/>
          <w:u w:val="single"/>
        </w:rPr>
      </w:pPr>
    </w:p>
    <w:p w14:paraId="58C9D17A" w14:textId="77777777" w:rsidR="00F74984" w:rsidRPr="00F74984" w:rsidRDefault="00F74984" w:rsidP="00F74984">
      <w:pPr>
        <w:ind w:left="1440"/>
        <w:contextualSpacing/>
        <w:jc w:val="both"/>
        <w:rPr>
          <w:bCs/>
        </w:rPr>
      </w:pPr>
      <w:r w:rsidRPr="00F74984">
        <w:rPr>
          <w:bCs/>
        </w:rPr>
        <w:t>As part of the Massachusetts cancer registry, the Office of Data Management and Outcomes Assessment and the Department of Public Health releases a Cancer Incidence City &amp; Town Supplement.</w:t>
      </w:r>
      <w:r w:rsidRPr="00F74984">
        <w:rPr>
          <w:bCs/>
          <w:vertAlign w:val="superscript"/>
        </w:rPr>
        <w:footnoteReference w:id="55"/>
      </w:r>
      <w:r w:rsidRPr="00F74984">
        <w:rPr>
          <w:bCs/>
        </w:rPr>
        <w:t xml:space="preserve"> This report provides standardizes incidence ratios (SIRs) for 23 types of cancers in the 351 cities and towns in Massachusetts over a 5-year time frame. The most recent report contains information from 2011-2015.</w:t>
      </w:r>
      <w:r w:rsidRPr="00F74984">
        <w:rPr>
          <w:bCs/>
          <w:vertAlign w:val="superscript"/>
        </w:rPr>
        <w:footnoteReference w:id="56"/>
      </w:r>
    </w:p>
    <w:p w14:paraId="51762D5B" w14:textId="77777777" w:rsidR="00F74984" w:rsidRPr="00F74984" w:rsidRDefault="00F74984" w:rsidP="00F74984">
      <w:pPr>
        <w:ind w:left="1440"/>
        <w:contextualSpacing/>
        <w:jc w:val="both"/>
        <w:rPr>
          <w:bCs/>
        </w:rPr>
      </w:pPr>
    </w:p>
    <w:p w14:paraId="3DB6D573" w14:textId="77777777" w:rsidR="00F74984" w:rsidRPr="00F74984" w:rsidRDefault="00F74984" w:rsidP="00F74984">
      <w:pPr>
        <w:ind w:left="1440"/>
        <w:contextualSpacing/>
        <w:jc w:val="both"/>
        <w:rPr>
          <w:bCs/>
        </w:rPr>
      </w:pPr>
      <w:r w:rsidRPr="00F74984">
        <w:rPr>
          <w:bCs/>
        </w:rPr>
        <w:t>As stated in the report, the measurement tool, known as the Standardized Incidence Ratio (SIR), is an indirect method of adjustment for age and sex that describes in numerical terms how a city/town’s cancer experience in a given time period compares with the state as a whole. An SIR of 100 indicates that a city/town’s incidence of a certain type of cancer is equal to that expected based on statewide average age-specific incidence rates. An SIR of more than 100 indicates that a city/town’s incidence of a certain type of cancer is higher than expected for that type of cancer based on statewide average annual age specific incidence rates.</w:t>
      </w:r>
      <w:r w:rsidRPr="00F74984">
        <w:rPr>
          <w:bCs/>
          <w:vertAlign w:val="superscript"/>
        </w:rPr>
        <w:footnoteReference w:id="57"/>
      </w:r>
    </w:p>
    <w:p w14:paraId="2A276B01" w14:textId="3913D754" w:rsidR="00F74984" w:rsidRDefault="00F74984" w:rsidP="00F74984">
      <w:pPr>
        <w:ind w:left="1440"/>
        <w:contextualSpacing/>
        <w:jc w:val="both"/>
        <w:rPr>
          <w:bCs/>
        </w:rPr>
      </w:pPr>
    </w:p>
    <w:p w14:paraId="4938923F" w14:textId="1A4F67D6" w:rsidR="009151B0" w:rsidRDefault="009151B0" w:rsidP="00F74984">
      <w:pPr>
        <w:ind w:left="1440"/>
        <w:contextualSpacing/>
        <w:jc w:val="both"/>
        <w:rPr>
          <w:bCs/>
        </w:rPr>
      </w:pPr>
    </w:p>
    <w:p w14:paraId="734F3443" w14:textId="4094DF08" w:rsidR="009151B0" w:rsidRDefault="009151B0" w:rsidP="00F74984">
      <w:pPr>
        <w:ind w:left="1440"/>
        <w:contextualSpacing/>
        <w:jc w:val="both"/>
        <w:rPr>
          <w:bCs/>
        </w:rPr>
      </w:pPr>
    </w:p>
    <w:p w14:paraId="2A3D16F1" w14:textId="04A5D7A6" w:rsidR="009151B0" w:rsidRDefault="009151B0" w:rsidP="00F74984">
      <w:pPr>
        <w:ind w:left="1440"/>
        <w:contextualSpacing/>
        <w:jc w:val="both"/>
        <w:rPr>
          <w:bCs/>
        </w:rPr>
      </w:pPr>
    </w:p>
    <w:p w14:paraId="694EA257" w14:textId="08B6D5CD" w:rsidR="009151B0" w:rsidRDefault="009151B0" w:rsidP="00F74984">
      <w:pPr>
        <w:ind w:left="1440"/>
        <w:contextualSpacing/>
        <w:jc w:val="both"/>
        <w:rPr>
          <w:bCs/>
        </w:rPr>
      </w:pPr>
    </w:p>
    <w:p w14:paraId="6934C60E" w14:textId="289EE3D9" w:rsidR="009151B0" w:rsidRDefault="009151B0" w:rsidP="00F74984">
      <w:pPr>
        <w:ind w:left="1440"/>
        <w:contextualSpacing/>
        <w:jc w:val="both"/>
        <w:rPr>
          <w:bCs/>
        </w:rPr>
      </w:pPr>
    </w:p>
    <w:p w14:paraId="7297D0B9" w14:textId="452F41B1" w:rsidR="009151B0" w:rsidRDefault="009151B0" w:rsidP="00F74984">
      <w:pPr>
        <w:ind w:left="1440"/>
        <w:contextualSpacing/>
        <w:jc w:val="both"/>
        <w:rPr>
          <w:bCs/>
        </w:rPr>
      </w:pPr>
    </w:p>
    <w:p w14:paraId="40F80023" w14:textId="77777777" w:rsidR="009151B0" w:rsidRDefault="009151B0" w:rsidP="00F74984">
      <w:pPr>
        <w:ind w:left="1440"/>
        <w:contextualSpacing/>
        <w:jc w:val="both"/>
        <w:rPr>
          <w:bCs/>
        </w:rPr>
      </w:pPr>
    </w:p>
    <w:p w14:paraId="1E5AB87C" w14:textId="19642D0A" w:rsidR="006836F8" w:rsidRDefault="006836F8" w:rsidP="00F74984">
      <w:pPr>
        <w:ind w:left="1440"/>
        <w:contextualSpacing/>
        <w:jc w:val="both"/>
        <w:rPr>
          <w:bCs/>
        </w:rPr>
      </w:pPr>
    </w:p>
    <w:p w14:paraId="4540D11E" w14:textId="77777777" w:rsidR="00F74984" w:rsidRPr="00F74984" w:rsidRDefault="00F74984" w:rsidP="00F74984">
      <w:pPr>
        <w:ind w:left="1440"/>
        <w:contextualSpacing/>
        <w:jc w:val="both"/>
        <w:rPr>
          <w:bCs/>
          <w:u w:val="single"/>
        </w:rPr>
      </w:pPr>
      <w:r w:rsidRPr="00F74984">
        <w:rPr>
          <w:bCs/>
          <w:u w:val="single"/>
        </w:rPr>
        <w:lastRenderedPageBreak/>
        <w:t xml:space="preserve">Notable SIRs for Melrose </w:t>
      </w:r>
    </w:p>
    <w:tbl>
      <w:tblPr>
        <w:tblStyle w:val="TableGrid3"/>
        <w:tblW w:w="0" w:type="auto"/>
        <w:tblInd w:w="1435" w:type="dxa"/>
        <w:tblLook w:val="04A0" w:firstRow="1" w:lastRow="0" w:firstColumn="1" w:lastColumn="0" w:noHBand="0" w:noVBand="1"/>
      </w:tblPr>
      <w:tblGrid>
        <w:gridCol w:w="3240"/>
        <w:gridCol w:w="2430"/>
        <w:gridCol w:w="2245"/>
      </w:tblGrid>
      <w:tr w:rsidR="00F74984" w:rsidRPr="00F74984" w14:paraId="467A4AC8" w14:textId="77777777" w:rsidTr="00F05A91">
        <w:trPr>
          <w:cantSplit/>
          <w:tblHeader/>
        </w:trPr>
        <w:tc>
          <w:tcPr>
            <w:tcW w:w="3240" w:type="dxa"/>
            <w:shd w:val="clear" w:color="auto" w:fill="002060"/>
          </w:tcPr>
          <w:p w14:paraId="62A337E0" w14:textId="77777777" w:rsidR="00F74984" w:rsidRPr="00F74984" w:rsidRDefault="00F74984" w:rsidP="00F74984">
            <w:pPr>
              <w:rPr>
                <w:rFonts w:cstheme="minorHAnsi"/>
                <w:b/>
                <w:bCs/>
                <w:sz w:val="20"/>
                <w:szCs w:val="20"/>
              </w:rPr>
            </w:pPr>
            <w:bookmarkStart w:id="18" w:name="_Hlk111546182"/>
            <w:r w:rsidRPr="00F74984">
              <w:rPr>
                <w:rFonts w:cstheme="minorHAnsi"/>
                <w:b/>
                <w:bCs/>
                <w:sz w:val="20"/>
                <w:szCs w:val="20"/>
              </w:rPr>
              <w:t>Cancer Type</w:t>
            </w:r>
          </w:p>
        </w:tc>
        <w:tc>
          <w:tcPr>
            <w:tcW w:w="2430" w:type="dxa"/>
            <w:shd w:val="clear" w:color="auto" w:fill="002060"/>
          </w:tcPr>
          <w:p w14:paraId="2AA36D42" w14:textId="77777777" w:rsidR="00F74984" w:rsidRPr="00F74984" w:rsidRDefault="00F74984" w:rsidP="00F74984">
            <w:pPr>
              <w:rPr>
                <w:rFonts w:cstheme="minorHAnsi"/>
                <w:b/>
                <w:bCs/>
                <w:sz w:val="20"/>
                <w:szCs w:val="20"/>
              </w:rPr>
            </w:pPr>
            <w:r w:rsidRPr="00F74984">
              <w:rPr>
                <w:rFonts w:cstheme="minorHAnsi"/>
                <w:b/>
                <w:bCs/>
                <w:sz w:val="20"/>
                <w:szCs w:val="20"/>
              </w:rPr>
              <w:t xml:space="preserve">Notable SIRs for Melrose </w:t>
            </w:r>
          </w:p>
        </w:tc>
        <w:tc>
          <w:tcPr>
            <w:tcW w:w="2245" w:type="dxa"/>
            <w:shd w:val="clear" w:color="auto" w:fill="002060"/>
          </w:tcPr>
          <w:p w14:paraId="5AA3517F" w14:textId="77777777" w:rsidR="00F74984" w:rsidRPr="00F74984" w:rsidRDefault="00F74984" w:rsidP="00F74984">
            <w:pPr>
              <w:rPr>
                <w:rFonts w:cstheme="minorHAnsi"/>
                <w:b/>
                <w:bCs/>
                <w:sz w:val="20"/>
                <w:szCs w:val="20"/>
              </w:rPr>
            </w:pPr>
            <w:r w:rsidRPr="00F74984">
              <w:rPr>
                <w:rFonts w:cstheme="minorHAnsi"/>
                <w:b/>
                <w:bCs/>
                <w:sz w:val="20"/>
                <w:szCs w:val="20"/>
              </w:rPr>
              <w:t xml:space="preserve">Percentage Higher than Statewide Average </w:t>
            </w:r>
          </w:p>
        </w:tc>
      </w:tr>
      <w:tr w:rsidR="00F74984" w:rsidRPr="00F74984" w14:paraId="39064223" w14:textId="77777777" w:rsidTr="00F05A91">
        <w:trPr>
          <w:cantSplit/>
        </w:trPr>
        <w:tc>
          <w:tcPr>
            <w:tcW w:w="3240" w:type="dxa"/>
          </w:tcPr>
          <w:p w14:paraId="5C93A5BC" w14:textId="77777777" w:rsidR="00F74984" w:rsidRPr="00F74984" w:rsidRDefault="00F74984" w:rsidP="00F74984">
            <w:pPr>
              <w:rPr>
                <w:rFonts w:cstheme="minorHAnsi"/>
                <w:b/>
                <w:bCs/>
                <w:sz w:val="20"/>
                <w:szCs w:val="20"/>
              </w:rPr>
            </w:pPr>
            <w:r w:rsidRPr="00F74984">
              <w:rPr>
                <w:rFonts w:cstheme="minorHAnsi"/>
                <w:b/>
                <w:bCs/>
                <w:sz w:val="20"/>
                <w:szCs w:val="20"/>
              </w:rPr>
              <w:t>Brain and Other Nervous System</w:t>
            </w:r>
          </w:p>
        </w:tc>
        <w:tc>
          <w:tcPr>
            <w:tcW w:w="2430" w:type="dxa"/>
          </w:tcPr>
          <w:p w14:paraId="2749F74A" w14:textId="77777777" w:rsidR="00F74984" w:rsidRPr="00F74984" w:rsidRDefault="00F74984" w:rsidP="00F74984">
            <w:pPr>
              <w:rPr>
                <w:rFonts w:cstheme="minorHAnsi"/>
                <w:sz w:val="20"/>
                <w:szCs w:val="20"/>
              </w:rPr>
            </w:pPr>
            <w:r w:rsidRPr="00F74984">
              <w:rPr>
                <w:rFonts w:cstheme="minorHAnsi"/>
                <w:sz w:val="20"/>
                <w:szCs w:val="20"/>
              </w:rPr>
              <w:t xml:space="preserve">Female: 138.8 </w:t>
            </w:r>
          </w:p>
        </w:tc>
        <w:tc>
          <w:tcPr>
            <w:tcW w:w="2245" w:type="dxa"/>
          </w:tcPr>
          <w:p w14:paraId="5BA08B20" w14:textId="77777777" w:rsidR="00F74984" w:rsidRPr="00F74984" w:rsidRDefault="00F74984" w:rsidP="00F74984">
            <w:pPr>
              <w:rPr>
                <w:rFonts w:cstheme="minorHAnsi"/>
                <w:sz w:val="20"/>
                <w:szCs w:val="20"/>
              </w:rPr>
            </w:pPr>
            <w:r w:rsidRPr="00F74984">
              <w:rPr>
                <w:rFonts w:cstheme="minorHAnsi"/>
                <w:sz w:val="20"/>
                <w:szCs w:val="20"/>
              </w:rPr>
              <w:t xml:space="preserve">Female: 38.8% </w:t>
            </w:r>
          </w:p>
        </w:tc>
      </w:tr>
      <w:tr w:rsidR="00F74984" w:rsidRPr="00F74984" w14:paraId="5A311AF9" w14:textId="77777777" w:rsidTr="00F05A91">
        <w:trPr>
          <w:cantSplit/>
        </w:trPr>
        <w:tc>
          <w:tcPr>
            <w:tcW w:w="3240" w:type="dxa"/>
          </w:tcPr>
          <w:p w14:paraId="402407B1" w14:textId="77777777" w:rsidR="00F74984" w:rsidRPr="00F74984" w:rsidRDefault="00F74984" w:rsidP="00F74984">
            <w:pPr>
              <w:rPr>
                <w:rFonts w:cstheme="minorHAnsi"/>
                <w:b/>
                <w:bCs/>
                <w:sz w:val="20"/>
                <w:szCs w:val="20"/>
              </w:rPr>
            </w:pPr>
            <w:r w:rsidRPr="00F74984">
              <w:rPr>
                <w:rFonts w:cstheme="minorHAnsi"/>
                <w:b/>
                <w:bCs/>
                <w:sz w:val="20"/>
                <w:szCs w:val="20"/>
              </w:rPr>
              <w:t>Breast</w:t>
            </w:r>
          </w:p>
        </w:tc>
        <w:tc>
          <w:tcPr>
            <w:tcW w:w="2430" w:type="dxa"/>
          </w:tcPr>
          <w:p w14:paraId="4147D603" w14:textId="77777777" w:rsidR="00F74984" w:rsidRPr="00F74984" w:rsidRDefault="00F74984" w:rsidP="00F74984">
            <w:pPr>
              <w:rPr>
                <w:rFonts w:cstheme="minorHAnsi"/>
                <w:sz w:val="20"/>
                <w:szCs w:val="20"/>
              </w:rPr>
            </w:pPr>
            <w:r w:rsidRPr="00F74984">
              <w:rPr>
                <w:rFonts w:cstheme="minorHAnsi"/>
                <w:sz w:val="20"/>
                <w:szCs w:val="20"/>
              </w:rPr>
              <w:t xml:space="preserve">Female: 106.7 </w:t>
            </w:r>
          </w:p>
        </w:tc>
        <w:tc>
          <w:tcPr>
            <w:tcW w:w="2245" w:type="dxa"/>
          </w:tcPr>
          <w:p w14:paraId="7BE9FA37" w14:textId="77777777" w:rsidR="00F74984" w:rsidRPr="00F74984" w:rsidRDefault="00F74984" w:rsidP="00F74984">
            <w:pPr>
              <w:rPr>
                <w:rFonts w:cstheme="minorHAnsi"/>
                <w:sz w:val="20"/>
                <w:szCs w:val="20"/>
              </w:rPr>
            </w:pPr>
            <w:r w:rsidRPr="00F74984">
              <w:rPr>
                <w:rFonts w:cstheme="minorHAnsi"/>
                <w:sz w:val="20"/>
                <w:szCs w:val="20"/>
              </w:rPr>
              <w:t xml:space="preserve">Female: 6.7% </w:t>
            </w:r>
          </w:p>
        </w:tc>
      </w:tr>
      <w:tr w:rsidR="00F74984" w:rsidRPr="00F74984" w14:paraId="384125FC" w14:textId="77777777" w:rsidTr="00F05A91">
        <w:trPr>
          <w:cantSplit/>
        </w:trPr>
        <w:tc>
          <w:tcPr>
            <w:tcW w:w="3240" w:type="dxa"/>
          </w:tcPr>
          <w:p w14:paraId="28E49A33" w14:textId="77777777" w:rsidR="00F74984" w:rsidRPr="00F74984" w:rsidRDefault="00F74984" w:rsidP="00F74984">
            <w:pPr>
              <w:rPr>
                <w:rFonts w:cstheme="minorHAnsi"/>
                <w:b/>
                <w:bCs/>
                <w:sz w:val="20"/>
                <w:szCs w:val="20"/>
              </w:rPr>
            </w:pPr>
            <w:r w:rsidRPr="00F74984">
              <w:rPr>
                <w:rFonts w:cstheme="minorHAnsi"/>
                <w:b/>
                <w:bCs/>
                <w:sz w:val="20"/>
                <w:szCs w:val="20"/>
              </w:rPr>
              <w:t>Colon/Rectum</w:t>
            </w:r>
          </w:p>
        </w:tc>
        <w:tc>
          <w:tcPr>
            <w:tcW w:w="2430" w:type="dxa"/>
          </w:tcPr>
          <w:p w14:paraId="64FC64E7" w14:textId="77777777" w:rsidR="00F74984" w:rsidRPr="00F74984" w:rsidRDefault="00F74984" w:rsidP="00F74984">
            <w:pPr>
              <w:rPr>
                <w:rFonts w:cstheme="minorHAnsi"/>
                <w:sz w:val="20"/>
                <w:szCs w:val="20"/>
              </w:rPr>
            </w:pPr>
            <w:r w:rsidRPr="00F74984">
              <w:rPr>
                <w:rFonts w:cstheme="minorHAnsi"/>
                <w:sz w:val="20"/>
                <w:szCs w:val="20"/>
              </w:rPr>
              <w:t xml:space="preserve">Male: 137.9 </w:t>
            </w:r>
          </w:p>
          <w:p w14:paraId="41B7CB9B" w14:textId="77777777" w:rsidR="00F74984" w:rsidRPr="00F74984" w:rsidRDefault="00F74984" w:rsidP="00F74984">
            <w:pPr>
              <w:rPr>
                <w:rFonts w:cstheme="minorHAnsi"/>
                <w:sz w:val="20"/>
                <w:szCs w:val="20"/>
              </w:rPr>
            </w:pPr>
            <w:r w:rsidRPr="00F74984">
              <w:rPr>
                <w:rFonts w:cstheme="minorHAnsi"/>
                <w:sz w:val="20"/>
                <w:szCs w:val="20"/>
              </w:rPr>
              <w:t xml:space="preserve">Female 125.2 </w:t>
            </w:r>
          </w:p>
        </w:tc>
        <w:tc>
          <w:tcPr>
            <w:tcW w:w="2245" w:type="dxa"/>
          </w:tcPr>
          <w:p w14:paraId="430AE368" w14:textId="77777777" w:rsidR="00F74984" w:rsidRPr="00F74984" w:rsidRDefault="00F74984" w:rsidP="00F74984">
            <w:pPr>
              <w:rPr>
                <w:rFonts w:cstheme="minorHAnsi"/>
                <w:sz w:val="20"/>
                <w:szCs w:val="20"/>
              </w:rPr>
            </w:pPr>
            <w:r w:rsidRPr="00F74984">
              <w:rPr>
                <w:rFonts w:cstheme="minorHAnsi"/>
                <w:sz w:val="20"/>
                <w:szCs w:val="20"/>
              </w:rPr>
              <w:t xml:space="preserve">Male: 37.9% </w:t>
            </w:r>
          </w:p>
          <w:p w14:paraId="13C2EE6A" w14:textId="77777777" w:rsidR="00F74984" w:rsidRPr="00F74984" w:rsidRDefault="00F74984" w:rsidP="00F74984">
            <w:pPr>
              <w:rPr>
                <w:rFonts w:cstheme="minorHAnsi"/>
                <w:sz w:val="20"/>
                <w:szCs w:val="20"/>
              </w:rPr>
            </w:pPr>
            <w:r w:rsidRPr="00F74984">
              <w:rPr>
                <w:rFonts w:cstheme="minorHAnsi"/>
                <w:sz w:val="20"/>
                <w:szCs w:val="20"/>
              </w:rPr>
              <w:t xml:space="preserve">Female: 25.2% </w:t>
            </w:r>
          </w:p>
        </w:tc>
      </w:tr>
      <w:tr w:rsidR="00F74984" w:rsidRPr="00F74984" w14:paraId="52C56879" w14:textId="77777777" w:rsidTr="00F05A91">
        <w:trPr>
          <w:cantSplit/>
        </w:trPr>
        <w:tc>
          <w:tcPr>
            <w:tcW w:w="3240" w:type="dxa"/>
          </w:tcPr>
          <w:p w14:paraId="365B0758" w14:textId="77777777" w:rsidR="00F74984" w:rsidRPr="00F74984" w:rsidRDefault="00F74984" w:rsidP="00F74984">
            <w:pPr>
              <w:rPr>
                <w:rFonts w:cstheme="minorHAnsi"/>
                <w:b/>
                <w:bCs/>
                <w:sz w:val="20"/>
                <w:szCs w:val="20"/>
              </w:rPr>
            </w:pPr>
            <w:r w:rsidRPr="00F74984">
              <w:rPr>
                <w:rFonts w:cstheme="minorHAnsi"/>
                <w:b/>
                <w:bCs/>
                <w:sz w:val="20"/>
                <w:szCs w:val="20"/>
              </w:rPr>
              <w:t>Esophagus</w:t>
            </w:r>
          </w:p>
        </w:tc>
        <w:tc>
          <w:tcPr>
            <w:tcW w:w="2430" w:type="dxa"/>
          </w:tcPr>
          <w:p w14:paraId="5D3589CB" w14:textId="77777777" w:rsidR="00F74984" w:rsidRPr="00F74984" w:rsidRDefault="00F74984" w:rsidP="00F74984">
            <w:pPr>
              <w:rPr>
                <w:rFonts w:cstheme="minorHAnsi"/>
                <w:sz w:val="20"/>
                <w:szCs w:val="20"/>
              </w:rPr>
            </w:pPr>
            <w:r w:rsidRPr="00F74984">
              <w:rPr>
                <w:rFonts w:cstheme="minorHAnsi"/>
                <w:sz w:val="20"/>
                <w:szCs w:val="20"/>
              </w:rPr>
              <w:t xml:space="preserve">Male: 120.0 </w:t>
            </w:r>
          </w:p>
        </w:tc>
        <w:tc>
          <w:tcPr>
            <w:tcW w:w="2245" w:type="dxa"/>
          </w:tcPr>
          <w:p w14:paraId="69F40DE1" w14:textId="77777777" w:rsidR="00F74984" w:rsidRPr="00F74984" w:rsidRDefault="00F74984" w:rsidP="00F74984">
            <w:pPr>
              <w:rPr>
                <w:rFonts w:cstheme="minorHAnsi"/>
                <w:sz w:val="20"/>
                <w:szCs w:val="20"/>
              </w:rPr>
            </w:pPr>
            <w:r w:rsidRPr="00F74984">
              <w:rPr>
                <w:rFonts w:cstheme="minorHAnsi"/>
                <w:sz w:val="20"/>
                <w:szCs w:val="20"/>
              </w:rPr>
              <w:t xml:space="preserve">Male: 20% </w:t>
            </w:r>
          </w:p>
        </w:tc>
      </w:tr>
      <w:tr w:rsidR="00F74984" w:rsidRPr="00F74984" w14:paraId="659769C1" w14:textId="77777777" w:rsidTr="00F05A91">
        <w:trPr>
          <w:cantSplit/>
        </w:trPr>
        <w:tc>
          <w:tcPr>
            <w:tcW w:w="3240" w:type="dxa"/>
          </w:tcPr>
          <w:p w14:paraId="7A45CDD5" w14:textId="77777777" w:rsidR="00F74984" w:rsidRPr="00F74984" w:rsidRDefault="00F74984" w:rsidP="00F74984">
            <w:pPr>
              <w:rPr>
                <w:rFonts w:cstheme="minorHAnsi"/>
                <w:b/>
                <w:bCs/>
                <w:sz w:val="20"/>
                <w:szCs w:val="20"/>
              </w:rPr>
            </w:pPr>
            <w:r w:rsidRPr="00F74984">
              <w:rPr>
                <w:rFonts w:cstheme="minorHAnsi"/>
                <w:b/>
                <w:bCs/>
                <w:sz w:val="20"/>
                <w:szCs w:val="20"/>
              </w:rPr>
              <w:t>Larynx</w:t>
            </w:r>
          </w:p>
        </w:tc>
        <w:tc>
          <w:tcPr>
            <w:tcW w:w="2430" w:type="dxa"/>
          </w:tcPr>
          <w:p w14:paraId="62F66973" w14:textId="77777777" w:rsidR="00F74984" w:rsidRPr="00F74984" w:rsidRDefault="00F74984" w:rsidP="00F74984">
            <w:pPr>
              <w:rPr>
                <w:rFonts w:cstheme="minorHAnsi"/>
                <w:sz w:val="20"/>
                <w:szCs w:val="20"/>
              </w:rPr>
            </w:pPr>
            <w:r w:rsidRPr="00F74984">
              <w:rPr>
                <w:rFonts w:cstheme="minorHAnsi"/>
                <w:sz w:val="20"/>
                <w:szCs w:val="20"/>
              </w:rPr>
              <w:t xml:space="preserve">Male: 161.8 </w:t>
            </w:r>
          </w:p>
        </w:tc>
        <w:tc>
          <w:tcPr>
            <w:tcW w:w="2245" w:type="dxa"/>
          </w:tcPr>
          <w:p w14:paraId="22385166" w14:textId="77777777" w:rsidR="00F74984" w:rsidRPr="00F74984" w:rsidRDefault="00F74984" w:rsidP="00F74984">
            <w:pPr>
              <w:rPr>
                <w:rFonts w:cstheme="minorHAnsi"/>
                <w:sz w:val="20"/>
                <w:szCs w:val="20"/>
              </w:rPr>
            </w:pPr>
            <w:r w:rsidRPr="00F74984">
              <w:rPr>
                <w:rFonts w:cstheme="minorHAnsi"/>
                <w:sz w:val="20"/>
                <w:szCs w:val="20"/>
              </w:rPr>
              <w:t>Male: 61.8%</w:t>
            </w:r>
          </w:p>
        </w:tc>
      </w:tr>
      <w:tr w:rsidR="00F74984" w:rsidRPr="00F74984" w14:paraId="4549B4D6" w14:textId="77777777" w:rsidTr="00F05A91">
        <w:trPr>
          <w:cantSplit/>
        </w:trPr>
        <w:tc>
          <w:tcPr>
            <w:tcW w:w="3240" w:type="dxa"/>
          </w:tcPr>
          <w:p w14:paraId="7CC0F7B0" w14:textId="77777777" w:rsidR="00F74984" w:rsidRPr="00F74984" w:rsidRDefault="00F74984" w:rsidP="00F74984">
            <w:pPr>
              <w:rPr>
                <w:rFonts w:cstheme="minorHAnsi"/>
                <w:b/>
                <w:bCs/>
                <w:sz w:val="20"/>
                <w:szCs w:val="20"/>
              </w:rPr>
            </w:pPr>
            <w:r w:rsidRPr="00F74984">
              <w:rPr>
                <w:rFonts w:cstheme="minorHAnsi"/>
                <w:b/>
                <w:bCs/>
                <w:sz w:val="20"/>
                <w:szCs w:val="20"/>
              </w:rPr>
              <w:t>Leukemia</w:t>
            </w:r>
          </w:p>
        </w:tc>
        <w:tc>
          <w:tcPr>
            <w:tcW w:w="2430" w:type="dxa"/>
          </w:tcPr>
          <w:p w14:paraId="11EB0E55" w14:textId="77777777" w:rsidR="00F74984" w:rsidRPr="00F74984" w:rsidRDefault="00F74984" w:rsidP="00F74984">
            <w:pPr>
              <w:rPr>
                <w:rFonts w:cstheme="minorHAnsi"/>
                <w:sz w:val="20"/>
                <w:szCs w:val="20"/>
              </w:rPr>
            </w:pPr>
            <w:r w:rsidRPr="00F74984">
              <w:rPr>
                <w:rFonts w:cstheme="minorHAnsi"/>
                <w:sz w:val="20"/>
                <w:szCs w:val="20"/>
              </w:rPr>
              <w:t xml:space="preserve">Male: 165.7 </w:t>
            </w:r>
          </w:p>
        </w:tc>
        <w:tc>
          <w:tcPr>
            <w:tcW w:w="2245" w:type="dxa"/>
          </w:tcPr>
          <w:p w14:paraId="01917BDE" w14:textId="77777777" w:rsidR="00F74984" w:rsidRPr="00F74984" w:rsidRDefault="00F74984" w:rsidP="00F74984">
            <w:pPr>
              <w:rPr>
                <w:rFonts w:cstheme="minorHAnsi"/>
                <w:sz w:val="20"/>
                <w:szCs w:val="20"/>
              </w:rPr>
            </w:pPr>
            <w:r w:rsidRPr="00F74984">
              <w:rPr>
                <w:rFonts w:cstheme="minorHAnsi"/>
                <w:sz w:val="20"/>
                <w:szCs w:val="20"/>
              </w:rPr>
              <w:t>Male: 65.7%</w:t>
            </w:r>
          </w:p>
        </w:tc>
      </w:tr>
      <w:tr w:rsidR="00F74984" w:rsidRPr="00F74984" w14:paraId="6CC2DD9E" w14:textId="77777777" w:rsidTr="00F05A91">
        <w:trPr>
          <w:cantSplit/>
        </w:trPr>
        <w:tc>
          <w:tcPr>
            <w:tcW w:w="3240" w:type="dxa"/>
          </w:tcPr>
          <w:p w14:paraId="37AB50A2" w14:textId="77777777" w:rsidR="00F74984" w:rsidRPr="00F74984" w:rsidRDefault="00F74984" w:rsidP="00F74984">
            <w:pPr>
              <w:rPr>
                <w:rFonts w:cstheme="minorHAnsi"/>
                <w:b/>
                <w:bCs/>
                <w:sz w:val="20"/>
                <w:szCs w:val="20"/>
              </w:rPr>
            </w:pPr>
            <w:r w:rsidRPr="00F74984">
              <w:rPr>
                <w:rFonts w:cstheme="minorHAnsi"/>
                <w:b/>
                <w:bCs/>
                <w:sz w:val="20"/>
                <w:szCs w:val="20"/>
              </w:rPr>
              <w:t>Liver and Intrahepatic Bile Ducts</w:t>
            </w:r>
          </w:p>
        </w:tc>
        <w:tc>
          <w:tcPr>
            <w:tcW w:w="2430" w:type="dxa"/>
          </w:tcPr>
          <w:p w14:paraId="42412274" w14:textId="77777777" w:rsidR="00F74984" w:rsidRPr="00F74984" w:rsidRDefault="00F74984" w:rsidP="00F74984">
            <w:pPr>
              <w:rPr>
                <w:rFonts w:cstheme="minorHAnsi"/>
                <w:sz w:val="20"/>
                <w:szCs w:val="20"/>
              </w:rPr>
            </w:pPr>
            <w:r w:rsidRPr="00F74984">
              <w:rPr>
                <w:rFonts w:cstheme="minorHAnsi"/>
                <w:sz w:val="20"/>
                <w:szCs w:val="20"/>
              </w:rPr>
              <w:t xml:space="preserve">Female: 132.6 </w:t>
            </w:r>
          </w:p>
        </w:tc>
        <w:tc>
          <w:tcPr>
            <w:tcW w:w="2245" w:type="dxa"/>
          </w:tcPr>
          <w:p w14:paraId="57D3A08B" w14:textId="77777777" w:rsidR="00F74984" w:rsidRPr="00F74984" w:rsidRDefault="00F74984" w:rsidP="00F74984">
            <w:pPr>
              <w:rPr>
                <w:rFonts w:cstheme="minorHAnsi"/>
                <w:sz w:val="20"/>
                <w:szCs w:val="20"/>
              </w:rPr>
            </w:pPr>
            <w:r w:rsidRPr="00F74984">
              <w:rPr>
                <w:rFonts w:cstheme="minorHAnsi"/>
                <w:sz w:val="20"/>
                <w:szCs w:val="20"/>
              </w:rPr>
              <w:t xml:space="preserve">Female: 32.6% </w:t>
            </w:r>
          </w:p>
        </w:tc>
      </w:tr>
      <w:tr w:rsidR="00F74984" w:rsidRPr="00F74984" w14:paraId="76DBCFF6" w14:textId="77777777" w:rsidTr="00F05A91">
        <w:trPr>
          <w:cantSplit/>
        </w:trPr>
        <w:tc>
          <w:tcPr>
            <w:tcW w:w="3240" w:type="dxa"/>
          </w:tcPr>
          <w:p w14:paraId="0ABCF089" w14:textId="77777777" w:rsidR="00F74984" w:rsidRPr="00F74984" w:rsidRDefault="00F74984" w:rsidP="00F74984">
            <w:pPr>
              <w:rPr>
                <w:rFonts w:cstheme="minorHAnsi"/>
                <w:b/>
                <w:bCs/>
                <w:sz w:val="20"/>
                <w:szCs w:val="20"/>
              </w:rPr>
            </w:pPr>
            <w:r w:rsidRPr="00F74984">
              <w:rPr>
                <w:rFonts w:cstheme="minorHAnsi"/>
                <w:b/>
                <w:bCs/>
                <w:sz w:val="20"/>
                <w:szCs w:val="20"/>
              </w:rPr>
              <w:t>Lung and Bronchus</w:t>
            </w:r>
          </w:p>
        </w:tc>
        <w:tc>
          <w:tcPr>
            <w:tcW w:w="2430" w:type="dxa"/>
          </w:tcPr>
          <w:p w14:paraId="0D646E3F" w14:textId="77777777" w:rsidR="00F74984" w:rsidRPr="00F74984" w:rsidRDefault="00F74984" w:rsidP="00F74984">
            <w:pPr>
              <w:rPr>
                <w:rFonts w:cstheme="minorHAnsi"/>
                <w:sz w:val="20"/>
                <w:szCs w:val="20"/>
              </w:rPr>
            </w:pPr>
            <w:r w:rsidRPr="00F74984">
              <w:rPr>
                <w:rFonts w:cstheme="minorHAnsi"/>
                <w:sz w:val="20"/>
                <w:szCs w:val="20"/>
              </w:rPr>
              <w:t xml:space="preserve">Female: 101.2 </w:t>
            </w:r>
          </w:p>
        </w:tc>
        <w:tc>
          <w:tcPr>
            <w:tcW w:w="2245" w:type="dxa"/>
          </w:tcPr>
          <w:p w14:paraId="60E61C62" w14:textId="77777777" w:rsidR="00F74984" w:rsidRPr="00F74984" w:rsidRDefault="00F74984" w:rsidP="00F74984">
            <w:pPr>
              <w:rPr>
                <w:rFonts w:cstheme="minorHAnsi"/>
                <w:sz w:val="20"/>
                <w:szCs w:val="20"/>
              </w:rPr>
            </w:pPr>
            <w:r w:rsidRPr="00F74984">
              <w:rPr>
                <w:rFonts w:cstheme="minorHAnsi"/>
                <w:sz w:val="20"/>
                <w:szCs w:val="20"/>
              </w:rPr>
              <w:t>Female: 1.2%</w:t>
            </w:r>
          </w:p>
        </w:tc>
      </w:tr>
      <w:tr w:rsidR="00F74984" w:rsidRPr="00F74984" w14:paraId="38BDB7BA" w14:textId="77777777" w:rsidTr="00F05A91">
        <w:trPr>
          <w:cantSplit/>
        </w:trPr>
        <w:tc>
          <w:tcPr>
            <w:tcW w:w="3240" w:type="dxa"/>
          </w:tcPr>
          <w:p w14:paraId="69C613F0" w14:textId="77777777" w:rsidR="00F74984" w:rsidRPr="00F74984" w:rsidRDefault="00F74984" w:rsidP="00F74984">
            <w:pPr>
              <w:rPr>
                <w:rFonts w:cstheme="minorHAnsi"/>
                <w:b/>
                <w:bCs/>
                <w:sz w:val="20"/>
                <w:szCs w:val="20"/>
              </w:rPr>
            </w:pPr>
            <w:r w:rsidRPr="00F74984">
              <w:rPr>
                <w:rFonts w:cstheme="minorHAnsi"/>
                <w:b/>
                <w:bCs/>
                <w:sz w:val="20"/>
                <w:szCs w:val="20"/>
              </w:rPr>
              <w:t>Melanoma of Skin</w:t>
            </w:r>
          </w:p>
        </w:tc>
        <w:tc>
          <w:tcPr>
            <w:tcW w:w="2430" w:type="dxa"/>
          </w:tcPr>
          <w:p w14:paraId="6EF7DCE4" w14:textId="77777777" w:rsidR="00F74984" w:rsidRPr="00F74984" w:rsidRDefault="00F74984" w:rsidP="00F74984">
            <w:pPr>
              <w:rPr>
                <w:rFonts w:cstheme="minorHAnsi"/>
                <w:sz w:val="20"/>
                <w:szCs w:val="20"/>
              </w:rPr>
            </w:pPr>
            <w:r w:rsidRPr="00F74984">
              <w:rPr>
                <w:rFonts w:cstheme="minorHAnsi"/>
                <w:sz w:val="20"/>
                <w:szCs w:val="20"/>
              </w:rPr>
              <w:t xml:space="preserve">Female: 127.3 </w:t>
            </w:r>
          </w:p>
        </w:tc>
        <w:tc>
          <w:tcPr>
            <w:tcW w:w="2245" w:type="dxa"/>
          </w:tcPr>
          <w:p w14:paraId="35E1F696" w14:textId="77777777" w:rsidR="00F74984" w:rsidRPr="00F74984" w:rsidRDefault="00F74984" w:rsidP="00F74984">
            <w:pPr>
              <w:rPr>
                <w:rFonts w:cstheme="minorHAnsi"/>
                <w:sz w:val="20"/>
                <w:szCs w:val="20"/>
              </w:rPr>
            </w:pPr>
            <w:r w:rsidRPr="00F74984">
              <w:rPr>
                <w:rFonts w:cstheme="minorHAnsi"/>
                <w:sz w:val="20"/>
                <w:szCs w:val="20"/>
              </w:rPr>
              <w:t>Female: 27.3%</w:t>
            </w:r>
          </w:p>
        </w:tc>
      </w:tr>
      <w:tr w:rsidR="00F74984" w:rsidRPr="00F74984" w14:paraId="104FABAA" w14:textId="77777777" w:rsidTr="00F05A91">
        <w:trPr>
          <w:cantSplit/>
        </w:trPr>
        <w:tc>
          <w:tcPr>
            <w:tcW w:w="3240" w:type="dxa"/>
          </w:tcPr>
          <w:p w14:paraId="613E2F3D" w14:textId="77777777" w:rsidR="00F74984" w:rsidRPr="00F74984" w:rsidRDefault="00F74984" w:rsidP="00F74984">
            <w:pPr>
              <w:rPr>
                <w:rFonts w:cstheme="minorHAnsi"/>
                <w:b/>
                <w:bCs/>
                <w:sz w:val="20"/>
                <w:szCs w:val="20"/>
              </w:rPr>
            </w:pPr>
            <w:r w:rsidRPr="00F74984">
              <w:rPr>
                <w:rFonts w:cstheme="minorHAnsi"/>
                <w:b/>
                <w:bCs/>
                <w:sz w:val="20"/>
                <w:szCs w:val="20"/>
              </w:rPr>
              <w:t>Multiple Myeloma</w:t>
            </w:r>
          </w:p>
        </w:tc>
        <w:tc>
          <w:tcPr>
            <w:tcW w:w="2430" w:type="dxa"/>
          </w:tcPr>
          <w:p w14:paraId="29A71ABE" w14:textId="77777777" w:rsidR="00F74984" w:rsidRPr="00F74984" w:rsidRDefault="00F74984" w:rsidP="00F74984">
            <w:pPr>
              <w:rPr>
                <w:rFonts w:cstheme="minorHAnsi"/>
                <w:sz w:val="20"/>
                <w:szCs w:val="20"/>
              </w:rPr>
            </w:pPr>
            <w:r w:rsidRPr="00F74984">
              <w:rPr>
                <w:rFonts w:cstheme="minorHAnsi"/>
                <w:sz w:val="20"/>
                <w:szCs w:val="20"/>
              </w:rPr>
              <w:t xml:space="preserve">Male: 115.1 </w:t>
            </w:r>
          </w:p>
        </w:tc>
        <w:tc>
          <w:tcPr>
            <w:tcW w:w="2245" w:type="dxa"/>
          </w:tcPr>
          <w:p w14:paraId="0AB9ADDD" w14:textId="77777777" w:rsidR="00F74984" w:rsidRPr="00F74984" w:rsidRDefault="00F74984" w:rsidP="00F74984">
            <w:pPr>
              <w:rPr>
                <w:rFonts w:cstheme="minorHAnsi"/>
                <w:sz w:val="20"/>
                <w:szCs w:val="20"/>
              </w:rPr>
            </w:pPr>
            <w:r w:rsidRPr="00F74984">
              <w:rPr>
                <w:rFonts w:cstheme="minorHAnsi"/>
                <w:sz w:val="20"/>
                <w:szCs w:val="20"/>
              </w:rPr>
              <w:t>Male: 15.1%</w:t>
            </w:r>
          </w:p>
        </w:tc>
      </w:tr>
      <w:tr w:rsidR="00F74984" w:rsidRPr="00F74984" w14:paraId="5EA40703" w14:textId="77777777" w:rsidTr="00F05A91">
        <w:trPr>
          <w:cantSplit/>
        </w:trPr>
        <w:tc>
          <w:tcPr>
            <w:tcW w:w="3240" w:type="dxa"/>
          </w:tcPr>
          <w:p w14:paraId="5B794AF5" w14:textId="77777777" w:rsidR="00F74984" w:rsidRPr="00F74984" w:rsidRDefault="00F74984" w:rsidP="00F74984">
            <w:pPr>
              <w:rPr>
                <w:rFonts w:cstheme="minorHAnsi"/>
                <w:b/>
                <w:bCs/>
                <w:sz w:val="20"/>
                <w:szCs w:val="20"/>
              </w:rPr>
            </w:pPr>
            <w:r w:rsidRPr="00F74984">
              <w:rPr>
                <w:rFonts w:cstheme="minorHAnsi"/>
                <w:b/>
                <w:bCs/>
                <w:sz w:val="20"/>
                <w:szCs w:val="20"/>
              </w:rPr>
              <w:t>Non-Hodgkin Lymphoma</w:t>
            </w:r>
          </w:p>
        </w:tc>
        <w:tc>
          <w:tcPr>
            <w:tcW w:w="2430" w:type="dxa"/>
          </w:tcPr>
          <w:p w14:paraId="573D8DAB" w14:textId="77777777" w:rsidR="00F74984" w:rsidRPr="00F74984" w:rsidRDefault="00F74984" w:rsidP="00F74984">
            <w:pPr>
              <w:rPr>
                <w:rFonts w:cstheme="minorHAnsi"/>
                <w:sz w:val="20"/>
                <w:szCs w:val="20"/>
              </w:rPr>
            </w:pPr>
            <w:r w:rsidRPr="00F74984">
              <w:rPr>
                <w:rFonts w:cstheme="minorHAnsi"/>
                <w:sz w:val="20"/>
                <w:szCs w:val="20"/>
              </w:rPr>
              <w:t xml:space="preserve">Male: 124.1 </w:t>
            </w:r>
          </w:p>
          <w:p w14:paraId="6F70ABD7" w14:textId="77777777" w:rsidR="00F74984" w:rsidRPr="00F74984" w:rsidRDefault="00F74984" w:rsidP="00F74984">
            <w:pPr>
              <w:rPr>
                <w:rFonts w:cstheme="minorHAnsi"/>
                <w:sz w:val="20"/>
                <w:szCs w:val="20"/>
              </w:rPr>
            </w:pPr>
            <w:r w:rsidRPr="00F74984">
              <w:rPr>
                <w:rFonts w:cstheme="minorHAnsi"/>
                <w:sz w:val="20"/>
                <w:szCs w:val="20"/>
              </w:rPr>
              <w:t xml:space="preserve">Female: 142.1 </w:t>
            </w:r>
          </w:p>
        </w:tc>
        <w:tc>
          <w:tcPr>
            <w:tcW w:w="2245" w:type="dxa"/>
          </w:tcPr>
          <w:p w14:paraId="507D4553" w14:textId="77777777" w:rsidR="00F74984" w:rsidRPr="00F74984" w:rsidRDefault="00F74984" w:rsidP="00F74984">
            <w:pPr>
              <w:rPr>
                <w:rFonts w:cstheme="minorHAnsi"/>
                <w:sz w:val="20"/>
                <w:szCs w:val="20"/>
              </w:rPr>
            </w:pPr>
            <w:r w:rsidRPr="00F74984">
              <w:rPr>
                <w:rFonts w:cstheme="minorHAnsi"/>
                <w:sz w:val="20"/>
                <w:szCs w:val="20"/>
              </w:rPr>
              <w:t>Male: 24.1%</w:t>
            </w:r>
          </w:p>
          <w:p w14:paraId="70D9627B" w14:textId="77777777" w:rsidR="00F74984" w:rsidRPr="00F74984" w:rsidRDefault="00F74984" w:rsidP="00F74984">
            <w:pPr>
              <w:rPr>
                <w:rFonts w:cstheme="minorHAnsi"/>
                <w:sz w:val="20"/>
                <w:szCs w:val="20"/>
              </w:rPr>
            </w:pPr>
            <w:r w:rsidRPr="00F74984">
              <w:rPr>
                <w:rFonts w:cstheme="minorHAnsi"/>
                <w:sz w:val="20"/>
                <w:szCs w:val="20"/>
              </w:rPr>
              <w:t>Female: 42.1%</w:t>
            </w:r>
          </w:p>
        </w:tc>
      </w:tr>
      <w:tr w:rsidR="00F74984" w:rsidRPr="00F74984" w14:paraId="3EC5185E" w14:textId="77777777" w:rsidTr="00F05A91">
        <w:trPr>
          <w:cantSplit/>
        </w:trPr>
        <w:tc>
          <w:tcPr>
            <w:tcW w:w="3240" w:type="dxa"/>
          </w:tcPr>
          <w:p w14:paraId="55ADE185" w14:textId="77777777" w:rsidR="00F74984" w:rsidRPr="00F74984" w:rsidRDefault="00F74984" w:rsidP="00F74984">
            <w:pPr>
              <w:rPr>
                <w:rFonts w:cstheme="minorHAnsi"/>
                <w:b/>
                <w:bCs/>
                <w:sz w:val="20"/>
                <w:szCs w:val="20"/>
              </w:rPr>
            </w:pPr>
            <w:r w:rsidRPr="00F74984">
              <w:rPr>
                <w:rFonts w:cstheme="minorHAnsi"/>
                <w:b/>
                <w:bCs/>
                <w:sz w:val="20"/>
                <w:szCs w:val="20"/>
              </w:rPr>
              <w:t>Pancreas</w:t>
            </w:r>
          </w:p>
        </w:tc>
        <w:tc>
          <w:tcPr>
            <w:tcW w:w="2430" w:type="dxa"/>
          </w:tcPr>
          <w:p w14:paraId="0AB18695" w14:textId="77777777" w:rsidR="00F74984" w:rsidRPr="00F74984" w:rsidRDefault="00F74984" w:rsidP="00F74984">
            <w:pPr>
              <w:rPr>
                <w:rFonts w:cstheme="minorHAnsi"/>
                <w:sz w:val="20"/>
                <w:szCs w:val="20"/>
              </w:rPr>
            </w:pPr>
            <w:r w:rsidRPr="00F74984">
              <w:rPr>
                <w:rFonts w:cstheme="minorHAnsi"/>
                <w:sz w:val="20"/>
                <w:szCs w:val="20"/>
              </w:rPr>
              <w:t xml:space="preserve">Male: 146.4 </w:t>
            </w:r>
          </w:p>
          <w:p w14:paraId="5784BEBF" w14:textId="77777777" w:rsidR="00F74984" w:rsidRPr="00F74984" w:rsidRDefault="00F74984" w:rsidP="00F74984">
            <w:pPr>
              <w:rPr>
                <w:rFonts w:cstheme="minorHAnsi"/>
                <w:sz w:val="20"/>
                <w:szCs w:val="20"/>
              </w:rPr>
            </w:pPr>
            <w:r w:rsidRPr="00F74984">
              <w:rPr>
                <w:rFonts w:cstheme="minorHAnsi"/>
                <w:sz w:val="20"/>
                <w:szCs w:val="20"/>
              </w:rPr>
              <w:t xml:space="preserve">Female: 111.2 </w:t>
            </w:r>
          </w:p>
        </w:tc>
        <w:tc>
          <w:tcPr>
            <w:tcW w:w="2245" w:type="dxa"/>
          </w:tcPr>
          <w:p w14:paraId="1A967D35" w14:textId="77777777" w:rsidR="00F74984" w:rsidRPr="00F74984" w:rsidRDefault="00F74984" w:rsidP="00F74984">
            <w:pPr>
              <w:rPr>
                <w:rFonts w:cstheme="minorHAnsi"/>
                <w:sz w:val="20"/>
                <w:szCs w:val="20"/>
              </w:rPr>
            </w:pPr>
            <w:r w:rsidRPr="00F74984">
              <w:rPr>
                <w:rFonts w:cstheme="minorHAnsi"/>
                <w:sz w:val="20"/>
                <w:szCs w:val="20"/>
              </w:rPr>
              <w:t>Male: 46.4%</w:t>
            </w:r>
          </w:p>
          <w:p w14:paraId="1A4E093D" w14:textId="77777777" w:rsidR="00F74984" w:rsidRPr="00F74984" w:rsidRDefault="00F74984" w:rsidP="00F74984">
            <w:pPr>
              <w:rPr>
                <w:rFonts w:cstheme="minorHAnsi"/>
                <w:sz w:val="20"/>
                <w:szCs w:val="20"/>
              </w:rPr>
            </w:pPr>
            <w:r w:rsidRPr="00F74984">
              <w:rPr>
                <w:rFonts w:cstheme="minorHAnsi"/>
                <w:sz w:val="20"/>
                <w:szCs w:val="20"/>
              </w:rPr>
              <w:t>Female: 11.2%</w:t>
            </w:r>
          </w:p>
        </w:tc>
      </w:tr>
      <w:tr w:rsidR="00F74984" w:rsidRPr="00F74984" w14:paraId="61D650BD" w14:textId="77777777" w:rsidTr="00F05A91">
        <w:trPr>
          <w:cantSplit/>
        </w:trPr>
        <w:tc>
          <w:tcPr>
            <w:tcW w:w="3240" w:type="dxa"/>
          </w:tcPr>
          <w:p w14:paraId="2A449243" w14:textId="77777777" w:rsidR="00F74984" w:rsidRPr="00F74984" w:rsidRDefault="00F74984" w:rsidP="00F74984">
            <w:pPr>
              <w:rPr>
                <w:rFonts w:cstheme="minorHAnsi"/>
                <w:b/>
                <w:bCs/>
                <w:sz w:val="20"/>
                <w:szCs w:val="20"/>
              </w:rPr>
            </w:pPr>
            <w:r w:rsidRPr="00F74984">
              <w:rPr>
                <w:rFonts w:cstheme="minorHAnsi"/>
                <w:b/>
                <w:bCs/>
                <w:sz w:val="20"/>
                <w:szCs w:val="20"/>
              </w:rPr>
              <w:t>Stomach</w:t>
            </w:r>
          </w:p>
        </w:tc>
        <w:tc>
          <w:tcPr>
            <w:tcW w:w="2430" w:type="dxa"/>
          </w:tcPr>
          <w:p w14:paraId="23ABCC17" w14:textId="77777777" w:rsidR="00F74984" w:rsidRPr="00F74984" w:rsidRDefault="00F74984" w:rsidP="00F74984">
            <w:pPr>
              <w:rPr>
                <w:rFonts w:cstheme="minorHAnsi"/>
                <w:sz w:val="20"/>
                <w:szCs w:val="20"/>
              </w:rPr>
            </w:pPr>
            <w:r w:rsidRPr="00F74984">
              <w:rPr>
                <w:rFonts w:cstheme="minorHAnsi"/>
                <w:sz w:val="20"/>
                <w:szCs w:val="20"/>
              </w:rPr>
              <w:t xml:space="preserve">Male: 129.2 </w:t>
            </w:r>
          </w:p>
        </w:tc>
        <w:tc>
          <w:tcPr>
            <w:tcW w:w="2245" w:type="dxa"/>
          </w:tcPr>
          <w:p w14:paraId="10C1473B" w14:textId="77777777" w:rsidR="00F74984" w:rsidRPr="00F74984" w:rsidRDefault="00F74984" w:rsidP="00F74984">
            <w:pPr>
              <w:rPr>
                <w:rFonts w:cstheme="minorHAnsi"/>
                <w:sz w:val="20"/>
                <w:szCs w:val="20"/>
              </w:rPr>
            </w:pPr>
            <w:r w:rsidRPr="00F74984">
              <w:rPr>
                <w:rFonts w:cstheme="minorHAnsi"/>
                <w:sz w:val="20"/>
                <w:szCs w:val="20"/>
              </w:rPr>
              <w:t>Male: 29.2%</w:t>
            </w:r>
          </w:p>
        </w:tc>
      </w:tr>
      <w:tr w:rsidR="00F74984" w:rsidRPr="00F74984" w14:paraId="7D272475" w14:textId="77777777" w:rsidTr="00F05A91">
        <w:trPr>
          <w:cantSplit/>
        </w:trPr>
        <w:tc>
          <w:tcPr>
            <w:tcW w:w="3240" w:type="dxa"/>
          </w:tcPr>
          <w:p w14:paraId="75E4463D" w14:textId="77777777" w:rsidR="00F74984" w:rsidRPr="00F74984" w:rsidRDefault="00F74984" w:rsidP="00F74984">
            <w:pPr>
              <w:rPr>
                <w:rFonts w:cstheme="minorHAnsi"/>
                <w:b/>
                <w:bCs/>
                <w:sz w:val="20"/>
                <w:szCs w:val="20"/>
              </w:rPr>
            </w:pPr>
            <w:r w:rsidRPr="00F74984">
              <w:rPr>
                <w:rFonts w:cstheme="minorHAnsi"/>
                <w:b/>
                <w:bCs/>
                <w:sz w:val="20"/>
                <w:szCs w:val="20"/>
              </w:rPr>
              <w:t>Uteri Corpus and Uterus, NOS</w:t>
            </w:r>
          </w:p>
        </w:tc>
        <w:tc>
          <w:tcPr>
            <w:tcW w:w="2430" w:type="dxa"/>
          </w:tcPr>
          <w:p w14:paraId="51677B5C" w14:textId="77777777" w:rsidR="00F74984" w:rsidRPr="00F74984" w:rsidRDefault="00F74984" w:rsidP="00F74984">
            <w:pPr>
              <w:rPr>
                <w:rFonts w:cstheme="minorHAnsi"/>
                <w:sz w:val="20"/>
                <w:szCs w:val="20"/>
              </w:rPr>
            </w:pPr>
            <w:r w:rsidRPr="00F74984">
              <w:rPr>
                <w:rFonts w:cstheme="minorHAnsi"/>
                <w:sz w:val="20"/>
                <w:szCs w:val="20"/>
              </w:rPr>
              <w:t xml:space="preserve">Female: 122.0 </w:t>
            </w:r>
          </w:p>
        </w:tc>
        <w:tc>
          <w:tcPr>
            <w:tcW w:w="2245" w:type="dxa"/>
          </w:tcPr>
          <w:p w14:paraId="09F4532A" w14:textId="77777777" w:rsidR="00F74984" w:rsidRPr="00F74984" w:rsidRDefault="00F74984" w:rsidP="00F74984">
            <w:pPr>
              <w:rPr>
                <w:rFonts w:cstheme="minorHAnsi"/>
                <w:sz w:val="20"/>
                <w:szCs w:val="20"/>
              </w:rPr>
            </w:pPr>
            <w:r w:rsidRPr="00F74984">
              <w:rPr>
                <w:rFonts w:cstheme="minorHAnsi"/>
                <w:sz w:val="20"/>
                <w:szCs w:val="20"/>
              </w:rPr>
              <w:t>Female: 22.0%</w:t>
            </w:r>
          </w:p>
        </w:tc>
      </w:tr>
      <w:tr w:rsidR="00F74984" w:rsidRPr="00F74984" w14:paraId="4090DDCD" w14:textId="77777777" w:rsidTr="00F05A91">
        <w:trPr>
          <w:cantSplit/>
        </w:trPr>
        <w:tc>
          <w:tcPr>
            <w:tcW w:w="3240" w:type="dxa"/>
          </w:tcPr>
          <w:p w14:paraId="61AE912A" w14:textId="77777777" w:rsidR="00F74984" w:rsidRPr="00F74984" w:rsidRDefault="00F74984" w:rsidP="00F74984">
            <w:pPr>
              <w:rPr>
                <w:rFonts w:cstheme="minorHAnsi"/>
                <w:b/>
                <w:bCs/>
                <w:sz w:val="20"/>
                <w:szCs w:val="20"/>
              </w:rPr>
            </w:pPr>
            <w:r w:rsidRPr="00F74984">
              <w:rPr>
                <w:rFonts w:cstheme="minorHAnsi"/>
                <w:b/>
                <w:bCs/>
                <w:sz w:val="20"/>
                <w:szCs w:val="20"/>
              </w:rPr>
              <w:t xml:space="preserve">All Sites/Types </w:t>
            </w:r>
          </w:p>
        </w:tc>
        <w:tc>
          <w:tcPr>
            <w:tcW w:w="2430" w:type="dxa"/>
          </w:tcPr>
          <w:p w14:paraId="0103F16C" w14:textId="77777777" w:rsidR="00F74984" w:rsidRPr="00F74984" w:rsidRDefault="00F74984" w:rsidP="00F74984">
            <w:pPr>
              <w:rPr>
                <w:rFonts w:cstheme="minorHAnsi"/>
                <w:sz w:val="20"/>
                <w:szCs w:val="20"/>
              </w:rPr>
            </w:pPr>
            <w:r w:rsidRPr="00F74984">
              <w:rPr>
                <w:rFonts w:cstheme="minorHAnsi"/>
                <w:sz w:val="20"/>
                <w:szCs w:val="20"/>
              </w:rPr>
              <w:t xml:space="preserve">Female: 103.9 </w:t>
            </w:r>
          </w:p>
        </w:tc>
        <w:tc>
          <w:tcPr>
            <w:tcW w:w="2245" w:type="dxa"/>
          </w:tcPr>
          <w:p w14:paraId="0F5164B3" w14:textId="77777777" w:rsidR="00F74984" w:rsidRPr="00F74984" w:rsidRDefault="00F74984" w:rsidP="00F74984">
            <w:pPr>
              <w:rPr>
                <w:rFonts w:cstheme="minorHAnsi"/>
                <w:sz w:val="20"/>
                <w:szCs w:val="20"/>
              </w:rPr>
            </w:pPr>
            <w:r w:rsidRPr="00F74984">
              <w:rPr>
                <w:rFonts w:cstheme="minorHAnsi"/>
                <w:sz w:val="20"/>
                <w:szCs w:val="20"/>
              </w:rPr>
              <w:t>Female: 3.9%</w:t>
            </w:r>
          </w:p>
        </w:tc>
      </w:tr>
      <w:bookmarkEnd w:id="18"/>
    </w:tbl>
    <w:p w14:paraId="1099DE59" w14:textId="77777777" w:rsidR="00F74984" w:rsidRPr="00F74984" w:rsidRDefault="00F74984" w:rsidP="00F74984">
      <w:pPr>
        <w:ind w:left="1440"/>
        <w:contextualSpacing/>
        <w:jc w:val="both"/>
        <w:rPr>
          <w:bCs/>
        </w:rPr>
      </w:pPr>
    </w:p>
    <w:p w14:paraId="79F3C875" w14:textId="77777777" w:rsidR="00F74984" w:rsidRPr="00F74984" w:rsidRDefault="00F74984" w:rsidP="00F74984">
      <w:pPr>
        <w:ind w:left="1440"/>
        <w:contextualSpacing/>
        <w:jc w:val="both"/>
        <w:rPr>
          <w:bCs/>
          <w:u w:val="single"/>
        </w:rPr>
      </w:pPr>
      <w:r w:rsidRPr="00F74984">
        <w:rPr>
          <w:bCs/>
          <w:u w:val="single"/>
        </w:rPr>
        <w:t xml:space="preserve">Notable SIRs for Wakefield </w:t>
      </w:r>
    </w:p>
    <w:tbl>
      <w:tblPr>
        <w:tblStyle w:val="TableGrid4"/>
        <w:tblW w:w="0" w:type="auto"/>
        <w:tblInd w:w="1435" w:type="dxa"/>
        <w:tblLook w:val="04A0" w:firstRow="1" w:lastRow="0" w:firstColumn="1" w:lastColumn="0" w:noHBand="0" w:noVBand="1"/>
      </w:tblPr>
      <w:tblGrid>
        <w:gridCol w:w="3240"/>
        <w:gridCol w:w="2430"/>
        <w:gridCol w:w="2245"/>
      </w:tblGrid>
      <w:tr w:rsidR="00F74984" w:rsidRPr="00F74984" w14:paraId="785E5222" w14:textId="77777777" w:rsidTr="00EA3229">
        <w:trPr>
          <w:cantSplit/>
          <w:tblHeader/>
        </w:trPr>
        <w:tc>
          <w:tcPr>
            <w:tcW w:w="3240" w:type="dxa"/>
            <w:shd w:val="clear" w:color="auto" w:fill="002060"/>
          </w:tcPr>
          <w:p w14:paraId="185E1F53" w14:textId="77777777" w:rsidR="00F74984" w:rsidRPr="00F74984" w:rsidRDefault="00F74984" w:rsidP="00F74984">
            <w:pPr>
              <w:rPr>
                <w:rFonts w:cstheme="minorHAnsi"/>
                <w:b/>
                <w:bCs/>
                <w:sz w:val="20"/>
                <w:szCs w:val="20"/>
              </w:rPr>
            </w:pPr>
            <w:r w:rsidRPr="00F74984">
              <w:rPr>
                <w:rFonts w:cstheme="minorHAnsi"/>
                <w:b/>
                <w:bCs/>
                <w:sz w:val="20"/>
                <w:szCs w:val="20"/>
              </w:rPr>
              <w:t>Cancer Type</w:t>
            </w:r>
          </w:p>
        </w:tc>
        <w:tc>
          <w:tcPr>
            <w:tcW w:w="2430" w:type="dxa"/>
            <w:shd w:val="clear" w:color="auto" w:fill="002060"/>
          </w:tcPr>
          <w:p w14:paraId="6DE47F80" w14:textId="77777777" w:rsidR="00F74984" w:rsidRPr="00F74984" w:rsidRDefault="00F74984" w:rsidP="00F74984">
            <w:pPr>
              <w:rPr>
                <w:rFonts w:cstheme="minorHAnsi"/>
                <w:b/>
                <w:bCs/>
                <w:sz w:val="20"/>
                <w:szCs w:val="20"/>
              </w:rPr>
            </w:pPr>
            <w:r w:rsidRPr="00F74984">
              <w:rPr>
                <w:rFonts w:cstheme="minorHAnsi"/>
                <w:b/>
                <w:bCs/>
                <w:sz w:val="20"/>
                <w:szCs w:val="20"/>
              </w:rPr>
              <w:t>Notable SIRs for Wakefield</w:t>
            </w:r>
          </w:p>
        </w:tc>
        <w:tc>
          <w:tcPr>
            <w:tcW w:w="2245" w:type="dxa"/>
            <w:shd w:val="clear" w:color="auto" w:fill="002060"/>
          </w:tcPr>
          <w:p w14:paraId="71FC5539" w14:textId="77777777" w:rsidR="00F74984" w:rsidRPr="00F74984" w:rsidRDefault="00F74984" w:rsidP="00F74984">
            <w:pPr>
              <w:rPr>
                <w:rFonts w:cstheme="minorHAnsi"/>
                <w:sz w:val="20"/>
                <w:szCs w:val="20"/>
              </w:rPr>
            </w:pPr>
            <w:r w:rsidRPr="00F74984">
              <w:rPr>
                <w:rFonts w:cstheme="minorHAnsi"/>
                <w:b/>
                <w:bCs/>
                <w:sz w:val="20"/>
                <w:szCs w:val="20"/>
              </w:rPr>
              <w:t>Percentage Higher than Statewide Average</w:t>
            </w:r>
          </w:p>
        </w:tc>
      </w:tr>
      <w:tr w:rsidR="00F74984" w:rsidRPr="00F74984" w14:paraId="35E67A3B" w14:textId="77777777" w:rsidTr="00EA3229">
        <w:trPr>
          <w:cantSplit/>
        </w:trPr>
        <w:tc>
          <w:tcPr>
            <w:tcW w:w="3240" w:type="dxa"/>
          </w:tcPr>
          <w:p w14:paraId="5581C7E1" w14:textId="77777777" w:rsidR="00F74984" w:rsidRPr="00F74984" w:rsidRDefault="00F74984" w:rsidP="00F74984">
            <w:pPr>
              <w:rPr>
                <w:rFonts w:cstheme="minorHAnsi"/>
                <w:b/>
                <w:bCs/>
                <w:sz w:val="20"/>
                <w:szCs w:val="20"/>
              </w:rPr>
            </w:pPr>
            <w:r w:rsidRPr="00F74984">
              <w:rPr>
                <w:rFonts w:cstheme="minorHAnsi"/>
                <w:b/>
                <w:bCs/>
                <w:sz w:val="20"/>
                <w:szCs w:val="20"/>
              </w:rPr>
              <w:t>Bladder, Urinary</w:t>
            </w:r>
          </w:p>
        </w:tc>
        <w:tc>
          <w:tcPr>
            <w:tcW w:w="2430" w:type="dxa"/>
          </w:tcPr>
          <w:p w14:paraId="6EDDE15F" w14:textId="77777777" w:rsidR="00F74984" w:rsidRPr="00F74984" w:rsidRDefault="00F74984" w:rsidP="00F74984">
            <w:pPr>
              <w:rPr>
                <w:rFonts w:cstheme="minorHAnsi"/>
                <w:sz w:val="20"/>
                <w:szCs w:val="20"/>
              </w:rPr>
            </w:pPr>
            <w:r w:rsidRPr="00F74984">
              <w:rPr>
                <w:rFonts w:cstheme="minorHAnsi"/>
                <w:sz w:val="20"/>
                <w:szCs w:val="20"/>
              </w:rPr>
              <w:t xml:space="preserve">Female: 118.9 </w:t>
            </w:r>
          </w:p>
        </w:tc>
        <w:tc>
          <w:tcPr>
            <w:tcW w:w="2245" w:type="dxa"/>
          </w:tcPr>
          <w:p w14:paraId="511BE329" w14:textId="77777777" w:rsidR="00F74984" w:rsidRPr="00F74984" w:rsidRDefault="00F74984" w:rsidP="00F74984">
            <w:pPr>
              <w:rPr>
                <w:rFonts w:cstheme="minorHAnsi"/>
                <w:sz w:val="20"/>
                <w:szCs w:val="20"/>
              </w:rPr>
            </w:pPr>
            <w:r w:rsidRPr="00F74984">
              <w:rPr>
                <w:rFonts w:cstheme="minorHAnsi"/>
                <w:sz w:val="20"/>
                <w:szCs w:val="20"/>
              </w:rPr>
              <w:t xml:space="preserve">Female: 18.9% </w:t>
            </w:r>
          </w:p>
        </w:tc>
      </w:tr>
      <w:tr w:rsidR="00F74984" w:rsidRPr="00F74984" w14:paraId="028650E0" w14:textId="77777777" w:rsidTr="00EA3229">
        <w:trPr>
          <w:cantSplit/>
        </w:trPr>
        <w:tc>
          <w:tcPr>
            <w:tcW w:w="3240" w:type="dxa"/>
          </w:tcPr>
          <w:p w14:paraId="65EBF735" w14:textId="77777777" w:rsidR="00F74984" w:rsidRPr="00F74984" w:rsidRDefault="00F74984" w:rsidP="00F74984">
            <w:pPr>
              <w:rPr>
                <w:rFonts w:cstheme="minorHAnsi"/>
                <w:b/>
                <w:bCs/>
                <w:sz w:val="20"/>
                <w:szCs w:val="20"/>
              </w:rPr>
            </w:pPr>
            <w:r w:rsidRPr="00F74984">
              <w:rPr>
                <w:rFonts w:cstheme="minorHAnsi"/>
                <w:b/>
                <w:bCs/>
                <w:sz w:val="20"/>
                <w:szCs w:val="20"/>
              </w:rPr>
              <w:t>Brain and Other Nervous System</w:t>
            </w:r>
          </w:p>
        </w:tc>
        <w:tc>
          <w:tcPr>
            <w:tcW w:w="2430" w:type="dxa"/>
          </w:tcPr>
          <w:p w14:paraId="28779AED" w14:textId="77777777" w:rsidR="00F74984" w:rsidRPr="00F74984" w:rsidRDefault="00F74984" w:rsidP="00F74984">
            <w:pPr>
              <w:rPr>
                <w:rFonts w:cstheme="minorHAnsi"/>
                <w:sz w:val="20"/>
                <w:szCs w:val="20"/>
              </w:rPr>
            </w:pPr>
            <w:r w:rsidRPr="00F74984">
              <w:rPr>
                <w:rFonts w:cstheme="minorHAnsi"/>
                <w:sz w:val="20"/>
                <w:szCs w:val="20"/>
              </w:rPr>
              <w:t xml:space="preserve">Male: 138.4 </w:t>
            </w:r>
          </w:p>
          <w:p w14:paraId="0F7F3471" w14:textId="77777777" w:rsidR="00F74984" w:rsidRPr="00F74984" w:rsidRDefault="00F74984" w:rsidP="00F74984">
            <w:pPr>
              <w:rPr>
                <w:rFonts w:cstheme="minorHAnsi"/>
                <w:sz w:val="20"/>
                <w:szCs w:val="20"/>
              </w:rPr>
            </w:pPr>
            <w:r w:rsidRPr="00F74984">
              <w:rPr>
                <w:rFonts w:cstheme="minorHAnsi"/>
                <w:sz w:val="20"/>
                <w:szCs w:val="20"/>
              </w:rPr>
              <w:t xml:space="preserve">Female: 126.6 </w:t>
            </w:r>
          </w:p>
        </w:tc>
        <w:tc>
          <w:tcPr>
            <w:tcW w:w="2245" w:type="dxa"/>
          </w:tcPr>
          <w:p w14:paraId="1E0B8B53" w14:textId="77777777" w:rsidR="00F74984" w:rsidRPr="00F74984" w:rsidRDefault="00F74984" w:rsidP="00F74984">
            <w:pPr>
              <w:rPr>
                <w:rFonts w:cstheme="minorHAnsi"/>
                <w:sz w:val="20"/>
                <w:szCs w:val="20"/>
              </w:rPr>
            </w:pPr>
            <w:r w:rsidRPr="00F74984">
              <w:rPr>
                <w:rFonts w:cstheme="minorHAnsi"/>
                <w:sz w:val="20"/>
                <w:szCs w:val="20"/>
              </w:rPr>
              <w:t>Male: 38.4%</w:t>
            </w:r>
          </w:p>
          <w:p w14:paraId="3BECB270" w14:textId="77777777" w:rsidR="00F74984" w:rsidRPr="00F74984" w:rsidRDefault="00F74984" w:rsidP="00F74984">
            <w:pPr>
              <w:rPr>
                <w:rFonts w:cstheme="minorHAnsi"/>
                <w:sz w:val="20"/>
                <w:szCs w:val="20"/>
              </w:rPr>
            </w:pPr>
            <w:r w:rsidRPr="00F74984">
              <w:rPr>
                <w:rFonts w:cstheme="minorHAnsi"/>
                <w:sz w:val="20"/>
                <w:szCs w:val="20"/>
              </w:rPr>
              <w:t>Female: 26.6%</w:t>
            </w:r>
          </w:p>
        </w:tc>
      </w:tr>
      <w:tr w:rsidR="00F74984" w:rsidRPr="00F74984" w14:paraId="39065D9D" w14:textId="77777777" w:rsidTr="00EA3229">
        <w:trPr>
          <w:cantSplit/>
        </w:trPr>
        <w:tc>
          <w:tcPr>
            <w:tcW w:w="3240" w:type="dxa"/>
          </w:tcPr>
          <w:p w14:paraId="75D96136" w14:textId="77777777" w:rsidR="00F74984" w:rsidRPr="00F74984" w:rsidRDefault="00F74984" w:rsidP="00F74984">
            <w:pPr>
              <w:rPr>
                <w:rFonts w:cstheme="minorHAnsi"/>
                <w:b/>
                <w:bCs/>
                <w:sz w:val="20"/>
                <w:szCs w:val="20"/>
              </w:rPr>
            </w:pPr>
            <w:r w:rsidRPr="00F74984">
              <w:rPr>
                <w:rFonts w:cstheme="minorHAnsi"/>
                <w:b/>
                <w:bCs/>
                <w:sz w:val="20"/>
                <w:szCs w:val="20"/>
              </w:rPr>
              <w:t>Breast</w:t>
            </w:r>
          </w:p>
        </w:tc>
        <w:tc>
          <w:tcPr>
            <w:tcW w:w="2430" w:type="dxa"/>
          </w:tcPr>
          <w:p w14:paraId="2F734B88" w14:textId="77777777" w:rsidR="00F74984" w:rsidRPr="00F74984" w:rsidRDefault="00F74984" w:rsidP="00F74984">
            <w:pPr>
              <w:rPr>
                <w:rFonts w:cstheme="minorHAnsi"/>
                <w:sz w:val="20"/>
                <w:szCs w:val="20"/>
              </w:rPr>
            </w:pPr>
            <w:r w:rsidRPr="00F74984">
              <w:rPr>
                <w:rFonts w:cstheme="minorHAnsi"/>
                <w:sz w:val="20"/>
                <w:szCs w:val="20"/>
              </w:rPr>
              <w:t xml:space="preserve">Female: 107.2 </w:t>
            </w:r>
          </w:p>
        </w:tc>
        <w:tc>
          <w:tcPr>
            <w:tcW w:w="2245" w:type="dxa"/>
          </w:tcPr>
          <w:p w14:paraId="752574FF" w14:textId="77777777" w:rsidR="00F74984" w:rsidRPr="00F74984" w:rsidRDefault="00F74984" w:rsidP="00F74984">
            <w:pPr>
              <w:rPr>
                <w:rFonts w:cstheme="minorHAnsi"/>
                <w:sz w:val="20"/>
                <w:szCs w:val="20"/>
              </w:rPr>
            </w:pPr>
            <w:r w:rsidRPr="00F74984">
              <w:rPr>
                <w:rFonts w:cstheme="minorHAnsi"/>
                <w:sz w:val="20"/>
                <w:szCs w:val="20"/>
              </w:rPr>
              <w:t>Female: 7.2%</w:t>
            </w:r>
          </w:p>
        </w:tc>
      </w:tr>
      <w:tr w:rsidR="00F74984" w:rsidRPr="00F74984" w14:paraId="20B019E1" w14:textId="77777777" w:rsidTr="00EA3229">
        <w:trPr>
          <w:cantSplit/>
        </w:trPr>
        <w:tc>
          <w:tcPr>
            <w:tcW w:w="3240" w:type="dxa"/>
          </w:tcPr>
          <w:p w14:paraId="444216FE" w14:textId="77777777" w:rsidR="00F74984" w:rsidRPr="00F74984" w:rsidRDefault="00F74984" w:rsidP="00F74984">
            <w:pPr>
              <w:rPr>
                <w:rFonts w:cstheme="minorHAnsi"/>
                <w:b/>
                <w:bCs/>
                <w:sz w:val="20"/>
                <w:szCs w:val="20"/>
              </w:rPr>
            </w:pPr>
            <w:r w:rsidRPr="00F74984">
              <w:rPr>
                <w:rFonts w:cstheme="minorHAnsi"/>
                <w:b/>
                <w:bCs/>
                <w:sz w:val="20"/>
                <w:szCs w:val="20"/>
              </w:rPr>
              <w:t xml:space="preserve">Esophagus </w:t>
            </w:r>
          </w:p>
        </w:tc>
        <w:tc>
          <w:tcPr>
            <w:tcW w:w="2430" w:type="dxa"/>
          </w:tcPr>
          <w:p w14:paraId="3678E8A3" w14:textId="77777777" w:rsidR="00F74984" w:rsidRPr="00F74984" w:rsidRDefault="00F74984" w:rsidP="00F74984">
            <w:pPr>
              <w:rPr>
                <w:rFonts w:cstheme="minorHAnsi"/>
                <w:sz w:val="20"/>
                <w:szCs w:val="20"/>
              </w:rPr>
            </w:pPr>
            <w:r w:rsidRPr="00F74984">
              <w:rPr>
                <w:rFonts w:cstheme="minorHAnsi"/>
                <w:sz w:val="20"/>
                <w:szCs w:val="20"/>
              </w:rPr>
              <w:t xml:space="preserve">Male: 113.7 </w:t>
            </w:r>
          </w:p>
        </w:tc>
        <w:tc>
          <w:tcPr>
            <w:tcW w:w="2245" w:type="dxa"/>
          </w:tcPr>
          <w:p w14:paraId="5781914D" w14:textId="77777777" w:rsidR="00F74984" w:rsidRPr="00F74984" w:rsidRDefault="00F74984" w:rsidP="00F74984">
            <w:pPr>
              <w:rPr>
                <w:rFonts w:cstheme="minorHAnsi"/>
                <w:sz w:val="20"/>
                <w:szCs w:val="20"/>
              </w:rPr>
            </w:pPr>
            <w:r w:rsidRPr="00F74984">
              <w:rPr>
                <w:rFonts w:cstheme="minorHAnsi"/>
                <w:sz w:val="20"/>
                <w:szCs w:val="20"/>
              </w:rPr>
              <w:t>Male: 13.7%</w:t>
            </w:r>
          </w:p>
        </w:tc>
      </w:tr>
      <w:tr w:rsidR="00F74984" w:rsidRPr="00F74984" w14:paraId="4ADB8429" w14:textId="77777777" w:rsidTr="00EA3229">
        <w:trPr>
          <w:cantSplit/>
        </w:trPr>
        <w:tc>
          <w:tcPr>
            <w:tcW w:w="3240" w:type="dxa"/>
          </w:tcPr>
          <w:p w14:paraId="1EDD9D97" w14:textId="77777777" w:rsidR="00F74984" w:rsidRPr="00F74984" w:rsidRDefault="00F74984" w:rsidP="00F74984">
            <w:pPr>
              <w:rPr>
                <w:rFonts w:cstheme="minorHAnsi"/>
                <w:b/>
                <w:bCs/>
                <w:sz w:val="20"/>
                <w:szCs w:val="20"/>
              </w:rPr>
            </w:pPr>
            <w:r w:rsidRPr="00F74984">
              <w:rPr>
                <w:rFonts w:cstheme="minorHAnsi"/>
                <w:b/>
                <w:bCs/>
                <w:sz w:val="20"/>
                <w:szCs w:val="20"/>
              </w:rPr>
              <w:t>Kidney and Renal Pelvis</w:t>
            </w:r>
          </w:p>
        </w:tc>
        <w:tc>
          <w:tcPr>
            <w:tcW w:w="2430" w:type="dxa"/>
          </w:tcPr>
          <w:p w14:paraId="36F35CF5" w14:textId="77777777" w:rsidR="00F74984" w:rsidRPr="00F74984" w:rsidRDefault="00F74984" w:rsidP="00F74984">
            <w:pPr>
              <w:rPr>
                <w:rFonts w:cstheme="minorHAnsi"/>
                <w:sz w:val="20"/>
                <w:szCs w:val="20"/>
              </w:rPr>
            </w:pPr>
            <w:r w:rsidRPr="00F74984">
              <w:rPr>
                <w:rFonts w:cstheme="minorHAnsi"/>
                <w:sz w:val="20"/>
                <w:szCs w:val="20"/>
              </w:rPr>
              <w:t xml:space="preserve">Female: 128.4 </w:t>
            </w:r>
          </w:p>
        </w:tc>
        <w:tc>
          <w:tcPr>
            <w:tcW w:w="2245" w:type="dxa"/>
          </w:tcPr>
          <w:p w14:paraId="3141F833" w14:textId="77777777" w:rsidR="00F74984" w:rsidRPr="00F74984" w:rsidRDefault="00F74984" w:rsidP="00F74984">
            <w:pPr>
              <w:rPr>
                <w:rFonts w:cstheme="minorHAnsi"/>
                <w:sz w:val="20"/>
                <w:szCs w:val="20"/>
              </w:rPr>
            </w:pPr>
            <w:r w:rsidRPr="00F74984">
              <w:rPr>
                <w:rFonts w:cstheme="minorHAnsi"/>
                <w:sz w:val="20"/>
                <w:szCs w:val="20"/>
              </w:rPr>
              <w:t>Female: 28.4%</w:t>
            </w:r>
          </w:p>
        </w:tc>
      </w:tr>
      <w:tr w:rsidR="00F74984" w:rsidRPr="00F74984" w14:paraId="172D74C7" w14:textId="77777777" w:rsidTr="00EA3229">
        <w:trPr>
          <w:cantSplit/>
        </w:trPr>
        <w:tc>
          <w:tcPr>
            <w:tcW w:w="3240" w:type="dxa"/>
          </w:tcPr>
          <w:p w14:paraId="6269E53F" w14:textId="77777777" w:rsidR="00F74984" w:rsidRPr="00F74984" w:rsidRDefault="00F74984" w:rsidP="00F74984">
            <w:pPr>
              <w:rPr>
                <w:rFonts w:cstheme="minorHAnsi"/>
                <w:b/>
                <w:bCs/>
                <w:sz w:val="20"/>
                <w:szCs w:val="20"/>
              </w:rPr>
            </w:pPr>
            <w:r w:rsidRPr="00F74984">
              <w:rPr>
                <w:rFonts w:cstheme="minorHAnsi"/>
                <w:b/>
                <w:bCs/>
                <w:sz w:val="20"/>
                <w:szCs w:val="20"/>
              </w:rPr>
              <w:t>Leukemia</w:t>
            </w:r>
          </w:p>
        </w:tc>
        <w:tc>
          <w:tcPr>
            <w:tcW w:w="2430" w:type="dxa"/>
          </w:tcPr>
          <w:p w14:paraId="138C7F40" w14:textId="77777777" w:rsidR="00F74984" w:rsidRPr="00F74984" w:rsidRDefault="00F74984" w:rsidP="00F74984">
            <w:pPr>
              <w:rPr>
                <w:rFonts w:cstheme="minorHAnsi"/>
                <w:sz w:val="20"/>
                <w:szCs w:val="20"/>
              </w:rPr>
            </w:pPr>
            <w:r w:rsidRPr="00F74984">
              <w:rPr>
                <w:rFonts w:cstheme="minorHAnsi"/>
                <w:sz w:val="20"/>
                <w:szCs w:val="20"/>
              </w:rPr>
              <w:t xml:space="preserve">Male: 144.1 </w:t>
            </w:r>
          </w:p>
        </w:tc>
        <w:tc>
          <w:tcPr>
            <w:tcW w:w="2245" w:type="dxa"/>
          </w:tcPr>
          <w:p w14:paraId="0FFA7A2B" w14:textId="77777777" w:rsidR="00F74984" w:rsidRPr="00F74984" w:rsidRDefault="00F74984" w:rsidP="00F74984">
            <w:pPr>
              <w:rPr>
                <w:rFonts w:cstheme="minorHAnsi"/>
                <w:sz w:val="20"/>
                <w:szCs w:val="20"/>
              </w:rPr>
            </w:pPr>
            <w:r w:rsidRPr="00F74984">
              <w:rPr>
                <w:rFonts w:cstheme="minorHAnsi"/>
                <w:sz w:val="20"/>
                <w:szCs w:val="20"/>
              </w:rPr>
              <w:t>Male: 44.1%</w:t>
            </w:r>
          </w:p>
        </w:tc>
      </w:tr>
      <w:tr w:rsidR="00F74984" w:rsidRPr="00F74984" w14:paraId="518384AB" w14:textId="77777777" w:rsidTr="00EA3229">
        <w:trPr>
          <w:cantSplit/>
        </w:trPr>
        <w:tc>
          <w:tcPr>
            <w:tcW w:w="3240" w:type="dxa"/>
          </w:tcPr>
          <w:p w14:paraId="45E5AFC3" w14:textId="77777777" w:rsidR="00F74984" w:rsidRPr="00F74984" w:rsidRDefault="00F74984" w:rsidP="00F74984">
            <w:pPr>
              <w:rPr>
                <w:rFonts w:cstheme="minorHAnsi"/>
                <w:b/>
                <w:bCs/>
                <w:sz w:val="20"/>
                <w:szCs w:val="20"/>
              </w:rPr>
            </w:pPr>
            <w:r w:rsidRPr="00F74984">
              <w:rPr>
                <w:rFonts w:cstheme="minorHAnsi"/>
                <w:b/>
                <w:bCs/>
                <w:sz w:val="20"/>
                <w:szCs w:val="20"/>
              </w:rPr>
              <w:t>Lung and Bronchus</w:t>
            </w:r>
          </w:p>
        </w:tc>
        <w:tc>
          <w:tcPr>
            <w:tcW w:w="2430" w:type="dxa"/>
          </w:tcPr>
          <w:p w14:paraId="1794B1E5" w14:textId="77777777" w:rsidR="00F74984" w:rsidRPr="00F74984" w:rsidRDefault="00F74984" w:rsidP="00F74984">
            <w:pPr>
              <w:rPr>
                <w:rFonts w:cstheme="minorHAnsi"/>
                <w:sz w:val="20"/>
                <w:szCs w:val="20"/>
              </w:rPr>
            </w:pPr>
            <w:r w:rsidRPr="00F74984">
              <w:rPr>
                <w:rFonts w:cstheme="minorHAnsi"/>
                <w:sz w:val="20"/>
                <w:szCs w:val="20"/>
              </w:rPr>
              <w:t xml:space="preserve">Female: 107.0 </w:t>
            </w:r>
          </w:p>
        </w:tc>
        <w:tc>
          <w:tcPr>
            <w:tcW w:w="2245" w:type="dxa"/>
          </w:tcPr>
          <w:p w14:paraId="3E7960CE" w14:textId="77777777" w:rsidR="00F74984" w:rsidRPr="00F74984" w:rsidRDefault="00F74984" w:rsidP="00F74984">
            <w:pPr>
              <w:rPr>
                <w:rFonts w:cstheme="minorHAnsi"/>
                <w:sz w:val="20"/>
                <w:szCs w:val="20"/>
              </w:rPr>
            </w:pPr>
            <w:r w:rsidRPr="00F74984">
              <w:rPr>
                <w:rFonts w:cstheme="minorHAnsi"/>
                <w:sz w:val="20"/>
                <w:szCs w:val="20"/>
              </w:rPr>
              <w:t>Female: 7.0%</w:t>
            </w:r>
          </w:p>
        </w:tc>
      </w:tr>
      <w:tr w:rsidR="00F74984" w:rsidRPr="00F74984" w14:paraId="5990EF6A" w14:textId="77777777" w:rsidTr="00EA3229">
        <w:trPr>
          <w:cantSplit/>
        </w:trPr>
        <w:tc>
          <w:tcPr>
            <w:tcW w:w="3240" w:type="dxa"/>
          </w:tcPr>
          <w:p w14:paraId="3D85790D" w14:textId="77777777" w:rsidR="00F74984" w:rsidRPr="00F74984" w:rsidRDefault="00F74984" w:rsidP="00F74984">
            <w:pPr>
              <w:rPr>
                <w:rFonts w:cstheme="minorHAnsi"/>
                <w:b/>
                <w:bCs/>
                <w:sz w:val="20"/>
                <w:szCs w:val="20"/>
              </w:rPr>
            </w:pPr>
            <w:r w:rsidRPr="00F74984">
              <w:rPr>
                <w:rFonts w:cstheme="minorHAnsi"/>
                <w:b/>
                <w:bCs/>
                <w:sz w:val="20"/>
                <w:szCs w:val="20"/>
              </w:rPr>
              <w:t>Melanoma of Skin</w:t>
            </w:r>
          </w:p>
        </w:tc>
        <w:tc>
          <w:tcPr>
            <w:tcW w:w="2430" w:type="dxa"/>
          </w:tcPr>
          <w:p w14:paraId="4481B4E6" w14:textId="77777777" w:rsidR="00F74984" w:rsidRPr="00F74984" w:rsidRDefault="00F74984" w:rsidP="00F74984">
            <w:pPr>
              <w:rPr>
                <w:rFonts w:cstheme="minorHAnsi"/>
                <w:sz w:val="20"/>
                <w:szCs w:val="20"/>
              </w:rPr>
            </w:pPr>
            <w:r w:rsidRPr="00F74984">
              <w:rPr>
                <w:rFonts w:cstheme="minorHAnsi"/>
                <w:sz w:val="20"/>
                <w:szCs w:val="20"/>
              </w:rPr>
              <w:t xml:space="preserve">Female: 150.3 </w:t>
            </w:r>
          </w:p>
        </w:tc>
        <w:tc>
          <w:tcPr>
            <w:tcW w:w="2245" w:type="dxa"/>
          </w:tcPr>
          <w:p w14:paraId="3F05B8D7" w14:textId="77777777" w:rsidR="00F74984" w:rsidRPr="00F74984" w:rsidRDefault="00F74984" w:rsidP="00F74984">
            <w:pPr>
              <w:rPr>
                <w:rFonts w:cstheme="minorHAnsi"/>
                <w:sz w:val="20"/>
                <w:szCs w:val="20"/>
              </w:rPr>
            </w:pPr>
            <w:r w:rsidRPr="00F74984">
              <w:rPr>
                <w:rFonts w:cstheme="minorHAnsi"/>
                <w:sz w:val="20"/>
                <w:szCs w:val="20"/>
              </w:rPr>
              <w:t>Female: 50.3%</w:t>
            </w:r>
          </w:p>
        </w:tc>
      </w:tr>
      <w:tr w:rsidR="00F74984" w:rsidRPr="00F74984" w14:paraId="58E11534" w14:textId="77777777" w:rsidTr="00EA3229">
        <w:trPr>
          <w:cantSplit/>
        </w:trPr>
        <w:tc>
          <w:tcPr>
            <w:tcW w:w="3240" w:type="dxa"/>
          </w:tcPr>
          <w:p w14:paraId="283D9126" w14:textId="77777777" w:rsidR="00F74984" w:rsidRPr="00F74984" w:rsidRDefault="00F74984" w:rsidP="00F74984">
            <w:pPr>
              <w:rPr>
                <w:rFonts w:cstheme="minorHAnsi"/>
                <w:b/>
                <w:bCs/>
                <w:sz w:val="20"/>
                <w:szCs w:val="20"/>
              </w:rPr>
            </w:pPr>
            <w:r w:rsidRPr="00F74984">
              <w:rPr>
                <w:rFonts w:cstheme="minorHAnsi"/>
                <w:b/>
                <w:bCs/>
                <w:sz w:val="20"/>
                <w:szCs w:val="20"/>
              </w:rPr>
              <w:t>Non-Hodgkin Lymphoma</w:t>
            </w:r>
          </w:p>
        </w:tc>
        <w:tc>
          <w:tcPr>
            <w:tcW w:w="2430" w:type="dxa"/>
          </w:tcPr>
          <w:p w14:paraId="5CF617E6" w14:textId="77777777" w:rsidR="00F74984" w:rsidRPr="00F74984" w:rsidRDefault="00F74984" w:rsidP="00F74984">
            <w:pPr>
              <w:rPr>
                <w:rFonts w:cstheme="minorHAnsi"/>
                <w:sz w:val="20"/>
                <w:szCs w:val="20"/>
              </w:rPr>
            </w:pPr>
            <w:r w:rsidRPr="00F74984">
              <w:rPr>
                <w:rFonts w:cstheme="minorHAnsi"/>
                <w:sz w:val="20"/>
                <w:szCs w:val="20"/>
              </w:rPr>
              <w:t xml:space="preserve">Female: 106.2 </w:t>
            </w:r>
          </w:p>
        </w:tc>
        <w:tc>
          <w:tcPr>
            <w:tcW w:w="2245" w:type="dxa"/>
          </w:tcPr>
          <w:p w14:paraId="67FFBC20" w14:textId="77777777" w:rsidR="00F74984" w:rsidRPr="00F74984" w:rsidRDefault="00F74984" w:rsidP="00F74984">
            <w:pPr>
              <w:rPr>
                <w:rFonts w:cstheme="minorHAnsi"/>
                <w:sz w:val="20"/>
                <w:szCs w:val="20"/>
              </w:rPr>
            </w:pPr>
            <w:r w:rsidRPr="00F74984">
              <w:rPr>
                <w:rFonts w:cstheme="minorHAnsi"/>
                <w:sz w:val="20"/>
                <w:szCs w:val="20"/>
              </w:rPr>
              <w:t>Female: 6.2%</w:t>
            </w:r>
          </w:p>
        </w:tc>
      </w:tr>
      <w:tr w:rsidR="00F74984" w:rsidRPr="00F74984" w14:paraId="3A78568B" w14:textId="77777777" w:rsidTr="00EA3229">
        <w:trPr>
          <w:cantSplit/>
        </w:trPr>
        <w:tc>
          <w:tcPr>
            <w:tcW w:w="3240" w:type="dxa"/>
          </w:tcPr>
          <w:p w14:paraId="4DF75637" w14:textId="77777777" w:rsidR="00F74984" w:rsidRPr="00F74984" w:rsidRDefault="00F74984" w:rsidP="00F74984">
            <w:pPr>
              <w:rPr>
                <w:rFonts w:cstheme="minorHAnsi"/>
                <w:b/>
                <w:bCs/>
                <w:sz w:val="20"/>
                <w:szCs w:val="20"/>
              </w:rPr>
            </w:pPr>
            <w:r w:rsidRPr="00F74984">
              <w:rPr>
                <w:rFonts w:cstheme="minorHAnsi"/>
                <w:b/>
                <w:bCs/>
                <w:sz w:val="20"/>
                <w:szCs w:val="20"/>
              </w:rPr>
              <w:t>Oral Cavity and Pharynx</w:t>
            </w:r>
          </w:p>
        </w:tc>
        <w:tc>
          <w:tcPr>
            <w:tcW w:w="2430" w:type="dxa"/>
          </w:tcPr>
          <w:p w14:paraId="24B34C28" w14:textId="77777777" w:rsidR="00F74984" w:rsidRPr="00F74984" w:rsidRDefault="00F74984" w:rsidP="00F74984">
            <w:pPr>
              <w:rPr>
                <w:rFonts w:cstheme="minorHAnsi"/>
                <w:sz w:val="20"/>
                <w:szCs w:val="20"/>
              </w:rPr>
            </w:pPr>
            <w:r w:rsidRPr="00F74984">
              <w:rPr>
                <w:rFonts w:cstheme="minorHAnsi"/>
                <w:sz w:val="20"/>
                <w:szCs w:val="20"/>
              </w:rPr>
              <w:t xml:space="preserve">Male: 105.2 </w:t>
            </w:r>
          </w:p>
          <w:p w14:paraId="0D7D5BA6" w14:textId="77777777" w:rsidR="00F74984" w:rsidRPr="00F74984" w:rsidRDefault="00F74984" w:rsidP="00F74984">
            <w:pPr>
              <w:rPr>
                <w:rFonts w:cstheme="minorHAnsi"/>
                <w:sz w:val="20"/>
                <w:szCs w:val="20"/>
              </w:rPr>
            </w:pPr>
            <w:r w:rsidRPr="00F74984">
              <w:rPr>
                <w:rFonts w:cstheme="minorHAnsi"/>
                <w:sz w:val="20"/>
                <w:szCs w:val="20"/>
              </w:rPr>
              <w:t>Female: 109.5</w:t>
            </w:r>
          </w:p>
        </w:tc>
        <w:tc>
          <w:tcPr>
            <w:tcW w:w="2245" w:type="dxa"/>
          </w:tcPr>
          <w:p w14:paraId="1D319CDD" w14:textId="77777777" w:rsidR="00F74984" w:rsidRPr="00F74984" w:rsidRDefault="00F74984" w:rsidP="00F74984">
            <w:pPr>
              <w:rPr>
                <w:rFonts w:cstheme="minorHAnsi"/>
                <w:sz w:val="20"/>
                <w:szCs w:val="20"/>
              </w:rPr>
            </w:pPr>
            <w:r w:rsidRPr="00F74984">
              <w:rPr>
                <w:rFonts w:cstheme="minorHAnsi"/>
                <w:sz w:val="20"/>
                <w:szCs w:val="20"/>
              </w:rPr>
              <w:t>Male: 5.2%</w:t>
            </w:r>
          </w:p>
          <w:p w14:paraId="135B8E8C" w14:textId="77777777" w:rsidR="00F74984" w:rsidRPr="00F74984" w:rsidRDefault="00F74984" w:rsidP="00F74984">
            <w:pPr>
              <w:rPr>
                <w:rFonts w:cstheme="minorHAnsi"/>
                <w:sz w:val="20"/>
                <w:szCs w:val="20"/>
              </w:rPr>
            </w:pPr>
            <w:r w:rsidRPr="00F74984">
              <w:rPr>
                <w:rFonts w:cstheme="minorHAnsi"/>
                <w:sz w:val="20"/>
                <w:szCs w:val="20"/>
              </w:rPr>
              <w:t>Female: 9.5%</w:t>
            </w:r>
          </w:p>
        </w:tc>
      </w:tr>
      <w:tr w:rsidR="00F74984" w:rsidRPr="00F74984" w14:paraId="506F2193" w14:textId="77777777" w:rsidTr="00EA3229">
        <w:trPr>
          <w:cantSplit/>
        </w:trPr>
        <w:tc>
          <w:tcPr>
            <w:tcW w:w="3240" w:type="dxa"/>
          </w:tcPr>
          <w:p w14:paraId="359CE97D" w14:textId="77777777" w:rsidR="00F74984" w:rsidRPr="00F74984" w:rsidRDefault="00F74984" w:rsidP="00F74984">
            <w:pPr>
              <w:rPr>
                <w:rFonts w:cstheme="minorHAnsi"/>
                <w:b/>
                <w:bCs/>
                <w:sz w:val="20"/>
                <w:szCs w:val="20"/>
              </w:rPr>
            </w:pPr>
            <w:r w:rsidRPr="00F74984">
              <w:rPr>
                <w:rFonts w:cstheme="minorHAnsi"/>
                <w:b/>
                <w:bCs/>
                <w:sz w:val="20"/>
                <w:szCs w:val="20"/>
              </w:rPr>
              <w:t>Thyroid</w:t>
            </w:r>
          </w:p>
        </w:tc>
        <w:tc>
          <w:tcPr>
            <w:tcW w:w="2430" w:type="dxa"/>
          </w:tcPr>
          <w:p w14:paraId="5FB635D4" w14:textId="77777777" w:rsidR="00F74984" w:rsidRPr="00F74984" w:rsidRDefault="00F74984" w:rsidP="00F74984">
            <w:pPr>
              <w:rPr>
                <w:rFonts w:cstheme="minorHAnsi"/>
                <w:sz w:val="20"/>
                <w:szCs w:val="20"/>
              </w:rPr>
            </w:pPr>
            <w:r w:rsidRPr="00F74984">
              <w:rPr>
                <w:rFonts w:cstheme="minorHAnsi"/>
                <w:sz w:val="20"/>
                <w:szCs w:val="20"/>
              </w:rPr>
              <w:t xml:space="preserve">Male: 103.9 </w:t>
            </w:r>
          </w:p>
        </w:tc>
        <w:tc>
          <w:tcPr>
            <w:tcW w:w="2245" w:type="dxa"/>
          </w:tcPr>
          <w:p w14:paraId="6C3BE28D" w14:textId="77777777" w:rsidR="00F74984" w:rsidRPr="00F74984" w:rsidRDefault="00F74984" w:rsidP="00F74984">
            <w:pPr>
              <w:rPr>
                <w:rFonts w:cstheme="minorHAnsi"/>
                <w:sz w:val="20"/>
                <w:szCs w:val="20"/>
              </w:rPr>
            </w:pPr>
            <w:r w:rsidRPr="00F74984">
              <w:rPr>
                <w:rFonts w:cstheme="minorHAnsi"/>
                <w:sz w:val="20"/>
                <w:szCs w:val="20"/>
              </w:rPr>
              <w:t>Male: 3.9%</w:t>
            </w:r>
          </w:p>
        </w:tc>
      </w:tr>
      <w:tr w:rsidR="00F74984" w:rsidRPr="00F74984" w14:paraId="00030FDE" w14:textId="77777777" w:rsidTr="00EA3229">
        <w:trPr>
          <w:cantSplit/>
        </w:trPr>
        <w:tc>
          <w:tcPr>
            <w:tcW w:w="3240" w:type="dxa"/>
          </w:tcPr>
          <w:p w14:paraId="5267E309" w14:textId="77777777" w:rsidR="00F74984" w:rsidRPr="00F74984" w:rsidRDefault="00F74984" w:rsidP="00F74984">
            <w:pPr>
              <w:rPr>
                <w:rFonts w:cstheme="minorHAnsi"/>
                <w:b/>
                <w:bCs/>
                <w:sz w:val="20"/>
                <w:szCs w:val="20"/>
              </w:rPr>
            </w:pPr>
            <w:r w:rsidRPr="00F74984">
              <w:rPr>
                <w:rFonts w:cstheme="minorHAnsi"/>
                <w:b/>
                <w:bCs/>
                <w:sz w:val="20"/>
                <w:szCs w:val="20"/>
              </w:rPr>
              <w:t>All Sites/Types</w:t>
            </w:r>
          </w:p>
        </w:tc>
        <w:tc>
          <w:tcPr>
            <w:tcW w:w="2430" w:type="dxa"/>
          </w:tcPr>
          <w:p w14:paraId="767DB9EA" w14:textId="77777777" w:rsidR="00F74984" w:rsidRPr="00F74984" w:rsidRDefault="00F74984" w:rsidP="00F74984">
            <w:pPr>
              <w:rPr>
                <w:rFonts w:cstheme="minorHAnsi"/>
                <w:sz w:val="20"/>
                <w:szCs w:val="20"/>
              </w:rPr>
            </w:pPr>
            <w:r w:rsidRPr="00F74984">
              <w:rPr>
                <w:rFonts w:cstheme="minorHAnsi"/>
                <w:sz w:val="20"/>
                <w:szCs w:val="20"/>
              </w:rPr>
              <w:t xml:space="preserve">Female: 101.2 </w:t>
            </w:r>
          </w:p>
        </w:tc>
        <w:tc>
          <w:tcPr>
            <w:tcW w:w="2245" w:type="dxa"/>
          </w:tcPr>
          <w:p w14:paraId="50524A8E" w14:textId="77777777" w:rsidR="00F74984" w:rsidRPr="00F74984" w:rsidRDefault="00F74984" w:rsidP="00F74984">
            <w:pPr>
              <w:rPr>
                <w:rFonts w:cstheme="minorHAnsi"/>
                <w:sz w:val="20"/>
                <w:szCs w:val="20"/>
              </w:rPr>
            </w:pPr>
            <w:r w:rsidRPr="00F74984">
              <w:rPr>
                <w:rFonts w:cstheme="minorHAnsi"/>
                <w:sz w:val="20"/>
                <w:szCs w:val="20"/>
              </w:rPr>
              <w:t>Female: 1.2%</w:t>
            </w:r>
          </w:p>
        </w:tc>
      </w:tr>
    </w:tbl>
    <w:p w14:paraId="108468CE" w14:textId="77777777" w:rsidR="00F74984" w:rsidRPr="00F74984" w:rsidRDefault="00F74984" w:rsidP="00F74984">
      <w:pPr>
        <w:ind w:left="1440"/>
        <w:contextualSpacing/>
        <w:jc w:val="both"/>
        <w:rPr>
          <w:bCs/>
          <w:u w:val="single"/>
        </w:rPr>
      </w:pPr>
    </w:p>
    <w:p w14:paraId="42B5604F" w14:textId="77777777" w:rsidR="00F74984" w:rsidRPr="00F74984" w:rsidRDefault="00F74984" w:rsidP="00F74984">
      <w:pPr>
        <w:ind w:left="1440"/>
        <w:contextualSpacing/>
        <w:jc w:val="both"/>
        <w:rPr>
          <w:bCs/>
        </w:rPr>
      </w:pPr>
      <w:r w:rsidRPr="00F74984">
        <w:rPr>
          <w:bCs/>
        </w:rPr>
        <w:t>The tables above illustrate substantial data that reveal percentages of certain oncologic conditions that are higher than statewide averages in the PSA – this information further demonstrates the need for continued access to PET-CT imaging services in this catchment area.</w:t>
      </w:r>
    </w:p>
    <w:p w14:paraId="433C8436" w14:textId="77777777" w:rsidR="00F74984" w:rsidRPr="00F74984" w:rsidRDefault="00F74984" w:rsidP="00F74984">
      <w:pPr>
        <w:ind w:left="1440"/>
        <w:contextualSpacing/>
        <w:jc w:val="both"/>
        <w:rPr>
          <w:bCs/>
          <w:u w:val="single"/>
        </w:rPr>
      </w:pPr>
    </w:p>
    <w:p w14:paraId="03A8F51F" w14:textId="77777777" w:rsidR="00F74984" w:rsidRPr="00F74984" w:rsidRDefault="00F74984" w:rsidP="00F74984">
      <w:pPr>
        <w:ind w:left="1440"/>
        <w:contextualSpacing/>
        <w:jc w:val="both"/>
        <w:rPr>
          <w:bCs/>
          <w:u w:val="single"/>
        </w:rPr>
      </w:pPr>
      <w:r w:rsidRPr="00F74984">
        <w:rPr>
          <w:bCs/>
          <w:u w:val="single"/>
        </w:rPr>
        <w:t>Cardiological Conditions and the Need for PET-CT</w:t>
      </w:r>
    </w:p>
    <w:p w14:paraId="03D05027" w14:textId="77777777" w:rsidR="00F74984" w:rsidRPr="00F74984" w:rsidRDefault="00F74984" w:rsidP="00F74984">
      <w:pPr>
        <w:ind w:left="1440"/>
        <w:contextualSpacing/>
        <w:jc w:val="both"/>
        <w:rPr>
          <w:bCs/>
        </w:rPr>
      </w:pPr>
    </w:p>
    <w:p w14:paraId="699F89E2" w14:textId="77777777" w:rsidR="00F74984" w:rsidRPr="00F74984" w:rsidRDefault="00F74984" w:rsidP="00F74984">
      <w:pPr>
        <w:ind w:left="1440"/>
        <w:contextualSpacing/>
        <w:jc w:val="both"/>
        <w:rPr>
          <w:bCs/>
        </w:rPr>
      </w:pPr>
      <w:r w:rsidRPr="00F74984">
        <w:rPr>
          <w:bCs/>
        </w:rPr>
        <w:t xml:space="preserve">It is well-established that age is a leading risk factor for cardiovascular disease and the risk for coronary heart disease increases starting at age 45 for men and at age 55 for </w:t>
      </w:r>
      <w:r w:rsidRPr="00F74984">
        <w:rPr>
          <w:bCs/>
        </w:rPr>
        <w:lastRenderedPageBreak/>
        <w:t>women.</w:t>
      </w:r>
      <w:r w:rsidRPr="00F74984">
        <w:rPr>
          <w:bCs/>
          <w:vertAlign w:val="superscript"/>
        </w:rPr>
        <w:footnoteReference w:id="58"/>
      </w:r>
      <w:r w:rsidRPr="00F74984">
        <w:rPr>
          <w:bCs/>
        </w:rPr>
        <w:t xml:space="preserve"> According to the 2018 results from the Massachusetts Behavioral Risk Factor Surveillance System, statewide, 5.6% of Massachusetts adults are diagnosed with myocardial infarction and 4.7% are diagnosed with angina or coronary heart disease annually.</w:t>
      </w:r>
      <w:r w:rsidRPr="00F74984">
        <w:rPr>
          <w:bCs/>
          <w:vertAlign w:val="superscript"/>
        </w:rPr>
        <w:footnoteReference w:id="59"/>
      </w:r>
      <w:r w:rsidRPr="00F74984">
        <w:rPr>
          <w:bCs/>
        </w:rPr>
        <w:t xml:space="preserve">  Moreover, according to the American Heart Association, 12,140 people died of heart disease in Massachusetts in 2017, making heart disease the second leading cause of death.</w:t>
      </w:r>
      <w:r w:rsidRPr="00F74984">
        <w:rPr>
          <w:bCs/>
          <w:vertAlign w:val="superscript"/>
        </w:rPr>
        <w:footnoteReference w:id="60"/>
      </w:r>
      <w:r w:rsidRPr="00F74984">
        <w:rPr>
          <w:bCs/>
        </w:rPr>
        <w:t xml:space="preserve">  </w:t>
      </w:r>
    </w:p>
    <w:p w14:paraId="28799944" w14:textId="77777777" w:rsidR="00F74984" w:rsidRPr="00F74984" w:rsidRDefault="00F74984" w:rsidP="00F74984">
      <w:pPr>
        <w:ind w:left="1440"/>
        <w:contextualSpacing/>
        <w:jc w:val="both"/>
        <w:rPr>
          <w:bCs/>
        </w:rPr>
      </w:pPr>
    </w:p>
    <w:p w14:paraId="5BF98A56" w14:textId="77777777" w:rsidR="00F74984" w:rsidRPr="00F74984" w:rsidRDefault="00F74984" w:rsidP="00F74984">
      <w:pPr>
        <w:ind w:left="1440"/>
        <w:contextualSpacing/>
        <w:jc w:val="both"/>
        <w:rPr>
          <w:bCs/>
        </w:rPr>
      </w:pPr>
      <w:r w:rsidRPr="00F74984">
        <w:rPr>
          <w:bCs/>
        </w:rPr>
        <w:t>In addition, heart disease</w:t>
      </w:r>
      <w:r w:rsidRPr="00F74984">
        <w:rPr>
          <w:bCs/>
          <w:vertAlign w:val="superscript"/>
        </w:rPr>
        <w:footnoteReference w:id="61"/>
      </w:r>
      <w:r w:rsidRPr="00F74984">
        <w:rPr>
          <w:bCs/>
        </w:rPr>
        <w:t xml:space="preserve"> continues to kill more people in the U.S. than any other cause, despite, or perhaps even likely due to the impact of the COVID-19 pandemic over the last few  years, according to 2021 provisional data released from the U.S Centers for Disease Control and Prevention.</w:t>
      </w:r>
      <w:r w:rsidRPr="00F74984">
        <w:rPr>
          <w:bCs/>
          <w:vertAlign w:val="superscript"/>
        </w:rPr>
        <w:footnoteReference w:id="62"/>
      </w:r>
      <w:r w:rsidRPr="00F74984">
        <w:rPr>
          <w:bCs/>
        </w:rPr>
        <w:t xml:space="preserve"> That trend is likely to continue for years to come as the long-term impact of the novel coronavirus will directly affect cardiovascular health, according to the American Heart Association.</w:t>
      </w:r>
      <w:r w:rsidRPr="00F74984">
        <w:rPr>
          <w:bCs/>
          <w:vertAlign w:val="superscript"/>
        </w:rPr>
        <w:footnoteReference w:id="63"/>
      </w:r>
    </w:p>
    <w:p w14:paraId="0F3CEDC5" w14:textId="77777777" w:rsidR="00F74984" w:rsidRPr="00F74984" w:rsidRDefault="00F74984" w:rsidP="00F74984">
      <w:pPr>
        <w:ind w:left="1440"/>
        <w:contextualSpacing/>
        <w:jc w:val="both"/>
        <w:rPr>
          <w:bCs/>
        </w:rPr>
      </w:pPr>
    </w:p>
    <w:p w14:paraId="2F7A60F4" w14:textId="77777777" w:rsidR="00F74984" w:rsidRPr="00F74984" w:rsidRDefault="00F74984" w:rsidP="00F74984">
      <w:pPr>
        <w:ind w:left="1440"/>
        <w:contextualSpacing/>
        <w:jc w:val="both"/>
        <w:rPr>
          <w:bCs/>
        </w:rPr>
      </w:pPr>
      <w:r w:rsidRPr="00F74984">
        <w:rPr>
          <w:bCs/>
        </w:rPr>
        <w:t xml:space="preserve">Patient panel data for MWH’s patients provide that 9,373 patients were treated for cardiac-related diagnoses in FY19; 8,087 in FY20; and 8,014 in FY21. </w:t>
      </w:r>
    </w:p>
    <w:p w14:paraId="04E647F0" w14:textId="77777777" w:rsidR="00F74984" w:rsidRPr="00F74984" w:rsidRDefault="00F74984" w:rsidP="00F74984">
      <w:pPr>
        <w:ind w:left="1440"/>
        <w:contextualSpacing/>
        <w:jc w:val="both"/>
        <w:rPr>
          <w:bCs/>
        </w:rPr>
      </w:pPr>
    </w:p>
    <w:p w14:paraId="116266C1" w14:textId="77777777" w:rsidR="00F74984" w:rsidRPr="00F74984" w:rsidRDefault="00F74984" w:rsidP="00F74984">
      <w:pPr>
        <w:ind w:left="1440"/>
        <w:contextualSpacing/>
        <w:rPr>
          <w:bCs/>
          <w:u w:val="single"/>
        </w:rPr>
      </w:pPr>
      <w:r w:rsidRPr="00F74984">
        <w:rPr>
          <w:bCs/>
          <w:u w:val="single"/>
        </w:rPr>
        <w:t xml:space="preserve">Neurological Conditions and the Need for PET-CT </w:t>
      </w:r>
    </w:p>
    <w:p w14:paraId="070CC62B" w14:textId="77777777" w:rsidR="00F74984" w:rsidRPr="00F74984" w:rsidRDefault="00F74984" w:rsidP="00F74984">
      <w:pPr>
        <w:ind w:left="1440"/>
        <w:contextualSpacing/>
        <w:rPr>
          <w:bCs/>
        </w:rPr>
      </w:pPr>
    </w:p>
    <w:p w14:paraId="101B211D" w14:textId="77777777" w:rsidR="00F74984" w:rsidRPr="00F74984" w:rsidRDefault="00F74984" w:rsidP="00F74984">
      <w:pPr>
        <w:ind w:left="1440"/>
        <w:contextualSpacing/>
        <w:jc w:val="both"/>
      </w:pPr>
      <w:r w:rsidRPr="00F74984">
        <w:t>Recent studies have placed an increased focus on aging and neurological diseases, such as epilepsy and Alzheimer’s dementia.  Additionally, the risk of having a seizure increases after the age of 60.</w:t>
      </w:r>
      <w:r w:rsidRPr="00F74984">
        <w:rPr>
          <w:vertAlign w:val="superscript"/>
        </w:rPr>
        <w:footnoteReference w:id="64"/>
      </w:r>
      <w:r w:rsidRPr="00F74984">
        <w:t xml:space="preserve">  Moreover, the incidence rate of Alzheimer’s also increases with age.</w:t>
      </w:r>
      <w:r w:rsidRPr="00F74984">
        <w:rPr>
          <w:vertAlign w:val="superscript"/>
        </w:rPr>
        <w:footnoteReference w:id="65"/>
      </w:r>
      <w:r w:rsidRPr="00F74984">
        <w:t xml:space="preserve"> Millions of Americans have Alzheimer’s or other dementias.</w:t>
      </w:r>
      <w:r w:rsidRPr="00F74984">
        <w:rPr>
          <w:vertAlign w:val="superscript"/>
        </w:rPr>
        <w:footnoteReference w:id="66"/>
      </w:r>
      <w:r w:rsidRPr="00F74984">
        <w:t xml:space="preserve"> As the size and proportion of the U.S. population age 65 and older continues to increase, the number of Americans with Alzheimer’s or other dementias will grow. This number will escalate rapidly in coming years, as the population of Americans aged 65 and older is projected to grow from 55 million in 2019 to 88 million by 2050.</w:t>
      </w:r>
      <w:r w:rsidRPr="00F74984">
        <w:rPr>
          <w:vertAlign w:val="superscript"/>
        </w:rPr>
        <w:footnoteReference w:id="67"/>
      </w:r>
      <w:r w:rsidRPr="00F74984">
        <w:rPr>
          <w:bCs/>
        </w:rPr>
        <w:t xml:space="preserve">  </w:t>
      </w:r>
    </w:p>
    <w:p w14:paraId="7BD1FF91" w14:textId="77777777" w:rsidR="00F74984" w:rsidRPr="00F74984" w:rsidRDefault="00F74984" w:rsidP="00F74984">
      <w:pPr>
        <w:ind w:left="1440"/>
        <w:contextualSpacing/>
        <w:jc w:val="both"/>
        <w:rPr>
          <w:bCs/>
        </w:rPr>
      </w:pPr>
    </w:p>
    <w:p w14:paraId="42465A0F" w14:textId="77777777" w:rsidR="00F74984" w:rsidRPr="00F74984" w:rsidRDefault="00F74984" w:rsidP="00F74984">
      <w:pPr>
        <w:ind w:left="1440"/>
        <w:contextualSpacing/>
        <w:jc w:val="both"/>
        <w:rPr>
          <w:bCs/>
        </w:rPr>
      </w:pPr>
      <w:r w:rsidRPr="00F74984">
        <w:rPr>
          <w:bCs/>
        </w:rPr>
        <w:lastRenderedPageBreak/>
        <w:t>The baby boom generation has already begun to reach age 65 and beyond, the age range of greatest risk of Alzheimer’s dementia. The oldest members of the baby boom generation turned age 73 in 2019 and by 2030, all Baby Boomers will be aged 65 or older.</w:t>
      </w:r>
      <w:r w:rsidRPr="00F74984">
        <w:rPr>
          <w:bCs/>
          <w:vertAlign w:val="superscript"/>
        </w:rPr>
        <w:footnoteReference w:id="68"/>
      </w:r>
      <w:r w:rsidRPr="00F74984">
        <w:rPr>
          <w:bCs/>
        </w:rPr>
        <w:t xml:space="preserve">  </w:t>
      </w:r>
      <w:bookmarkStart w:id="19" w:name="_Hlk98756749"/>
    </w:p>
    <w:p w14:paraId="1FF9B902" w14:textId="77777777" w:rsidR="00F74984" w:rsidRPr="00F74984" w:rsidRDefault="00F74984" w:rsidP="00F74984">
      <w:pPr>
        <w:ind w:left="1440"/>
        <w:contextualSpacing/>
        <w:jc w:val="both"/>
        <w:rPr>
          <w:bCs/>
        </w:rPr>
      </w:pPr>
    </w:p>
    <w:p w14:paraId="4A3B471C" w14:textId="77777777" w:rsidR="00F74984" w:rsidRPr="00F74984" w:rsidRDefault="00F74984" w:rsidP="00F74984">
      <w:pPr>
        <w:ind w:left="1440"/>
        <w:contextualSpacing/>
        <w:jc w:val="both"/>
        <w:rPr>
          <w:bCs/>
        </w:rPr>
      </w:pPr>
      <w:r w:rsidRPr="00F74984">
        <w:rPr>
          <w:bCs/>
        </w:rPr>
        <w:t>The impact of Alzheimer's is projected to rise, and the most recent data show: 130,000 people aged 65 and older are living with Alzheimer's in Massachusetts.</w:t>
      </w:r>
      <w:r w:rsidRPr="00F74984">
        <w:rPr>
          <w:bCs/>
          <w:vertAlign w:val="superscript"/>
        </w:rPr>
        <w:footnoteReference w:id="69"/>
      </w:r>
      <w:r w:rsidRPr="00F74984">
        <w:rPr>
          <w:bCs/>
        </w:rPr>
        <w:t xml:space="preserve"> Furthermore, 9.3% of people aged 45 and older have subjective cognitive decline.</w:t>
      </w:r>
      <w:r w:rsidRPr="00F74984">
        <w:rPr>
          <w:bCs/>
          <w:vertAlign w:val="superscript"/>
        </w:rPr>
        <w:footnoteReference w:id="70"/>
      </w:r>
      <w:r w:rsidRPr="00F74984">
        <w:rPr>
          <w:bCs/>
        </w:rPr>
        <w:t xml:space="preserve"> An early diagnosis [from a timely screening], opens the door to future care and treatment and helps people to plan while they are still able to make important decisions on their care and support needs and on financial and legal matters.</w:t>
      </w:r>
      <w:r w:rsidRPr="00F74984">
        <w:rPr>
          <w:bCs/>
          <w:vertAlign w:val="superscript"/>
        </w:rPr>
        <w:footnoteReference w:id="71"/>
      </w:r>
      <w:r w:rsidRPr="00F74984">
        <w:rPr>
          <w:bCs/>
        </w:rPr>
        <w:t xml:space="preserve"> It also helps them and their families to receive practical information, advice, and guidance as they face new challenges.</w:t>
      </w:r>
      <w:r w:rsidRPr="00F74984">
        <w:rPr>
          <w:bCs/>
          <w:vertAlign w:val="superscript"/>
        </w:rPr>
        <w:footnoteReference w:id="72"/>
      </w:r>
    </w:p>
    <w:p w14:paraId="5F23DEA7" w14:textId="77777777" w:rsidR="00F74984" w:rsidRPr="00F74984" w:rsidRDefault="00F74984" w:rsidP="00F74984">
      <w:pPr>
        <w:ind w:left="1440"/>
        <w:contextualSpacing/>
        <w:jc w:val="both"/>
        <w:rPr>
          <w:bCs/>
        </w:rPr>
      </w:pPr>
    </w:p>
    <w:p w14:paraId="7E219291" w14:textId="77777777" w:rsidR="00F74984" w:rsidRPr="00F74984" w:rsidRDefault="00F74984" w:rsidP="00F74984">
      <w:pPr>
        <w:ind w:left="1440"/>
        <w:contextualSpacing/>
        <w:jc w:val="both"/>
        <w:rPr>
          <w:bCs/>
        </w:rPr>
      </w:pPr>
      <w:r w:rsidRPr="00F74984">
        <w:rPr>
          <w:bCs/>
        </w:rPr>
        <w:t>Patient panel data for MWH’s patients provide that 7,000 patients were treated for neurological-related issues in FY19, 5,989 in FY20, and 6,484 in FY21.</w:t>
      </w:r>
    </w:p>
    <w:p w14:paraId="6900C613" w14:textId="77777777" w:rsidR="00F74984" w:rsidRPr="00F74984" w:rsidRDefault="00F74984" w:rsidP="00F74984">
      <w:pPr>
        <w:ind w:left="1440"/>
        <w:contextualSpacing/>
        <w:jc w:val="both"/>
        <w:rPr>
          <w:bCs/>
        </w:rPr>
      </w:pPr>
    </w:p>
    <w:bookmarkEnd w:id="19"/>
    <w:p w14:paraId="11451BDA" w14:textId="77777777" w:rsidR="009151B0" w:rsidRDefault="009151B0" w:rsidP="00F24049">
      <w:pPr>
        <w:rPr>
          <w:b/>
        </w:rPr>
      </w:pPr>
    </w:p>
    <w:p w14:paraId="0B428EF5" w14:textId="3161D56A" w:rsidR="00F24049" w:rsidRPr="007A0FA4" w:rsidRDefault="00F24049" w:rsidP="00F24049">
      <w:pPr>
        <w:rPr>
          <w:b/>
        </w:rPr>
      </w:pPr>
      <w:r w:rsidRPr="007A0FA4">
        <w:rPr>
          <w:b/>
        </w:rPr>
        <w:t>F1.a.iii</w:t>
      </w:r>
      <w:r w:rsidRPr="007A0FA4">
        <w:rPr>
          <w:b/>
        </w:rPr>
        <w:tab/>
      </w:r>
      <w:r w:rsidRPr="007A0FA4">
        <w:rPr>
          <w:b/>
          <w:u w:val="single"/>
        </w:rPr>
        <w:t>Competition</w:t>
      </w:r>
      <w:r w:rsidRPr="007A0FA4">
        <w:rPr>
          <w:b/>
        </w:rPr>
        <w:t>:</w:t>
      </w:r>
    </w:p>
    <w:p w14:paraId="13730BF2" w14:textId="77777777" w:rsidR="00F24049" w:rsidRPr="00884BB0" w:rsidRDefault="00F24049" w:rsidP="00F24049">
      <w:pPr>
        <w:jc w:val="both"/>
        <w:rPr>
          <w:b/>
        </w:rPr>
      </w:pPr>
      <w:r w:rsidRPr="00884BB0">
        <w:rPr>
          <w:b/>
        </w:rPr>
        <w:t>Provide evidence that the Proposed Project will compete on the basis of price, total medical expenses, provider costs, and other recognized measures of health care spending. When responding to this question, please consider Factor 4, Financial Feasibility and Reasonableness of Costs.</w:t>
      </w:r>
    </w:p>
    <w:p w14:paraId="3F9E0C92" w14:textId="77777777" w:rsidR="00F24049" w:rsidRPr="00DF02E6" w:rsidRDefault="00F24049" w:rsidP="00F24049">
      <w:pPr>
        <w:jc w:val="both"/>
      </w:pPr>
      <w:r>
        <w:t>The Applicant’s Proposed Project will compete on the basis of price, total medical expenses (“TME”), provider costs and other recognized measures of health care spending by providing continued access to PET-CT imaging to meet current and projected demand. The Applicant’s primary objectives with the Proposed Project are to maintain local access when the existing PET-CT joint ventures ceases operations in 2023, accommodate current and future volume demands, and provide high quality, low cost, PET-CT services to MelroseWakefield patients.</w:t>
      </w:r>
      <w:r>
        <w:rPr>
          <w:rStyle w:val="FootnoteReference"/>
        </w:rPr>
        <w:footnoteReference w:id="73"/>
      </w:r>
      <w:r>
        <w:t xml:space="preserve"> </w:t>
      </w:r>
      <w:r w:rsidRPr="00AB14CB">
        <w:t xml:space="preserve">The proposed PET-CT unit will utilize </w:t>
      </w:r>
      <w:r>
        <w:t xml:space="preserve">a new </w:t>
      </w:r>
      <w:r w:rsidRPr="00AB14CB">
        <w:t xml:space="preserve">mobile pad </w:t>
      </w:r>
      <w:r>
        <w:t>that will be integrated into the existing interior of the MelroseWakefield Medical Building and integrate into the patient flow of this multi-specialty medical office space.</w:t>
      </w:r>
      <w:r>
        <w:rPr>
          <w:rStyle w:val="FootnoteReference"/>
        </w:rPr>
        <w:footnoteReference w:id="74"/>
      </w:r>
      <w:r>
        <w:t xml:space="preserve"> </w:t>
      </w:r>
    </w:p>
    <w:p w14:paraId="2D5505B9" w14:textId="77777777" w:rsidR="00F24049" w:rsidRPr="00DF02E6" w:rsidRDefault="00F24049" w:rsidP="00F24049">
      <w:pPr>
        <w:jc w:val="both"/>
        <w:rPr>
          <w:bCs/>
        </w:rPr>
      </w:pPr>
      <w:r w:rsidRPr="00DF02E6">
        <w:rPr>
          <w:bCs/>
        </w:rPr>
        <w:t>As noted in Factor F1.</w:t>
      </w:r>
      <w:proofErr w:type="gramStart"/>
      <w:r w:rsidRPr="00DF02E6">
        <w:rPr>
          <w:bCs/>
        </w:rPr>
        <w:t>a.ii</w:t>
      </w:r>
      <w:proofErr w:type="gramEnd"/>
      <w:r w:rsidRPr="00DF02E6">
        <w:rPr>
          <w:bCs/>
        </w:rPr>
        <w:t xml:space="preserve">, historical </w:t>
      </w:r>
      <w:r>
        <w:rPr>
          <w:bCs/>
        </w:rPr>
        <w:t xml:space="preserve">need for PET-CT imaging </w:t>
      </w:r>
      <w:r w:rsidRPr="00DF02E6">
        <w:rPr>
          <w:bCs/>
        </w:rPr>
        <w:t>and other indicators of future demand demonstrat</w:t>
      </w:r>
      <w:r>
        <w:rPr>
          <w:bCs/>
        </w:rPr>
        <w:t>e a continued n</w:t>
      </w:r>
      <w:r w:rsidRPr="00DF02E6">
        <w:rPr>
          <w:bCs/>
        </w:rPr>
        <w:t xml:space="preserve">eed for </w:t>
      </w:r>
      <w:r>
        <w:rPr>
          <w:bCs/>
        </w:rPr>
        <w:t>PET-CT</w:t>
      </w:r>
      <w:r w:rsidRPr="00DF02E6">
        <w:rPr>
          <w:bCs/>
        </w:rPr>
        <w:t xml:space="preserve"> services </w:t>
      </w:r>
      <w:r>
        <w:rPr>
          <w:bCs/>
        </w:rPr>
        <w:t xml:space="preserve">in the  MWH catchment area. </w:t>
      </w:r>
      <w:r w:rsidRPr="00DF02E6">
        <w:rPr>
          <w:bCs/>
        </w:rPr>
        <w:t xml:space="preserve"> </w:t>
      </w:r>
      <w:r>
        <w:rPr>
          <w:bCs/>
        </w:rPr>
        <w:t>Providing ease of access to care has been documented to reduce healthcare utilization and spending.</w:t>
      </w:r>
      <w:r>
        <w:rPr>
          <w:rStyle w:val="FootnoteReference"/>
          <w:bCs/>
        </w:rPr>
        <w:footnoteReference w:id="75"/>
      </w:r>
      <w:r>
        <w:rPr>
          <w:bCs/>
        </w:rPr>
        <w:t xml:space="preserve">  S</w:t>
      </w:r>
      <w:r w:rsidRPr="001C2EDB">
        <w:rPr>
          <w:bCs/>
        </w:rPr>
        <w:t xml:space="preserve">tudies have detailed high </w:t>
      </w:r>
      <w:r w:rsidRPr="001C2EDB">
        <w:rPr>
          <w:bCs/>
        </w:rPr>
        <w:lastRenderedPageBreak/>
        <w:t>costs for unnecessary repeat imaging</w:t>
      </w:r>
      <w:r>
        <w:rPr>
          <w:rStyle w:val="FootnoteReference"/>
          <w:bCs/>
        </w:rPr>
        <w:footnoteReference w:id="76"/>
      </w:r>
      <w:r w:rsidRPr="001C2EDB">
        <w:rPr>
          <w:bCs/>
        </w:rPr>
        <w:t xml:space="preserve"> which could</w:t>
      </w:r>
      <w:r>
        <w:rPr>
          <w:bCs/>
        </w:rPr>
        <w:t xml:space="preserve"> be improved</w:t>
      </w:r>
      <w:r w:rsidRPr="001C2EDB">
        <w:rPr>
          <w:bCs/>
        </w:rPr>
        <w:t xml:space="preserve"> through more appropriate use of all imaging</w:t>
      </w:r>
      <w:r>
        <w:rPr>
          <w:bCs/>
        </w:rPr>
        <w:t>,</w:t>
      </w:r>
      <w:r w:rsidRPr="001C2EDB">
        <w:rPr>
          <w:bCs/>
        </w:rPr>
        <w:t xml:space="preserve"> including PET-CT, and better integration of services. </w:t>
      </w:r>
      <w:r w:rsidRPr="00ED7336">
        <w:rPr>
          <w:bCs/>
        </w:rPr>
        <w:t xml:space="preserve">For the Proposed Project, </w:t>
      </w:r>
      <w:r>
        <w:rPr>
          <w:bCs/>
        </w:rPr>
        <w:t xml:space="preserve">preventing </w:t>
      </w:r>
      <w:r w:rsidRPr="00ED7336">
        <w:rPr>
          <w:bCs/>
        </w:rPr>
        <w:t>unnecessary expenditures related to inefficiencies from lack of service integration,</w:t>
      </w:r>
      <w:r w:rsidRPr="00ED7336">
        <w:rPr>
          <w:rStyle w:val="FootnoteReference"/>
          <w:bCs/>
        </w:rPr>
        <w:footnoteReference w:id="77"/>
      </w:r>
      <w:r w:rsidRPr="00ED7336">
        <w:rPr>
          <w:bCs/>
        </w:rPr>
        <w:t xml:space="preserve"> can lead to lower operational overhead and lower healthcare spending, which could, in</w:t>
      </w:r>
      <w:r>
        <w:rPr>
          <w:bCs/>
        </w:rPr>
        <w:t xml:space="preserve"> turn,</w:t>
      </w:r>
      <w:r w:rsidRPr="001C2EDB">
        <w:rPr>
          <w:bCs/>
        </w:rPr>
        <w:t xml:space="preserve"> reduce TME.</w:t>
      </w:r>
    </w:p>
    <w:p w14:paraId="31C94507" w14:textId="77777777" w:rsidR="00F24049" w:rsidRDefault="00F24049" w:rsidP="00F24049">
      <w:pPr>
        <w:autoSpaceDE w:val="0"/>
        <w:autoSpaceDN w:val="0"/>
        <w:adjustRightInd w:val="0"/>
        <w:spacing w:after="0" w:line="240" w:lineRule="auto"/>
        <w:jc w:val="both"/>
        <w:rPr>
          <w:rFonts w:ascii="Calibri" w:hAnsi="Calibri" w:cs="Calibri"/>
        </w:rPr>
      </w:pPr>
      <w:r>
        <w:rPr>
          <w:rFonts w:ascii="Calibri" w:hAnsi="Calibri" w:cs="Calibri"/>
        </w:rPr>
        <w:t>The Proposed Project will not negatively impact TME, as the PET-CT services will be provided through a licensed IDTF clinic, where the PET-CT services costs less.</w:t>
      </w:r>
      <w:r>
        <w:rPr>
          <w:rStyle w:val="FootnoteReference"/>
          <w:rFonts w:ascii="Calibri" w:hAnsi="Calibri" w:cs="Calibri"/>
        </w:rPr>
        <w:footnoteReference w:id="78"/>
      </w:r>
      <w:r>
        <w:rPr>
          <w:rFonts w:ascii="Calibri" w:hAnsi="Calibri" w:cs="Calibri"/>
        </w:rPr>
        <w:t xml:space="preserve"> The clinic will be managed by Shields, which will seek to identify optimization opportunities to further drive down the cost to provide care, while simultaneously ensuring the highest quality of care possible.</w:t>
      </w:r>
    </w:p>
    <w:p w14:paraId="1169E793" w14:textId="77777777" w:rsidR="00F24049" w:rsidRDefault="00F24049" w:rsidP="00F24049">
      <w:pPr>
        <w:autoSpaceDE w:val="0"/>
        <w:autoSpaceDN w:val="0"/>
        <w:adjustRightInd w:val="0"/>
        <w:spacing w:after="0" w:line="240" w:lineRule="auto"/>
        <w:ind w:left="720"/>
        <w:jc w:val="both"/>
        <w:rPr>
          <w:rFonts w:ascii="Calibri" w:hAnsi="Calibri" w:cs="Calibri"/>
        </w:rPr>
      </w:pPr>
    </w:p>
    <w:p w14:paraId="26E5B790" w14:textId="77777777" w:rsidR="00F24049" w:rsidRDefault="00F24049" w:rsidP="00F24049">
      <w:pPr>
        <w:autoSpaceDE w:val="0"/>
        <w:autoSpaceDN w:val="0"/>
        <w:adjustRightInd w:val="0"/>
        <w:spacing w:after="0" w:line="240" w:lineRule="auto"/>
        <w:jc w:val="both"/>
        <w:rPr>
          <w:rFonts w:ascii="Calibri" w:hAnsi="Calibri" w:cs="Calibri"/>
        </w:rPr>
      </w:pPr>
      <w:r>
        <w:rPr>
          <w:rFonts w:ascii="Calibri" w:hAnsi="Calibri" w:cs="Calibri"/>
        </w:rPr>
        <w:t>Shields operational model allows for improved scheduling, workflow, technology, and customer service. These front-end/access focused optimizations drive efficiency, which in turn drives down cost to provide care, allowing Shields to operate effectively under lower IDTF rates. The lower IDTF rates offer payers the opportunity to require lower deductibles for patients and the opportunity for lower TME overall, thus also improving access to high quality care.</w:t>
      </w:r>
    </w:p>
    <w:p w14:paraId="55BFDBE3" w14:textId="77777777" w:rsidR="00F24049" w:rsidRDefault="00F24049" w:rsidP="00F24049">
      <w:pPr>
        <w:autoSpaceDE w:val="0"/>
        <w:autoSpaceDN w:val="0"/>
        <w:adjustRightInd w:val="0"/>
        <w:spacing w:after="0" w:line="240" w:lineRule="auto"/>
        <w:jc w:val="both"/>
        <w:rPr>
          <w:rFonts w:ascii="Calibri" w:hAnsi="Calibri" w:cs="Calibri"/>
        </w:rPr>
      </w:pPr>
    </w:p>
    <w:p w14:paraId="3C6385BB" w14:textId="77777777" w:rsidR="00F24049" w:rsidRDefault="00F24049" w:rsidP="00F24049">
      <w:pPr>
        <w:autoSpaceDE w:val="0"/>
        <w:autoSpaceDN w:val="0"/>
        <w:adjustRightInd w:val="0"/>
        <w:spacing w:after="0" w:line="240" w:lineRule="auto"/>
        <w:jc w:val="both"/>
        <w:rPr>
          <w:rFonts w:ascii="Calibri" w:hAnsi="Calibri" w:cs="Calibri"/>
        </w:rPr>
      </w:pPr>
      <w:r w:rsidRPr="001520BC">
        <w:rPr>
          <w:rFonts w:ascii="Calibri" w:hAnsi="Calibri" w:cs="Calibri"/>
        </w:rPr>
        <w:t>Furthermore, many national insurers have implemented site-of-c</w:t>
      </w:r>
      <w:r>
        <w:rPr>
          <w:rFonts w:ascii="Calibri" w:hAnsi="Calibri" w:cs="Calibri"/>
        </w:rPr>
        <w:t>a</w:t>
      </w:r>
      <w:r w:rsidRPr="001520BC">
        <w:rPr>
          <w:rFonts w:ascii="Calibri" w:hAnsi="Calibri" w:cs="Calibri"/>
        </w:rPr>
        <w:t>re reviews for diagnostic imaging.</w:t>
      </w:r>
      <w:r>
        <w:rPr>
          <w:rStyle w:val="FootnoteReference"/>
          <w:rFonts w:ascii="Calibri" w:hAnsi="Calibri" w:cs="Calibri"/>
        </w:rPr>
        <w:footnoteReference w:id="79"/>
      </w:r>
      <w:r w:rsidRPr="001520BC">
        <w:rPr>
          <w:rFonts w:ascii="Calibri" w:hAnsi="Calibri" w:cs="Calibri"/>
        </w:rPr>
        <w:t xml:space="preserve">  Payers like United Healthcare, Cigna, and Anthem/BCBS have all implemented these policies as an attempt to push patients to lower cost sites of care for imaging. If a procedure is to be performed at </w:t>
      </w:r>
      <w:r>
        <w:rPr>
          <w:rFonts w:ascii="Calibri" w:hAnsi="Calibri" w:cs="Calibri"/>
        </w:rPr>
        <w:t>an IDTF</w:t>
      </w:r>
      <w:r w:rsidRPr="001520BC">
        <w:rPr>
          <w:rFonts w:ascii="Calibri" w:hAnsi="Calibri" w:cs="Calibri"/>
        </w:rPr>
        <w:t>, a site of care review will not occur (and therefore no additional charges will be incurred). The review will only occur (or be billed) if the procedure is performed in a hospital-based setting.</w:t>
      </w:r>
    </w:p>
    <w:p w14:paraId="510E30D9" w14:textId="77777777" w:rsidR="00F24049" w:rsidRDefault="00F24049" w:rsidP="00F24049">
      <w:pPr>
        <w:autoSpaceDE w:val="0"/>
        <w:autoSpaceDN w:val="0"/>
        <w:adjustRightInd w:val="0"/>
        <w:spacing w:after="0" w:line="240" w:lineRule="auto"/>
        <w:ind w:left="720"/>
        <w:jc w:val="both"/>
        <w:rPr>
          <w:rFonts w:ascii="Calibri" w:hAnsi="Calibri" w:cs="Calibri"/>
        </w:rPr>
      </w:pPr>
    </w:p>
    <w:p w14:paraId="2874CD79" w14:textId="77777777" w:rsidR="00F24049" w:rsidRDefault="00F24049" w:rsidP="00F24049">
      <w:pPr>
        <w:autoSpaceDE w:val="0"/>
        <w:autoSpaceDN w:val="0"/>
        <w:adjustRightInd w:val="0"/>
        <w:spacing w:after="0" w:line="240" w:lineRule="auto"/>
        <w:jc w:val="both"/>
        <w:rPr>
          <w:rFonts w:ascii="Calibri" w:hAnsi="Calibri" w:cs="Calibri"/>
        </w:rPr>
      </w:pPr>
      <w:r>
        <w:rPr>
          <w:rFonts w:ascii="Calibri" w:hAnsi="Calibri" w:cs="Calibri"/>
        </w:rPr>
        <w:t>Furthermore, the Applicant’s clinic represents approximately $2.3M of net revenue annually by year 6 of operation,</w:t>
      </w:r>
      <w:r>
        <w:rPr>
          <w:rStyle w:val="FootnoteReference"/>
          <w:rFonts w:ascii="Calibri" w:hAnsi="Calibri" w:cs="Calibri"/>
        </w:rPr>
        <w:footnoteReference w:id="80"/>
      </w:r>
      <w:r>
        <w:rPr>
          <w:rFonts w:ascii="Calibri" w:hAnsi="Calibri" w:cs="Calibri"/>
        </w:rPr>
        <w:t xml:space="preserve"> a statistically insignificant amount when compared to overall health care spending.</w:t>
      </w:r>
      <w:r>
        <w:rPr>
          <w:rStyle w:val="FootnoteReference"/>
          <w:rFonts w:ascii="Calibri" w:hAnsi="Calibri" w:cs="Calibri"/>
        </w:rPr>
        <w:footnoteReference w:id="81"/>
      </w:r>
      <w:r>
        <w:rPr>
          <w:rFonts w:ascii="Calibri" w:hAnsi="Calibri" w:cs="Calibri"/>
        </w:rPr>
        <w:t xml:space="preserve"> </w:t>
      </w:r>
    </w:p>
    <w:p w14:paraId="23FB703A" w14:textId="77777777" w:rsidR="00F24049" w:rsidRDefault="00F24049" w:rsidP="00F24049">
      <w:pPr>
        <w:autoSpaceDE w:val="0"/>
        <w:autoSpaceDN w:val="0"/>
        <w:adjustRightInd w:val="0"/>
        <w:spacing w:after="0" w:line="240" w:lineRule="auto"/>
        <w:jc w:val="both"/>
        <w:rPr>
          <w:rFonts w:ascii="Calibri" w:hAnsi="Calibri" w:cs="Calibri"/>
        </w:rPr>
      </w:pPr>
    </w:p>
    <w:p w14:paraId="000D2FAD" w14:textId="77777777" w:rsidR="00F24049" w:rsidRDefault="00F24049" w:rsidP="00F24049">
      <w:pPr>
        <w:autoSpaceDE w:val="0"/>
        <w:autoSpaceDN w:val="0"/>
        <w:adjustRightInd w:val="0"/>
        <w:spacing w:after="0" w:line="240" w:lineRule="auto"/>
        <w:jc w:val="both"/>
        <w:rPr>
          <w:rFonts w:ascii="Calibri" w:hAnsi="Calibri" w:cs="Calibri"/>
        </w:rPr>
      </w:pPr>
      <w:r>
        <w:rPr>
          <w:rFonts w:ascii="Calibri" w:hAnsi="Calibri" w:cs="Calibri"/>
        </w:rPr>
        <w:t>Accordingly, this Proposed Project will have minimal effect on costs in the state.</w:t>
      </w:r>
    </w:p>
    <w:p w14:paraId="14EAA1B8" w14:textId="43B42D1B" w:rsidR="00F24049" w:rsidRDefault="00F24049" w:rsidP="00F24049"/>
    <w:p w14:paraId="233879B4" w14:textId="77777777" w:rsidR="00405BA9" w:rsidRPr="00DF02E6" w:rsidRDefault="00405BA9" w:rsidP="00405BA9">
      <w:pPr>
        <w:rPr>
          <w:b/>
        </w:rPr>
      </w:pPr>
      <w:r w:rsidRPr="00DF02E6">
        <w:rPr>
          <w:b/>
        </w:rPr>
        <w:t>F1.</w:t>
      </w:r>
      <w:proofErr w:type="gramStart"/>
      <w:r w:rsidRPr="00DF02E6">
        <w:rPr>
          <w:b/>
        </w:rPr>
        <w:t>b.i</w:t>
      </w:r>
      <w:proofErr w:type="gramEnd"/>
      <w:r w:rsidRPr="00DF02E6">
        <w:rPr>
          <w:b/>
        </w:rPr>
        <w:tab/>
      </w:r>
      <w:r w:rsidRPr="00DF02E6">
        <w:rPr>
          <w:b/>
          <w:u w:val="single"/>
        </w:rPr>
        <w:t>Public Health Value/Evidence-Based</w:t>
      </w:r>
      <w:r w:rsidRPr="00DF02E6">
        <w:rPr>
          <w:b/>
        </w:rPr>
        <w:t>:</w:t>
      </w:r>
    </w:p>
    <w:p w14:paraId="48A1C54F" w14:textId="234A3398" w:rsidR="00405BA9" w:rsidRDefault="00405BA9" w:rsidP="00405BA9">
      <w:pPr>
        <w:rPr>
          <w:b/>
        </w:rPr>
      </w:pPr>
      <w:r w:rsidRPr="00DF02E6">
        <w:rPr>
          <w:b/>
        </w:rPr>
        <w:t>Provide information on the evidence-base for the Proposed Project. That is, how does the Proposed Project address the Need that the Applicant has identified.</w:t>
      </w:r>
    </w:p>
    <w:p w14:paraId="70AA06F0" w14:textId="45D91248" w:rsidR="009151B0" w:rsidRDefault="009151B0" w:rsidP="00405BA9">
      <w:pPr>
        <w:rPr>
          <w:b/>
        </w:rPr>
      </w:pPr>
    </w:p>
    <w:p w14:paraId="339F3FFB" w14:textId="77777777" w:rsidR="009151B0" w:rsidRDefault="009151B0" w:rsidP="00405BA9">
      <w:pPr>
        <w:rPr>
          <w:b/>
        </w:rPr>
      </w:pPr>
    </w:p>
    <w:p w14:paraId="011B3627" w14:textId="77777777" w:rsidR="00405BA9" w:rsidRPr="00EA7814" w:rsidRDefault="00405BA9" w:rsidP="00405BA9">
      <w:pPr>
        <w:pStyle w:val="ListParagraph"/>
        <w:numPr>
          <w:ilvl w:val="0"/>
          <w:numId w:val="4"/>
        </w:numPr>
        <w:rPr>
          <w:b/>
        </w:rPr>
      </w:pPr>
      <w:r w:rsidRPr="00EA7814">
        <w:rPr>
          <w:b/>
        </w:rPr>
        <w:lastRenderedPageBreak/>
        <w:t>Overview</w:t>
      </w:r>
    </w:p>
    <w:p w14:paraId="0BF93077" w14:textId="77777777" w:rsidR="00405BA9" w:rsidRDefault="00405BA9" w:rsidP="00405BA9">
      <w:pPr>
        <w:pStyle w:val="ListParagraph"/>
        <w:rPr>
          <w:bCs/>
        </w:rPr>
      </w:pPr>
    </w:p>
    <w:p w14:paraId="71C504D8" w14:textId="77777777" w:rsidR="00405BA9" w:rsidRDefault="00405BA9" w:rsidP="00405BA9">
      <w:pPr>
        <w:pStyle w:val="ListParagraph"/>
        <w:jc w:val="both"/>
        <w:rPr>
          <w:bCs/>
        </w:rPr>
      </w:pPr>
      <w:r w:rsidRPr="008C009A">
        <w:rPr>
          <w:bCs/>
        </w:rPr>
        <w:t>Combined PET</w:t>
      </w:r>
      <w:r>
        <w:rPr>
          <w:bCs/>
        </w:rPr>
        <w:t>-</w:t>
      </w:r>
      <w:r w:rsidRPr="008C009A">
        <w:rPr>
          <w:bCs/>
        </w:rPr>
        <w:t xml:space="preserve">CT scans help </w:t>
      </w:r>
      <w:r>
        <w:rPr>
          <w:bCs/>
        </w:rPr>
        <w:t xml:space="preserve">clinicians </w:t>
      </w:r>
      <w:r w:rsidRPr="008C009A">
        <w:rPr>
          <w:bCs/>
        </w:rPr>
        <w:t>pinpoint abnormal metabolic activity and provide more accurate diagnoses than the two scans performed separately.</w:t>
      </w:r>
      <w:r>
        <w:rPr>
          <w:rStyle w:val="FootnoteReference"/>
          <w:bCs/>
        </w:rPr>
        <w:footnoteReference w:id="82"/>
      </w:r>
      <w:r>
        <w:rPr>
          <w:bCs/>
        </w:rPr>
        <w:t xml:space="preserve"> </w:t>
      </w:r>
      <w:r w:rsidRPr="00535967">
        <w:rPr>
          <w:bCs/>
        </w:rPr>
        <w:t>A PET scan measures important body functions, such as metabolism.</w:t>
      </w:r>
      <w:r>
        <w:rPr>
          <w:rStyle w:val="FootnoteReference"/>
          <w:bCs/>
        </w:rPr>
        <w:footnoteReference w:id="83"/>
      </w:r>
      <w:r w:rsidRPr="00535967">
        <w:rPr>
          <w:bCs/>
        </w:rPr>
        <w:t xml:space="preserve"> It helps doctors evaluate how well organs and tissues are functioning.</w:t>
      </w:r>
      <w:r>
        <w:rPr>
          <w:rStyle w:val="FootnoteReference"/>
          <w:bCs/>
        </w:rPr>
        <w:footnoteReference w:id="84"/>
      </w:r>
      <w:r>
        <w:rPr>
          <w:bCs/>
        </w:rPr>
        <w:t xml:space="preserve">  C</w:t>
      </w:r>
      <w:r w:rsidRPr="00535967">
        <w:rPr>
          <w:bCs/>
        </w:rPr>
        <w:t>T imaging uses special x-ray equipment, and in some cases a contrast material, to produce multiple images of the inside of the body.</w:t>
      </w:r>
      <w:r>
        <w:rPr>
          <w:rStyle w:val="FootnoteReference"/>
          <w:bCs/>
        </w:rPr>
        <w:footnoteReference w:id="85"/>
      </w:r>
      <w:r w:rsidRPr="00535967">
        <w:rPr>
          <w:bCs/>
        </w:rPr>
        <w:t xml:space="preserve"> A radiologist views and interprets these images on a computer monitor. CT imaging provides excellent anatomic information.</w:t>
      </w:r>
      <w:r>
        <w:rPr>
          <w:rStyle w:val="FootnoteReference"/>
          <w:bCs/>
        </w:rPr>
        <w:footnoteReference w:id="86"/>
      </w:r>
    </w:p>
    <w:p w14:paraId="2E57BFFA" w14:textId="77777777" w:rsidR="00405BA9" w:rsidRDefault="00405BA9" w:rsidP="00405BA9">
      <w:pPr>
        <w:pStyle w:val="ListParagraph"/>
        <w:rPr>
          <w:bCs/>
        </w:rPr>
      </w:pPr>
    </w:p>
    <w:p w14:paraId="776CB275" w14:textId="77777777" w:rsidR="00405BA9" w:rsidRDefault="00405BA9" w:rsidP="00405BA9">
      <w:pPr>
        <w:pStyle w:val="ListParagraph"/>
        <w:jc w:val="both"/>
      </w:pPr>
      <w:r w:rsidRPr="3C6FBAD8">
        <w:t>The main applications of PET-CT have been in the oncologic and in the cardiovascular domains where the combined technique has allowed improved all-in one imaging protocols that have been proven beneficial</w:t>
      </w:r>
      <w:r>
        <w:rPr>
          <w:bCs/>
        </w:rPr>
        <w:t>.</w:t>
      </w:r>
      <w:r w:rsidRPr="3C6FBAD8">
        <w:rPr>
          <w:rStyle w:val="FootnoteReference"/>
        </w:rPr>
        <w:footnoteReference w:id="87"/>
      </w:r>
      <w:r>
        <w:rPr>
          <w:bCs/>
        </w:rPr>
        <w:t xml:space="preserve"> </w:t>
      </w:r>
      <w:r w:rsidRPr="3C6FBAD8">
        <w:t xml:space="preserve">However, </w:t>
      </w:r>
      <w:r>
        <w:t xml:space="preserve">it is noteworthy that </w:t>
      </w:r>
      <w:r w:rsidRPr="3C6FBAD8">
        <w:t>some newer applications are emerging that can re-center PET-CT clearly in the neuroradiological world such as the investigation of vascular diseases.</w:t>
      </w:r>
      <w:r w:rsidRPr="3C6FBAD8">
        <w:rPr>
          <w:rStyle w:val="FootnoteReference"/>
        </w:rPr>
        <w:footnoteReference w:id="88"/>
      </w:r>
    </w:p>
    <w:p w14:paraId="20072E23" w14:textId="77777777" w:rsidR="00405BA9" w:rsidRDefault="00405BA9" w:rsidP="00405BA9">
      <w:pPr>
        <w:pStyle w:val="ListParagraph"/>
        <w:rPr>
          <w:bCs/>
        </w:rPr>
      </w:pPr>
    </w:p>
    <w:p w14:paraId="4E81C377" w14:textId="77777777" w:rsidR="00405BA9" w:rsidRDefault="00405BA9" w:rsidP="00405BA9">
      <w:pPr>
        <w:pStyle w:val="ListParagraph"/>
        <w:jc w:val="both"/>
        <w:rPr>
          <w:rFonts w:ascii="Calibri" w:hAnsi="Calibri" w:cs="Calibri"/>
        </w:rPr>
      </w:pPr>
      <w:r>
        <w:rPr>
          <w:rFonts w:ascii="Calibri" w:hAnsi="Calibri" w:cs="Calibri"/>
        </w:rPr>
        <w:t>T</w:t>
      </w:r>
      <w:r w:rsidRPr="00675285">
        <w:rPr>
          <w:rFonts w:ascii="Calibri" w:hAnsi="Calibri" w:cs="Calibri"/>
        </w:rPr>
        <w:t xml:space="preserve">he results of </w:t>
      </w:r>
      <w:r>
        <w:rPr>
          <w:rFonts w:ascii="Calibri" w:hAnsi="Calibri" w:cs="Calibri"/>
        </w:rPr>
        <w:t>a significant Danish study</w:t>
      </w:r>
      <w:r>
        <w:rPr>
          <w:rStyle w:val="FootnoteReference"/>
          <w:rFonts w:ascii="Calibri" w:hAnsi="Calibri" w:cs="Calibri"/>
        </w:rPr>
        <w:footnoteReference w:id="89"/>
      </w:r>
      <w:r>
        <w:rPr>
          <w:rFonts w:ascii="Calibri" w:hAnsi="Calibri" w:cs="Calibri"/>
        </w:rPr>
        <w:t xml:space="preserve"> published in the Journal of Nuclear Medicine revealed that </w:t>
      </w:r>
      <w:r w:rsidRPr="00675285">
        <w:rPr>
          <w:rFonts w:ascii="Calibri" w:hAnsi="Calibri" w:cs="Calibri"/>
        </w:rPr>
        <w:t>implementation of PET</w:t>
      </w:r>
      <w:r>
        <w:rPr>
          <w:rFonts w:ascii="Calibri" w:hAnsi="Calibri" w:cs="Calibri"/>
        </w:rPr>
        <w:t>-</w:t>
      </w:r>
      <w:r w:rsidRPr="00675285">
        <w:rPr>
          <w:rFonts w:ascii="Calibri" w:hAnsi="Calibri" w:cs="Calibri"/>
        </w:rPr>
        <w:t xml:space="preserve">CT as </w:t>
      </w:r>
      <w:r w:rsidRPr="000B03C9">
        <w:rPr>
          <w:rFonts w:ascii="Calibri" w:hAnsi="Calibri" w:cs="Calibri"/>
        </w:rPr>
        <w:t>the</w:t>
      </w:r>
      <w:r w:rsidRPr="3C6FBAD8">
        <w:rPr>
          <w:rFonts w:ascii="Calibri" w:hAnsi="Calibri" w:cs="Calibri"/>
          <w:i/>
          <w:iCs/>
        </w:rPr>
        <w:t xml:space="preserve"> first-line imaging</w:t>
      </w:r>
      <w:r w:rsidRPr="00675285">
        <w:rPr>
          <w:rFonts w:ascii="Calibri" w:hAnsi="Calibri" w:cs="Calibri"/>
        </w:rPr>
        <w:t xml:space="preserve"> modality </w:t>
      </w:r>
      <w:r w:rsidRPr="00AB66B5">
        <w:rPr>
          <w:rFonts w:ascii="Calibri" w:hAnsi="Calibri" w:cs="Calibri"/>
          <w:i/>
          <w:iCs/>
        </w:rPr>
        <w:t>instead of CT alone</w:t>
      </w:r>
      <w:r>
        <w:rPr>
          <w:rFonts w:ascii="Calibri" w:hAnsi="Calibri" w:cs="Calibri"/>
        </w:rPr>
        <w:t>,</w:t>
      </w:r>
      <w:r w:rsidRPr="00675285">
        <w:rPr>
          <w:rFonts w:ascii="Calibri" w:hAnsi="Calibri" w:cs="Calibri"/>
        </w:rPr>
        <w:t xml:space="preserve"> should be considered</w:t>
      </w:r>
      <w:r>
        <w:rPr>
          <w:rFonts w:ascii="Calibri" w:hAnsi="Calibri" w:cs="Calibri"/>
        </w:rPr>
        <w:t xml:space="preserve">. </w:t>
      </w:r>
      <w:r w:rsidRPr="00A524A6">
        <w:rPr>
          <w:rFonts w:ascii="Calibri" w:hAnsi="Calibri" w:cs="Calibri"/>
        </w:rPr>
        <w:t>The positive predictive value was 83% for PET</w:t>
      </w:r>
      <w:r>
        <w:rPr>
          <w:rFonts w:ascii="Calibri" w:hAnsi="Calibri" w:cs="Calibri"/>
        </w:rPr>
        <w:t>-</w:t>
      </w:r>
      <w:r w:rsidRPr="00A524A6">
        <w:rPr>
          <w:rFonts w:ascii="Calibri" w:hAnsi="Calibri" w:cs="Calibri"/>
        </w:rPr>
        <w:t>CT but only 54% for CT.</w:t>
      </w:r>
      <w:r>
        <w:rPr>
          <w:rStyle w:val="FootnoteReference"/>
          <w:rFonts w:ascii="Calibri" w:hAnsi="Calibri" w:cs="Calibri"/>
        </w:rPr>
        <w:footnoteReference w:id="90"/>
      </w:r>
      <w:r w:rsidRPr="00A524A6">
        <w:rPr>
          <w:rFonts w:ascii="Calibri" w:hAnsi="Calibri" w:cs="Calibri"/>
        </w:rPr>
        <w:t xml:space="preserve"> </w:t>
      </w:r>
      <w:r>
        <w:rPr>
          <w:rFonts w:ascii="Calibri" w:hAnsi="Calibri" w:cs="Calibri"/>
        </w:rPr>
        <w:t xml:space="preserve">In addition, in the </w:t>
      </w:r>
      <w:r w:rsidRPr="004C4255">
        <w:rPr>
          <w:rFonts w:ascii="Calibri" w:hAnsi="Calibri" w:cs="Calibri"/>
        </w:rPr>
        <w:t>subgroups in which the initial imaging modality showed a suggestion of malignant disease, there was a significantly longer time to final diagnosis in the CT group than in the PET</w:t>
      </w:r>
      <w:r>
        <w:rPr>
          <w:rFonts w:ascii="Calibri" w:hAnsi="Calibri" w:cs="Calibri"/>
        </w:rPr>
        <w:t>-</w:t>
      </w:r>
      <w:r w:rsidRPr="004C4255">
        <w:rPr>
          <w:rFonts w:ascii="Calibri" w:hAnsi="Calibri" w:cs="Calibri"/>
        </w:rPr>
        <w:t>CT group</w:t>
      </w:r>
      <w:r>
        <w:rPr>
          <w:rFonts w:ascii="Calibri" w:hAnsi="Calibri" w:cs="Calibri"/>
        </w:rPr>
        <w:t>.</w:t>
      </w:r>
      <w:r>
        <w:rPr>
          <w:rStyle w:val="FootnoteReference"/>
          <w:rFonts w:ascii="Calibri" w:hAnsi="Calibri" w:cs="Calibri"/>
        </w:rPr>
        <w:footnoteReference w:id="91"/>
      </w:r>
      <w:r>
        <w:rPr>
          <w:rFonts w:ascii="Calibri" w:hAnsi="Calibri" w:cs="Calibri"/>
        </w:rPr>
        <w:t xml:space="preserve"> This study strongly suggests that PET-CT can support patients receiving the proper diagnosis in less time, which allows for clinicians to focus their energies into treatment and recovery.  </w:t>
      </w:r>
    </w:p>
    <w:p w14:paraId="63348265" w14:textId="77777777" w:rsidR="00405BA9" w:rsidRDefault="00405BA9" w:rsidP="00405BA9">
      <w:pPr>
        <w:pStyle w:val="ListParagraph"/>
        <w:jc w:val="both"/>
        <w:rPr>
          <w:rFonts w:ascii="Calibri" w:hAnsi="Calibri" w:cs="Calibri"/>
        </w:rPr>
      </w:pPr>
    </w:p>
    <w:p w14:paraId="707B588C" w14:textId="77777777" w:rsidR="00405BA9" w:rsidRDefault="00405BA9" w:rsidP="00405BA9">
      <w:pPr>
        <w:pStyle w:val="ListParagraph"/>
        <w:jc w:val="both"/>
        <w:rPr>
          <w:bCs/>
        </w:rPr>
      </w:pPr>
      <w:r>
        <w:rPr>
          <w:bCs/>
        </w:rPr>
        <w:t xml:space="preserve">Moreover, </w:t>
      </w:r>
      <w:r w:rsidRPr="00B30A25">
        <w:rPr>
          <w:bCs/>
        </w:rPr>
        <w:t>medical care delay or avoidance may well increase morbidity and mortality risk associated with treatable and preventable health conditions and might contribute to reported excess death</w:t>
      </w:r>
      <w:r>
        <w:rPr>
          <w:bCs/>
        </w:rPr>
        <w:t>, according to the Centers for Disease Control and Prevention (“CDC”).</w:t>
      </w:r>
      <w:r>
        <w:rPr>
          <w:rStyle w:val="FootnoteReference"/>
          <w:bCs/>
        </w:rPr>
        <w:footnoteReference w:id="92"/>
      </w:r>
      <w:r>
        <w:rPr>
          <w:bCs/>
        </w:rPr>
        <w:t xml:space="preserve"> </w:t>
      </w:r>
      <w:r w:rsidRPr="00D868E5">
        <w:rPr>
          <w:bCs/>
        </w:rPr>
        <w:t xml:space="preserve">Overall, an estimated 40.9% of U.S. adults have avoided medical care during the pandemic because of concerns about COVID-19, including 12.0% who avoided urgent or emergency care and 31.5% </w:t>
      </w:r>
      <w:r w:rsidRPr="00D868E5">
        <w:rPr>
          <w:bCs/>
        </w:rPr>
        <w:lastRenderedPageBreak/>
        <w:t>who avoided routine care</w:t>
      </w:r>
      <w:r>
        <w:rPr>
          <w:bCs/>
        </w:rPr>
        <w:t>.</w:t>
      </w:r>
      <w:r>
        <w:rPr>
          <w:rStyle w:val="FootnoteReference"/>
          <w:bCs/>
        </w:rPr>
        <w:footnoteReference w:id="93"/>
      </w:r>
      <w:r>
        <w:rPr>
          <w:bCs/>
        </w:rPr>
        <w:t xml:space="preserve"> Cancer screening is considered routine care for individuals starting as early as age 25.</w:t>
      </w:r>
      <w:r>
        <w:rPr>
          <w:rStyle w:val="FootnoteReference"/>
          <w:bCs/>
        </w:rPr>
        <w:footnoteReference w:id="94"/>
      </w:r>
      <w:r>
        <w:rPr>
          <w:bCs/>
        </w:rPr>
        <w:t xml:space="preserve">  </w:t>
      </w:r>
      <w:r w:rsidRPr="004A7BA3">
        <w:rPr>
          <w:bCs/>
        </w:rPr>
        <w:t>CDC supports screening for breast, cervical, colorectal (colon), and lung cancers as recommended by the U.S. Preventive Services Task Force</w:t>
      </w:r>
      <w:r>
        <w:rPr>
          <w:bCs/>
        </w:rPr>
        <w:t>.</w:t>
      </w:r>
      <w:r>
        <w:rPr>
          <w:rStyle w:val="FootnoteReference"/>
          <w:bCs/>
        </w:rPr>
        <w:footnoteReference w:id="95"/>
      </w:r>
    </w:p>
    <w:p w14:paraId="4700D65D" w14:textId="3CFF9471" w:rsidR="00405BA9" w:rsidRDefault="00405BA9" w:rsidP="00405BA9">
      <w:pPr>
        <w:pStyle w:val="ListParagraph"/>
        <w:rPr>
          <w:bCs/>
        </w:rPr>
      </w:pPr>
    </w:p>
    <w:p w14:paraId="062C9005" w14:textId="77777777" w:rsidR="00405BA9" w:rsidRPr="00EA7814" w:rsidRDefault="00405BA9" w:rsidP="00405BA9">
      <w:pPr>
        <w:pStyle w:val="ListParagraph"/>
        <w:numPr>
          <w:ilvl w:val="0"/>
          <w:numId w:val="4"/>
        </w:numPr>
        <w:rPr>
          <w:b/>
        </w:rPr>
      </w:pPr>
      <w:r w:rsidRPr="00EA7814">
        <w:rPr>
          <w:b/>
        </w:rPr>
        <w:t>PET-CT</w:t>
      </w:r>
      <w:r>
        <w:rPr>
          <w:b/>
        </w:rPr>
        <w:t xml:space="preserve"> as a Clinical Modality for Oncologic, Cardiac, and Neurologic Conditions </w:t>
      </w:r>
    </w:p>
    <w:p w14:paraId="769DC84F" w14:textId="77777777" w:rsidR="00405BA9" w:rsidRDefault="00405BA9" w:rsidP="00405BA9">
      <w:pPr>
        <w:pStyle w:val="ListParagraph"/>
        <w:rPr>
          <w:bCs/>
          <w:u w:val="single"/>
        </w:rPr>
      </w:pPr>
    </w:p>
    <w:p w14:paraId="1E1A7D41" w14:textId="77777777" w:rsidR="00405BA9" w:rsidRPr="003530B5" w:rsidRDefault="00405BA9" w:rsidP="00405BA9">
      <w:pPr>
        <w:pStyle w:val="ListParagraph"/>
        <w:rPr>
          <w:bCs/>
          <w:u w:val="single"/>
        </w:rPr>
      </w:pPr>
      <w:r w:rsidRPr="003530B5">
        <w:rPr>
          <w:bCs/>
          <w:u w:val="single"/>
        </w:rPr>
        <w:t>Oncologic Conditions</w:t>
      </w:r>
    </w:p>
    <w:p w14:paraId="7943F882" w14:textId="77777777" w:rsidR="00405BA9" w:rsidRDefault="00405BA9" w:rsidP="00405BA9">
      <w:pPr>
        <w:pStyle w:val="ListParagraph"/>
        <w:rPr>
          <w:bCs/>
        </w:rPr>
      </w:pPr>
    </w:p>
    <w:p w14:paraId="3FA18185" w14:textId="77777777" w:rsidR="00405BA9" w:rsidRDefault="00405BA9" w:rsidP="00405BA9">
      <w:pPr>
        <w:pStyle w:val="ListParagraph"/>
        <w:jc w:val="both"/>
        <w:rPr>
          <w:bCs/>
        </w:rPr>
      </w:pPr>
      <w:r w:rsidRPr="00D4003F">
        <w:rPr>
          <w:bCs/>
        </w:rPr>
        <w:t>As the population expands, over the period from 2000 to 2050, the number and percentage of Americans over age 65 is expected to double.</w:t>
      </w:r>
      <w:r>
        <w:rPr>
          <w:rStyle w:val="FootnoteReference"/>
          <w:bCs/>
        </w:rPr>
        <w:footnoteReference w:id="96"/>
      </w:r>
      <w:r w:rsidRPr="00D4003F">
        <w:rPr>
          <w:bCs/>
        </w:rPr>
        <w:t xml:space="preserve"> This population expansion will be accompanied by a marked increase in patients requiring care for disorders with high prevalence in the elderly.</w:t>
      </w:r>
      <w:r>
        <w:rPr>
          <w:rStyle w:val="FootnoteReference"/>
          <w:bCs/>
        </w:rPr>
        <w:footnoteReference w:id="97"/>
      </w:r>
      <w:r w:rsidRPr="00D4003F">
        <w:rPr>
          <w:bCs/>
        </w:rPr>
        <w:t xml:space="preserve"> Since cancer incidence increases exponentially with advancing age, it is expected that there will be a surge in older cancer patients that will challenge both healthcare institutions and healthcare professionals.</w:t>
      </w:r>
      <w:r>
        <w:rPr>
          <w:rStyle w:val="FootnoteReference"/>
          <w:bCs/>
        </w:rPr>
        <w:footnoteReference w:id="98"/>
      </w:r>
    </w:p>
    <w:p w14:paraId="31F2B38B" w14:textId="77777777" w:rsidR="00405BA9" w:rsidRDefault="00405BA9" w:rsidP="00405BA9">
      <w:pPr>
        <w:pStyle w:val="ListParagraph"/>
        <w:jc w:val="both"/>
        <w:rPr>
          <w:bCs/>
        </w:rPr>
      </w:pPr>
    </w:p>
    <w:p w14:paraId="46DEA85F" w14:textId="77777777" w:rsidR="00405BA9" w:rsidRDefault="00405BA9" w:rsidP="00405BA9">
      <w:pPr>
        <w:pStyle w:val="ListParagraph"/>
        <w:jc w:val="both"/>
        <w:rPr>
          <w:bCs/>
        </w:rPr>
      </w:pPr>
      <w:r>
        <w:rPr>
          <w:bCs/>
        </w:rPr>
        <w:t>C</w:t>
      </w:r>
      <w:r w:rsidRPr="00570B22">
        <w:rPr>
          <w:bCs/>
        </w:rPr>
        <w:t>ancer studies have shown that early detection yields better outcomes for patients – and diagnostic imaging plays an essential role.</w:t>
      </w:r>
      <w:r>
        <w:rPr>
          <w:rStyle w:val="FootnoteReference"/>
          <w:bCs/>
        </w:rPr>
        <w:footnoteReference w:id="99"/>
      </w:r>
      <w:r>
        <w:rPr>
          <w:bCs/>
        </w:rPr>
        <w:t xml:space="preserve">  </w:t>
      </w:r>
      <w:r w:rsidRPr="00F05B81">
        <w:rPr>
          <w:bCs/>
        </w:rPr>
        <w:t>Studies have shown that PET-CT has become an established nuclear imaging modality that has proved especially useful in oncology.</w:t>
      </w:r>
      <w:r>
        <w:rPr>
          <w:rStyle w:val="FootnoteReference"/>
          <w:bCs/>
        </w:rPr>
        <w:footnoteReference w:id="100"/>
      </w:r>
      <w:r w:rsidRPr="00F05B81">
        <w:rPr>
          <w:bCs/>
        </w:rPr>
        <w:t xml:space="preserve"> Major clinical advantages of PET-CT include better localization of activity to normal vs</w:t>
      </w:r>
      <w:r>
        <w:rPr>
          <w:bCs/>
        </w:rPr>
        <w:t>.</w:t>
      </w:r>
      <w:r w:rsidRPr="00F05B81">
        <w:rPr>
          <w:bCs/>
        </w:rPr>
        <w:t xml:space="preserve"> abnormal structures, better identification of inflammatory lesions, discovery of serendipitous abnormalities, confirmation of unusual or abnormal sites, and improved localization for biopsy or radiotherapy.  Studies to date typically have shown a 4% to 15% improvement in overall accuracy of staging/restaging and a 30% to 50% improvement in the confidence of lesion localization. PET-CT has become the standard of imaging care for many oncology patients.</w:t>
      </w:r>
      <w:r>
        <w:rPr>
          <w:rStyle w:val="FootnoteReference"/>
          <w:bCs/>
        </w:rPr>
        <w:footnoteReference w:id="101"/>
      </w:r>
    </w:p>
    <w:p w14:paraId="66EE2C49" w14:textId="77777777" w:rsidR="00405BA9" w:rsidRDefault="00405BA9" w:rsidP="00405BA9">
      <w:pPr>
        <w:ind w:left="720"/>
        <w:jc w:val="both"/>
        <w:rPr>
          <w:bCs/>
        </w:rPr>
      </w:pPr>
      <w:r>
        <w:rPr>
          <w:bCs/>
        </w:rPr>
        <w:t xml:space="preserve">PET-CT imaging in </w:t>
      </w:r>
      <w:r w:rsidRPr="00DD3260">
        <w:rPr>
          <w:bCs/>
        </w:rPr>
        <w:t>urological oncology</w:t>
      </w:r>
      <w:r>
        <w:rPr>
          <w:bCs/>
        </w:rPr>
        <w:t xml:space="preserve"> remains in its burgeoning phases</w:t>
      </w:r>
      <w:r w:rsidRPr="00DD3260">
        <w:rPr>
          <w:bCs/>
        </w:rPr>
        <w:t xml:space="preserve"> but</w:t>
      </w:r>
      <w:r>
        <w:rPr>
          <w:bCs/>
        </w:rPr>
        <w:t xml:space="preserve"> is proving to be more and more useful as an imaging modality.  To date, </w:t>
      </w:r>
      <w:r w:rsidRPr="00DD3260">
        <w:rPr>
          <w:bCs/>
        </w:rPr>
        <w:t>the use of</w:t>
      </w:r>
      <w:r>
        <w:rPr>
          <w:bCs/>
        </w:rPr>
        <w:t xml:space="preserve"> </w:t>
      </w:r>
      <w:r w:rsidRPr="00DD3260">
        <w:rPr>
          <w:bCs/>
        </w:rPr>
        <w:t>F-FDG</w:t>
      </w:r>
      <w:r>
        <w:rPr>
          <w:rStyle w:val="FootnoteReference"/>
          <w:bCs/>
        </w:rPr>
        <w:footnoteReference w:id="102"/>
      </w:r>
      <w:r>
        <w:rPr>
          <w:bCs/>
        </w:rPr>
        <w:t xml:space="preserve"> </w:t>
      </w:r>
      <w:r w:rsidRPr="00DD3260">
        <w:rPr>
          <w:bCs/>
        </w:rPr>
        <w:t xml:space="preserve">has been limited by a </w:t>
      </w:r>
      <w:r w:rsidRPr="00DD3260">
        <w:rPr>
          <w:bCs/>
        </w:rPr>
        <w:lastRenderedPageBreak/>
        <w:t>generally low tumor uptake and physiological</w:t>
      </w:r>
      <w:r>
        <w:rPr>
          <w:bCs/>
        </w:rPr>
        <w:t xml:space="preserve"> </w:t>
      </w:r>
      <w:r w:rsidRPr="00DD3260">
        <w:rPr>
          <w:bCs/>
        </w:rPr>
        <w:t>F-FDG excretion by the urinary system</w:t>
      </w:r>
      <w:r>
        <w:rPr>
          <w:bCs/>
        </w:rPr>
        <w:t>,</w:t>
      </w:r>
      <w:r>
        <w:rPr>
          <w:rStyle w:val="FootnoteReference"/>
          <w:bCs/>
        </w:rPr>
        <w:footnoteReference w:id="103"/>
      </w:r>
      <w:r w:rsidRPr="00DD3260">
        <w:rPr>
          <w:bCs/>
        </w:rPr>
        <w:t xml:space="preserve"> </w:t>
      </w:r>
      <w:r>
        <w:rPr>
          <w:bCs/>
        </w:rPr>
        <w:t>but o</w:t>
      </w:r>
      <w:r w:rsidRPr="00DD3260">
        <w:rPr>
          <w:bCs/>
        </w:rPr>
        <w:t>ther radiotracers are increasing the urologist's portfolio allowing imaging of several biochemical pathways.</w:t>
      </w:r>
      <w:r>
        <w:rPr>
          <w:rStyle w:val="FootnoteReference"/>
          <w:bCs/>
        </w:rPr>
        <w:footnoteReference w:id="104"/>
      </w:r>
      <w:r w:rsidRPr="00DD3260">
        <w:rPr>
          <w:bCs/>
        </w:rPr>
        <w:t xml:space="preserve"> Theragnostic</w:t>
      </w:r>
      <w:r>
        <w:rPr>
          <w:rStyle w:val="FootnoteReference"/>
          <w:bCs/>
        </w:rPr>
        <w:footnoteReference w:id="105"/>
      </w:r>
      <w:r w:rsidRPr="00DD3260">
        <w:rPr>
          <w:bCs/>
        </w:rPr>
        <w:t xml:space="preserve"> possibilities are also under investigation thanks to PSMA-based tracers.</w:t>
      </w:r>
      <w:r>
        <w:rPr>
          <w:rStyle w:val="FootnoteReference"/>
          <w:bCs/>
        </w:rPr>
        <w:footnoteReference w:id="106"/>
      </w:r>
      <w:r>
        <w:rPr>
          <w:rStyle w:val="FootnoteReference"/>
          <w:bCs/>
        </w:rPr>
        <w:footnoteReference w:id="107"/>
      </w:r>
    </w:p>
    <w:p w14:paraId="7981C333" w14:textId="24209EC8" w:rsidR="00405BA9" w:rsidRPr="009151B0" w:rsidRDefault="00405BA9" w:rsidP="009151B0">
      <w:pPr>
        <w:ind w:left="720"/>
        <w:jc w:val="both"/>
        <w:rPr>
          <w:bCs/>
        </w:rPr>
      </w:pPr>
      <w:r w:rsidRPr="008D51F3">
        <w:rPr>
          <w:bCs/>
        </w:rPr>
        <w:t>According to the U.S. Cancer registry</w:t>
      </w:r>
      <w:r>
        <w:rPr>
          <w:bCs/>
        </w:rPr>
        <w:t xml:space="preserve">, </w:t>
      </w:r>
      <w:r w:rsidRPr="008D51F3">
        <w:rPr>
          <w:bCs/>
        </w:rPr>
        <w:t xml:space="preserve">Middlesex County has a cancer incidence of 441 cases per 100,000. Improvements in accuracy and confidence in lesion localization, it stands to reason that a significant percentage of the cases diagnosed per year could be positively impacted with access to a local and convenient PET-CT diagnostic imaging.  </w:t>
      </w:r>
    </w:p>
    <w:p w14:paraId="022A6914" w14:textId="77777777" w:rsidR="00405BA9" w:rsidRPr="003530B5" w:rsidRDefault="00405BA9" w:rsidP="00405BA9">
      <w:pPr>
        <w:pStyle w:val="ListParagraph"/>
        <w:jc w:val="both"/>
        <w:rPr>
          <w:bCs/>
          <w:u w:val="single"/>
        </w:rPr>
      </w:pPr>
      <w:r w:rsidRPr="003530B5">
        <w:rPr>
          <w:bCs/>
          <w:u w:val="single"/>
        </w:rPr>
        <w:t xml:space="preserve">Cardiac Conditions </w:t>
      </w:r>
    </w:p>
    <w:p w14:paraId="300DC6F5" w14:textId="77777777" w:rsidR="00405BA9" w:rsidRDefault="00405BA9" w:rsidP="00405BA9">
      <w:pPr>
        <w:pStyle w:val="ListParagraph"/>
        <w:jc w:val="both"/>
        <w:rPr>
          <w:bCs/>
        </w:rPr>
      </w:pPr>
    </w:p>
    <w:p w14:paraId="1B9682AB" w14:textId="77777777" w:rsidR="00405BA9" w:rsidRDefault="00405BA9" w:rsidP="00405BA9">
      <w:pPr>
        <w:pStyle w:val="ListParagraph"/>
        <w:jc w:val="both"/>
        <w:rPr>
          <w:bCs/>
        </w:rPr>
      </w:pPr>
      <w:r w:rsidRPr="0052187A">
        <w:rPr>
          <w:bCs/>
        </w:rPr>
        <w:t>PET-CT images of the heart provide comprehensive information to physicians, allowing for more enhanced management of cardiovascular disease, especially for ischemic heart disease.</w:t>
      </w:r>
      <w:r>
        <w:rPr>
          <w:rStyle w:val="FootnoteReference"/>
          <w:bCs/>
        </w:rPr>
        <w:footnoteReference w:id="108"/>
      </w:r>
      <w:r w:rsidRPr="0052187A">
        <w:rPr>
          <w:bCs/>
        </w:rPr>
        <w:t xml:space="preserve"> The ability for the heart to recover naturally from ischemic damage decreases with age and makes older patients more susceptible to injury.</w:t>
      </w:r>
      <w:r>
        <w:rPr>
          <w:rStyle w:val="FootnoteReference"/>
          <w:bCs/>
        </w:rPr>
        <w:footnoteReference w:id="109"/>
      </w:r>
      <w:r w:rsidRPr="0052187A">
        <w:rPr>
          <w:bCs/>
        </w:rPr>
        <w:t xml:space="preserve"> Where traditional CT and PET scans have unique advantages in diagnosing coronary artery disease, a typical cause of ischemic heart disease, each have their downfalls and result in missed diagnoses or unnecessary invasive procedures. </w:t>
      </w:r>
      <w:r w:rsidRPr="00533265">
        <w:rPr>
          <w:bCs/>
        </w:rPr>
        <w:t>Combined PET-CT imaging remains the only technique that yields sufficient information in one procedure to quickly provide all the necessary information for a physician to make a timely and proper medical decision.</w:t>
      </w:r>
      <w:r>
        <w:rPr>
          <w:rStyle w:val="FootnoteReference"/>
          <w:bCs/>
        </w:rPr>
        <w:footnoteReference w:id="110"/>
      </w:r>
      <w:r w:rsidRPr="00533265">
        <w:rPr>
          <w:bCs/>
        </w:rPr>
        <w:t xml:space="preserve"> </w:t>
      </w:r>
    </w:p>
    <w:p w14:paraId="781FA68B" w14:textId="77777777" w:rsidR="00405BA9" w:rsidRDefault="00405BA9" w:rsidP="00405BA9">
      <w:pPr>
        <w:pStyle w:val="ListParagraph"/>
        <w:jc w:val="both"/>
        <w:rPr>
          <w:bCs/>
        </w:rPr>
      </w:pPr>
    </w:p>
    <w:p w14:paraId="71452D30" w14:textId="77777777" w:rsidR="00405BA9" w:rsidRPr="006610A2" w:rsidRDefault="00405BA9" w:rsidP="00405BA9">
      <w:pPr>
        <w:pStyle w:val="ListParagraph"/>
        <w:jc w:val="both"/>
        <w:rPr>
          <w:bCs/>
        </w:rPr>
      </w:pPr>
      <w:r>
        <w:rPr>
          <w:bCs/>
        </w:rPr>
        <w:t>In addition, t</w:t>
      </w:r>
      <w:r w:rsidRPr="006610A2">
        <w:rPr>
          <w:bCs/>
        </w:rPr>
        <w:t>he applications of PET</w:t>
      </w:r>
      <w:r>
        <w:rPr>
          <w:bCs/>
        </w:rPr>
        <w:t>-</w:t>
      </w:r>
      <w:r w:rsidRPr="006610A2">
        <w:rPr>
          <w:bCs/>
        </w:rPr>
        <w:t>CT are expanding, and its uses are being employed for assessing patients with cardiac pathology. In the heart, free fatty acid and glucose are major energy sources, however when there is a blockage of blood flow such as in a patient with myocardial ischemia, there is a metabolic change that occurs so that a new energy source is found usually in a process known as anaerobic glycolysis.</w:t>
      </w:r>
      <w:r>
        <w:rPr>
          <w:rStyle w:val="FootnoteReference"/>
          <w:bCs/>
        </w:rPr>
        <w:footnoteReference w:id="111"/>
      </w:r>
      <w:r w:rsidRPr="006610A2">
        <w:rPr>
          <w:bCs/>
        </w:rPr>
        <w:t xml:space="preserve">  These metabolic changes can be detected by PET/CT scans and evaluations of them can provide information regarding the functionality of the myocardium (the muscular layer of the heart), which can provide important data for surgery </w:t>
      </w:r>
      <w:r w:rsidRPr="006610A2">
        <w:rPr>
          <w:bCs/>
        </w:rPr>
        <w:lastRenderedPageBreak/>
        <w:t>such as heart transplantation.</w:t>
      </w:r>
      <w:r>
        <w:rPr>
          <w:rStyle w:val="FootnoteReference"/>
          <w:bCs/>
        </w:rPr>
        <w:footnoteReference w:id="112"/>
      </w:r>
      <w:r w:rsidRPr="006610A2">
        <w:rPr>
          <w:bCs/>
        </w:rPr>
        <w:t xml:space="preserve">  There are many viability tests and noninvasive assessment of cardiac glucose use, however the PET</w:t>
      </w:r>
      <w:r>
        <w:rPr>
          <w:bCs/>
        </w:rPr>
        <w:t>-</w:t>
      </w:r>
      <w:r w:rsidRPr="006610A2">
        <w:rPr>
          <w:bCs/>
        </w:rPr>
        <w:t>CT scan is considered the most accurate technique for detecting viable myocardial tissue.</w:t>
      </w:r>
      <w:r>
        <w:rPr>
          <w:rStyle w:val="FootnoteReference"/>
          <w:bCs/>
        </w:rPr>
        <w:footnoteReference w:id="113"/>
      </w:r>
      <w:r w:rsidRPr="006610A2">
        <w:rPr>
          <w:bCs/>
        </w:rPr>
        <w:t xml:space="preserve"> </w:t>
      </w:r>
    </w:p>
    <w:p w14:paraId="05E36CAC" w14:textId="77777777" w:rsidR="00405BA9" w:rsidRPr="006610A2" w:rsidRDefault="00405BA9" w:rsidP="00405BA9">
      <w:pPr>
        <w:pStyle w:val="ListParagraph"/>
        <w:jc w:val="both"/>
        <w:rPr>
          <w:bCs/>
        </w:rPr>
      </w:pPr>
    </w:p>
    <w:p w14:paraId="00CCBB0F" w14:textId="77777777" w:rsidR="00405BA9" w:rsidRDefault="00405BA9" w:rsidP="00405BA9">
      <w:pPr>
        <w:pStyle w:val="ListParagraph"/>
        <w:jc w:val="both"/>
        <w:rPr>
          <w:bCs/>
        </w:rPr>
      </w:pPr>
      <w:r w:rsidRPr="006610A2">
        <w:rPr>
          <w:bCs/>
        </w:rPr>
        <w:t>Aside from its ability to assess cardiac glucose use, PET</w:t>
      </w:r>
      <w:r>
        <w:rPr>
          <w:bCs/>
        </w:rPr>
        <w:t>-</w:t>
      </w:r>
      <w:r w:rsidRPr="006610A2">
        <w:rPr>
          <w:bCs/>
        </w:rPr>
        <w:t>CT can be used to determine overall left ventricular function and calculate important cardiac function data including end-diastolic volume (EDV), end-systolic volume (ESV) and left ventricular ejection fraction</w:t>
      </w:r>
      <w:r>
        <w:rPr>
          <w:bCs/>
        </w:rPr>
        <w:t xml:space="preserve"> </w:t>
      </w:r>
      <w:r w:rsidRPr="0006021C">
        <w:rPr>
          <w:bCs/>
        </w:rPr>
        <w:t>(LVEF).</w:t>
      </w:r>
      <w:r>
        <w:rPr>
          <w:rStyle w:val="FootnoteReference"/>
          <w:bCs/>
        </w:rPr>
        <w:footnoteReference w:id="114"/>
      </w:r>
      <w:r w:rsidRPr="0006021C">
        <w:rPr>
          <w:bCs/>
        </w:rPr>
        <w:t xml:space="preserve">  When a patient is experiencing the chronic phase of severe myocardial infarction, researchers found that PET</w:t>
      </w:r>
      <w:r>
        <w:rPr>
          <w:bCs/>
        </w:rPr>
        <w:t>-</w:t>
      </w:r>
      <w:r w:rsidRPr="0006021C">
        <w:rPr>
          <w:bCs/>
        </w:rPr>
        <w:t>CT was useful for selecting candidates that were suitable for cell therapy.</w:t>
      </w:r>
      <w:r>
        <w:rPr>
          <w:rStyle w:val="FootnoteReference"/>
          <w:bCs/>
        </w:rPr>
        <w:footnoteReference w:id="115"/>
      </w:r>
    </w:p>
    <w:p w14:paraId="4930E73F" w14:textId="77777777" w:rsidR="00405BA9" w:rsidRDefault="00405BA9" w:rsidP="00405BA9">
      <w:pPr>
        <w:pStyle w:val="ListParagraph"/>
        <w:jc w:val="both"/>
        <w:rPr>
          <w:bCs/>
        </w:rPr>
      </w:pPr>
    </w:p>
    <w:p w14:paraId="74242996" w14:textId="77777777" w:rsidR="00405BA9" w:rsidRDefault="00405BA9" w:rsidP="00405BA9">
      <w:pPr>
        <w:pStyle w:val="ListParagraph"/>
        <w:jc w:val="both"/>
      </w:pPr>
      <w:r w:rsidRPr="3C6FBAD8">
        <w:t>When compared with cardiac Magnetic Resonance Imaging (MRI), the PET</w:t>
      </w:r>
      <w:r>
        <w:rPr>
          <w:bCs/>
        </w:rPr>
        <w:t>-</w:t>
      </w:r>
      <w:r w:rsidRPr="3C6FBAD8">
        <w:t>CT was able to detect a more impaired yet viable myocardium.</w:t>
      </w:r>
      <w:r w:rsidRPr="3C6FBAD8">
        <w:rPr>
          <w:rStyle w:val="FootnoteReference"/>
        </w:rPr>
        <w:footnoteReference w:id="116"/>
      </w:r>
      <w:r w:rsidRPr="3C6FBAD8">
        <w:t xml:space="preserve"> In another study focused on cardiac sarcoidosis (inflammatory condition that affects different areas of the heart), the researchers noted differences between the two modalities, and they found that PET</w:t>
      </w:r>
      <w:r>
        <w:rPr>
          <w:bCs/>
        </w:rPr>
        <w:t>-</w:t>
      </w:r>
      <w:r w:rsidRPr="3C6FBAD8">
        <w:t>CT was more efficient at detecting elevated serum angiotensin converting enzyme (ACE) levels, which suggests that this type of scan may be more useful for active disease assessment and for following treatment response.</w:t>
      </w:r>
      <w:r w:rsidRPr="3C6FBAD8">
        <w:rPr>
          <w:rStyle w:val="FootnoteReference"/>
        </w:rPr>
        <w:footnoteReference w:id="117"/>
      </w:r>
      <w:r w:rsidRPr="00D92C25">
        <w:rPr>
          <w:bCs/>
        </w:rPr>
        <w:t xml:space="preserve">  </w:t>
      </w:r>
    </w:p>
    <w:p w14:paraId="2A5C52A9" w14:textId="77777777" w:rsidR="00405BA9" w:rsidRDefault="00405BA9" w:rsidP="00405BA9">
      <w:pPr>
        <w:pStyle w:val="ListParagraph"/>
        <w:jc w:val="both"/>
        <w:rPr>
          <w:bCs/>
        </w:rPr>
      </w:pPr>
    </w:p>
    <w:p w14:paraId="32DBD7EA" w14:textId="77777777" w:rsidR="00405BA9" w:rsidRPr="00533265" w:rsidRDefault="00405BA9" w:rsidP="00405BA9">
      <w:pPr>
        <w:pStyle w:val="ListParagraph"/>
        <w:jc w:val="both"/>
      </w:pPr>
      <w:r w:rsidRPr="3C6FBAD8">
        <w:t>Additionally, a PET-CT sca</w:t>
      </w:r>
      <w:r>
        <w:t>n</w:t>
      </w:r>
      <w:r w:rsidRPr="3C6FBAD8">
        <w:t xml:space="preserve"> may be even more useful in such patients for evaluating the full extent of cardiac sarcoidosis by detecting unsuspected lesions and identification of potential biopsy sites. This type of scan is particularly more practical since many patients with this disease have implanted cardiac devices such as pacemakers or defibrillators that interfere with MRI scans due to the magnets that are used.</w:t>
      </w:r>
      <w:r w:rsidRPr="3C6FBAD8">
        <w:rPr>
          <w:rStyle w:val="FootnoteReference"/>
        </w:rPr>
        <w:footnoteReference w:id="118"/>
      </w:r>
    </w:p>
    <w:p w14:paraId="36F70087" w14:textId="77777777" w:rsidR="00405BA9" w:rsidRDefault="00405BA9" w:rsidP="00405BA9">
      <w:pPr>
        <w:pStyle w:val="ListParagraph"/>
        <w:jc w:val="both"/>
        <w:rPr>
          <w:bCs/>
        </w:rPr>
      </w:pPr>
    </w:p>
    <w:p w14:paraId="3CDC10B0" w14:textId="77777777" w:rsidR="00405BA9" w:rsidRDefault="00405BA9" w:rsidP="00405BA9">
      <w:pPr>
        <w:pStyle w:val="ListParagraph"/>
        <w:jc w:val="both"/>
        <w:rPr>
          <w:bCs/>
        </w:rPr>
      </w:pPr>
      <w:r w:rsidRPr="0052187A">
        <w:rPr>
          <w:bCs/>
        </w:rPr>
        <w:t xml:space="preserve">In a setting where comprehensive acute care and follow-up treatment can be appropriately provided, </w:t>
      </w:r>
      <w:r>
        <w:rPr>
          <w:bCs/>
        </w:rPr>
        <w:t>MWH</w:t>
      </w:r>
      <w:r w:rsidRPr="0052187A">
        <w:rPr>
          <w:bCs/>
        </w:rPr>
        <w:t xml:space="preserve">’s cardiology patients will benefit from </w:t>
      </w:r>
      <w:r>
        <w:rPr>
          <w:bCs/>
        </w:rPr>
        <w:t xml:space="preserve">continued </w:t>
      </w:r>
      <w:r w:rsidRPr="0052187A">
        <w:rPr>
          <w:bCs/>
        </w:rPr>
        <w:t xml:space="preserve">access to PET-CT by allowing for efficient and accurate </w:t>
      </w:r>
      <w:r>
        <w:rPr>
          <w:bCs/>
        </w:rPr>
        <w:t>assessment, clinical analysis, and treatment decisions</w:t>
      </w:r>
      <w:r w:rsidRPr="0052187A">
        <w:rPr>
          <w:bCs/>
        </w:rPr>
        <w:t>.</w:t>
      </w:r>
    </w:p>
    <w:p w14:paraId="6178FB04" w14:textId="12781D86" w:rsidR="00405BA9" w:rsidRDefault="00405BA9" w:rsidP="00405BA9">
      <w:pPr>
        <w:pStyle w:val="ListParagraph"/>
        <w:jc w:val="both"/>
        <w:rPr>
          <w:bCs/>
          <w:u w:val="single"/>
        </w:rPr>
      </w:pPr>
    </w:p>
    <w:p w14:paraId="25116BDF" w14:textId="2863FF1A" w:rsidR="009151B0" w:rsidRDefault="009151B0" w:rsidP="00405BA9">
      <w:pPr>
        <w:pStyle w:val="ListParagraph"/>
        <w:jc w:val="both"/>
        <w:rPr>
          <w:bCs/>
          <w:u w:val="single"/>
        </w:rPr>
      </w:pPr>
    </w:p>
    <w:p w14:paraId="1F3E434E" w14:textId="32A8C1AB" w:rsidR="009151B0" w:rsidRDefault="009151B0" w:rsidP="00405BA9">
      <w:pPr>
        <w:pStyle w:val="ListParagraph"/>
        <w:jc w:val="both"/>
        <w:rPr>
          <w:bCs/>
          <w:u w:val="single"/>
        </w:rPr>
      </w:pPr>
    </w:p>
    <w:p w14:paraId="0F1A9368" w14:textId="77777777" w:rsidR="009151B0" w:rsidRDefault="009151B0" w:rsidP="00405BA9">
      <w:pPr>
        <w:pStyle w:val="ListParagraph"/>
        <w:jc w:val="both"/>
        <w:rPr>
          <w:bCs/>
          <w:u w:val="single"/>
        </w:rPr>
      </w:pPr>
    </w:p>
    <w:p w14:paraId="7942A270" w14:textId="77777777" w:rsidR="00405BA9" w:rsidRPr="009A584A" w:rsidRDefault="00405BA9" w:rsidP="00405BA9">
      <w:pPr>
        <w:pStyle w:val="ListParagraph"/>
        <w:jc w:val="both"/>
        <w:rPr>
          <w:bCs/>
          <w:u w:val="single"/>
        </w:rPr>
      </w:pPr>
      <w:r w:rsidRPr="003530B5">
        <w:rPr>
          <w:bCs/>
          <w:u w:val="single"/>
        </w:rPr>
        <w:lastRenderedPageBreak/>
        <w:t xml:space="preserve">Neurological Conditions </w:t>
      </w:r>
    </w:p>
    <w:p w14:paraId="0C5EA8AA" w14:textId="77777777" w:rsidR="00405BA9" w:rsidRDefault="00405BA9" w:rsidP="00405BA9">
      <w:pPr>
        <w:pStyle w:val="ListParagraph"/>
        <w:jc w:val="both"/>
        <w:rPr>
          <w:bCs/>
        </w:rPr>
      </w:pPr>
    </w:p>
    <w:p w14:paraId="26792C8B" w14:textId="77777777" w:rsidR="00405BA9" w:rsidRDefault="00405BA9" w:rsidP="00405BA9">
      <w:pPr>
        <w:pStyle w:val="ListParagraph"/>
        <w:jc w:val="both"/>
      </w:pPr>
      <w:r w:rsidRPr="3C6FBAD8">
        <w:t>PET-CT has been show</w:t>
      </w:r>
      <w:r>
        <w:t>n</w:t>
      </w:r>
      <w:r w:rsidRPr="3C6FBAD8">
        <w:t xml:space="preserve"> to enhance a clinician’s ability to diagnose and effectively treat neurological diseases. In neurology, PET-CT plays an important role in the evaluation of various epileptic syndromes as well as in the clinical assessment of patients with a multitude of other disorders, including cognitive impairment and dementias.</w:t>
      </w:r>
      <w:r w:rsidRPr="3C6FBAD8">
        <w:rPr>
          <w:rStyle w:val="FootnoteReference"/>
        </w:rPr>
        <w:footnoteReference w:id="119"/>
      </w:r>
      <w:r w:rsidRPr="3C6FBAD8">
        <w:t xml:space="preserve">  The PET-CT modality has become a valuable tool in the diagnosis, treatment evaluation and follow-up of patients with a variety of infections and inflammatory conditions and is already the gold standard for some neurological indications.</w:t>
      </w:r>
      <w:r w:rsidRPr="3C6FBAD8">
        <w:rPr>
          <w:rStyle w:val="FootnoteReference"/>
        </w:rPr>
        <w:footnoteReference w:id="120"/>
      </w:r>
    </w:p>
    <w:p w14:paraId="11AE9F79" w14:textId="77777777" w:rsidR="00405BA9" w:rsidRDefault="00405BA9" w:rsidP="00405BA9">
      <w:pPr>
        <w:pStyle w:val="ListParagraph"/>
        <w:jc w:val="both"/>
        <w:rPr>
          <w:bCs/>
        </w:rPr>
      </w:pPr>
    </w:p>
    <w:p w14:paraId="7328A9AA" w14:textId="77777777" w:rsidR="00405BA9" w:rsidRDefault="00405BA9" w:rsidP="00405BA9">
      <w:pPr>
        <w:pStyle w:val="ListParagraph"/>
        <w:jc w:val="both"/>
        <w:rPr>
          <w:bCs/>
        </w:rPr>
      </w:pPr>
      <w:r w:rsidRPr="00B86EA9">
        <w:rPr>
          <w:bCs/>
        </w:rPr>
        <w:t>PET</w:t>
      </w:r>
      <w:r>
        <w:rPr>
          <w:bCs/>
        </w:rPr>
        <w:t xml:space="preserve"> (alone)</w:t>
      </w:r>
      <w:r w:rsidRPr="00B86EA9">
        <w:rPr>
          <w:bCs/>
        </w:rPr>
        <w:t xml:space="preserve"> has long been a part of the assessment of brain physiology and pathology. Its early applications were more academic and scientific rather than clinical. PET</w:t>
      </w:r>
      <w:r>
        <w:rPr>
          <w:bCs/>
        </w:rPr>
        <w:t>-</w:t>
      </w:r>
      <w:r w:rsidRPr="00B86EA9">
        <w:rPr>
          <w:bCs/>
        </w:rPr>
        <w:t>CT have been proven as a superior scanning technique in oncological or cardiovascular disorders, but emerging research suggests that PET</w:t>
      </w:r>
      <w:r>
        <w:rPr>
          <w:bCs/>
        </w:rPr>
        <w:t>-</w:t>
      </w:r>
      <w:r w:rsidRPr="00B86EA9">
        <w:rPr>
          <w:bCs/>
        </w:rPr>
        <w:t>CT could be an integral part in neuroradiological settings, such as vascular diseases such as carotid artery disease, which is a cause of stroke.</w:t>
      </w:r>
      <w:r>
        <w:rPr>
          <w:rStyle w:val="FootnoteReference"/>
          <w:bCs/>
        </w:rPr>
        <w:footnoteReference w:id="121"/>
      </w:r>
      <w:r w:rsidRPr="00B86EA9">
        <w:rPr>
          <w:bCs/>
        </w:rPr>
        <w:t xml:space="preserve">  </w:t>
      </w:r>
    </w:p>
    <w:p w14:paraId="7A01CE3F" w14:textId="77777777" w:rsidR="00405BA9" w:rsidRDefault="00405BA9" w:rsidP="00405BA9">
      <w:pPr>
        <w:pStyle w:val="ListParagraph"/>
        <w:jc w:val="both"/>
        <w:rPr>
          <w:bCs/>
        </w:rPr>
      </w:pPr>
    </w:p>
    <w:p w14:paraId="325251E1" w14:textId="77777777" w:rsidR="00405BA9" w:rsidRDefault="00405BA9" w:rsidP="00405BA9">
      <w:pPr>
        <w:pStyle w:val="ListParagraph"/>
        <w:jc w:val="both"/>
        <w:rPr>
          <w:bCs/>
        </w:rPr>
      </w:pPr>
      <w:r w:rsidRPr="005D5747">
        <w:rPr>
          <w:bCs/>
        </w:rPr>
        <w:t>Current standards for taking images for dementia treatment include CT, MRI, or both to exclude masses and vascular lesion, identify and monitor disease and its severity. The addition of PET</w:t>
      </w:r>
      <w:r>
        <w:rPr>
          <w:bCs/>
        </w:rPr>
        <w:t>-</w:t>
      </w:r>
      <w:r w:rsidRPr="005D5747">
        <w:rPr>
          <w:bCs/>
        </w:rPr>
        <w:t>CT scans in dementia cases can provide complementary data on the cerebral glucose</w:t>
      </w:r>
      <w:r>
        <w:rPr>
          <w:bCs/>
        </w:rPr>
        <w:t xml:space="preserve"> </w:t>
      </w:r>
      <w:r w:rsidRPr="007557C3">
        <w:rPr>
          <w:bCs/>
        </w:rPr>
        <w:t>metabolism, which is a key indicator in the diagnosis and treatment of dementia.</w:t>
      </w:r>
      <w:r>
        <w:rPr>
          <w:rStyle w:val="FootnoteReference"/>
          <w:bCs/>
        </w:rPr>
        <w:footnoteReference w:id="122"/>
      </w:r>
      <w:r w:rsidRPr="007557C3">
        <w:rPr>
          <w:bCs/>
        </w:rPr>
        <w:t xml:space="preserve">  A study that focused on the diagnosis of Autoimmu</w:t>
      </w:r>
      <w:r>
        <w:rPr>
          <w:bCs/>
        </w:rPr>
        <w:t>n</w:t>
      </w:r>
      <w:r w:rsidRPr="007557C3">
        <w:rPr>
          <w:bCs/>
        </w:rPr>
        <w:t xml:space="preserve">e Encephalitis, an inflammatory neurological disease, found that when compared with MRI, </w:t>
      </w:r>
      <w:r w:rsidRPr="00390AE6">
        <w:rPr>
          <w:bCs/>
        </w:rPr>
        <w:t>PET-CT</w:t>
      </w:r>
      <w:r w:rsidRPr="007557C3">
        <w:rPr>
          <w:bCs/>
        </w:rPr>
        <w:t xml:space="preserve"> may be a better technique in providing an earlier diagnosis of the disease.</w:t>
      </w:r>
      <w:r>
        <w:rPr>
          <w:rStyle w:val="FootnoteReference"/>
          <w:bCs/>
        </w:rPr>
        <w:footnoteReference w:id="123"/>
      </w:r>
    </w:p>
    <w:p w14:paraId="1B1BFC7B" w14:textId="77777777" w:rsidR="00405BA9" w:rsidRDefault="00405BA9" w:rsidP="00405BA9">
      <w:pPr>
        <w:pStyle w:val="ListParagraph"/>
        <w:jc w:val="both"/>
      </w:pPr>
    </w:p>
    <w:p w14:paraId="1BB1C910" w14:textId="77777777" w:rsidR="00405BA9" w:rsidRDefault="00405BA9" w:rsidP="00405BA9">
      <w:pPr>
        <w:pStyle w:val="ListParagraph"/>
        <w:jc w:val="both"/>
      </w:pPr>
      <w:r>
        <w:t>According to the Alzheimer’s Association, Alzheimer’s disease is a growing public health crisis in Massachusetts and the impact of Alzheimer’s is projected to rise.</w:t>
      </w:r>
      <w:r>
        <w:rPr>
          <w:rStyle w:val="FootnoteReference"/>
        </w:rPr>
        <w:footnoteReference w:id="124"/>
      </w:r>
      <w:r>
        <w:t xml:space="preserve">  In fact, 130,000 people aged 65 and older are living with Alzheimer’s in Massachusetts and 9.3% of people aged 45 and older have subjective cognitive decline.</w:t>
      </w:r>
      <w:r>
        <w:rPr>
          <w:rStyle w:val="FootnoteReference"/>
        </w:rPr>
        <w:footnoteReference w:id="125"/>
      </w:r>
      <w:r>
        <w:t xml:space="preserve"> Studies suggest that </w:t>
      </w:r>
      <w:r w:rsidRPr="00CD79CD">
        <w:t xml:space="preserve">PET imaging </w:t>
      </w:r>
      <w:r>
        <w:t>is</w:t>
      </w:r>
      <w:r w:rsidRPr="00CD79CD">
        <w:t xml:space="preserve"> valuable in the assessment of patients with dementia</w:t>
      </w:r>
      <w:r>
        <w:t xml:space="preserve"> and</w:t>
      </w:r>
      <w:r w:rsidRPr="00CD79CD">
        <w:t xml:space="preserve"> can help in differentiating </w:t>
      </w:r>
      <w:r>
        <w:t>Alzheimer’s</w:t>
      </w:r>
      <w:r w:rsidRPr="00CD79CD">
        <w:t xml:space="preserve"> from other causes of dementia such as frontotemporal dementia and dementia of Lewy body.</w:t>
      </w:r>
      <w:r>
        <w:rPr>
          <w:rStyle w:val="FootnoteReference"/>
        </w:rPr>
        <w:footnoteReference w:id="126"/>
      </w:r>
    </w:p>
    <w:p w14:paraId="0E7B1E24" w14:textId="42291E45" w:rsidR="00405BA9" w:rsidRDefault="00405BA9" w:rsidP="00405BA9"/>
    <w:p w14:paraId="7979CD54" w14:textId="77777777" w:rsidR="00755171" w:rsidRPr="00015BD5" w:rsidRDefault="00755171" w:rsidP="00755171">
      <w:pPr>
        <w:rPr>
          <w:b/>
        </w:rPr>
      </w:pPr>
      <w:r w:rsidRPr="00015BD5">
        <w:rPr>
          <w:b/>
        </w:rPr>
        <w:lastRenderedPageBreak/>
        <w:t>F1.</w:t>
      </w:r>
      <w:proofErr w:type="gramStart"/>
      <w:r w:rsidRPr="00015BD5">
        <w:rPr>
          <w:b/>
        </w:rPr>
        <w:t>b.ii</w:t>
      </w:r>
      <w:proofErr w:type="gramEnd"/>
      <w:r w:rsidRPr="00015BD5">
        <w:rPr>
          <w:b/>
        </w:rPr>
        <w:tab/>
      </w:r>
      <w:r w:rsidRPr="00015BD5">
        <w:rPr>
          <w:b/>
          <w:u w:val="single"/>
        </w:rPr>
        <w:t>Public Health Value /Outcome-Oriented</w:t>
      </w:r>
      <w:r w:rsidRPr="00015BD5">
        <w:rPr>
          <w:b/>
        </w:rPr>
        <w:t>:</w:t>
      </w:r>
    </w:p>
    <w:p w14:paraId="50C70946" w14:textId="77777777" w:rsidR="00755171" w:rsidRPr="00015BD5" w:rsidRDefault="00755171" w:rsidP="00755171">
      <w:pPr>
        <w:rPr>
          <w:b/>
        </w:rPr>
      </w:pPr>
      <w:r w:rsidRPr="00015BD5">
        <w:rPr>
          <w:b/>
        </w:rPr>
        <w:t>Describe the impact of the Proposed Project and how the Applicant will assess such impact. Provide projections demonstrating how the Proposed Project will improve health outcomes, quality of life, or health equity. Only measures that can be tracked and reported over time should be utilized.</w:t>
      </w:r>
    </w:p>
    <w:p w14:paraId="7EBBA2B6" w14:textId="77777777" w:rsidR="00755171" w:rsidRPr="00CA566E" w:rsidRDefault="00755171" w:rsidP="00755171">
      <w:pPr>
        <w:pStyle w:val="ListParagraph"/>
        <w:numPr>
          <w:ilvl w:val="0"/>
          <w:numId w:val="5"/>
        </w:numPr>
        <w:rPr>
          <w:bCs/>
        </w:rPr>
      </w:pPr>
      <w:r w:rsidRPr="00015BD5">
        <w:rPr>
          <w:b/>
        </w:rPr>
        <w:t>Improving Health Outcomes and Quality of Lif</w:t>
      </w:r>
      <w:r>
        <w:rPr>
          <w:b/>
        </w:rPr>
        <w:t>e</w:t>
      </w:r>
    </w:p>
    <w:p w14:paraId="7F5E099D" w14:textId="77777777" w:rsidR="00755171" w:rsidRDefault="00755171" w:rsidP="00755171">
      <w:pPr>
        <w:autoSpaceDE w:val="0"/>
        <w:autoSpaceDN w:val="0"/>
        <w:adjustRightInd w:val="0"/>
        <w:spacing w:after="0" w:line="240" w:lineRule="auto"/>
        <w:ind w:left="360"/>
        <w:jc w:val="both"/>
        <w:rPr>
          <w:rFonts w:ascii="Calibri" w:hAnsi="Calibri" w:cs="Calibri"/>
        </w:rPr>
      </w:pPr>
      <w:r>
        <w:rPr>
          <w:rFonts w:ascii="Calibri" w:hAnsi="Calibri" w:cs="Calibri"/>
        </w:rPr>
        <w:t>The Applicant anticipates that the Proposed Project will provide the Applicant’s patient panel with a low-cost option for continued access to integrated PET-CT services that will directly impact health outcomes, quality of life, and patient satisfaction.</w:t>
      </w:r>
    </w:p>
    <w:p w14:paraId="55A3C2A5" w14:textId="77777777" w:rsidR="00755171" w:rsidRDefault="00755171" w:rsidP="00755171">
      <w:pPr>
        <w:autoSpaceDE w:val="0"/>
        <w:autoSpaceDN w:val="0"/>
        <w:adjustRightInd w:val="0"/>
        <w:spacing w:after="0" w:line="240" w:lineRule="auto"/>
        <w:jc w:val="both"/>
        <w:rPr>
          <w:rFonts w:ascii="Calibri" w:hAnsi="Calibri" w:cs="Calibri"/>
        </w:rPr>
      </w:pPr>
    </w:p>
    <w:p w14:paraId="066F2277" w14:textId="77777777" w:rsidR="00755171" w:rsidRDefault="00755171" w:rsidP="00755171">
      <w:pPr>
        <w:autoSpaceDE w:val="0"/>
        <w:autoSpaceDN w:val="0"/>
        <w:adjustRightInd w:val="0"/>
        <w:spacing w:after="0" w:line="240" w:lineRule="auto"/>
        <w:ind w:left="360"/>
        <w:jc w:val="both"/>
      </w:pPr>
      <w:r>
        <w:rPr>
          <w:rFonts w:ascii="Calibri" w:hAnsi="Calibri" w:cs="Calibri"/>
        </w:rPr>
        <w:t xml:space="preserve">Studies indicate that </w:t>
      </w:r>
      <w:r w:rsidRPr="000E4FDB">
        <w:rPr>
          <w:rFonts w:ascii="Calibri" w:hAnsi="Calibri" w:cs="Calibri"/>
          <w:i/>
          <w:iCs/>
        </w:rPr>
        <w:t>delayed access</w:t>
      </w:r>
      <w:r>
        <w:rPr>
          <w:rFonts w:ascii="Calibri" w:hAnsi="Calibri" w:cs="Calibri"/>
        </w:rPr>
        <w:t xml:space="preserve"> to healthcare services results in decreased patient satisfaction, as well as negative health outcomes due to delays in diagnosis and treatment.</w:t>
      </w:r>
      <w:r>
        <w:rPr>
          <w:rStyle w:val="FootnoteReference"/>
          <w:rFonts w:ascii="Calibri" w:hAnsi="Calibri" w:cs="Calibri"/>
        </w:rPr>
        <w:footnoteReference w:id="127"/>
      </w:r>
      <w:r w:rsidRPr="00CA566E">
        <w:rPr>
          <w:rFonts w:ascii="Calibri" w:hAnsi="Calibri" w:cs="Calibri"/>
        </w:rPr>
        <w:t xml:space="preserve"> </w:t>
      </w:r>
      <w:r>
        <w:rPr>
          <w:rFonts w:ascii="Calibri" w:hAnsi="Calibri" w:cs="Calibri"/>
        </w:rPr>
        <w:t>Conversely</w:t>
      </w:r>
      <w:r w:rsidRPr="000E4FDB">
        <w:rPr>
          <w:rFonts w:ascii="Calibri" w:hAnsi="Calibri" w:cs="Calibri"/>
          <w:i/>
          <w:iCs/>
        </w:rPr>
        <w:t xml:space="preserve">, </w:t>
      </w:r>
      <w:r w:rsidRPr="000E4FDB">
        <w:rPr>
          <w:rFonts w:ascii="Calibri" w:hAnsi="Calibri" w:cs="Calibri"/>
          <w:bCs/>
          <w:i/>
          <w:iCs/>
        </w:rPr>
        <w:t>ease of access</w:t>
      </w:r>
      <w:r w:rsidRPr="000E4FDB">
        <w:rPr>
          <w:rFonts w:ascii="Calibri" w:hAnsi="Calibri" w:cs="Calibri"/>
          <w:bCs/>
        </w:rPr>
        <w:t xml:space="preserve"> </w:t>
      </w:r>
      <w:r w:rsidRPr="00233683">
        <w:rPr>
          <w:rFonts w:ascii="Calibri" w:hAnsi="Calibri" w:cs="Calibri"/>
          <w:bCs/>
        </w:rPr>
        <w:t>improves quality of life for patients because early detection and treatment of diseases improves patient outcomes</w:t>
      </w:r>
      <w:r>
        <w:rPr>
          <w:rFonts w:ascii="Calibri" w:hAnsi="Calibri" w:cs="Calibri"/>
          <w:bCs/>
        </w:rPr>
        <w:t>.</w:t>
      </w:r>
      <w:r>
        <w:rPr>
          <w:rStyle w:val="FootnoteReference"/>
          <w:rFonts w:ascii="Calibri" w:hAnsi="Calibri" w:cs="Calibri"/>
          <w:bCs/>
        </w:rPr>
        <w:footnoteReference w:id="128"/>
      </w:r>
      <w:r>
        <w:rPr>
          <w:rFonts w:ascii="Calibri" w:hAnsi="Calibri" w:cs="Calibri"/>
          <w:bCs/>
        </w:rPr>
        <w:t xml:space="preserve"> </w:t>
      </w:r>
      <w:r w:rsidRPr="00BD5AEE">
        <w:rPr>
          <w:rFonts w:ascii="Calibri" w:hAnsi="Calibri" w:cs="Calibri"/>
          <w:bCs/>
        </w:rPr>
        <w:t>Satisfied patients are more likely to be compliant with their medical care plan, ultimately leading to improved outcomes and more efficient utilization of healthcare resources.</w:t>
      </w:r>
      <w:r>
        <w:rPr>
          <w:rStyle w:val="FootnoteReference"/>
          <w:rFonts w:ascii="Calibri" w:hAnsi="Calibri" w:cs="Calibri"/>
          <w:bCs/>
        </w:rPr>
        <w:footnoteReference w:id="129"/>
      </w:r>
      <w:r w:rsidRPr="00AF5352">
        <w:t xml:space="preserve"> </w:t>
      </w:r>
    </w:p>
    <w:p w14:paraId="7089DFA2" w14:textId="77777777" w:rsidR="00755171" w:rsidRDefault="00755171" w:rsidP="00755171">
      <w:pPr>
        <w:autoSpaceDE w:val="0"/>
        <w:autoSpaceDN w:val="0"/>
        <w:adjustRightInd w:val="0"/>
        <w:spacing w:after="0" w:line="240" w:lineRule="auto"/>
        <w:ind w:left="360"/>
        <w:jc w:val="both"/>
      </w:pPr>
    </w:p>
    <w:p w14:paraId="745530BA" w14:textId="4A306E25" w:rsidR="00755171" w:rsidRDefault="00755171" w:rsidP="00755171">
      <w:pPr>
        <w:autoSpaceDE w:val="0"/>
        <w:autoSpaceDN w:val="0"/>
        <w:adjustRightInd w:val="0"/>
        <w:spacing w:after="0" w:line="240" w:lineRule="auto"/>
        <w:ind w:left="360"/>
        <w:jc w:val="both"/>
        <w:rPr>
          <w:rFonts w:ascii="Calibri" w:hAnsi="Calibri" w:cs="Calibri"/>
        </w:rPr>
      </w:pPr>
      <w:r>
        <w:rPr>
          <w:rFonts w:ascii="Calibri" w:hAnsi="Calibri" w:cs="Calibri"/>
        </w:rPr>
        <w:t xml:space="preserve">Through the continued </w:t>
      </w:r>
      <w:r w:rsidR="002C422B">
        <w:rPr>
          <w:rFonts w:ascii="Calibri" w:hAnsi="Calibri" w:cs="Calibri"/>
        </w:rPr>
        <w:t xml:space="preserve">access locally </w:t>
      </w:r>
      <w:r>
        <w:rPr>
          <w:rFonts w:ascii="Calibri" w:hAnsi="Calibri" w:cs="Calibri"/>
        </w:rPr>
        <w:t>of PET-CT service</w:t>
      </w:r>
      <w:r w:rsidR="002C422B">
        <w:rPr>
          <w:rFonts w:ascii="Calibri" w:hAnsi="Calibri" w:cs="Calibri"/>
        </w:rPr>
        <w:t>s</w:t>
      </w:r>
      <w:r>
        <w:rPr>
          <w:rFonts w:ascii="Calibri" w:hAnsi="Calibri" w:cs="Calibri"/>
        </w:rPr>
        <w:t xml:space="preserve"> at the </w:t>
      </w:r>
      <w:r w:rsidRPr="0096327B">
        <w:rPr>
          <w:rFonts w:ascii="Calibri" w:hAnsi="Calibri" w:cs="Calibri"/>
        </w:rPr>
        <w:t>MelroseWakefield Medical Building</w:t>
      </w:r>
      <w:r w:rsidRPr="0096327B">
        <w:rPr>
          <w:rFonts w:ascii="Calibri" w:hAnsi="Calibri" w:cs="Calibri"/>
          <w:vertAlign w:val="superscript"/>
        </w:rPr>
        <w:footnoteReference w:id="130"/>
      </w:r>
      <w:r w:rsidRPr="0096327B">
        <w:rPr>
          <w:rFonts w:ascii="Calibri" w:hAnsi="Calibri" w:cs="Calibri"/>
        </w:rPr>
        <w:t xml:space="preserve"> </w:t>
      </w:r>
      <w:r>
        <w:rPr>
          <w:rFonts w:ascii="Calibri" w:hAnsi="Calibri" w:cs="Calibri"/>
        </w:rPr>
        <w:t>via IDTF clinic-based service, the Applicant aims to ensure</w:t>
      </w:r>
      <w:r w:rsidRPr="00095FA5">
        <w:rPr>
          <w:rFonts w:ascii="Calibri" w:hAnsi="Calibri" w:cs="Calibri"/>
        </w:rPr>
        <w:t xml:space="preserve"> timely access to optimized, low-cost, high-quality imaging services for </w:t>
      </w:r>
      <w:r>
        <w:rPr>
          <w:rFonts w:ascii="Calibri" w:hAnsi="Calibri" w:cs="Calibri"/>
        </w:rPr>
        <w:t>MWH</w:t>
      </w:r>
      <w:r w:rsidRPr="00095FA5">
        <w:rPr>
          <w:rFonts w:ascii="Calibri" w:hAnsi="Calibri" w:cs="Calibri"/>
        </w:rPr>
        <w:t xml:space="preserve"> patients.  Access</w:t>
      </w:r>
      <w:r>
        <w:rPr>
          <w:rFonts w:ascii="Calibri" w:hAnsi="Calibri" w:cs="Calibri"/>
        </w:rPr>
        <w:t xml:space="preserve"> to such PET-CT services for these patients –particularly for patients who are sick or effected by oncological, cardiovascular, and/or neurological issues – allows for better quality health outcomes, as it allows clinicians to have a better understanding of an individual’s condition and provide appropriate comprehensive treatment options in a timely manner. </w:t>
      </w:r>
      <w:r w:rsidRPr="005E541E">
        <w:rPr>
          <w:rFonts w:ascii="Calibri" w:hAnsi="Calibri" w:cs="Calibri"/>
        </w:rPr>
        <w:t>Along with providing better imaging data, PET-CT notably increases patient comfort and convenience by reducing the number of scanning sessions a patient must undergo.</w:t>
      </w:r>
      <w:r>
        <w:rPr>
          <w:rStyle w:val="FootnoteReference"/>
          <w:rFonts w:ascii="Calibri" w:hAnsi="Calibri" w:cs="Calibri"/>
        </w:rPr>
        <w:footnoteReference w:id="131"/>
      </w:r>
    </w:p>
    <w:p w14:paraId="033B388D" w14:textId="77777777" w:rsidR="00755171" w:rsidRDefault="00755171" w:rsidP="00755171">
      <w:pPr>
        <w:autoSpaceDE w:val="0"/>
        <w:autoSpaceDN w:val="0"/>
        <w:adjustRightInd w:val="0"/>
        <w:spacing w:after="0" w:line="240" w:lineRule="auto"/>
        <w:ind w:left="360"/>
        <w:jc w:val="both"/>
        <w:rPr>
          <w:rFonts w:ascii="Calibri" w:hAnsi="Calibri" w:cs="Calibri"/>
        </w:rPr>
      </w:pPr>
    </w:p>
    <w:p w14:paraId="11F518C5" w14:textId="77777777" w:rsidR="00755171" w:rsidRDefault="00755171" w:rsidP="00755171">
      <w:pPr>
        <w:autoSpaceDE w:val="0"/>
        <w:autoSpaceDN w:val="0"/>
        <w:adjustRightInd w:val="0"/>
        <w:spacing w:after="0" w:line="240" w:lineRule="auto"/>
        <w:ind w:left="360"/>
        <w:jc w:val="both"/>
        <w:rPr>
          <w:rFonts w:ascii="Calibri" w:hAnsi="Calibri" w:cs="Calibri"/>
        </w:rPr>
      </w:pPr>
      <w:r>
        <w:rPr>
          <w:rFonts w:ascii="Calibri" w:hAnsi="Calibri" w:cs="Calibri"/>
        </w:rPr>
        <w:t xml:space="preserve">A study evaluating the efficacy of combined PET-CT imaging revealed that </w:t>
      </w:r>
      <w:r w:rsidRPr="004D2037">
        <w:rPr>
          <w:rFonts w:ascii="Calibri" w:hAnsi="Calibri" w:cs="Calibri"/>
        </w:rPr>
        <w:t xml:space="preserve">PET </w:t>
      </w:r>
      <w:r>
        <w:rPr>
          <w:rFonts w:ascii="Calibri" w:hAnsi="Calibri" w:cs="Calibri"/>
        </w:rPr>
        <w:t xml:space="preserve">(on its own) </w:t>
      </w:r>
      <w:r w:rsidRPr="004D2037">
        <w:rPr>
          <w:rFonts w:ascii="Calibri" w:hAnsi="Calibri" w:cs="Calibri"/>
        </w:rPr>
        <w:t>is a quite lengthy procedure, as it requires both emission and transmission scans.</w:t>
      </w:r>
      <w:r>
        <w:rPr>
          <w:rStyle w:val="FootnoteReference"/>
          <w:rFonts w:ascii="Calibri" w:hAnsi="Calibri" w:cs="Calibri"/>
        </w:rPr>
        <w:footnoteReference w:id="132"/>
      </w:r>
      <w:r w:rsidRPr="004D2037">
        <w:rPr>
          <w:rFonts w:ascii="Calibri" w:hAnsi="Calibri" w:cs="Calibri"/>
        </w:rPr>
        <w:t xml:space="preserve">  </w:t>
      </w:r>
      <w:r>
        <w:rPr>
          <w:rFonts w:ascii="Calibri" w:hAnsi="Calibri" w:cs="Calibri"/>
        </w:rPr>
        <w:t>However, the study found that i</w:t>
      </w:r>
      <w:r w:rsidRPr="004D2037">
        <w:rPr>
          <w:rFonts w:ascii="Calibri" w:hAnsi="Calibri" w:cs="Calibri"/>
        </w:rPr>
        <w:t>mage fusion between PET and CT has resulted in an average time savings of 20 to 30 minutes per patient.</w:t>
      </w:r>
      <w:r>
        <w:rPr>
          <w:rStyle w:val="FootnoteReference"/>
          <w:rFonts w:ascii="Calibri" w:hAnsi="Calibri" w:cs="Calibri"/>
        </w:rPr>
        <w:footnoteReference w:id="133"/>
      </w:r>
      <w:r w:rsidRPr="004D2037">
        <w:rPr>
          <w:rFonts w:ascii="Calibri" w:hAnsi="Calibri" w:cs="Calibri"/>
        </w:rPr>
        <w:t xml:space="preserve">  In this case, transmission scans are not required because the CT data are used for attenuation correction.</w:t>
      </w:r>
      <w:r>
        <w:rPr>
          <w:rStyle w:val="FootnoteReference"/>
          <w:rFonts w:ascii="Calibri" w:hAnsi="Calibri" w:cs="Calibri"/>
        </w:rPr>
        <w:footnoteReference w:id="134"/>
      </w:r>
      <w:r w:rsidRPr="004D2037">
        <w:rPr>
          <w:rFonts w:ascii="Calibri" w:hAnsi="Calibri" w:cs="Calibri"/>
        </w:rPr>
        <w:t xml:space="preserve">  It has been estimated that patient output has increased by approximately 40 percent.</w:t>
      </w:r>
      <w:r>
        <w:rPr>
          <w:rStyle w:val="FootnoteReference"/>
          <w:rFonts w:ascii="Calibri" w:hAnsi="Calibri" w:cs="Calibri"/>
        </w:rPr>
        <w:footnoteReference w:id="135"/>
      </w:r>
      <w:r>
        <w:rPr>
          <w:rFonts w:ascii="Calibri" w:hAnsi="Calibri" w:cs="Calibri"/>
        </w:rPr>
        <w:t xml:space="preserve"> Time savings (as demonstrated above) directly correlates to patient satisfaction according to a 2017 Philips Research Report surveying patient responses to recent imaging procedures </w:t>
      </w:r>
      <w:r>
        <w:rPr>
          <w:rFonts w:ascii="Calibri" w:hAnsi="Calibri" w:cs="Calibri"/>
        </w:rPr>
        <w:lastRenderedPageBreak/>
        <w:t>– the report found that 61% of patients reported that an a</w:t>
      </w:r>
      <w:r w:rsidRPr="00A82409">
        <w:rPr>
          <w:rFonts w:ascii="Calibri" w:hAnsi="Calibri" w:cs="Calibri"/>
        </w:rPr>
        <w:t xml:space="preserve">ccurate scan in </w:t>
      </w:r>
      <w:r>
        <w:rPr>
          <w:rFonts w:ascii="Calibri" w:hAnsi="Calibri" w:cs="Calibri"/>
        </w:rPr>
        <w:t xml:space="preserve">the </w:t>
      </w:r>
      <w:r w:rsidRPr="00A82409">
        <w:rPr>
          <w:rFonts w:ascii="Calibri" w:hAnsi="Calibri" w:cs="Calibri"/>
        </w:rPr>
        <w:t>least amount of time to reduce physical discomfort</w:t>
      </w:r>
      <w:r>
        <w:rPr>
          <w:rFonts w:ascii="Calibri" w:hAnsi="Calibri" w:cs="Calibri"/>
        </w:rPr>
        <w:t xml:space="preserve"> was an “extremely important” aspect of the imaging procedure.</w:t>
      </w:r>
      <w:r>
        <w:rPr>
          <w:rStyle w:val="FootnoteReference"/>
          <w:rFonts w:ascii="Calibri" w:hAnsi="Calibri" w:cs="Calibri"/>
        </w:rPr>
        <w:footnoteReference w:id="136"/>
      </w:r>
      <w:r>
        <w:rPr>
          <w:rFonts w:ascii="Calibri" w:hAnsi="Calibri" w:cs="Calibri"/>
        </w:rPr>
        <w:t xml:space="preserve"> </w:t>
      </w:r>
    </w:p>
    <w:p w14:paraId="02C4031B" w14:textId="77777777" w:rsidR="00755171" w:rsidRDefault="00755171" w:rsidP="00755171">
      <w:pPr>
        <w:autoSpaceDE w:val="0"/>
        <w:autoSpaceDN w:val="0"/>
        <w:adjustRightInd w:val="0"/>
        <w:spacing w:after="0" w:line="240" w:lineRule="auto"/>
        <w:ind w:left="360"/>
        <w:jc w:val="both"/>
        <w:rPr>
          <w:rFonts w:ascii="Calibri" w:hAnsi="Calibri" w:cs="Calibri"/>
        </w:rPr>
      </w:pPr>
    </w:p>
    <w:p w14:paraId="34B7DC81" w14:textId="77777777" w:rsidR="00755171" w:rsidRDefault="00755171" w:rsidP="00755171">
      <w:pPr>
        <w:autoSpaceDE w:val="0"/>
        <w:autoSpaceDN w:val="0"/>
        <w:adjustRightInd w:val="0"/>
        <w:spacing w:after="0" w:line="240" w:lineRule="auto"/>
        <w:ind w:left="360"/>
        <w:jc w:val="both"/>
        <w:rPr>
          <w:rFonts w:ascii="Calibri" w:hAnsi="Calibri" w:cs="Calibri"/>
        </w:rPr>
      </w:pPr>
      <w:r>
        <w:rPr>
          <w:rFonts w:ascii="Calibri" w:hAnsi="Calibri" w:cs="Calibri"/>
        </w:rPr>
        <w:t xml:space="preserve">Given that patients will be able to access local PET-CT services in a timely, low-cost, and high-quality manner, patient satisfaction, health outcomes and quality of life will improve. </w:t>
      </w:r>
      <w:r w:rsidRPr="001D0113">
        <w:rPr>
          <w:rFonts w:ascii="Calibri" w:hAnsi="Calibri" w:cs="Calibri"/>
        </w:rPr>
        <w:t>Patient satisfaction is an important indicator used for measuring quality in health care.</w:t>
      </w:r>
      <w:r>
        <w:rPr>
          <w:rStyle w:val="FootnoteReference"/>
          <w:rFonts w:ascii="Calibri" w:hAnsi="Calibri" w:cs="Calibri"/>
        </w:rPr>
        <w:footnoteReference w:id="137"/>
      </w:r>
    </w:p>
    <w:p w14:paraId="0C931577" w14:textId="77777777" w:rsidR="00755171" w:rsidRDefault="00755171" w:rsidP="00755171">
      <w:pPr>
        <w:autoSpaceDE w:val="0"/>
        <w:autoSpaceDN w:val="0"/>
        <w:adjustRightInd w:val="0"/>
        <w:spacing w:after="0" w:line="240" w:lineRule="auto"/>
        <w:ind w:left="360"/>
        <w:jc w:val="both"/>
        <w:rPr>
          <w:rFonts w:ascii="Calibri" w:hAnsi="Calibri" w:cs="Calibri"/>
        </w:rPr>
      </w:pPr>
    </w:p>
    <w:p w14:paraId="01AB1D1F" w14:textId="77777777" w:rsidR="00755171" w:rsidRDefault="00755171" w:rsidP="00755171">
      <w:pPr>
        <w:autoSpaceDE w:val="0"/>
        <w:autoSpaceDN w:val="0"/>
        <w:adjustRightInd w:val="0"/>
        <w:spacing w:after="0" w:line="240" w:lineRule="auto"/>
        <w:ind w:left="360"/>
        <w:jc w:val="both"/>
        <w:rPr>
          <w:rFonts w:ascii="Calibri" w:hAnsi="Calibri" w:cs="Calibri"/>
        </w:rPr>
      </w:pPr>
      <w:r>
        <w:rPr>
          <w:rFonts w:ascii="Calibri" w:hAnsi="Calibri" w:cs="Calibri"/>
        </w:rPr>
        <w:t>Moreover, given that MWH is a part owner of the Applicant, imaging services provided by the Applicant will be fully integrated with MWH’s Health Information System (“HIS”). Studies show that having access to integrated health information systems, including integrated picture archiving and communication systems (“PACS”) information has a direct impact on health outcomes as access to a single medical record for patient’s leads to enhanced care coordination by care teams and improved efficiency with respect to workflows.</w:t>
      </w:r>
      <w:r>
        <w:rPr>
          <w:rStyle w:val="FootnoteReference"/>
          <w:rFonts w:ascii="Calibri" w:hAnsi="Calibri" w:cs="Calibri"/>
        </w:rPr>
        <w:footnoteReference w:id="138"/>
      </w:r>
    </w:p>
    <w:p w14:paraId="1C88EC28" w14:textId="77777777" w:rsidR="00755171" w:rsidRDefault="00755171" w:rsidP="00755171">
      <w:pPr>
        <w:autoSpaceDE w:val="0"/>
        <w:autoSpaceDN w:val="0"/>
        <w:adjustRightInd w:val="0"/>
        <w:spacing w:after="0" w:line="240" w:lineRule="auto"/>
        <w:ind w:left="360"/>
        <w:jc w:val="both"/>
        <w:rPr>
          <w:rFonts w:ascii="Calibri" w:hAnsi="Calibri" w:cs="Calibri"/>
        </w:rPr>
      </w:pPr>
    </w:p>
    <w:p w14:paraId="4BD86F5C" w14:textId="77777777" w:rsidR="00755171" w:rsidRDefault="00755171" w:rsidP="00755171">
      <w:pPr>
        <w:autoSpaceDE w:val="0"/>
        <w:autoSpaceDN w:val="0"/>
        <w:adjustRightInd w:val="0"/>
        <w:spacing w:after="0" w:line="240" w:lineRule="auto"/>
        <w:ind w:left="360"/>
        <w:jc w:val="both"/>
        <w:rPr>
          <w:rFonts w:ascii="Calibri" w:hAnsi="Calibri" w:cs="Calibri"/>
        </w:rPr>
      </w:pPr>
      <w:r w:rsidRPr="00281158">
        <w:rPr>
          <w:rFonts w:ascii="Calibri" w:hAnsi="Calibri" w:cs="Calibri"/>
        </w:rPr>
        <w:t>Poor coordination of care has negative consequences for patients and contributes to higher medical costs.</w:t>
      </w:r>
      <w:r>
        <w:rPr>
          <w:rStyle w:val="FootnoteReference"/>
          <w:rFonts w:ascii="Calibri" w:hAnsi="Calibri" w:cs="Calibri"/>
        </w:rPr>
        <w:footnoteReference w:id="139"/>
      </w:r>
      <w:r w:rsidRPr="00281158">
        <w:rPr>
          <w:rFonts w:ascii="Calibri" w:hAnsi="Calibri" w:cs="Calibri"/>
        </w:rPr>
        <w:t xml:space="preserve"> </w:t>
      </w:r>
      <w:r>
        <w:rPr>
          <w:rFonts w:ascii="Calibri" w:hAnsi="Calibri" w:cs="Calibri"/>
        </w:rPr>
        <w:t>An integrated medical record allows primary care physicians (“PCPs”) and specialists to have access to the same patient information, allowing for real-time care decisions, thereby reducing duplication of services and unnecessary testing. The availability of these integrated record services for MWH’s patients will facilitate quick and easy access to patient images and reports, which will in turn effect timely care, improved outcomes, and better quality of life.</w:t>
      </w:r>
    </w:p>
    <w:p w14:paraId="4934E913" w14:textId="77777777" w:rsidR="00755171" w:rsidRDefault="00755171" w:rsidP="00755171">
      <w:pPr>
        <w:autoSpaceDE w:val="0"/>
        <w:autoSpaceDN w:val="0"/>
        <w:adjustRightInd w:val="0"/>
        <w:spacing w:after="0" w:line="240" w:lineRule="auto"/>
        <w:ind w:left="360"/>
        <w:jc w:val="both"/>
        <w:rPr>
          <w:rFonts w:ascii="Calibri" w:hAnsi="Calibri" w:cs="Calibri"/>
        </w:rPr>
      </w:pPr>
    </w:p>
    <w:p w14:paraId="24CD91B9" w14:textId="77777777" w:rsidR="00755171" w:rsidRDefault="00755171" w:rsidP="00755171">
      <w:pPr>
        <w:pStyle w:val="ListParagraph"/>
        <w:numPr>
          <w:ilvl w:val="0"/>
          <w:numId w:val="5"/>
        </w:numPr>
        <w:rPr>
          <w:b/>
        </w:rPr>
      </w:pPr>
      <w:r w:rsidRPr="00DF02E6">
        <w:rPr>
          <w:b/>
        </w:rPr>
        <w:t xml:space="preserve">Assessing the Impact of the Proposed Project </w:t>
      </w:r>
    </w:p>
    <w:p w14:paraId="7D5C3F38" w14:textId="77777777" w:rsidR="00755171" w:rsidRPr="00336569" w:rsidRDefault="00755171" w:rsidP="00755171">
      <w:pPr>
        <w:ind w:left="360"/>
        <w:jc w:val="both"/>
        <w:rPr>
          <w:bCs/>
        </w:rPr>
      </w:pPr>
      <w:r w:rsidRPr="00336569">
        <w:rPr>
          <w:bCs/>
        </w:rPr>
        <w:t>To assess the impact of the Proposed Project, the Applicant has developed the following quality metrics</w:t>
      </w:r>
      <w:r>
        <w:rPr>
          <w:bCs/>
        </w:rPr>
        <w:t xml:space="preserve"> </w:t>
      </w:r>
      <w:r w:rsidRPr="00336569">
        <w:rPr>
          <w:bCs/>
        </w:rPr>
        <w:t>and reporting schematic, as well projections for quality indicators that will measure patient satisfaction,</w:t>
      </w:r>
      <w:r>
        <w:rPr>
          <w:bCs/>
        </w:rPr>
        <w:t xml:space="preserve"> </w:t>
      </w:r>
      <w:r w:rsidRPr="00336569">
        <w:rPr>
          <w:bCs/>
        </w:rPr>
        <w:t>access</w:t>
      </w:r>
      <w:r>
        <w:rPr>
          <w:bCs/>
        </w:rPr>
        <w:t>,</w:t>
      </w:r>
      <w:r w:rsidRPr="00336569">
        <w:rPr>
          <w:bCs/>
        </w:rPr>
        <w:t xml:space="preserve"> and quality of care.</w:t>
      </w:r>
      <w:r>
        <w:rPr>
          <w:rStyle w:val="FootnoteReference"/>
          <w:bCs/>
        </w:rPr>
        <w:footnoteReference w:id="140"/>
      </w:r>
      <w:r w:rsidRPr="00336569">
        <w:rPr>
          <w:bCs/>
        </w:rPr>
        <w:t xml:space="preserve"> The measures are discussed below:</w:t>
      </w:r>
    </w:p>
    <w:p w14:paraId="56F23F74" w14:textId="77777777" w:rsidR="00755171" w:rsidRPr="00336569" w:rsidRDefault="00755171" w:rsidP="00755171">
      <w:pPr>
        <w:ind w:left="360"/>
        <w:jc w:val="both"/>
        <w:rPr>
          <w:bCs/>
        </w:rPr>
      </w:pPr>
      <w:r w:rsidRPr="00DA4914">
        <w:rPr>
          <w:b/>
        </w:rPr>
        <w:t>1. Patient Satisfaction:</w:t>
      </w:r>
      <w:r w:rsidRPr="00336569">
        <w:rPr>
          <w:bCs/>
        </w:rPr>
        <w:t xml:space="preserve"> Patients that are satisfied with care are more likely to seek additional treatment</w:t>
      </w:r>
      <w:r>
        <w:rPr>
          <w:bCs/>
        </w:rPr>
        <w:t xml:space="preserve"> </w:t>
      </w:r>
      <w:r w:rsidRPr="00336569">
        <w:rPr>
          <w:bCs/>
        </w:rPr>
        <w:t>when necessary. The Applicant will review patient satisfaction levels with the PET-CT imaging service.</w:t>
      </w:r>
    </w:p>
    <w:p w14:paraId="26792593" w14:textId="77777777" w:rsidR="00755171" w:rsidRDefault="00755171" w:rsidP="00755171">
      <w:pPr>
        <w:ind w:left="720"/>
        <w:jc w:val="both"/>
        <w:rPr>
          <w:bCs/>
        </w:rPr>
      </w:pPr>
      <w:r w:rsidRPr="00DA4914">
        <w:rPr>
          <w:b/>
        </w:rPr>
        <w:t>Measure:</w:t>
      </w:r>
      <w:r w:rsidRPr="00336569">
        <w:rPr>
          <w:bCs/>
        </w:rPr>
        <w:t xml:space="preserve"> To ensure a service-excellence approach, patient satisfaction surveys will be</w:t>
      </w:r>
      <w:r>
        <w:rPr>
          <w:bCs/>
        </w:rPr>
        <w:t xml:space="preserve"> </w:t>
      </w:r>
      <w:r w:rsidRPr="00336569">
        <w:rPr>
          <w:bCs/>
        </w:rPr>
        <w:t>distributed to all patients receiving imaging services with specific questions around a)</w:t>
      </w:r>
      <w:r>
        <w:rPr>
          <w:bCs/>
        </w:rPr>
        <w:t xml:space="preserve"> </w:t>
      </w:r>
      <w:r w:rsidRPr="00336569">
        <w:rPr>
          <w:bCs/>
        </w:rPr>
        <w:t>satisfaction levels with pre-appointment communication; and b) satisfaction around the wait</w:t>
      </w:r>
      <w:r>
        <w:rPr>
          <w:bCs/>
        </w:rPr>
        <w:t xml:space="preserve"> </w:t>
      </w:r>
      <w:r w:rsidRPr="00336569">
        <w:rPr>
          <w:bCs/>
        </w:rPr>
        <w:t>time for services.</w:t>
      </w:r>
    </w:p>
    <w:p w14:paraId="10A3497A" w14:textId="77777777" w:rsidR="00755171" w:rsidRDefault="00755171" w:rsidP="00755171">
      <w:pPr>
        <w:autoSpaceDE w:val="0"/>
        <w:autoSpaceDN w:val="0"/>
        <w:adjustRightInd w:val="0"/>
        <w:spacing w:after="0" w:line="240" w:lineRule="auto"/>
        <w:ind w:firstLine="720"/>
        <w:rPr>
          <w:rFonts w:ascii="Calibri" w:hAnsi="Calibri" w:cs="Calibri"/>
        </w:rPr>
      </w:pPr>
      <w:r w:rsidRPr="00DA4914">
        <w:rPr>
          <w:rFonts w:ascii="Calibri-Bold" w:hAnsi="Calibri-Bold" w:cs="Calibri-Bold"/>
          <w:b/>
          <w:bCs/>
        </w:rPr>
        <w:t>Projections:</w:t>
      </w:r>
      <w:r>
        <w:rPr>
          <w:rFonts w:ascii="Calibri-Bold" w:hAnsi="Calibri-Bold" w:cs="Calibri-Bold"/>
          <w:b/>
          <w:bCs/>
        </w:rPr>
        <w:t xml:space="preserve"> </w:t>
      </w:r>
      <w:r>
        <w:rPr>
          <w:rFonts w:ascii="Calibri" w:hAnsi="Calibri" w:cs="Calibri"/>
        </w:rPr>
        <w:t>As the Proposed Project is to establish a new clinic, baseline will be established</w:t>
      </w:r>
    </w:p>
    <w:p w14:paraId="63469553" w14:textId="77777777" w:rsidR="00755171" w:rsidRDefault="00755171" w:rsidP="00755171">
      <w:pPr>
        <w:autoSpaceDE w:val="0"/>
        <w:autoSpaceDN w:val="0"/>
        <w:adjustRightInd w:val="0"/>
        <w:spacing w:after="0" w:line="240" w:lineRule="auto"/>
        <w:ind w:firstLine="720"/>
        <w:rPr>
          <w:rFonts w:ascii="Calibri" w:hAnsi="Calibri" w:cs="Calibri"/>
        </w:rPr>
      </w:pPr>
      <w:r>
        <w:rPr>
          <w:rFonts w:ascii="Calibri" w:hAnsi="Calibri" w:cs="Calibri"/>
        </w:rPr>
        <w:t>following one full year of operation.</w:t>
      </w:r>
    </w:p>
    <w:p w14:paraId="25DB8059" w14:textId="77777777" w:rsidR="00755171" w:rsidRDefault="00755171" w:rsidP="00755171">
      <w:pPr>
        <w:autoSpaceDE w:val="0"/>
        <w:autoSpaceDN w:val="0"/>
        <w:adjustRightInd w:val="0"/>
        <w:spacing w:after="0" w:line="240" w:lineRule="auto"/>
        <w:ind w:firstLine="720"/>
        <w:rPr>
          <w:rFonts w:ascii="Calibri" w:hAnsi="Calibri" w:cs="Calibri"/>
        </w:rPr>
      </w:pPr>
    </w:p>
    <w:p w14:paraId="70D79F16" w14:textId="77777777" w:rsidR="00755171" w:rsidRDefault="00755171" w:rsidP="00755171">
      <w:pPr>
        <w:autoSpaceDE w:val="0"/>
        <w:autoSpaceDN w:val="0"/>
        <w:adjustRightInd w:val="0"/>
        <w:spacing w:after="0" w:line="240" w:lineRule="auto"/>
        <w:ind w:firstLine="720"/>
        <w:rPr>
          <w:rFonts w:ascii="Calibri" w:hAnsi="Calibri" w:cs="Calibri"/>
        </w:rPr>
      </w:pPr>
      <w:r>
        <w:rPr>
          <w:rFonts w:ascii="Calibri-Bold" w:hAnsi="Calibri-Bold" w:cs="Calibri-Bold"/>
          <w:b/>
          <w:bCs/>
        </w:rPr>
        <w:lastRenderedPageBreak/>
        <w:t xml:space="preserve">Monitoring: </w:t>
      </w:r>
      <w:r>
        <w:rPr>
          <w:rFonts w:ascii="Calibri" w:hAnsi="Calibri" w:cs="Calibri"/>
        </w:rPr>
        <w:t>Any category receiving a less than exceptional rating (satisfactory level) will be</w:t>
      </w:r>
    </w:p>
    <w:p w14:paraId="1AFEF725" w14:textId="77777777" w:rsidR="00755171" w:rsidRDefault="00755171" w:rsidP="00755171">
      <w:pPr>
        <w:autoSpaceDE w:val="0"/>
        <w:autoSpaceDN w:val="0"/>
        <w:adjustRightInd w:val="0"/>
        <w:spacing w:after="0" w:line="240" w:lineRule="auto"/>
        <w:ind w:firstLine="720"/>
        <w:rPr>
          <w:rFonts w:ascii="Calibri" w:hAnsi="Calibri" w:cs="Calibri"/>
        </w:rPr>
      </w:pPr>
      <w:r>
        <w:rPr>
          <w:rFonts w:ascii="Calibri" w:hAnsi="Calibri" w:cs="Calibri"/>
        </w:rPr>
        <w:t>evaluated quarterly and policy changes shall be instituted.</w:t>
      </w:r>
    </w:p>
    <w:p w14:paraId="425C0C80" w14:textId="77777777" w:rsidR="00755171" w:rsidRDefault="00755171" w:rsidP="00755171">
      <w:pPr>
        <w:autoSpaceDE w:val="0"/>
        <w:autoSpaceDN w:val="0"/>
        <w:adjustRightInd w:val="0"/>
        <w:spacing w:after="0" w:line="240" w:lineRule="auto"/>
        <w:ind w:firstLine="720"/>
        <w:rPr>
          <w:rFonts w:ascii="Calibri" w:hAnsi="Calibri" w:cs="Calibri"/>
        </w:rPr>
      </w:pPr>
    </w:p>
    <w:p w14:paraId="60585DF8" w14:textId="77777777" w:rsidR="00755171" w:rsidRPr="00206ED4" w:rsidRDefault="00755171" w:rsidP="00755171">
      <w:pPr>
        <w:ind w:left="360"/>
        <w:jc w:val="both"/>
        <w:rPr>
          <w:bCs/>
        </w:rPr>
      </w:pPr>
      <w:r w:rsidRPr="00DA4914">
        <w:rPr>
          <w:b/>
        </w:rPr>
        <w:t>2. Quality of Care</w:t>
      </w:r>
      <w:r>
        <w:rPr>
          <w:b/>
        </w:rPr>
        <w:t xml:space="preserve"> –</w:t>
      </w:r>
      <w:r w:rsidRPr="00206ED4">
        <w:rPr>
          <w:bCs/>
        </w:rPr>
        <w:t xml:space="preserve"> </w:t>
      </w:r>
      <w:r w:rsidRPr="00EA592C">
        <w:rPr>
          <w:b/>
        </w:rPr>
        <w:t>Critical</w:t>
      </w:r>
      <w:r>
        <w:rPr>
          <w:b/>
        </w:rPr>
        <w:t xml:space="preserve"> </w:t>
      </w:r>
      <w:r w:rsidRPr="00EA592C">
        <w:rPr>
          <w:b/>
        </w:rPr>
        <w:t>Value Reporting:</w:t>
      </w:r>
      <w:r w:rsidRPr="00206ED4">
        <w:rPr>
          <w:bCs/>
        </w:rPr>
        <w:t xml:space="preserve"> When critical values or abnormal test results are registered</w:t>
      </w:r>
      <w:r>
        <w:rPr>
          <w:bCs/>
        </w:rPr>
        <w:t xml:space="preserve"> </w:t>
      </w:r>
      <w:r w:rsidRPr="00206ED4">
        <w:rPr>
          <w:bCs/>
        </w:rPr>
        <w:t>within an electronic medical record for a patient, the referring physician is notified via electronic</w:t>
      </w:r>
      <w:r>
        <w:rPr>
          <w:bCs/>
        </w:rPr>
        <w:t xml:space="preserve"> </w:t>
      </w:r>
      <w:r w:rsidRPr="00206ED4">
        <w:rPr>
          <w:bCs/>
        </w:rPr>
        <w:t>communication. A benefit of having an integrated electronic medical record and PACS system is the</w:t>
      </w:r>
      <w:r>
        <w:rPr>
          <w:bCs/>
        </w:rPr>
        <w:t xml:space="preserve"> </w:t>
      </w:r>
      <w:r w:rsidRPr="00206ED4">
        <w:rPr>
          <w:bCs/>
        </w:rPr>
        <w:t>ability to send these messages to a referring physician, so that clinical decisions may be expedited.</w:t>
      </w:r>
    </w:p>
    <w:p w14:paraId="3919DA45" w14:textId="77777777" w:rsidR="00755171" w:rsidRPr="00DA4914" w:rsidRDefault="00755171" w:rsidP="00755171">
      <w:pPr>
        <w:ind w:left="720"/>
        <w:jc w:val="both"/>
        <w:rPr>
          <w:bCs/>
        </w:rPr>
      </w:pPr>
      <w:r w:rsidRPr="00DA4914">
        <w:rPr>
          <w:b/>
        </w:rPr>
        <w:t>Measure:</w:t>
      </w:r>
      <w:r w:rsidRPr="00DA4914">
        <w:rPr>
          <w:bCs/>
        </w:rPr>
        <w:t xml:space="preserve"> Number of contracted radiologists conducting critical value reporting on cases being</w:t>
      </w:r>
      <w:r>
        <w:rPr>
          <w:bCs/>
        </w:rPr>
        <w:t xml:space="preserve"> </w:t>
      </w:r>
      <w:r w:rsidRPr="00DA4914">
        <w:rPr>
          <w:bCs/>
        </w:rPr>
        <w:t>interpreted.</w:t>
      </w:r>
    </w:p>
    <w:p w14:paraId="2FD7677A" w14:textId="77777777" w:rsidR="00755171" w:rsidRPr="00DA4914" w:rsidRDefault="00755171" w:rsidP="00755171">
      <w:pPr>
        <w:ind w:left="720"/>
        <w:jc w:val="both"/>
        <w:rPr>
          <w:bCs/>
        </w:rPr>
      </w:pPr>
      <w:r w:rsidRPr="00DA4914">
        <w:rPr>
          <w:b/>
        </w:rPr>
        <w:t>Projections:</w:t>
      </w:r>
      <w:r w:rsidRPr="00DA4914">
        <w:rPr>
          <w:bCs/>
        </w:rPr>
        <w:t xml:space="preserve"> Baseline: 100% Year 1: 100% Year 2: 100% Year 3: 100%</w:t>
      </w:r>
    </w:p>
    <w:p w14:paraId="75A98810" w14:textId="77777777" w:rsidR="00755171" w:rsidRPr="00DA4914" w:rsidRDefault="00755171" w:rsidP="00755171">
      <w:pPr>
        <w:ind w:left="720"/>
        <w:jc w:val="both"/>
      </w:pPr>
      <w:r w:rsidRPr="3C6FBAD8">
        <w:rPr>
          <w:b/>
          <w:bCs/>
        </w:rPr>
        <w:t>Monitoring:</w:t>
      </w:r>
      <w:r>
        <w:t xml:space="preserve"> PET-CT scans will be forwarded to the medical records department and follow-up will be conducted to the referring physician. The radiologist will be available to answer any questions.</w:t>
      </w:r>
    </w:p>
    <w:p w14:paraId="03D5B85D" w14:textId="77777777" w:rsidR="00755171" w:rsidRPr="00DA4914" w:rsidRDefault="00755171" w:rsidP="00755171">
      <w:pPr>
        <w:ind w:left="360"/>
        <w:jc w:val="both"/>
        <w:rPr>
          <w:bCs/>
        </w:rPr>
      </w:pPr>
      <w:r w:rsidRPr="00DA4914">
        <w:rPr>
          <w:b/>
        </w:rPr>
        <w:t>3. Quality of Care</w:t>
      </w:r>
      <w:r>
        <w:rPr>
          <w:b/>
        </w:rPr>
        <w:t xml:space="preserve"> – </w:t>
      </w:r>
      <w:r w:rsidRPr="00EA592C">
        <w:rPr>
          <w:b/>
        </w:rPr>
        <w:t>Quality of PET-CT scan:</w:t>
      </w:r>
      <w:r w:rsidRPr="00DA4914">
        <w:rPr>
          <w:bCs/>
        </w:rPr>
        <w:t xml:space="preserve"> The quality of a PET-CT scan is imperative to its</w:t>
      </w:r>
      <w:r>
        <w:rPr>
          <w:bCs/>
        </w:rPr>
        <w:t xml:space="preserve"> </w:t>
      </w:r>
      <w:r w:rsidRPr="00DA4914">
        <w:rPr>
          <w:bCs/>
        </w:rPr>
        <w:t>interpretation. Accordingly, the Applicant will evaluate the number of scans that need to be repeated</w:t>
      </w:r>
      <w:r>
        <w:rPr>
          <w:bCs/>
        </w:rPr>
        <w:t xml:space="preserve"> </w:t>
      </w:r>
      <w:r w:rsidRPr="00DA4914">
        <w:rPr>
          <w:bCs/>
        </w:rPr>
        <w:t xml:space="preserve">over the course of a week to </w:t>
      </w:r>
      <w:r w:rsidRPr="004E5CE4">
        <w:rPr>
          <w:bCs/>
        </w:rPr>
        <w:t>ensure radiology technicians are performing appropriate scans. Given that the PET-CT equipment will only be available one-day per week, the next opportunity for a scan would be seven days later.</w:t>
      </w:r>
    </w:p>
    <w:p w14:paraId="390E86A7" w14:textId="77777777" w:rsidR="00755171" w:rsidRPr="00DA4914" w:rsidRDefault="00755171" w:rsidP="00755171">
      <w:pPr>
        <w:ind w:left="720"/>
        <w:jc w:val="both"/>
        <w:rPr>
          <w:bCs/>
        </w:rPr>
      </w:pPr>
      <w:r w:rsidRPr="00DA4914">
        <w:rPr>
          <w:b/>
        </w:rPr>
        <w:t xml:space="preserve">Measure: </w:t>
      </w:r>
      <w:r w:rsidRPr="00DA4914">
        <w:rPr>
          <w:bCs/>
        </w:rPr>
        <w:t>The number of repeat PET-CT scans performed on patients within a seven-day period</w:t>
      </w:r>
      <w:r>
        <w:rPr>
          <w:bCs/>
        </w:rPr>
        <w:t xml:space="preserve"> </w:t>
      </w:r>
      <w:r w:rsidRPr="00DA4914">
        <w:rPr>
          <w:bCs/>
        </w:rPr>
        <w:t>(day of scan to next day of scan)</w:t>
      </w:r>
    </w:p>
    <w:p w14:paraId="7D50775A" w14:textId="73279A03" w:rsidR="00755171" w:rsidRPr="00286ED3" w:rsidRDefault="00755171" w:rsidP="00286ED3">
      <w:pPr>
        <w:ind w:left="720"/>
        <w:jc w:val="both"/>
      </w:pPr>
      <w:r w:rsidRPr="00DA4914">
        <w:rPr>
          <w:b/>
        </w:rPr>
        <w:t xml:space="preserve">Projections: </w:t>
      </w:r>
      <w:r w:rsidR="00286ED3">
        <w:t>Baseline: 1.5% Year 1: 1% Year 2: 1% Year 3: .08%</w:t>
      </w:r>
    </w:p>
    <w:p w14:paraId="12FFAADD" w14:textId="77777777" w:rsidR="00755171" w:rsidRPr="00DA4914" w:rsidRDefault="00755171" w:rsidP="00755171">
      <w:pPr>
        <w:ind w:left="720"/>
        <w:jc w:val="both"/>
        <w:rPr>
          <w:bCs/>
        </w:rPr>
      </w:pPr>
      <w:r w:rsidRPr="00DA4914">
        <w:rPr>
          <w:b/>
        </w:rPr>
        <w:t xml:space="preserve">Monitoring: </w:t>
      </w:r>
      <w:r w:rsidRPr="00DA4914">
        <w:rPr>
          <w:bCs/>
        </w:rPr>
        <w:t>PET-CT technologists will track the number of scans that are repeated and</w:t>
      </w:r>
      <w:r>
        <w:rPr>
          <w:bCs/>
        </w:rPr>
        <w:t xml:space="preserve"> </w:t>
      </w:r>
      <w:r w:rsidRPr="00DA4914">
        <w:rPr>
          <w:bCs/>
        </w:rPr>
        <w:t>scheduled for the next scan day. Technologists will document each case and conduct a monthly</w:t>
      </w:r>
      <w:r>
        <w:rPr>
          <w:bCs/>
        </w:rPr>
        <w:t xml:space="preserve"> </w:t>
      </w:r>
      <w:r w:rsidRPr="00DA4914">
        <w:rPr>
          <w:bCs/>
        </w:rPr>
        <w:t>comparison to total volume to meet or exceed the metric.</w:t>
      </w:r>
    </w:p>
    <w:p w14:paraId="754A9ACD" w14:textId="77777777" w:rsidR="00755171" w:rsidRDefault="00755171" w:rsidP="00755171">
      <w:pPr>
        <w:autoSpaceDE w:val="0"/>
        <w:autoSpaceDN w:val="0"/>
        <w:adjustRightInd w:val="0"/>
        <w:spacing w:after="0" w:line="240" w:lineRule="auto"/>
        <w:jc w:val="both"/>
        <w:rPr>
          <w:bCs/>
        </w:rPr>
      </w:pPr>
      <w:r w:rsidRPr="00DA4914">
        <w:rPr>
          <w:b/>
        </w:rPr>
        <w:t xml:space="preserve">4. Quality of Care – Peer Review Over Read Correlation: </w:t>
      </w:r>
      <w:r w:rsidRPr="00DA4914">
        <w:rPr>
          <w:bCs/>
        </w:rPr>
        <w:t>To evaluate the accuracy of scan</w:t>
      </w:r>
      <w:r>
        <w:rPr>
          <w:bCs/>
        </w:rPr>
        <w:t xml:space="preserve"> </w:t>
      </w:r>
      <w:r w:rsidRPr="00DA4914">
        <w:rPr>
          <w:bCs/>
        </w:rPr>
        <w:t>interpretations, the Applicant will conduct peer review readings to ensure quality outcomes for patients.</w:t>
      </w:r>
    </w:p>
    <w:p w14:paraId="4A21A55B" w14:textId="77777777" w:rsidR="00755171" w:rsidRPr="00DA4914" w:rsidRDefault="00755171" w:rsidP="00755171">
      <w:pPr>
        <w:autoSpaceDE w:val="0"/>
        <w:autoSpaceDN w:val="0"/>
        <w:adjustRightInd w:val="0"/>
        <w:spacing w:after="0" w:line="240" w:lineRule="auto"/>
        <w:jc w:val="both"/>
        <w:rPr>
          <w:bCs/>
        </w:rPr>
      </w:pPr>
    </w:p>
    <w:p w14:paraId="07D169B5" w14:textId="77777777" w:rsidR="00755171" w:rsidRPr="00DA4914" w:rsidRDefault="00755171" w:rsidP="00755171">
      <w:pPr>
        <w:ind w:left="720"/>
        <w:jc w:val="both"/>
        <w:rPr>
          <w:bCs/>
        </w:rPr>
      </w:pPr>
      <w:r w:rsidRPr="00DA4914">
        <w:rPr>
          <w:b/>
        </w:rPr>
        <w:t xml:space="preserve">Measure: </w:t>
      </w:r>
      <w:r w:rsidRPr="00DA4914">
        <w:rPr>
          <w:bCs/>
        </w:rPr>
        <w:t>The Applicant will have contracted radiologists conduct peer review readings on a</w:t>
      </w:r>
      <w:r>
        <w:rPr>
          <w:bCs/>
        </w:rPr>
        <w:t xml:space="preserve"> </w:t>
      </w:r>
      <w:r w:rsidRPr="00DA4914">
        <w:rPr>
          <w:bCs/>
        </w:rPr>
        <w:t>random basis (1 case per scan day) based on the American College of Radiology (“ACR”) Peer to</w:t>
      </w:r>
      <w:r>
        <w:rPr>
          <w:bCs/>
        </w:rPr>
        <w:t xml:space="preserve"> </w:t>
      </w:r>
      <w:r w:rsidRPr="00DA4914">
        <w:rPr>
          <w:bCs/>
        </w:rPr>
        <w:t>Peer criteria and will follow-up on all discrepancies with the original reading radiologist.</w:t>
      </w:r>
    </w:p>
    <w:p w14:paraId="07D0E979" w14:textId="77777777" w:rsidR="00755171" w:rsidRDefault="00755171" w:rsidP="00755171">
      <w:pPr>
        <w:ind w:left="720"/>
        <w:jc w:val="both"/>
        <w:rPr>
          <w:bCs/>
        </w:rPr>
      </w:pPr>
      <w:r w:rsidRPr="00DA4914">
        <w:rPr>
          <w:b/>
        </w:rPr>
        <w:t xml:space="preserve">Projections: </w:t>
      </w:r>
      <w:r w:rsidRPr="00DA4914">
        <w:rPr>
          <w:bCs/>
        </w:rPr>
        <w:t>Baseline: 95% Year 1: 96% Year 2: 97% Year 3: 100%</w:t>
      </w:r>
    </w:p>
    <w:p w14:paraId="74997A94" w14:textId="77777777" w:rsidR="00755171" w:rsidRDefault="00755171" w:rsidP="00755171">
      <w:pPr>
        <w:ind w:left="720"/>
        <w:jc w:val="both"/>
        <w:rPr>
          <w:bCs/>
        </w:rPr>
      </w:pPr>
      <w:r w:rsidRPr="003E77DC">
        <w:rPr>
          <w:b/>
          <w:bCs/>
        </w:rPr>
        <w:t xml:space="preserve">Monitoring: </w:t>
      </w:r>
      <w:r w:rsidRPr="003E77DC">
        <w:rPr>
          <w:bCs/>
        </w:rPr>
        <w:t>A random selection of cases based on ACR Peer to Peer criteria will be reviewed.</w:t>
      </w:r>
      <w:r>
        <w:rPr>
          <w:bCs/>
        </w:rPr>
        <w:t xml:space="preserve"> </w:t>
      </w:r>
      <w:r w:rsidRPr="003E77DC">
        <w:rPr>
          <w:bCs/>
        </w:rPr>
        <w:t>Radiologists will evaluate scans documenting any inconsistencies and discuss outstanding issues</w:t>
      </w:r>
      <w:r>
        <w:rPr>
          <w:bCs/>
        </w:rPr>
        <w:t xml:space="preserve"> </w:t>
      </w:r>
      <w:r w:rsidRPr="003E77DC">
        <w:rPr>
          <w:bCs/>
        </w:rPr>
        <w:t>with the original reading radiologist.</w:t>
      </w:r>
    </w:p>
    <w:p w14:paraId="3F0085BD" w14:textId="77777777" w:rsidR="00755171" w:rsidRPr="00F169B4" w:rsidRDefault="00755171" w:rsidP="00755171">
      <w:pPr>
        <w:autoSpaceDE w:val="0"/>
        <w:autoSpaceDN w:val="0"/>
        <w:adjustRightInd w:val="0"/>
        <w:spacing w:after="0" w:line="240" w:lineRule="auto"/>
        <w:jc w:val="both"/>
        <w:rPr>
          <w:bCs/>
        </w:rPr>
      </w:pPr>
      <w:r w:rsidRPr="00F169B4">
        <w:rPr>
          <w:b/>
        </w:rPr>
        <w:t>5. Provider Satisfaction</w:t>
      </w:r>
      <w:r>
        <w:rPr>
          <w:b/>
        </w:rPr>
        <w:t xml:space="preserve"> – </w:t>
      </w:r>
      <w:r w:rsidRPr="00F169B4">
        <w:rPr>
          <w:b/>
        </w:rPr>
        <w:t>Value</w:t>
      </w:r>
      <w:r w:rsidRPr="00EA592C">
        <w:rPr>
          <w:b/>
        </w:rPr>
        <w:t xml:space="preserve"> </w:t>
      </w:r>
      <w:r w:rsidRPr="00F169B4">
        <w:rPr>
          <w:b/>
        </w:rPr>
        <w:t>Assessment:</w:t>
      </w:r>
      <w:r w:rsidRPr="00F169B4">
        <w:rPr>
          <w:bCs/>
        </w:rPr>
        <w:t xml:space="preserve"> Ensuring provider satisfaction with PET-CT scans and their</w:t>
      </w:r>
      <w:r>
        <w:rPr>
          <w:bCs/>
        </w:rPr>
        <w:t xml:space="preserve"> </w:t>
      </w:r>
      <w:r w:rsidRPr="00F169B4">
        <w:rPr>
          <w:bCs/>
        </w:rPr>
        <w:t>overall value when treating patients is necessary to access the impact on care for patients. The Applicant</w:t>
      </w:r>
      <w:r>
        <w:rPr>
          <w:bCs/>
        </w:rPr>
        <w:t xml:space="preserve"> </w:t>
      </w:r>
      <w:r w:rsidRPr="00F169B4">
        <w:rPr>
          <w:bCs/>
        </w:rPr>
        <w:t>will survey referring physicians to validate scan utility.</w:t>
      </w:r>
    </w:p>
    <w:p w14:paraId="121774D0" w14:textId="77777777" w:rsidR="00755171" w:rsidRDefault="00755171" w:rsidP="00755171">
      <w:pPr>
        <w:autoSpaceDE w:val="0"/>
        <w:autoSpaceDN w:val="0"/>
        <w:adjustRightInd w:val="0"/>
        <w:spacing w:after="0" w:line="240" w:lineRule="auto"/>
        <w:jc w:val="both"/>
        <w:rPr>
          <w:b/>
        </w:rPr>
      </w:pPr>
    </w:p>
    <w:p w14:paraId="28E8F82D" w14:textId="77777777" w:rsidR="00755171" w:rsidRPr="00F169B4" w:rsidRDefault="00755171" w:rsidP="00755171">
      <w:pPr>
        <w:ind w:left="720"/>
        <w:jc w:val="both"/>
        <w:rPr>
          <w:bCs/>
        </w:rPr>
      </w:pPr>
      <w:r w:rsidRPr="00F169B4">
        <w:rPr>
          <w:b/>
        </w:rPr>
        <w:t xml:space="preserve">Measure: </w:t>
      </w:r>
      <w:r w:rsidRPr="00F169B4">
        <w:rPr>
          <w:bCs/>
        </w:rPr>
        <w:t>Confirmation with referral physician about the utility of PET-CT scans.</w:t>
      </w:r>
    </w:p>
    <w:p w14:paraId="0C859B0F" w14:textId="77777777" w:rsidR="00755171" w:rsidRPr="00F169B4" w:rsidRDefault="00755171" w:rsidP="00755171">
      <w:pPr>
        <w:ind w:left="720"/>
        <w:jc w:val="both"/>
        <w:rPr>
          <w:bCs/>
        </w:rPr>
      </w:pPr>
      <w:r w:rsidRPr="00F169B4">
        <w:rPr>
          <w:b/>
        </w:rPr>
        <w:lastRenderedPageBreak/>
        <w:t xml:space="preserve">Projections: </w:t>
      </w:r>
      <w:r w:rsidRPr="00F169B4">
        <w:rPr>
          <w:bCs/>
        </w:rPr>
        <w:t>Baseline: 95% Year 1: 96% Year 2: 97% Year 3: 100%</w:t>
      </w:r>
    </w:p>
    <w:p w14:paraId="7C9A5793" w14:textId="2C61A0AB" w:rsidR="00755171" w:rsidRDefault="00755171" w:rsidP="00755171">
      <w:pPr>
        <w:ind w:left="720"/>
        <w:jc w:val="both"/>
        <w:rPr>
          <w:bCs/>
        </w:rPr>
      </w:pPr>
      <w:r w:rsidRPr="00F169B4">
        <w:rPr>
          <w:b/>
        </w:rPr>
        <w:t xml:space="preserve">Monitoring: </w:t>
      </w:r>
      <w:r w:rsidRPr="00F169B4">
        <w:rPr>
          <w:bCs/>
        </w:rPr>
        <w:t>PET-CT referral physician population will be queried to validate scan utility via</w:t>
      </w:r>
      <w:r>
        <w:rPr>
          <w:bCs/>
        </w:rPr>
        <w:t xml:space="preserve"> </w:t>
      </w:r>
      <w:r w:rsidRPr="00F169B4">
        <w:rPr>
          <w:bCs/>
        </w:rPr>
        <w:t>surveys.</w:t>
      </w:r>
    </w:p>
    <w:p w14:paraId="2F6C4E35" w14:textId="11009B80" w:rsidR="00B30E0E" w:rsidRDefault="00B30E0E" w:rsidP="00B30E0E">
      <w:pPr>
        <w:jc w:val="both"/>
        <w:rPr>
          <w:bCs/>
        </w:rPr>
      </w:pPr>
    </w:p>
    <w:p w14:paraId="0EB64B8C" w14:textId="77777777" w:rsidR="00EF69DA" w:rsidRPr="00015BD5" w:rsidRDefault="00EF69DA" w:rsidP="00EF69DA">
      <w:pPr>
        <w:rPr>
          <w:b/>
          <w:bCs/>
        </w:rPr>
      </w:pPr>
      <w:r w:rsidRPr="00015BD5">
        <w:rPr>
          <w:b/>
          <w:bCs/>
        </w:rPr>
        <w:t>F1.b.iii</w:t>
      </w:r>
      <w:r w:rsidRPr="00015BD5">
        <w:rPr>
          <w:b/>
          <w:bCs/>
        </w:rPr>
        <w:tab/>
      </w:r>
      <w:r w:rsidRPr="00015BD5">
        <w:rPr>
          <w:b/>
          <w:bCs/>
          <w:u w:val="single"/>
        </w:rPr>
        <w:t>Public Health Value /Health Equity-Focused</w:t>
      </w:r>
      <w:r>
        <w:rPr>
          <w:b/>
          <w:bCs/>
        </w:rPr>
        <w:t>:</w:t>
      </w:r>
    </w:p>
    <w:p w14:paraId="027CFC8D" w14:textId="77777777" w:rsidR="00EF69DA" w:rsidRDefault="00EF69DA" w:rsidP="00EF69DA">
      <w:pPr>
        <w:rPr>
          <w:b/>
          <w:bCs/>
        </w:rPr>
      </w:pPr>
      <w:r w:rsidRPr="00015BD5">
        <w:rPr>
          <w:b/>
          <w:bCs/>
        </w:rPr>
        <w:t>For Proposed Projects addressing health inequities identified within the Applicant's description of the Proposed Project's need-base, please justify how the Proposed Project will reduce the health inequity, including the operational components (e.g., culturally competent staffing). For Proposed Projects not specifically addressing a health disparity or inequity, please provide information about specific actions the Applicant is and will take to ensure equal access to the health benefits created by the Proposed Project and how these actions will promote health equity.</w:t>
      </w:r>
    </w:p>
    <w:p w14:paraId="0FF153AA" w14:textId="77777777" w:rsidR="00EF69DA" w:rsidRDefault="00EF69DA" w:rsidP="00EF69DA">
      <w:pPr>
        <w:autoSpaceDE w:val="0"/>
        <w:autoSpaceDN w:val="0"/>
        <w:adjustRightInd w:val="0"/>
        <w:spacing w:after="0" w:line="240" w:lineRule="auto"/>
        <w:jc w:val="both"/>
        <w:rPr>
          <w:rFonts w:ascii="Calibri" w:hAnsi="Calibri" w:cs="Calibri"/>
        </w:rPr>
      </w:pPr>
      <w:r>
        <w:rPr>
          <w:rFonts w:ascii="Calibri" w:hAnsi="Calibri" w:cs="Calibri"/>
        </w:rPr>
        <w:t>To ensure health equity to all populations, including those deemed underserved, the Proposed Project will not adversely affect accessibility of MWH's services for poor, medically indigent, and/or Medicaid eligible individuals. The Applicant will not discriminate based on ability to pay or payer source following implementation of the Proposed Project. As further detailed throughout this narrative, the Proposed Project will provide access to high-quality PET-CT services for all patients by offering a low-cost alternative in the community setting where patients are already seeking care.</w:t>
      </w:r>
    </w:p>
    <w:p w14:paraId="38235B34" w14:textId="77777777" w:rsidR="00EF69DA" w:rsidRDefault="00EF69DA" w:rsidP="00EF69DA">
      <w:pPr>
        <w:autoSpaceDE w:val="0"/>
        <w:autoSpaceDN w:val="0"/>
        <w:adjustRightInd w:val="0"/>
        <w:spacing w:after="0" w:line="240" w:lineRule="auto"/>
        <w:jc w:val="both"/>
        <w:rPr>
          <w:rFonts w:ascii="Calibri" w:hAnsi="Calibri" w:cs="Calibri"/>
        </w:rPr>
      </w:pPr>
    </w:p>
    <w:p w14:paraId="3F6EBE72" w14:textId="77777777" w:rsidR="00EF69DA" w:rsidRPr="00C91E06" w:rsidRDefault="00EF69DA" w:rsidP="00EF69DA">
      <w:pPr>
        <w:autoSpaceDE w:val="0"/>
        <w:autoSpaceDN w:val="0"/>
        <w:adjustRightInd w:val="0"/>
        <w:spacing w:after="0" w:line="240" w:lineRule="auto"/>
        <w:jc w:val="both"/>
        <w:rPr>
          <w:rFonts w:ascii="Calibri" w:hAnsi="Calibri" w:cs="Calibri"/>
          <w:color w:val="FFC000"/>
        </w:rPr>
      </w:pPr>
      <w:r w:rsidRPr="00654BE7">
        <w:rPr>
          <w:rFonts w:ascii="Calibri" w:hAnsi="Calibri" w:cs="Calibri"/>
        </w:rPr>
        <w:t>The Applicant ascribes importance to the notion that health equity is tied to</w:t>
      </w:r>
      <w:r>
        <w:rPr>
          <w:rFonts w:ascii="Calibri" w:hAnsi="Calibri" w:cs="Calibri"/>
        </w:rPr>
        <w:t xml:space="preserve"> the</w:t>
      </w:r>
      <w:r>
        <w:rPr>
          <w:rFonts w:ascii="Calibri" w:hAnsi="Calibri" w:cs="Calibri"/>
        </w:rPr>
        <w:tab/>
      </w:r>
      <w:r w:rsidRPr="00654BE7">
        <w:rPr>
          <w:rFonts w:ascii="Calibri" w:hAnsi="Calibri" w:cs="Calibri"/>
        </w:rPr>
        <w:t xml:space="preserve"> affordability</w:t>
      </w:r>
      <w:r>
        <w:rPr>
          <w:rFonts w:ascii="Calibri" w:hAnsi="Calibri" w:cs="Calibri"/>
        </w:rPr>
        <w:t xml:space="preserve"> </w:t>
      </w:r>
      <w:r w:rsidRPr="00654BE7">
        <w:rPr>
          <w:rFonts w:ascii="Calibri" w:hAnsi="Calibri" w:cs="Calibri"/>
        </w:rPr>
        <w:t>of the health care service being provided. A Kaiser Family Foundation survey</w:t>
      </w:r>
      <w:r>
        <w:rPr>
          <w:rStyle w:val="FootnoteReference"/>
          <w:rFonts w:ascii="Calibri" w:hAnsi="Calibri" w:cs="Calibri"/>
        </w:rPr>
        <w:footnoteReference w:id="141"/>
      </w:r>
      <w:r w:rsidRPr="00654BE7">
        <w:rPr>
          <w:rFonts w:ascii="Calibri" w:hAnsi="Calibri" w:cs="Calibri"/>
        </w:rPr>
        <w:t xml:space="preserve"> found that half of U.S. adults say they or a family member put off or skipped health care or dental care or relied on an alternative treatment because of the cost. As a result, about one in eight said their medical condition got worse as a result. Health care costs </w:t>
      </w:r>
      <w:r w:rsidRPr="001C0DAA">
        <w:rPr>
          <w:rFonts w:ascii="Calibri" w:hAnsi="Calibri" w:cs="Calibri"/>
        </w:rPr>
        <w:t>top the list of expenses that people report difficulty affording.</w:t>
      </w:r>
      <w:r w:rsidRPr="001C0DAA">
        <w:rPr>
          <w:rStyle w:val="FootnoteReference"/>
          <w:rFonts w:ascii="Calibri" w:hAnsi="Calibri" w:cs="Calibri"/>
        </w:rPr>
        <w:footnoteReference w:id="142"/>
      </w:r>
      <w:r w:rsidRPr="001C0DAA">
        <w:rPr>
          <w:rFonts w:ascii="Calibri" w:hAnsi="Calibri" w:cs="Calibri"/>
        </w:rPr>
        <w:t xml:space="preserve">  </w:t>
      </w:r>
      <w:r>
        <w:rPr>
          <w:rFonts w:ascii="Calibri" w:hAnsi="Calibri" w:cs="Calibri"/>
        </w:rPr>
        <w:t xml:space="preserve">The Applicant </w:t>
      </w:r>
      <w:r w:rsidRPr="001C0DAA">
        <w:rPr>
          <w:rFonts w:ascii="Calibri" w:hAnsi="Calibri" w:cs="Calibri"/>
        </w:rPr>
        <w:t>is addressing this disparity by offering imaging services that are reimbursed at lower, IDTF rates – IDTF’s maintain costs by focusing on one service with much less overhead.</w:t>
      </w:r>
      <w:r w:rsidRPr="001C0DAA">
        <w:rPr>
          <w:rStyle w:val="FootnoteReference"/>
          <w:rFonts w:ascii="Calibri" w:hAnsi="Calibri" w:cs="Calibri"/>
        </w:rPr>
        <w:footnoteReference w:id="143"/>
      </w:r>
      <w:r w:rsidRPr="001C0DAA">
        <w:rPr>
          <w:rFonts w:ascii="Calibri" w:hAnsi="Calibri" w:cs="Calibri"/>
        </w:rPr>
        <w:t xml:space="preserve">  </w:t>
      </w:r>
    </w:p>
    <w:p w14:paraId="168CEC1D" w14:textId="77777777" w:rsidR="00EF69DA" w:rsidRDefault="00EF69DA" w:rsidP="00EF69DA">
      <w:pPr>
        <w:autoSpaceDE w:val="0"/>
        <w:autoSpaceDN w:val="0"/>
        <w:adjustRightInd w:val="0"/>
        <w:spacing w:after="0" w:line="240" w:lineRule="auto"/>
        <w:jc w:val="both"/>
        <w:rPr>
          <w:rFonts w:ascii="Calibri" w:hAnsi="Calibri" w:cs="Calibri"/>
        </w:rPr>
      </w:pPr>
    </w:p>
    <w:p w14:paraId="374AE010" w14:textId="77777777" w:rsidR="00EF69DA" w:rsidRDefault="00EF69DA" w:rsidP="00EF69DA">
      <w:pPr>
        <w:autoSpaceDE w:val="0"/>
        <w:autoSpaceDN w:val="0"/>
        <w:adjustRightInd w:val="0"/>
        <w:spacing w:after="0" w:line="240" w:lineRule="auto"/>
        <w:jc w:val="both"/>
        <w:rPr>
          <w:rFonts w:ascii="Calibri" w:hAnsi="Calibri" w:cs="Calibri"/>
        </w:rPr>
      </w:pPr>
      <w:r>
        <w:rPr>
          <w:rFonts w:ascii="Calibri" w:hAnsi="Calibri" w:cs="Calibri"/>
        </w:rPr>
        <w:t xml:space="preserve">The Applicant </w:t>
      </w:r>
      <w:r w:rsidRPr="00C54510">
        <w:rPr>
          <w:rFonts w:ascii="Calibri" w:hAnsi="Calibri" w:cs="Calibri"/>
        </w:rPr>
        <w:t>will not discriminate based on ability to pay or payer source following implementation of the Proposed Projec</w:t>
      </w:r>
      <w:r>
        <w:rPr>
          <w:rFonts w:ascii="Calibri" w:hAnsi="Calibri" w:cs="Calibri"/>
        </w:rPr>
        <w:t>t. The Applicant</w:t>
      </w:r>
      <w:r w:rsidRPr="00C54510">
        <w:rPr>
          <w:rFonts w:ascii="Calibri" w:hAnsi="Calibri" w:cs="Calibri"/>
        </w:rPr>
        <w:t xml:space="preserve"> accepts all forms of insurance. </w:t>
      </w:r>
      <w:r>
        <w:rPr>
          <w:rFonts w:ascii="Calibri" w:hAnsi="Calibri" w:cs="Calibri"/>
        </w:rPr>
        <w:t>In addition, the Applicant will offer price transparency tools to ensure that all patients have access to current pricing information. By providing this information patients may determine if specific procedures are affordable. The Applicant also will provide financial counselors for assistance in understanding insurance benefits.</w:t>
      </w:r>
    </w:p>
    <w:p w14:paraId="4E82A33F" w14:textId="77777777" w:rsidR="00EF69DA" w:rsidRDefault="00EF69DA" w:rsidP="00EF69DA">
      <w:pPr>
        <w:autoSpaceDE w:val="0"/>
        <w:autoSpaceDN w:val="0"/>
        <w:adjustRightInd w:val="0"/>
        <w:spacing w:after="0" w:line="240" w:lineRule="auto"/>
        <w:jc w:val="both"/>
        <w:rPr>
          <w:rFonts w:ascii="Calibri" w:hAnsi="Calibri" w:cs="Calibri"/>
        </w:rPr>
      </w:pPr>
    </w:p>
    <w:p w14:paraId="780F0CBE" w14:textId="77777777" w:rsidR="00EF69DA" w:rsidRDefault="00EF69DA" w:rsidP="00EF69DA">
      <w:pPr>
        <w:autoSpaceDE w:val="0"/>
        <w:autoSpaceDN w:val="0"/>
        <w:adjustRightInd w:val="0"/>
        <w:spacing w:after="0" w:line="240" w:lineRule="auto"/>
        <w:jc w:val="both"/>
        <w:rPr>
          <w:rFonts w:ascii="Calibri" w:hAnsi="Calibri" w:cs="Calibri"/>
        </w:rPr>
      </w:pPr>
      <w:r>
        <w:rPr>
          <w:rFonts w:ascii="Calibri" w:hAnsi="Calibri" w:cs="Calibri"/>
        </w:rPr>
        <w:t xml:space="preserve">The population within the PSA of the Proposed Project reflects moderate diversity that necessitates implementation of commensurate, culturally appropriate support services to ensure improved patient experience and higher quality outcomes. Accordingly, the Applicant will employ culturally competent staff and plans to implement a robust translation services program. </w:t>
      </w:r>
    </w:p>
    <w:p w14:paraId="7468DB97" w14:textId="77777777" w:rsidR="00EF69DA" w:rsidRDefault="00EF69DA" w:rsidP="00EF69DA">
      <w:pPr>
        <w:autoSpaceDE w:val="0"/>
        <w:autoSpaceDN w:val="0"/>
        <w:adjustRightInd w:val="0"/>
        <w:spacing w:after="0" w:line="240" w:lineRule="auto"/>
        <w:jc w:val="both"/>
        <w:rPr>
          <w:rFonts w:ascii="Calibri" w:hAnsi="Calibri" w:cs="Calibri"/>
        </w:rPr>
      </w:pPr>
    </w:p>
    <w:p w14:paraId="75BD38BF" w14:textId="77777777" w:rsidR="00EF69DA" w:rsidRDefault="00EF69DA" w:rsidP="00EF69DA">
      <w:pPr>
        <w:autoSpaceDE w:val="0"/>
        <w:autoSpaceDN w:val="0"/>
        <w:adjustRightInd w:val="0"/>
        <w:spacing w:after="0" w:line="240" w:lineRule="auto"/>
        <w:jc w:val="both"/>
        <w:rPr>
          <w:rFonts w:ascii="Calibri" w:hAnsi="Calibri" w:cs="Calibri"/>
        </w:rPr>
      </w:pPr>
      <w:r w:rsidRPr="00825228">
        <w:rPr>
          <w:rFonts w:ascii="Calibri" w:hAnsi="Calibri" w:cs="Calibri"/>
        </w:rPr>
        <w:t>The Applicant offers ongoing education and training of staff in culturally and linguistically appropriate care and offers several tools to accommodate patients’ needs and preferences.</w:t>
      </w:r>
      <w:r>
        <w:rPr>
          <w:rFonts w:ascii="Calibri" w:hAnsi="Calibri" w:cs="Calibri"/>
        </w:rPr>
        <w:t xml:space="preserve"> The Applicant will offer </w:t>
      </w:r>
      <w:r>
        <w:rPr>
          <w:rFonts w:ascii="Calibri" w:hAnsi="Calibri" w:cs="Calibri"/>
        </w:rPr>
        <w:lastRenderedPageBreak/>
        <w:t>multiple tools to address language barriers, including Language Line</w:t>
      </w:r>
      <w:r>
        <w:rPr>
          <w:rStyle w:val="FootnoteReference"/>
          <w:rFonts w:ascii="Calibri" w:hAnsi="Calibri" w:cs="Calibri"/>
        </w:rPr>
        <w:footnoteReference w:id="144"/>
      </w:r>
      <w:r>
        <w:rPr>
          <w:rFonts w:ascii="Calibri" w:hAnsi="Calibri" w:cs="Calibri"/>
        </w:rPr>
        <w:t xml:space="preserve"> and </w:t>
      </w:r>
      <w:proofErr w:type="spellStart"/>
      <w:r>
        <w:rPr>
          <w:rFonts w:ascii="Calibri" w:hAnsi="Calibri" w:cs="Calibri"/>
        </w:rPr>
        <w:t>InDemand</w:t>
      </w:r>
      <w:proofErr w:type="spellEnd"/>
      <w:r>
        <w:rPr>
          <w:rFonts w:ascii="Calibri" w:hAnsi="Calibri" w:cs="Calibri"/>
        </w:rPr>
        <w:t xml:space="preserve"> interpreting to provide multiple options for translation services.</w:t>
      </w:r>
      <w:r>
        <w:rPr>
          <w:rStyle w:val="FootnoteReference"/>
          <w:rFonts w:ascii="Calibri" w:hAnsi="Calibri" w:cs="Calibri"/>
        </w:rPr>
        <w:footnoteReference w:id="145"/>
      </w:r>
      <w:r>
        <w:rPr>
          <w:rFonts w:ascii="Calibri" w:hAnsi="Calibri" w:cs="Calibri"/>
        </w:rPr>
        <w:t xml:space="preserve"> Language Line provides quality phone and video interpretation services from highly trained professional linguists in more than 240 languages 24 hours a day, 7 days a week, facilitating more than 35 million interactions a year. </w:t>
      </w:r>
      <w:proofErr w:type="spellStart"/>
      <w:r>
        <w:rPr>
          <w:rFonts w:ascii="Calibri" w:hAnsi="Calibri" w:cs="Calibri"/>
        </w:rPr>
        <w:t>lnDemand</w:t>
      </w:r>
      <w:proofErr w:type="spellEnd"/>
      <w:r>
        <w:rPr>
          <w:rFonts w:ascii="Calibri" w:hAnsi="Calibri" w:cs="Calibri"/>
        </w:rPr>
        <w:t xml:space="preserve"> offers leading-edge medical interpreting solutions</w:t>
      </w:r>
      <w:r w:rsidRPr="002070B4">
        <w:rPr>
          <w:rFonts w:ascii="Calibri" w:hAnsi="Calibri" w:cs="Calibri"/>
        </w:rPr>
        <w:t xml:space="preserve">, </w:t>
      </w:r>
      <w:r>
        <w:rPr>
          <w:rFonts w:ascii="Calibri" w:hAnsi="Calibri" w:cs="Calibri"/>
        </w:rPr>
        <w:t xml:space="preserve">which </w:t>
      </w:r>
      <w:r w:rsidRPr="002070B4">
        <w:rPr>
          <w:rFonts w:ascii="Calibri" w:hAnsi="Calibri" w:cs="Calibri"/>
        </w:rPr>
        <w:t>allow</w:t>
      </w:r>
      <w:r>
        <w:rPr>
          <w:rFonts w:ascii="Calibri" w:hAnsi="Calibri" w:cs="Calibri"/>
        </w:rPr>
        <w:t>s</w:t>
      </w:r>
      <w:r w:rsidRPr="002070B4">
        <w:rPr>
          <w:rFonts w:ascii="Calibri" w:hAnsi="Calibri" w:cs="Calibri"/>
        </w:rPr>
        <w:t xml:space="preserve"> clinicians to provide their limited English proficient, </w:t>
      </w:r>
      <w:r>
        <w:rPr>
          <w:rFonts w:ascii="Calibri" w:hAnsi="Calibri" w:cs="Calibri"/>
        </w:rPr>
        <w:t>d</w:t>
      </w:r>
      <w:r w:rsidRPr="002070B4">
        <w:rPr>
          <w:rFonts w:ascii="Calibri" w:hAnsi="Calibri" w:cs="Calibri"/>
        </w:rPr>
        <w:t>eaf, and</w:t>
      </w:r>
      <w:r>
        <w:rPr>
          <w:rFonts w:ascii="Calibri" w:hAnsi="Calibri" w:cs="Calibri"/>
        </w:rPr>
        <w:t xml:space="preserve"> </w:t>
      </w:r>
      <w:r w:rsidRPr="002070B4">
        <w:rPr>
          <w:rFonts w:ascii="Calibri" w:hAnsi="Calibri" w:cs="Calibri"/>
        </w:rPr>
        <w:t xml:space="preserve">hard of hearing patients with access to the highest quality healthcare. </w:t>
      </w:r>
      <w:r w:rsidRPr="003E7DFF">
        <w:rPr>
          <w:rFonts w:ascii="Calibri" w:hAnsi="Calibri" w:cs="Calibri"/>
        </w:rPr>
        <w:t>Together, these solutions will eliminate language barriers for patients and ensure culturally appropriate care.</w:t>
      </w:r>
    </w:p>
    <w:p w14:paraId="7736F231" w14:textId="77777777" w:rsidR="00EF69DA" w:rsidRDefault="00EF69DA" w:rsidP="00EF69DA">
      <w:pPr>
        <w:autoSpaceDE w:val="0"/>
        <w:autoSpaceDN w:val="0"/>
        <w:adjustRightInd w:val="0"/>
        <w:spacing w:after="0" w:line="240" w:lineRule="auto"/>
        <w:jc w:val="both"/>
        <w:rPr>
          <w:rFonts w:ascii="Calibri" w:hAnsi="Calibri" w:cs="Calibri"/>
        </w:rPr>
      </w:pPr>
    </w:p>
    <w:p w14:paraId="11F636EB" w14:textId="6A66DA19" w:rsidR="00EF69DA" w:rsidRDefault="00EF69DA" w:rsidP="00EF69DA">
      <w:pPr>
        <w:autoSpaceDE w:val="0"/>
        <w:autoSpaceDN w:val="0"/>
        <w:adjustRightInd w:val="0"/>
        <w:spacing w:after="0" w:line="240" w:lineRule="auto"/>
        <w:jc w:val="both"/>
        <w:rPr>
          <w:rFonts w:ascii="Calibri" w:hAnsi="Calibri" w:cs="Calibri"/>
        </w:rPr>
      </w:pPr>
      <w:r w:rsidRPr="003E7DFF">
        <w:rPr>
          <w:rFonts w:ascii="Calibri" w:hAnsi="Calibri" w:cs="Calibri"/>
        </w:rPr>
        <w:t>Lastly, the Proposed Project will provide the opportunity for patients to</w:t>
      </w:r>
      <w:r>
        <w:rPr>
          <w:rFonts w:ascii="Calibri" w:hAnsi="Calibri" w:cs="Calibri"/>
        </w:rPr>
        <w:t xml:space="preserve"> </w:t>
      </w:r>
      <w:r w:rsidRPr="003E7DFF">
        <w:rPr>
          <w:rFonts w:ascii="Calibri" w:hAnsi="Calibri" w:cs="Calibri"/>
        </w:rPr>
        <w:t xml:space="preserve">receive </w:t>
      </w:r>
      <w:r>
        <w:rPr>
          <w:rFonts w:ascii="Calibri" w:hAnsi="Calibri" w:cs="Calibri"/>
        </w:rPr>
        <w:t>the highest quality imaging at a proximate location to the MWH campus</w:t>
      </w:r>
      <w:r w:rsidRPr="003E7DFF">
        <w:rPr>
          <w:rFonts w:ascii="Calibri" w:hAnsi="Calibri" w:cs="Calibri"/>
        </w:rPr>
        <w:t xml:space="preserve">, thus </w:t>
      </w:r>
      <w:r>
        <w:rPr>
          <w:rFonts w:ascii="Calibri" w:hAnsi="Calibri" w:cs="Calibri"/>
        </w:rPr>
        <w:t>prevent</w:t>
      </w:r>
      <w:r w:rsidRPr="003E7DFF">
        <w:rPr>
          <w:rFonts w:ascii="Calibri" w:hAnsi="Calibri" w:cs="Calibri"/>
        </w:rPr>
        <w:t>ing barriers to this service locally.</w:t>
      </w:r>
      <w:r>
        <w:rPr>
          <w:rStyle w:val="FootnoteReference"/>
          <w:rFonts w:ascii="Calibri" w:hAnsi="Calibri" w:cs="Calibri"/>
        </w:rPr>
        <w:footnoteReference w:id="146"/>
      </w:r>
      <w:r>
        <w:rPr>
          <w:rFonts w:ascii="Calibri" w:hAnsi="Calibri" w:cs="Calibri"/>
        </w:rPr>
        <w:t xml:space="preserve"> To date, MWH patients seeking PET-CT imaging have not had to travel to receive a scan. This is an essential component of maintaining the continuity of care and ensuring that the most direct path to diagnosis and treatment is not disrupted. </w:t>
      </w:r>
      <w:r w:rsidRPr="00751A80">
        <w:rPr>
          <w:rFonts w:ascii="Calibri" w:hAnsi="Calibri" w:cs="Calibri"/>
        </w:rPr>
        <w:t>Transportation barriers are often cited as barriers to healthcare access</w:t>
      </w:r>
      <w:r>
        <w:rPr>
          <w:rFonts w:ascii="Calibri" w:hAnsi="Calibri" w:cs="Calibri"/>
        </w:rPr>
        <w:t xml:space="preserve">, and it often </w:t>
      </w:r>
      <w:r w:rsidRPr="00751A80">
        <w:rPr>
          <w:rFonts w:ascii="Calibri" w:hAnsi="Calibri" w:cs="Calibri"/>
        </w:rPr>
        <w:t>lead</w:t>
      </w:r>
      <w:r>
        <w:rPr>
          <w:rFonts w:ascii="Calibri" w:hAnsi="Calibri" w:cs="Calibri"/>
        </w:rPr>
        <w:t>s</w:t>
      </w:r>
      <w:r w:rsidRPr="00751A80">
        <w:rPr>
          <w:rFonts w:ascii="Calibri" w:hAnsi="Calibri" w:cs="Calibri"/>
        </w:rPr>
        <w:t xml:space="preserve"> to delayed care</w:t>
      </w:r>
      <w:r>
        <w:rPr>
          <w:rFonts w:ascii="Calibri" w:hAnsi="Calibri" w:cs="Calibri"/>
        </w:rPr>
        <w:t xml:space="preserve"> </w:t>
      </w:r>
      <w:r w:rsidRPr="00751A80">
        <w:rPr>
          <w:rFonts w:ascii="Calibri" w:hAnsi="Calibri" w:cs="Calibri"/>
        </w:rPr>
        <w:t>and missed or delayed medication use</w:t>
      </w:r>
      <w:r>
        <w:rPr>
          <w:rFonts w:ascii="Calibri" w:hAnsi="Calibri" w:cs="Calibri"/>
        </w:rPr>
        <w:t>, among other things</w:t>
      </w:r>
      <w:r w:rsidRPr="00751A80">
        <w:rPr>
          <w:rFonts w:ascii="Calibri" w:hAnsi="Calibri" w:cs="Calibri"/>
        </w:rPr>
        <w:t>.</w:t>
      </w:r>
      <w:r>
        <w:rPr>
          <w:rStyle w:val="FootnoteReference"/>
          <w:rFonts w:ascii="Calibri" w:hAnsi="Calibri" w:cs="Calibri"/>
        </w:rPr>
        <w:footnoteReference w:id="147"/>
      </w:r>
      <w:r w:rsidRPr="00751A80">
        <w:rPr>
          <w:rFonts w:ascii="Calibri" w:hAnsi="Calibri" w:cs="Calibri"/>
        </w:rPr>
        <w:t xml:space="preserve"> These consequences may lead to poorer management of chronic illness and ultimately poorer health outcomes.</w:t>
      </w:r>
      <w:r>
        <w:rPr>
          <w:rStyle w:val="FootnoteReference"/>
          <w:rFonts w:ascii="Calibri" w:hAnsi="Calibri" w:cs="Calibri"/>
        </w:rPr>
        <w:footnoteReference w:id="148"/>
      </w:r>
      <w:r>
        <w:rPr>
          <w:rFonts w:ascii="Calibri" w:hAnsi="Calibri" w:cs="Calibri"/>
        </w:rPr>
        <w:t xml:space="preserve"> </w:t>
      </w:r>
    </w:p>
    <w:p w14:paraId="2DA58540" w14:textId="77777777" w:rsidR="00EF69DA" w:rsidRDefault="00EF69DA" w:rsidP="00EF69DA">
      <w:pPr>
        <w:autoSpaceDE w:val="0"/>
        <w:autoSpaceDN w:val="0"/>
        <w:adjustRightInd w:val="0"/>
        <w:spacing w:after="0" w:line="240" w:lineRule="auto"/>
        <w:jc w:val="both"/>
        <w:rPr>
          <w:rFonts w:ascii="Calibri" w:hAnsi="Calibri" w:cs="Calibri"/>
        </w:rPr>
      </w:pPr>
    </w:p>
    <w:p w14:paraId="41F5C4B6" w14:textId="77777777" w:rsidR="00EF69DA" w:rsidRDefault="00EF69DA" w:rsidP="00EF69DA">
      <w:pPr>
        <w:autoSpaceDE w:val="0"/>
        <w:autoSpaceDN w:val="0"/>
        <w:adjustRightInd w:val="0"/>
        <w:spacing w:after="0" w:line="240" w:lineRule="auto"/>
        <w:jc w:val="both"/>
        <w:rPr>
          <w:rFonts w:ascii="Calibri" w:hAnsi="Calibri" w:cs="Calibri"/>
        </w:rPr>
      </w:pPr>
      <w:r w:rsidRPr="005B7070">
        <w:rPr>
          <w:rFonts w:ascii="Calibri" w:hAnsi="Calibri" w:cs="Calibri"/>
        </w:rPr>
        <w:t xml:space="preserve">The Applicant’s Proposed Project will help </w:t>
      </w:r>
      <w:r>
        <w:rPr>
          <w:rFonts w:ascii="Calibri" w:hAnsi="Calibri" w:cs="Calibri"/>
        </w:rPr>
        <w:t xml:space="preserve">continue to </w:t>
      </w:r>
      <w:r w:rsidRPr="005B7070">
        <w:rPr>
          <w:rFonts w:ascii="Calibri" w:hAnsi="Calibri" w:cs="Calibri"/>
        </w:rPr>
        <w:t xml:space="preserve">ensure </w:t>
      </w:r>
      <w:r>
        <w:rPr>
          <w:rFonts w:ascii="Calibri" w:hAnsi="Calibri" w:cs="Calibri"/>
        </w:rPr>
        <w:t xml:space="preserve">ready </w:t>
      </w:r>
      <w:r w:rsidRPr="005B7070">
        <w:rPr>
          <w:rFonts w:ascii="Calibri" w:hAnsi="Calibri" w:cs="Calibri"/>
        </w:rPr>
        <w:t xml:space="preserve">access to </w:t>
      </w:r>
      <w:r>
        <w:rPr>
          <w:rFonts w:ascii="Calibri" w:hAnsi="Calibri" w:cs="Calibri"/>
        </w:rPr>
        <w:t>local PET-CT</w:t>
      </w:r>
      <w:r w:rsidRPr="005B7070">
        <w:rPr>
          <w:rFonts w:ascii="Calibri" w:hAnsi="Calibri" w:cs="Calibri"/>
        </w:rPr>
        <w:t xml:space="preserve"> imaging services thus promoting health equity in the comm</w:t>
      </w:r>
      <w:r>
        <w:rPr>
          <w:rFonts w:ascii="Calibri" w:hAnsi="Calibri" w:cs="Calibri"/>
        </w:rPr>
        <w:t xml:space="preserve">unity. </w:t>
      </w:r>
    </w:p>
    <w:p w14:paraId="484EF1E6" w14:textId="77777777" w:rsidR="00EF69DA" w:rsidRDefault="00EF69DA" w:rsidP="00EF69DA">
      <w:pPr>
        <w:autoSpaceDE w:val="0"/>
        <w:autoSpaceDN w:val="0"/>
        <w:adjustRightInd w:val="0"/>
        <w:spacing w:after="0" w:line="240" w:lineRule="auto"/>
        <w:jc w:val="both"/>
        <w:rPr>
          <w:b/>
          <w:bCs/>
        </w:rPr>
      </w:pPr>
    </w:p>
    <w:p w14:paraId="17A2D69B" w14:textId="77777777" w:rsidR="00EF69DA" w:rsidRDefault="00EF69DA" w:rsidP="00EF69DA">
      <w:pPr>
        <w:autoSpaceDE w:val="0"/>
        <w:autoSpaceDN w:val="0"/>
        <w:adjustRightInd w:val="0"/>
        <w:spacing w:after="0" w:line="240" w:lineRule="auto"/>
        <w:jc w:val="both"/>
        <w:rPr>
          <w:b/>
          <w:bCs/>
        </w:rPr>
      </w:pPr>
    </w:p>
    <w:p w14:paraId="5D0FA7D0" w14:textId="77777777" w:rsidR="00EF69DA" w:rsidRDefault="00EF69DA" w:rsidP="00EF69DA">
      <w:pPr>
        <w:autoSpaceDE w:val="0"/>
        <w:autoSpaceDN w:val="0"/>
        <w:adjustRightInd w:val="0"/>
        <w:spacing w:after="0" w:line="240" w:lineRule="auto"/>
        <w:jc w:val="both"/>
        <w:rPr>
          <w:b/>
          <w:bCs/>
        </w:rPr>
      </w:pPr>
      <w:r w:rsidRPr="00DF02E6">
        <w:rPr>
          <w:b/>
          <w:bCs/>
        </w:rPr>
        <w:t>F1.</w:t>
      </w:r>
      <w:proofErr w:type="gramStart"/>
      <w:r w:rsidRPr="00DF02E6">
        <w:rPr>
          <w:b/>
          <w:bCs/>
        </w:rPr>
        <w:t>b.iv</w:t>
      </w:r>
      <w:proofErr w:type="gramEnd"/>
      <w:r w:rsidRPr="00DF02E6">
        <w:rPr>
          <w:b/>
          <w:bCs/>
        </w:rPr>
        <w:tab/>
        <w:t>Provide additional information to demonstrate that the Proposed Project will result in improved health outcomes and quality of life of the Applicant's existing Patient Panel, while providing reasonable assurances of health equity.</w:t>
      </w:r>
      <w:r>
        <w:rPr>
          <w:b/>
          <w:bCs/>
        </w:rPr>
        <w:t xml:space="preserve"> </w:t>
      </w:r>
    </w:p>
    <w:p w14:paraId="3CA5B68C" w14:textId="77777777" w:rsidR="00EF69DA" w:rsidRDefault="00EF69DA" w:rsidP="00EF69DA">
      <w:pPr>
        <w:autoSpaceDE w:val="0"/>
        <w:autoSpaceDN w:val="0"/>
        <w:adjustRightInd w:val="0"/>
        <w:spacing w:after="0" w:line="240" w:lineRule="auto"/>
        <w:jc w:val="both"/>
        <w:rPr>
          <w:b/>
          <w:bCs/>
        </w:rPr>
      </w:pPr>
    </w:p>
    <w:p w14:paraId="3C58E67C" w14:textId="35FCEB9C" w:rsidR="00EF69DA" w:rsidRDefault="00EF69DA" w:rsidP="00EF69DA">
      <w:pPr>
        <w:autoSpaceDE w:val="0"/>
        <w:autoSpaceDN w:val="0"/>
        <w:adjustRightInd w:val="0"/>
        <w:spacing w:after="0" w:line="240" w:lineRule="auto"/>
        <w:jc w:val="both"/>
        <w:rPr>
          <w:rFonts w:ascii="Calibri" w:hAnsi="Calibri" w:cs="Calibri"/>
        </w:rPr>
      </w:pPr>
      <w:r>
        <w:rPr>
          <w:rFonts w:ascii="Calibri" w:hAnsi="Calibri" w:cs="Calibri"/>
        </w:rPr>
        <w:t>The Proposed Project will allow for the expansion of high-value, low-cost, local PET-CT services in the community setting. This delivery model is just as convenient and efficient as the existing service, made possible through operational discipline and focus that cannot be achieved under traditional hospital oversite. Dedicated focus by the Shields management team offers insight on operational and scheduling efficiencies that increase capacity and improve patient and referring provider satisfaction. The Applicant also plans to implement numerous amenities, including patient access tools, such as preregistration functionality and a cost transparency application, to improve patient experience and ensure patient satisfaction.</w:t>
      </w:r>
    </w:p>
    <w:p w14:paraId="42E77F36" w14:textId="4347059F" w:rsidR="0070034D" w:rsidRDefault="0070034D" w:rsidP="00EF69DA">
      <w:pPr>
        <w:autoSpaceDE w:val="0"/>
        <w:autoSpaceDN w:val="0"/>
        <w:adjustRightInd w:val="0"/>
        <w:spacing w:after="0" w:line="240" w:lineRule="auto"/>
        <w:jc w:val="both"/>
        <w:rPr>
          <w:rFonts w:ascii="Calibri" w:hAnsi="Calibri" w:cs="Calibri"/>
        </w:rPr>
      </w:pPr>
    </w:p>
    <w:p w14:paraId="16AF83B3" w14:textId="77777777" w:rsidR="00341668" w:rsidRDefault="00341668" w:rsidP="00EF69DA">
      <w:pPr>
        <w:autoSpaceDE w:val="0"/>
        <w:autoSpaceDN w:val="0"/>
        <w:adjustRightInd w:val="0"/>
        <w:spacing w:after="0" w:line="240" w:lineRule="auto"/>
        <w:jc w:val="both"/>
        <w:rPr>
          <w:rFonts w:ascii="Calibri" w:hAnsi="Calibri" w:cs="Calibri"/>
        </w:rPr>
      </w:pPr>
    </w:p>
    <w:p w14:paraId="5577C00B" w14:textId="5E265900" w:rsidR="00EF69DA" w:rsidRDefault="005C7381" w:rsidP="00EF69DA">
      <w:pPr>
        <w:rPr>
          <w:b/>
          <w:bCs/>
        </w:rPr>
      </w:pPr>
      <w:r>
        <w:rPr>
          <w:b/>
          <w:bCs/>
        </w:rPr>
        <w:lastRenderedPageBreak/>
        <w:t>F</w:t>
      </w:r>
      <w:r w:rsidR="00EF69DA" w:rsidRPr="00DF02E6">
        <w:rPr>
          <w:b/>
          <w:bCs/>
        </w:rPr>
        <w:t>1.c</w:t>
      </w:r>
      <w:r w:rsidR="00EF69DA" w:rsidRPr="00DF02E6">
        <w:rPr>
          <w:b/>
          <w:bCs/>
        </w:rPr>
        <w:tab/>
        <w:t>Provide evidence that the Proposed Project will operate efficiently and effectively by furthering and improving continuity and coordination of care for the Applicant's Patient Panel, including, how the Proposed Project will create or ensure appropriate linkages to patients' primary care services.</w:t>
      </w:r>
    </w:p>
    <w:p w14:paraId="6E0F56B0" w14:textId="77777777" w:rsidR="00EF69DA" w:rsidRDefault="00EF69DA" w:rsidP="00EF69DA">
      <w:pPr>
        <w:autoSpaceDE w:val="0"/>
        <w:autoSpaceDN w:val="0"/>
        <w:adjustRightInd w:val="0"/>
        <w:spacing w:after="0" w:line="240" w:lineRule="auto"/>
        <w:jc w:val="both"/>
        <w:rPr>
          <w:rFonts w:ascii="Calibri" w:hAnsi="Calibri" w:cs="Calibri"/>
        </w:rPr>
      </w:pPr>
      <w:r>
        <w:rPr>
          <w:rFonts w:ascii="Calibri" w:hAnsi="Calibri" w:cs="Calibri"/>
        </w:rPr>
        <w:t>Through the Proposed Project, the Applicant will combine physician engagement with a strong technology infrastructure to ensure continuity of care, improved health outcomes and care efficiencies. The technology infrastructure for the Proposed Project encompasses streamlined patient access tools that offer pre-registration functionality. These tools interface with an electronic medical record ("EMR") system to amalgamate necessary patient health information, such as medical history, allergies, and medications. EMR functionality also allows radiologists to share pertinent diagnostic information with PCPs, so both physicians may track a patient's treatment progress.</w:t>
      </w:r>
    </w:p>
    <w:p w14:paraId="5D7D7EF8" w14:textId="77777777" w:rsidR="00EF69DA" w:rsidRDefault="00EF69DA" w:rsidP="00EF69DA">
      <w:pPr>
        <w:autoSpaceDE w:val="0"/>
        <w:autoSpaceDN w:val="0"/>
        <w:adjustRightInd w:val="0"/>
        <w:spacing w:after="0" w:line="240" w:lineRule="auto"/>
        <w:jc w:val="both"/>
        <w:rPr>
          <w:rFonts w:ascii="Calibri" w:hAnsi="Calibri" w:cs="Calibri"/>
        </w:rPr>
      </w:pPr>
    </w:p>
    <w:p w14:paraId="327CD2A0" w14:textId="77777777" w:rsidR="00EF69DA" w:rsidRDefault="00EF69DA" w:rsidP="00EF69DA">
      <w:pPr>
        <w:autoSpaceDE w:val="0"/>
        <w:autoSpaceDN w:val="0"/>
        <w:adjustRightInd w:val="0"/>
        <w:spacing w:after="0" w:line="240" w:lineRule="auto"/>
        <w:jc w:val="both"/>
        <w:rPr>
          <w:rFonts w:ascii="Calibri" w:hAnsi="Calibri" w:cs="Calibri"/>
        </w:rPr>
      </w:pPr>
      <w:r>
        <w:rPr>
          <w:rFonts w:ascii="Calibri" w:hAnsi="Calibri" w:cs="Calibri"/>
        </w:rPr>
        <w:t xml:space="preserve">The applicant plans to conduct a pre-screening process for all scheduled patients. </w:t>
      </w:r>
      <w:r w:rsidRPr="0090019B">
        <w:rPr>
          <w:rFonts w:ascii="Calibri" w:hAnsi="Calibri" w:cs="Calibri"/>
        </w:rPr>
        <w:t>Social Determinants of Health (“</w:t>
      </w:r>
      <w:proofErr w:type="spellStart"/>
      <w:r w:rsidRPr="0090019B">
        <w:rPr>
          <w:rFonts w:ascii="Calibri" w:hAnsi="Calibri" w:cs="Calibri"/>
        </w:rPr>
        <w:t>SDoH</w:t>
      </w:r>
      <w:proofErr w:type="spellEnd"/>
      <w:r w:rsidRPr="0090019B">
        <w:rPr>
          <w:rFonts w:ascii="Calibri" w:hAnsi="Calibri" w:cs="Calibri"/>
        </w:rPr>
        <w:t>”) are defined as conditions in the places where people live, learn, work, and play that affect a wide range of health and quality-of life-risks and outcomes.</w:t>
      </w:r>
      <w:r w:rsidRPr="0090019B">
        <w:rPr>
          <w:rFonts w:ascii="Calibri" w:hAnsi="Calibri" w:cs="Calibri"/>
          <w:vertAlign w:val="superscript"/>
        </w:rPr>
        <w:footnoteReference w:id="149"/>
      </w:r>
      <w:r w:rsidRPr="0090019B">
        <w:rPr>
          <w:rFonts w:ascii="Calibri" w:hAnsi="Calibri" w:cs="Calibri"/>
        </w:rPr>
        <w:t xml:space="preserve"> </w:t>
      </w:r>
      <w:r>
        <w:rPr>
          <w:rFonts w:ascii="Calibri" w:hAnsi="Calibri" w:cs="Calibri"/>
        </w:rPr>
        <w:t xml:space="preserve"> Certain questions in the pre-screen relate to certain </w:t>
      </w:r>
      <w:proofErr w:type="spellStart"/>
      <w:r>
        <w:rPr>
          <w:rFonts w:ascii="Calibri" w:hAnsi="Calibri" w:cs="Calibri"/>
        </w:rPr>
        <w:t>SDoH</w:t>
      </w:r>
      <w:proofErr w:type="spellEnd"/>
      <w:r>
        <w:rPr>
          <w:rFonts w:ascii="Calibri" w:hAnsi="Calibri" w:cs="Calibri"/>
        </w:rPr>
        <w:t xml:space="preserve"> issues, namely those issues that are relevant to an imaging appointment such as transportation.</w:t>
      </w:r>
      <w:r>
        <w:rPr>
          <w:rStyle w:val="FootnoteReference"/>
          <w:rFonts w:ascii="Calibri" w:hAnsi="Calibri" w:cs="Calibri"/>
        </w:rPr>
        <w:footnoteReference w:id="150"/>
      </w:r>
      <w:r>
        <w:rPr>
          <w:rFonts w:ascii="Calibri" w:hAnsi="Calibri" w:cs="Calibri"/>
        </w:rPr>
        <w:t xml:space="preserve"> If, during this pre-screen process or at any time during a patient’s PET-CT appointment, the Applicant’s staff is made aware of an </w:t>
      </w:r>
      <w:proofErr w:type="spellStart"/>
      <w:r>
        <w:rPr>
          <w:rFonts w:ascii="Calibri" w:hAnsi="Calibri" w:cs="Calibri"/>
        </w:rPr>
        <w:t>SDoH</w:t>
      </w:r>
      <w:proofErr w:type="spellEnd"/>
      <w:r>
        <w:rPr>
          <w:rFonts w:ascii="Calibri" w:hAnsi="Calibri" w:cs="Calibri"/>
        </w:rPr>
        <w:t xml:space="preserve"> issue, staff will confirm that a request for assistance is needed and either assist the patient directly (e.g., in the case of transportation) or refer the patient back to his/her primary care physician (“PCP”) for linkage to community-based support (e.g., in the case of hunger and access to food). The Applicant also provides transportation assistance via ride-share and cab vouchers when needed by a patient.</w:t>
      </w:r>
    </w:p>
    <w:p w14:paraId="79A9187E" w14:textId="77777777" w:rsidR="00EF69DA" w:rsidRDefault="00EF69DA" w:rsidP="00EF69DA">
      <w:pPr>
        <w:autoSpaceDE w:val="0"/>
        <w:autoSpaceDN w:val="0"/>
        <w:adjustRightInd w:val="0"/>
        <w:spacing w:after="0" w:line="240" w:lineRule="auto"/>
        <w:jc w:val="both"/>
        <w:rPr>
          <w:b/>
          <w:bCs/>
        </w:rPr>
      </w:pPr>
    </w:p>
    <w:p w14:paraId="671D87D7" w14:textId="00313DD4" w:rsidR="00EF69DA" w:rsidRDefault="00EF69DA" w:rsidP="00EF69DA"/>
    <w:p w14:paraId="39C46895" w14:textId="77777777" w:rsidR="0019754C" w:rsidRDefault="0019754C" w:rsidP="0019754C">
      <w:pPr>
        <w:rPr>
          <w:b/>
          <w:bCs/>
        </w:rPr>
      </w:pPr>
      <w:r>
        <w:rPr>
          <w:b/>
          <w:bCs/>
        </w:rPr>
        <w:t>F</w:t>
      </w:r>
      <w:proofErr w:type="gramStart"/>
      <w:r>
        <w:rPr>
          <w:b/>
          <w:bCs/>
        </w:rPr>
        <w:t>1.d</w:t>
      </w:r>
      <w:proofErr w:type="gramEnd"/>
      <w:r>
        <w:rPr>
          <w:b/>
          <w:bCs/>
        </w:rPr>
        <w:tab/>
        <w:t>Provide evidence of consultation, both prior to and after the Filing Date, with all Government Agencies with relevant licensure, certification, or other regulatory oversight of the Applicant or the Proposed Project.</w:t>
      </w:r>
    </w:p>
    <w:p w14:paraId="3EECE722" w14:textId="77777777" w:rsidR="0019754C" w:rsidRDefault="0019754C" w:rsidP="0019754C">
      <w:pPr>
        <w:jc w:val="both"/>
        <w:rPr>
          <w:bCs/>
        </w:rPr>
      </w:pPr>
      <w:r>
        <w:rPr>
          <w:bCs/>
        </w:rPr>
        <w:t>The Applicant sought input from a variety of stakeholders in planning the Proposed Project. The Applicant conducted a formal consultative process with individuals at various regulatory agencies regarding the Proposed Project. The following individuals are some of those consulted about the Proposed Project:</w:t>
      </w:r>
    </w:p>
    <w:p w14:paraId="216BD660" w14:textId="77777777" w:rsidR="0019754C" w:rsidRDefault="0019754C" w:rsidP="0019754C">
      <w:pPr>
        <w:pStyle w:val="ListParagraph"/>
        <w:numPr>
          <w:ilvl w:val="0"/>
          <w:numId w:val="6"/>
        </w:numPr>
        <w:spacing w:line="256" w:lineRule="auto"/>
        <w:rPr>
          <w:bCs/>
        </w:rPr>
      </w:pPr>
      <w:r>
        <w:rPr>
          <w:bCs/>
        </w:rPr>
        <w:t>Jennica F. Allen Community Health Planning and Engagement Specialist, Department of Public Health</w:t>
      </w:r>
    </w:p>
    <w:p w14:paraId="410BDE3E" w14:textId="77777777" w:rsidR="0019754C" w:rsidRDefault="0019754C" w:rsidP="0019754C">
      <w:pPr>
        <w:pStyle w:val="ListParagraph"/>
        <w:numPr>
          <w:ilvl w:val="0"/>
          <w:numId w:val="6"/>
        </w:numPr>
        <w:spacing w:line="256" w:lineRule="auto"/>
        <w:rPr>
          <w:bCs/>
        </w:rPr>
      </w:pPr>
      <w:r>
        <w:rPr>
          <w:bCs/>
        </w:rPr>
        <w:t xml:space="preserve">Samuel Louis, M.P.H., Coordinator, Health Care Interpreter Services, Department of Public Health, Health Care Interpreter Services   </w:t>
      </w:r>
    </w:p>
    <w:p w14:paraId="7F59C14B" w14:textId="77777777" w:rsidR="0019754C" w:rsidRDefault="0019754C" w:rsidP="0019754C">
      <w:pPr>
        <w:pStyle w:val="ListParagraph"/>
        <w:numPr>
          <w:ilvl w:val="0"/>
          <w:numId w:val="6"/>
        </w:numPr>
        <w:spacing w:line="256" w:lineRule="auto"/>
        <w:rPr>
          <w:bCs/>
        </w:rPr>
      </w:pPr>
      <w:r>
        <w:rPr>
          <w:bCs/>
        </w:rPr>
        <w:t>Nazmim Borna Bhuiya, Researcher/Evaluator, Determination of Need Bureau of Health Care Safety &amp; Quality, Massachusetts Department of Public Health</w:t>
      </w:r>
    </w:p>
    <w:p w14:paraId="3159531B" w14:textId="6785F1D7" w:rsidR="0019754C" w:rsidRDefault="0019754C" w:rsidP="00AC15B1">
      <w:pPr>
        <w:pStyle w:val="ListParagraph"/>
        <w:spacing w:line="256" w:lineRule="auto"/>
        <w:ind w:left="1080"/>
        <w:rPr>
          <w:bCs/>
        </w:rPr>
      </w:pPr>
    </w:p>
    <w:p w14:paraId="4AD60C33" w14:textId="271EFD84" w:rsidR="0019754C" w:rsidRDefault="0019754C" w:rsidP="0019754C">
      <w:pPr>
        <w:pStyle w:val="ListParagraph"/>
        <w:ind w:left="1080"/>
        <w:rPr>
          <w:bCs/>
        </w:rPr>
      </w:pPr>
    </w:p>
    <w:p w14:paraId="6AF07117" w14:textId="77777777" w:rsidR="0019754C" w:rsidRDefault="0019754C" w:rsidP="0019754C">
      <w:pPr>
        <w:pStyle w:val="ListParagraph"/>
        <w:ind w:left="1080"/>
        <w:rPr>
          <w:bCs/>
        </w:rPr>
      </w:pPr>
    </w:p>
    <w:p w14:paraId="109ECEC1" w14:textId="77777777" w:rsidR="0019754C" w:rsidRDefault="0019754C" w:rsidP="0019754C">
      <w:pPr>
        <w:rPr>
          <w:b/>
          <w:bCs/>
        </w:rPr>
      </w:pPr>
      <w:r>
        <w:rPr>
          <w:b/>
          <w:bCs/>
        </w:rPr>
        <w:lastRenderedPageBreak/>
        <w:t>F1.</w:t>
      </w:r>
      <w:proofErr w:type="gramStart"/>
      <w:r>
        <w:rPr>
          <w:b/>
          <w:bCs/>
        </w:rPr>
        <w:t>e.i</w:t>
      </w:r>
      <w:proofErr w:type="gramEnd"/>
      <w:r>
        <w:rPr>
          <w:b/>
          <w:bCs/>
        </w:rPr>
        <w:tab/>
        <w:t>Process for Determining Need/Evidence of Community Engagement: For assistance in responding to this portion of the Application, Applicant is encouraged to review Community Engagement Standards for Community Health Planning Guideline. With respect to the existing Patient Panel, please describe the process through which Applicant determined the need for the Proposed Project.</w:t>
      </w:r>
    </w:p>
    <w:p w14:paraId="376E8DDE" w14:textId="77777777" w:rsidR="0019754C" w:rsidRDefault="0019754C" w:rsidP="0019754C">
      <w:pPr>
        <w:autoSpaceDE w:val="0"/>
        <w:autoSpaceDN w:val="0"/>
        <w:adjustRightInd w:val="0"/>
        <w:spacing w:after="0" w:line="240" w:lineRule="auto"/>
        <w:jc w:val="both"/>
        <w:rPr>
          <w:rFonts w:ascii="Calibri" w:hAnsi="Calibri" w:cs="Calibri"/>
        </w:rPr>
      </w:pPr>
      <w:r>
        <w:rPr>
          <w:rFonts w:ascii="Calibri" w:hAnsi="Calibri" w:cs="Calibri"/>
        </w:rPr>
        <w:t xml:space="preserve">The Applicant identified the need to provide high-quality, cost-effective PET-CT services for MWH patients. The Applicant’s data for these services demonstrates the demand. Additionally, demand for local PET-CT services is likely to increase as the region’s population ages. The Applicant engaged the community to involve patients and families more fully regarding the proposed transition. </w:t>
      </w:r>
    </w:p>
    <w:p w14:paraId="274549A1" w14:textId="77777777" w:rsidR="0019754C" w:rsidRDefault="0019754C" w:rsidP="0019754C">
      <w:pPr>
        <w:autoSpaceDE w:val="0"/>
        <w:autoSpaceDN w:val="0"/>
        <w:adjustRightInd w:val="0"/>
        <w:spacing w:after="0" w:line="240" w:lineRule="auto"/>
        <w:jc w:val="both"/>
        <w:rPr>
          <w:rFonts w:ascii="Calibri" w:hAnsi="Calibri" w:cs="Calibri"/>
        </w:rPr>
      </w:pPr>
    </w:p>
    <w:p w14:paraId="28266002" w14:textId="47CA430B" w:rsidR="0019754C" w:rsidRDefault="0019754C" w:rsidP="0019754C">
      <w:pPr>
        <w:autoSpaceDE w:val="0"/>
        <w:autoSpaceDN w:val="0"/>
        <w:adjustRightInd w:val="0"/>
        <w:spacing w:after="0" w:line="240" w:lineRule="auto"/>
        <w:jc w:val="both"/>
        <w:rPr>
          <w:rFonts w:ascii="Calibri" w:hAnsi="Calibri" w:cs="Calibri"/>
        </w:rPr>
      </w:pPr>
      <w:r>
        <w:rPr>
          <w:rFonts w:ascii="Calibri" w:hAnsi="Calibri" w:cs="Calibri"/>
        </w:rPr>
        <w:t xml:space="preserve">The Proposed Project was presented at MWH’s Patient Family Advisory Committee (“PFAC”) on June 28, 2022, with </w:t>
      </w:r>
      <w:r w:rsidR="00344175" w:rsidRPr="00AC15B1">
        <w:rPr>
          <w:rFonts w:ascii="Calibri" w:hAnsi="Calibri" w:cs="Calibri"/>
        </w:rPr>
        <w:t>fifteen</w:t>
      </w:r>
      <w:r w:rsidRPr="00AC15B1">
        <w:rPr>
          <w:rFonts w:ascii="Calibri" w:hAnsi="Calibri" w:cs="Calibri"/>
        </w:rPr>
        <w:t xml:space="preserve"> (</w:t>
      </w:r>
      <w:r w:rsidR="00344175" w:rsidRPr="00AC15B1">
        <w:rPr>
          <w:rFonts w:ascii="Calibri" w:hAnsi="Calibri" w:cs="Calibri"/>
        </w:rPr>
        <w:t>15</w:t>
      </w:r>
      <w:r w:rsidRPr="00AC15B1">
        <w:rPr>
          <w:rFonts w:ascii="Calibri" w:hAnsi="Calibri" w:cs="Calibri"/>
        </w:rPr>
        <w:t>)</w:t>
      </w:r>
      <w:r>
        <w:rPr>
          <w:rFonts w:ascii="Calibri" w:hAnsi="Calibri" w:cs="Calibri"/>
        </w:rPr>
        <w:t xml:space="preserve"> members in attendance. The PFAC is comprised of current and former patients of the hospital and their family members as well as caregivers and staff of the hospital. Because patients of the proposed service will continue to be MWH patients, it was decided that the PFAC would best represent patients from the proposed service area. The presentation sought to inform PFAC members about the purpose of the Proposed Project and what it would mean for patients.</w:t>
      </w:r>
    </w:p>
    <w:p w14:paraId="633E013E" w14:textId="77777777" w:rsidR="0019754C" w:rsidRDefault="0019754C" w:rsidP="0019754C">
      <w:pPr>
        <w:autoSpaceDE w:val="0"/>
        <w:autoSpaceDN w:val="0"/>
        <w:adjustRightInd w:val="0"/>
        <w:spacing w:after="0" w:line="240" w:lineRule="auto"/>
        <w:jc w:val="both"/>
        <w:rPr>
          <w:rFonts w:ascii="Calibri" w:hAnsi="Calibri" w:cs="Calibri"/>
        </w:rPr>
      </w:pPr>
    </w:p>
    <w:p w14:paraId="5CC2A387" w14:textId="77777777" w:rsidR="0019754C" w:rsidRDefault="0019754C" w:rsidP="0019754C">
      <w:pPr>
        <w:autoSpaceDE w:val="0"/>
        <w:autoSpaceDN w:val="0"/>
        <w:adjustRightInd w:val="0"/>
        <w:spacing w:after="0" w:line="240" w:lineRule="auto"/>
        <w:jc w:val="both"/>
        <w:rPr>
          <w:rFonts w:ascii="Calibri" w:hAnsi="Calibri" w:cs="Calibri"/>
        </w:rPr>
      </w:pPr>
      <w:r>
        <w:rPr>
          <w:rFonts w:ascii="Calibri" w:hAnsi="Calibri" w:cs="Calibri"/>
        </w:rPr>
        <w:t>The presentation to the PFAC offered members an overview of current state of imaging services and the continued need for PET-CT at the MelroseWakefield Medical Building location once the current imaging vendor relationship expires in the summer of 2023.  It reviewed how the Proposed Project will benefit current and future patients. This project will use a combination of inside space and a mobile PET-CT unit aligned with the building one day per week.  PET-CT services will complement the cancer treatment and breast services currently provided at MWH. The service will operate on an outpatient fee schedule which will lower the cost of services.</w:t>
      </w:r>
    </w:p>
    <w:p w14:paraId="3208637C" w14:textId="77777777" w:rsidR="0019754C" w:rsidRDefault="0019754C" w:rsidP="0019754C">
      <w:pPr>
        <w:autoSpaceDE w:val="0"/>
        <w:autoSpaceDN w:val="0"/>
        <w:adjustRightInd w:val="0"/>
        <w:spacing w:after="0" w:line="240" w:lineRule="auto"/>
        <w:jc w:val="both"/>
        <w:rPr>
          <w:rFonts w:ascii="Calibri" w:hAnsi="Calibri" w:cs="Calibri"/>
        </w:rPr>
      </w:pPr>
    </w:p>
    <w:p w14:paraId="06DD660A" w14:textId="77777777" w:rsidR="0019754C" w:rsidRDefault="0019754C" w:rsidP="0019754C">
      <w:pPr>
        <w:autoSpaceDE w:val="0"/>
        <w:autoSpaceDN w:val="0"/>
        <w:adjustRightInd w:val="0"/>
        <w:spacing w:after="0" w:line="240" w:lineRule="auto"/>
        <w:jc w:val="both"/>
        <w:rPr>
          <w:rFonts w:ascii="Calibri" w:hAnsi="Calibri" w:cs="Calibri"/>
        </w:rPr>
      </w:pPr>
      <w:r>
        <w:rPr>
          <w:rFonts w:ascii="Calibri" w:hAnsi="Calibri" w:cs="Calibri"/>
        </w:rPr>
        <w:t>The PFAC members had positive reactions to the presentation of the Proposed Project and did not voice any serious concerns. Participants were engaged throughout the presentation and made several comments that generally focused ease of access, the ease of scheduling, and the benefits of local care, as well as the advantages of new imaging equipment.</w:t>
      </w:r>
      <w:r>
        <w:rPr>
          <w:rStyle w:val="FootnoteReference"/>
          <w:rFonts w:ascii="Calibri" w:hAnsi="Calibri" w:cs="Calibri"/>
        </w:rPr>
        <w:footnoteReference w:id="151"/>
      </w:r>
      <w:r>
        <w:rPr>
          <w:rFonts w:ascii="Calibri" w:hAnsi="Calibri" w:cs="Calibri"/>
        </w:rPr>
        <w:t xml:space="preserve"> Clarification was sought regarding the impact to the neighborhood and whether there would be additional traffic and/or noise – both matters are not contemplated to be an issue with the proposed project.</w:t>
      </w:r>
    </w:p>
    <w:p w14:paraId="76A046E0" w14:textId="77777777" w:rsidR="0019754C" w:rsidRDefault="0019754C" w:rsidP="0019754C">
      <w:pPr>
        <w:autoSpaceDE w:val="0"/>
        <w:autoSpaceDN w:val="0"/>
        <w:adjustRightInd w:val="0"/>
        <w:spacing w:after="0" w:line="240" w:lineRule="auto"/>
        <w:jc w:val="both"/>
        <w:rPr>
          <w:rFonts w:ascii="Calibri" w:hAnsi="Calibri" w:cs="Calibri"/>
        </w:rPr>
      </w:pPr>
    </w:p>
    <w:p w14:paraId="7DCBF6E2" w14:textId="68BC269C" w:rsidR="0019754C" w:rsidRDefault="0019754C" w:rsidP="0019754C">
      <w:pPr>
        <w:jc w:val="both"/>
        <w:rPr>
          <w:rFonts w:eastAsia="Times New Roman"/>
        </w:rPr>
      </w:pPr>
      <w:r>
        <w:rPr>
          <w:rFonts w:eastAsia="Times New Roman"/>
        </w:rPr>
        <w:t xml:space="preserve">The Proposed Project was also presented </w:t>
      </w:r>
      <w:r w:rsidR="00DC449B">
        <w:rPr>
          <w:rFonts w:eastAsia="Times New Roman"/>
        </w:rPr>
        <w:t>at a community meeting</w:t>
      </w:r>
      <w:r w:rsidR="007E7A78">
        <w:rPr>
          <w:rFonts w:eastAsia="Times New Roman"/>
        </w:rPr>
        <w:t xml:space="preserve"> on </w:t>
      </w:r>
      <w:r>
        <w:rPr>
          <w:rFonts w:eastAsia="Times New Roman"/>
        </w:rPr>
        <w:t xml:space="preserve">September </w:t>
      </w:r>
      <w:r w:rsidR="006B4E80">
        <w:rPr>
          <w:rFonts w:eastAsia="Times New Roman"/>
        </w:rPr>
        <w:t>8, 2</w:t>
      </w:r>
      <w:r>
        <w:rPr>
          <w:rFonts w:eastAsia="Times New Roman"/>
        </w:rPr>
        <w:t>022</w:t>
      </w:r>
      <w:r w:rsidR="007E7A78">
        <w:rPr>
          <w:rFonts w:eastAsia="Times New Roman"/>
        </w:rPr>
        <w:t xml:space="preserve"> – there were</w:t>
      </w:r>
      <w:r>
        <w:rPr>
          <w:rFonts w:eastAsia="Times New Roman"/>
        </w:rPr>
        <w:t xml:space="preserve"> </w:t>
      </w:r>
      <w:r w:rsidR="00554807">
        <w:rPr>
          <w:rFonts w:eastAsia="Times New Roman"/>
        </w:rPr>
        <w:t>thirteen (13) i</w:t>
      </w:r>
      <w:r>
        <w:rPr>
          <w:rFonts w:eastAsia="Times New Roman"/>
        </w:rPr>
        <w:t xml:space="preserve">ndividuals in attendance. The group </w:t>
      </w:r>
      <w:r w:rsidR="006B4E80">
        <w:rPr>
          <w:rFonts w:eastAsia="Times New Roman"/>
        </w:rPr>
        <w:t>was</w:t>
      </w:r>
      <w:r>
        <w:rPr>
          <w:rFonts w:eastAsia="Times New Roman"/>
        </w:rPr>
        <w:t xml:space="preserve"> comprised of</w:t>
      </w:r>
      <w:r w:rsidR="00554807">
        <w:rPr>
          <w:rFonts w:eastAsia="Times New Roman"/>
        </w:rPr>
        <w:t xml:space="preserve"> </w:t>
      </w:r>
      <w:r w:rsidR="00C81DBD">
        <w:rPr>
          <w:rFonts w:eastAsia="Times New Roman"/>
        </w:rPr>
        <w:t>MWH patients and residents of Wakefield.</w:t>
      </w:r>
      <w:r>
        <w:rPr>
          <w:rFonts w:eastAsia="Times New Roman"/>
        </w:rPr>
        <w:t xml:space="preserve">  The presentation contained the </w:t>
      </w:r>
      <w:r w:rsidR="00A23EBF">
        <w:rPr>
          <w:rFonts w:eastAsia="Times New Roman"/>
        </w:rPr>
        <w:t xml:space="preserve">substantially similar information as the PFAC </w:t>
      </w:r>
      <w:r w:rsidR="002330D4">
        <w:rPr>
          <w:rFonts w:eastAsia="Times New Roman"/>
        </w:rPr>
        <w:t>presentation.</w:t>
      </w:r>
      <w:r w:rsidR="002330D4">
        <w:rPr>
          <w:rStyle w:val="FootnoteReference"/>
          <w:rFonts w:eastAsia="Times New Roman"/>
        </w:rPr>
        <w:footnoteReference w:id="152"/>
      </w:r>
      <w:r w:rsidR="002330D4">
        <w:rPr>
          <w:rFonts w:eastAsia="Times New Roman"/>
        </w:rPr>
        <w:t xml:space="preserve"> </w:t>
      </w:r>
    </w:p>
    <w:p w14:paraId="14CB3184" w14:textId="635233C3" w:rsidR="0019754C" w:rsidRDefault="008B2061" w:rsidP="0019754C">
      <w:pPr>
        <w:jc w:val="both"/>
        <w:rPr>
          <w:rFonts w:eastAsia="Times New Roman"/>
        </w:rPr>
      </w:pPr>
      <w:r>
        <w:rPr>
          <w:rFonts w:eastAsia="Times New Roman"/>
        </w:rPr>
        <w:t xml:space="preserve">Attendees </w:t>
      </w:r>
      <w:r w:rsidR="007E7A78">
        <w:rPr>
          <w:rFonts w:eastAsia="Times New Roman"/>
        </w:rPr>
        <w:t xml:space="preserve">at </w:t>
      </w:r>
      <w:r>
        <w:rPr>
          <w:rFonts w:eastAsia="Times New Roman"/>
        </w:rPr>
        <w:t>the community meeting</w:t>
      </w:r>
      <w:r w:rsidR="0019754C">
        <w:rPr>
          <w:rFonts w:eastAsia="Times New Roman"/>
        </w:rPr>
        <w:t xml:space="preserve"> also had a positive reaction to the Proposed Project and did not voice any concerns. </w:t>
      </w:r>
      <w:r w:rsidR="00F5096B">
        <w:rPr>
          <w:rFonts w:eastAsia="Times New Roman"/>
        </w:rPr>
        <w:t xml:space="preserve">There was a question about radiation safety and a comment about </w:t>
      </w:r>
      <w:r w:rsidR="00BC74F6">
        <w:rPr>
          <w:rFonts w:eastAsia="Times New Roman"/>
        </w:rPr>
        <w:t>local street access.</w:t>
      </w:r>
    </w:p>
    <w:p w14:paraId="523760B4" w14:textId="77777777" w:rsidR="0019754C" w:rsidRDefault="0019754C" w:rsidP="0019754C">
      <w:pPr>
        <w:jc w:val="both"/>
      </w:pPr>
      <w:r>
        <w:t>To ensure appropriate awareness within the community about the Proposed Project, the legal notice associated with the Proposed Project was published both on the Shields website</w:t>
      </w:r>
      <w:r>
        <w:rPr>
          <w:rStyle w:val="FootnoteReference"/>
        </w:rPr>
        <w:footnoteReference w:id="153"/>
      </w:r>
      <w:r>
        <w:t xml:space="preserve"> and on the MWH website.</w:t>
      </w:r>
      <w:r>
        <w:rPr>
          <w:rStyle w:val="FootnoteReference"/>
        </w:rPr>
        <w:footnoteReference w:id="154"/>
      </w:r>
      <w:r>
        <w:t xml:space="preserve"> This was done to bring awareness of the Proposed Project to all patients, family members, </w:t>
      </w:r>
      <w:r>
        <w:lastRenderedPageBreak/>
        <w:t>residents, and resident groups. It also provides an opportunity for public comment on the Proposed Project.</w:t>
      </w:r>
    </w:p>
    <w:p w14:paraId="63A3BAB9" w14:textId="77777777" w:rsidR="001E5E2F" w:rsidRDefault="001E5E2F" w:rsidP="0019754C">
      <w:pPr>
        <w:rPr>
          <w:b/>
          <w:bCs/>
        </w:rPr>
      </w:pPr>
    </w:p>
    <w:p w14:paraId="74E5A5D0" w14:textId="0E335DD7" w:rsidR="0019754C" w:rsidRDefault="0019754C" w:rsidP="0019754C">
      <w:pPr>
        <w:rPr>
          <w:b/>
          <w:bCs/>
        </w:rPr>
      </w:pPr>
      <w:r>
        <w:rPr>
          <w:b/>
          <w:bCs/>
        </w:rPr>
        <w:t>F1.</w:t>
      </w:r>
      <w:proofErr w:type="gramStart"/>
      <w:r>
        <w:rPr>
          <w:b/>
          <w:bCs/>
        </w:rPr>
        <w:t>e.ii</w:t>
      </w:r>
      <w:proofErr w:type="gramEnd"/>
      <w:r>
        <w:rPr>
          <w:b/>
          <w:bCs/>
        </w:rPr>
        <w:tab/>
        <w:t>Please provide evidence of sound Community Engagement and consultation throughout the development of the Proposed Project. A successful Applicant will, at a minimum, describe the process whereby the "Public Health Value" of the Proposed Project was considered, and will describe the Community Engagement process as it occurred and is occurring currently in, at least, the following contexts: Identification of Patient Panel Need; Design/selection of DoN Project in response to "Patient Panel" need; and Linking the Proposed Project to "Public Health Value.”</w:t>
      </w:r>
    </w:p>
    <w:p w14:paraId="29171772" w14:textId="77777777" w:rsidR="0019754C" w:rsidRDefault="0019754C" w:rsidP="0019754C">
      <w:pPr>
        <w:autoSpaceDE w:val="0"/>
        <w:autoSpaceDN w:val="0"/>
        <w:adjustRightInd w:val="0"/>
        <w:spacing w:after="0" w:line="240" w:lineRule="auto"/>
        <w:jc w:val="both"/>
        <w:rPr>
          <w:rFonts w:ascii="Calibri" w:hAnsi="Calibri" w:cs="Calibri"/>
        </w:rPr>
      </w:pPr>
      <w:r>
        <w:rPr>
          <w:rFonts w:ascii="Calibri" w:hAnsi="Calibri" w:cs="Calibri"/>
        </w:rPr>
        <w:t>To ensure sound community engagement throughout the development of the Proposed Project, the following actions were taken:</w:t>
      </w:r>
    </w:p>
    <w:p w14:paraId="75EB460E" w14:textId="77777777" w:rsidR="0019754C" w:rsidRDefault="0019754C" w:rsidP="0019754C">
      <w:pPr>
        <w:autoSpaceDE w:val="0"/>
        <w:autoSpaceDN w:val="0"/>
        <w:adjustRightInd w:val="0"/>
        <w:spacing w:after="0" w:line="240" w:lineRule="auto"/>
        <w:jc w:val="both"/>
        <w:rPr>
          <w:rFonts w:ascii="Calibri" w:hAnsi="Calibri" w:cs="Calibri"/>
        </w:rPr>
      </w:pPr>
    </w:p>
    <w:p w14:paraId="5DEB7887" w14:textId="77777777" w:rsidR="0019754C" w:rsidRDefault="0019754C" w:rsidP="0019754C">
      <w:pPr>
        <w:pStyle w:val="ListParagraph"/>
        <w:numPr>
          <w:ilvl w:val="0"/>
          <w:numId w:val="7"/>
        </w:numPr>
        <w:autoSpaceDE w:val="0"/>
        <w:autoSpaceDN w:val="0"/>
        <w:adjustRightInd w:val="0"/>
        <w:spacing w:after="0" w:line="240" w:lineRule="auto"/>
        <w:jc w:val="both"/>
        <w:rPr>
          <w:rFonts w:ascii="Calibri" w:hAnsi="Calibri" w:cs="Calibri"/>
        </w:rPr>
      </w:pPr>
      <w:r>
        <w:rPr>
          <w:rFonts w:ascii="Calibri" w:hAnsi="Calibri" w:cs="Calibri"/>
        </w:rPr>
        <w:t>Presentation to MWH’s PFAC on June 28, 2022; and</w:t>
      </w:r>
    </w:p>
    <w:p w14:paraId="2D7BAD2F" w14:textId="0150F090" w:rsidR="0019754C" w:rsidRDefault="00CA4FF3" w:rsidP="0019754C">
      <w:pPr>
        <w:pStyle w:val="ListParagraph"/>
        <w:numPr>
          <w:ilvl w:val="0"/>
          <w:numId w:val="7"/>
        </w:numPr>
        <w:autoSpaceDE w:val="0"/>
        <w:autoSpaceDN w:val="0"/>
        <w:adjustRightInd w:val="0"/>
        <w:spacing w:after="0" w:line="240" w:lineRule="auto"/>
        <w:jc w:val="both"/>
        <w:rPr>
          <w:rFonts w:ascii="Calibri" w:hAnsi="Calibri" w:cs="Calibri"/>
        </w:rPr>
      </w:pPr>
      <w:r>
        <w:rPr>
          <w:rFonts w:ascii="Calibri" w:hAnsi="Calibri" w:cs="Calibri"/>
        </w:rPr>
        <w:t xml:space="preserve">Community meeting </w:t>
      </w:r>
      <w:r w:rsidR="0019754C">
        <w:rPr>
          <w:rFonts w:ascii="Calibri" w:hAnsi="Calibri" w:cs="Calibri"/>
        </w:rPr>
        <w:t xml:space="preserve">on September </w:t>
      </w:r>
      <w:r w:rsidR="00BC74F6">
        <w:rPr>
          <w:rFonts w:ascii="Calibri" w:hAnsi="Calibri" w:cs="Calibri"/>
        </w:rPr>
        <w:t>8</w:t>
      </w:r>
      <w:r w:rsidR="0019754C">
        <w:rPr>
          <w:rFonts w:ascii="Calibri" w:hAnsi="Calibri" w:cs="Calibri"/>
        </w:rPr>
        <w:t>, 2022.</w:t>
      </w:r>
      <w:r w:rsidR="00D92AD9">
        <w:rPr>
          <w:rStyle w:val="FootnoteReference"/>
          <w:rFonts w:ascii="Calibri" w:hAnsi="Calibri" w:cs="Calibri"/>
        </w:rPr>
        <w:footnoteReference w:id="155"/>
      </w:r>
    </w:p>
    <w:p w14:paraId="7CAFAB41" w14:textId="77777777" w:rsidR="0019754C" w:rsidRDefault="0019754C" w:rsidP="0019754C">
      <w:pPr>
        <w:pStyle w:val="ListParagraph"/>
        <w:autoSpaceDE w:val="0"/>
        <w:autoSpaceDN w:val="0"/>
        <w:adjustRightInd w:val="0"/>
        <w:spacing w:after="0" w:line="240" w:lineRule="auto"/>
        <w:jc w:val="both"/>
        <w:rPr>
          <w:rFonts w:ascii="Calibri" w:hAnsi="Calibri" w:cs="Calibri"/>
        </w:rPr>
      </w:pPr>
    </w:p>
    <w:p w14:paraId="7C1DA5E9" w14:textId="77777777" w:rsidR="005C7381" w:rsidRDefault="005C7381" w:rsidP="00EF69DA"/>
    <w:p w14:paraId="7044C59E" w14:textId="77777777" w:rsidR="00036B19" w:rsidRPr="00DF02E6" w:rsidRDefault="00036B19" w:rsidP="00036B19">
      <w:pPr>
        <w:rPr>
          <w:b/>
          <w:bCs/>
          <w:color w:val="0070C0"/>
        </w:rPr>
      </w:pPr>
      <w:r w:rsidRPr="00DF02E6">
        <w:rPr>
          <w:b/>
          <w:bCs/>
          <w:color w:val="0070C0"/>
        </w:rPr>
        <w:t>Factor 2: Health Prioritie</w:t>
      </w:r>
      <w:r>
        <w:rPr>
          <w:b/>
          <w:bCs/>
          <w:color w:val="0070C0"/>
        </w:rPr>
        <w:t>s</w:t>
      </w:r>
    </w:p>
    <w:p w14:paraId="195E23DB" w14:textId="77777777" w:rsidR="00036B19" w:rsidRPr="00DF02E6" w:rsidRDefault="00036B19" w:rsidP="00036B19">
      <w:pPr>
        <w:rPr>
          <w:b/>
          <w:bCs/>
        </w:rPr>
      </w:pPr>
      <w:r w:rsidRPr="00DF02E6">
        <w:rPr>
          <w:b/>
          <w:bCs/>
        </w:rPr>
        <w:t>Addresses the impact of the Proposed Project on health more broadly (that is, beyond the Patient Panel) requiring that the Applicant demonstrate that the Proposed Project will meaningfully contribute to the Commonwealth's goals for cost containment, improved public health outcomes, and delivery system transformation.</w:t>
      </w:r>
    </w:p>
    <w:p w14:paraId="4B9239F0" w14:textId="77777777" w:rsidR="00036B19" w:rsidRPr="00DF02E6" w:rsidRDefault="00036B19" w:rsidP="00036B19">
      <w:pPr>
        <w:rPr>
          <w:b/>
          <w:bCs/>
        </w:rPr>
      </w:pPr>
      <w:r w:rsidRPr="00DF02E6">
        <w:rPr>
          <w:b/>
          <w:bCs/>
        </w:rPr>
        <w:t>F2.a.</w:t>
      </w:r>
      <w:r w:rsidRPr="00DF02E6">
        <w:rPr>
          <w:b/>
          <w:bCs/>
        </w:rPr>
        <w:tab/>
      </w:r>
      <w:r w:rsidRPr="00DF02E6">
        <w:rPr>
          <w:b/>
          <w:bCs/>
          <w:u w:val="single"/>
        </w:rPr>
        <w:t>Cost Containment</w:t>
      </w:r>
      <w:r w:rsidRPr="00DF02E6">
        <w:rPr>
          <w:b/>
          <w:bCs/>
        </w:rPr>
        <w:t>:</w:t>
      </w:r>
    </w:p>
    <w:p w14:paraId="43C57A90" w14:textId="77777777" w:rsidR="00036B19" w:rsidRDefault="00036B19" w:rsidP="00036B19">
      <w:pPr>
        <w:rPr>
          <w:b/>
          <w:bCs/>
        </w:rPr>
      </w:pPr>
      <w:r w:rsidRPr="00DF02E6">
        <w:rPr>
          <w:b/>
          <w:bCs/>
        </w:rPr>
        <w:t>Using objective data, please describe, for each new or expanded service, how the Proposed Project will meaningfully contribute to the Commonwealth's goals for cost containment.</w:t>
      </w:r>
    </w:p>
    <w:p w14:paraId="09FBC001" w14:textId="77777777" w:rsidR="00036B19" w:rsidRDefault="00036B19" w:rsidP="00036B19">
      <w:pPr>
        <w:autoSpaceDE w:val="0"/>
        <w:autoSpaceDN w:val="0"/>
        <w:adjustRightInd w:val="0"/>
        <w:spacing w:after="0" w:line="240" w:lineRule="auto"/>
        <w:jc w:val="both"/>
        <w:rPr>
          <w:rFonts w:ascii="Calibri" w:hAnsi="Calibri" w:cs="Calibri"/>
        </w:rPr>
      </w:pPr>
      <w:r>
        <w:rPr>
          <w:rFonts w:ascii="Calibri" w:hAnsi="Calibri" w:cs="Calibri"/>
        </w:rPr>
        <w:t xml:space="preserve">The goals for cost containment in Massachusetts center around providing low-cost care alternatives without sacrificing high quality. The Proposed Project seeks to align with these goals by providing a lower cost option for patients in and around the Melrose/Wakefield PSA/SSA seeking local PET-CT imaging services. Through the Proposed Project, the Applicant seeks to enhance existing imaging capabilities by installing a new PET-CT imaging unit to replace an antiquated machine and to update the diagnostic imaging vendor relationship when the current joint venture expires in the summer of 2023. The new service will be conveniently located in a medical services building, proximately located to MWH.    </w:t>
      </w:r>
    </w:p>
    <w:p w14:paraId="1A01AA1A" w14:textId="77777777" w:rsidR="00036B19" w:rsidRDefault="00036B19" w:rsidP="00036B19">
      <w:pPr>
        <w:autoSpaceDE w:val="0"/>
        <w:autoSpaceDN w:val="0"/>
        <w:adjustRightInd w:val="0"/>
        <w:spacing w:after="0" w:line="240" w:lineRule="auto"/>
        <w:jc w:val="both"/>
        <w:rPr>
          <w:rFonts w:ascii="Calibri" w:hAnsi="Calibri" w:cs="Calibri"/>
        </w:rPr>
      </w:pPr>
    </w:p>
    <w:p w14:paraId="4CE762B7" w14:textId="77777777" w:rsidR="00036B19" w:rsidRDefault="00036B19" w:rsidP="00036B19">
      <w:pPr>
        <w:autoSpaceDE w:val="0"/>
        <w:autoSpaceDN w:val="0"/>
        <w:adjustRightInd w:val="0"/>
        <w:spacing w:after="0" w:line="240" w:lineRule="auto"/>
        <w:jc w:val="both"/>
        <w:rPr>
          <w:rFonts w:ascii="Calibri" w:hAnsi="Calibri" w:cs="Calibri"/>
        </w:rPr>
      </w:pPr>
      <w:r>
        <w:rPr>
          <w:rFonts w:ascii="Calibri" w:hAnsi="Calibri" w:cs="Calibri"/>
        </w:rPr>
        <w:t xml:space="preserve">As previously discussed, the cost of providing these services will be mitigated via the IDTF clinic model. Furthermore, </w:t>
      </w:r>
      <w:r w:rsidRPr="008B770A">
        <w:rPr>
          <w:rFonts w:ascii="Calibri" w:hAnsi="Calibri" w:cs="Calibri"/>
        </w:rPr>
        <w:t>potential savings are associated with PET</w:t>
      </w:r>
      <w:r>
        <w:rPr>
          <w:rFonts w:ascii="Calibri" w:hAnsi="Calibri" w:cs="Calibri"/>
        </w:rPr>
        <w:t>-</w:t>
      </w:r>
      <w:r w:rsidRPr="008B770A">
        <w:rPr>
          <w:rFonts w:ascii="Calibri" w:hAnsi="Calibri" w:cs="Calibri"/>
        </w:rPr>
        <w:t>CT as a result of avoiding additional imaging examinations or invasive procedures and by helping clinicians make the optimum treatment decisions.</w:t>
      </w:r>
      <w:r>
        <w:rPr>
          <w:rStyle w:val="FootnoteReference"/>
          <w:rFonts w:ascii="Calibri" w:hAnsi="Calibri" w:cs="Calibri"/>
        </w:rPr>
        <w:footnoteReference w:id="156"/>
      </w:r>
      <w:r>
        <w:rPr>
          <w:rFonts w:ascii="Calibri" w:hAnsi="Calibri" w:cs="Calibri"/>
        </w:rPr>
        <w:t xml:space="preserve"> The Proposed Project meets the goal of providing a lower-cost alternative for PET-CT imaging services, as </w:t>
      </w:r>
      <w:r>
        <w:rPr>
          <w:rFonts w:ascii="Calibri" w:hAnsi="Calibri" w:cs="Calibri"/>
        </w:rPr>
        <w:lastRenderedPageBreak/>
        <w:t>services will be provided by an IDTF, rather than a hospital-based outpatient clinic.  IDTFs are a more cost-effective option as the administrative costs for these types of providers are lower.</w:t>
      </w:r>
      <w:r>
        <w:rPr>
          <w:rStyle w:val="FootnoteReference"/>
          <w:rFonts w:ascii="Calibri" w:hAnsi="Calibri" w:cs="Calibri"/>
        </w:rPr>
        <w:footnoteReference w:id="157"/>
      </w:r>
      <w:r>
        <w:rPr>
          <w:rFonts w:ascii="Calibri" w:hAnsi="Calibri" w:cs="Calibri"/>
        </w:rPr>
        <w:t xml:space="preserve"> This difference will allow the Applicant to provide cost-effective, quality imaging services to MWH’s patients, while having a negligible impact on the overall healthcare market.</w:t>
      </w:r>
    </w:p>
    <w:p w14:paraId="63C2D3F4" w14:textId="77777777" w:rsidR="00036B19" w:rsidRDefault="00036B19" w:rsidP="00036B19">
      <w:pPr>
        <w:autoSpaceDE w:val="0"/>
        <w:autoSpaceDN w:val="0"/>
        <w:adjustRightInd w:val="0"/>
        <w:spacing w:after="0" w:line="240" w:lineRule="auto"/>
        <w:jc w:val="both"/>
        <w:rPr>
          <w:rFonts w:ascii="Calibri" w:hAnsi="Calibri" w:cs="Calibri"/>
        </w:rPr>
      </w:pPr>
    </w:p>
    <w:p w14:paraId="444A30CD" w14:textId="77777777" w:rsidR="00036B19" w:rsidRDefault="00036B19" w:rsidP="00036B19">
      <w:pPr>
        <w:autoSpaceDE w:val="0"/>
        <w:autoSpaceDN w:val="0"/>
        <w:adjustRightInd w:val="0"/>
        <w:spacing w:after="0" w:line="240" w:lineRule="auto"/>
        <w:jc w:val="both"/>
        <w:rPr>
          <w:rFonts w:ascii="Calibri" w:hAnsi="Calibri" w:cs="Calibri"/>
        </w:rPr>
      </w:pPr>
      <w:r>
        <w:rPr>
          <w:rFonts w:ascii="Calibri" w:hAnsi="Calibri" w:cs="Calibri"/>
        </w:rPr>
        <w:t xml:space="preserve">According to a study in the Yale Journal of Biology and Medicine, </w:t>
      </w:r>
      <w:r w:rsidRPr="00D06253">
        <w:rPr>
          <w:rFonts w:ascii="Calibri" w:hAnsi="Calibri" w:cs="Calibri"/>
        </w:rPr>
        <w:t xml:space="preserve">there are savings from the integration of PET and CT in one system. </w:t>
      </w:r>
      <w:r>
        <w:rPr>
          <w:rFonts w:ascii="Calibri" w:hAnsi="Calibri" w:cs="Calibri"/>
        </w:rPr>
        <w:t>T</w:t>
      </w:r>
      <w:r w:rsidRPr="00D06253">
        <w:rPr>
          <w:rFonts w:ascii="Calibri" w:hAnsi="Calibri" w:cs="Calibri"/>
        </w:rPr>
        <w:t>here are several occasions in which PET leads to equivocal findings, and follow-up imaging studies (usually CT scans) are required.</w:t>
      </w:r>
      <w:r>
        <w:rPr>
          <w:rStyle w:val="FootnoteReference"/>
          <w:rFonts w:ascii="Calibri" w:hAnsi="Calibri" w:cs="Calibri"/>
        </w:rPr>
        <w:footnoteReference w:id="158"/>
      </w:r>
      <w:r w:rsidRPr="00D06253">
        <w:rPr>
          <w:rFonts w:ascii="Calibri" w:hAnsi="Calibri" w:cs="Calibri"/>
        </w:rPr>
        <w:t xml:space="preserve"> If patients undergo both examinations in one session, in addition to having more accurate results, costs will be lower</w:t>
      </w:r>
      <w:r>
        <w:rPr>
          <w:rFonts w:ascii="Calibri" w:hAnsi="Calibri" w:cs="Calibri"/>
        </w:rPr>
        <w:t>.</w:t>
      </w:r>
      <w:r>
        <w:rPr>
          <w:rStyle w:val="FootnoteReference"/>
          <w:rFonts w:ascii="Calibri" w:hAnsi="Calibri" w:cs="Calibri"/>
        </w:rPr>
        <w:footnoteReference w:id="159"/>
      </w:r>
    </w:p>
    <w:p w14:paraId="6D3EF74B" w14:textId="77777777" w:rsidR="00036B19" w:rsidRDefault="00036B19" w:rsidP="00036B19">
      <w:pPr>
        <w:autoSpaceDE w:val="0"/>
        <w:autoSpaceDN w:val="0"/>
        <w:adjustRightInd w:val="0"/>
        <w:spacing w:after="0" w:line="240" w:lineRule="auto"/>
        <w:jc w:val="both"/>
        <w:rPr>
          <w:rFonts w:ascii="Calibri" w:hAnsi="Calibri" w:cs="Calibri"/>
        </w:rPr>
      </w:pPr>
    </w:p>
    <w:p w14:paraId="23A1FBBF" w14:textId="77777777" w:rsidR="00036B19" w:rsidRDefault="00036B19" w:rsidP="00036B19">
      <w:pPr>
        <w:autoSpaceDE w:val="0"/>
        <w:autoSpaceDN w:val="0"/>
        <w:adjustRightInd w:val="0"/>
        <w:spacing w:after="0" w:line="240" w:lineRule="auto"/>
        <w:jc w:val="both"/>
        <w:rPr>
          <w:rFonts w:ascii="Calibri" w:hAnsi="Calibri" w:cs="Calibri"/>
        </w:rPr>
      </w:pPr>
      <w:r w:rsidRPr="00342990">
        <w:rPr>
          <w:rFonts w:ascii="Calibri" w:hAnsi="Calibri" w:cs="Calibri"/>
        </w:rPr>
        <w:t xml:space="preserve">Providing patients with accessible, low-cost, high-quality </w:t>
      </w:r>
      <w:r>
        <w:rPr>
          <w:rFonts w:ascii="Calibri" w:hAnsi="Calibri" w:cs="Calibri"/>
        </w:rPr>
        <w:t>PET-CT</w:t>
      </w:r>
      <w:r w:rsidRPr="00342990">
        <w:rPr>
          <w:rFonts w:ascii="Calibri" w:hAnsi="Calibri" w:cs="Calibri"/>
        </w:rPr>
        <w:t xml:space="preserve"> imaging services and helping ensure that all patients receive essential care in a timely manner, is another way to promote cost containment goals.  </w:t>
      </w:r>
    </w:p>
    <w:p w14:paraId="18439FD6" w14:textId="77777777" w:rsidR="00036B19" w:rsidRDefault="00036B19" w:rsidP="00036B19">
      <w:pPr>
        <w:autoSpaceDE w:val="0"/>
        <w:autoSpaceDN w:val="0"/>
        <w:adjustRightInd w:val="0"/>
        <w:spacing w:after="0" w:line="240" w:lineRule="auto"/>
        <w:jc w:val="both"/>
        <w:rPr>
          <w:rFonts w:ascii="Calibri" w:hAnsi="Calibri" w:cs="Calibri"/>
        </w:rPr>
      </w:pPr>
      <w:r w:rsidRPr="000C1DF3">
        <w:rPr>
          <w:rFonts w:ascii="Calibri" w:hAnsi="Calibri" w:cs="Calibri"/>
        </w:rPr>
        <w:t>Reducing diagnostic and treatment delays limits deterioration of health and lowers costs by reducing the resources required for care.</w:t>
      </w:r>
      <w:r>
        <w:rPr>
          <w:rStyle w:val="FootnoteReference"/>
          <w:rFonts w:ascii="Calibri" w:hAnsi="Calibri" w:cs="Calibri"/>
        </w:rPr>
        <w:footnoteReference w:id="160"/>
      </w:r>
      <w:r>
        <w:rPr>
          <w:rFonts w:ascii="Calibri" w:hAnsi="Calibri" w:cs="Calibri"/>
        </w:rPr>
        <w:t xml:space="preserve"> </w:t>
      </w:r>
      <w:r w:rsidRPr="00342990">
        <w:rPr>
          <w:rFonts w:ascii="Calibri" w:hAnsi="Calibri" w:cs="Calibri"/>
        </w:rPr>
        <w:t xml:space="preserve">By offering </w:t>
      </w:r>
      <w:r>
        <w:rPr>
          <w:rFonts w:ascii="Calibri" w:hAnsi="Calibri" w:cs="Calibri"/>
        </w:rPr>
        <w:t xml:space="preserve">PET-CT </w:t>
      </w:r>
      <w:r w:rsidRPr="00342990">
        <w:rPr>
          <w:rFonts w:ascii="Calibri" w:hAnsi="Calibri" w:cs="Calibri"/>
        </w:rPr>
        <w:t xml:space="preserve">imaging services where the patient panel has historically gone for </w:t>
      </w:r>
      <w:r>
        <w:rPr>
          <w:rFonts w:ascii="Calibri" w:hAnsi="Calibri" w:cs="Calibri"/>
        </w:rPr>
        <w:t>diagnostic imaging,</w:t>
      </w:r>
      <w:r w:rsidRPr="00342990">
        <w:rPr>
          <w:rFonts w:ascii="Calibri" w:hAnsi="Calibri" w:cs="Calibri"/>
        </w:rPr>
        <w:t xml:space="preserve"> helps promote faster diagnosis, intervention, and treatment and can contribute to improving health care quality, thereby reducing the overall costs of health care.</w:t>
      </w:r>
    </w:p>
    <w:p w14:paraId="75579939" w14:textId="77777777" w:rsidR="00036B19" w:rsidRDefault="00036B19" w:rsidP="00036B19">
      <w:pPr>
        <w:autoSpaceDE w:val="0"/>
        <w:autoSpaceDN w:val="0"/>
        <w:adjustRightInd w:val="0"/>
        <w:spacing w:after="0" w:line="240" w:lineRule="auto"/>
        <w:jc w:val="both"/>
        <w:rPr>
          <w:b/>
          <w:bCs/>
        </w:rPr>
      </w:pPr>
    </w:p>
    <w:p w14:paraId="3C9E20A9" w14:textId="77777777" w:rsidR="00036B19" w:rsidRPr="00DF02E6" w:rsidRDefault="00036B19" w:rsidP="00036B19">
      <w:pPr>
        <w:autoSpaceDE w:val="0"/>
        <w:autoSpaceDN w:val="0"/>
        <w:adjustRightInd w:val="0"/>
        <w:spacing w:after="0" w:line="240" w:lineRule="auto"/>
        <w:jc w:val="both"/>
        <w:rPr>
          <w:b/>
          <w:bCs/>
        </w:rPr>
      </w:pPr>
    </w:p>
    <w:p w14:paraId="1957BE1A" w14:textId="77777777" w:rsidR="00036B19" w:rsidRPr="00DF02E6" w:rsidRDefault="00036B19" w:rsidP="00036B19">
      <w:pPr>
        <w:rPr>
          <w:b/>
          <w:bCs/>
        </w:rPr>
      </w:pPr>
      <w:r w:rsidRPr="00DF02E6">
        <w:rPr>
          <w:b/>
          <w:bCs/>
        </w:rPr>
        <w:t>F</w:t>
      </w:r>
      <w:proofErr w:type="gramStart"/>
      <w:r w:rsidRPr="00DF02E6">
        <w:rPr>
          <w:b/>
          <w:bCs/>
        </w:rPr>
        <w:t>2.b</w:t>
      </w:r>
      <w:proofErr w:type="gramEnd"/>
      <w:r w:rsidRPr="00DF02E6">
        <w:rPr>
          <w:b/>
          <w:bCs/>
        </w:rPr>
        <w:tab/>
      </w:r>
      <w:r w:rsidRPr="00DF02E6">
        <w:rPr>
          <w:b/>
          <w:bCs/>
          <w:u w:val="single"/>
        </w:rPr>
        <w:t>Public Health Outcomes</w:t>
      </w:r>
      <w:r w:rsidRPr="00DF02E6">
        <w:rPr>
          <w:b/>
          <w:bCs/>
        </w:rPr>
        <w:t>:</w:t>
      </w:r>
    </w:p>
    <w:p w14:paraId="5624A297" w14:textId="77777777" w:rsidR="00036B19" w:rsidRDefault="00036B19" w:rsidP="00036B19">
      <w:pPr>
        <w:rPr>
          <w:b/>
          <w:bCs/>
        </w:rPr>
      </w:pPr>
      <w:r w:rsidRPr="00DF02E6">
        <w:rPr>
          <w:b/>
          <w:bCs/>
        </w:rPr>
        <w:t>Describe, as relevant, for each new or expanded service, how the Proposed Project will improve public health outcomes.</w:t>
      </w:r>
    </w:p>
    <w:p w14:paraId="567E6F11" w14:textId="77777777" w:rsidR="00036B19" w:rsidRDefault="00036B19" w:rsidP="00036B19">
      <w:pPr>
        <w:autoSpaceDE w:val="0"/>
        <w:autoSpaceDN w:val="0"/>
        <w:adjustRightInd w:val="0"/>
        <w:spacing w:after="0" w:line="240" w:lineRule="auto"/>
        <w:jc w:val="both"/>
        <w:rPr>
          <w:rFonts w:ascii="Calibri" w:hAnsi="Calibri" w:cs="Calibri"/>
        </w:rPr>
      </w:pPr>
      <w:r>
        <w:rPr>
          <w:rFonts w:ascii="Calibri" w:hAnsi="Calibri" w:cs="Calibri"/>
        </w:rPr>
        <w:t>Providing needed care in a more efficient and effective manner will improve public health outcomes and patient experience. As is outlined in detail throughout this narrative, PET-CT imaging</w:t>
      </w:r>
      <w:r w:rsidRPr="002D4994">
        <w:t xml:space="preserve"> </w:t>
      </w:r>
      <w:r>
        <w:t xml:space="preserve">is a </w:t>
      </w:r>
      <w:r w:rsidRPr="00DF02E6">
        <w:t>powerful modality that allows clinicians to better understand the disease process and make treatment decisions.</w:t>
      </w:r>
      <w:r>
        <w:t xml:space="preserve"> If the Proposed Project is approved, the patient panel will continue to enjoy access to local PET-CT imaging services at a low-cost and </w:t>
      </w:r>
      <w:r w:rsidRPr="00F512E5">
        <w:t>community clinicians will have the necessary tools to appropriately diagnose and treat patients, thereby improving health outcomes for the patient panel.</w:t>
      </w:r>
    </w:p>
    <w:p w14:paraId="4B77D4D0" w14:textId="77777777" w:rsidR="00036B19" w:rsidRDefault="00036B19" w:rsidP="00036B19">
      <w:pPr>
        <w:autoSpaceDE w:val="0"/>
        <w:autoSpaceDN w:val="0"/>
        <w:adjustRightInd w:val="0"/>
        <w:spacing w:after="0" w:line="240" w:lineRule="auto"/>
        <w:jc w:val="both"/>
        <w:rPr>
          <w:rFonts w:ascii="Calibri" w:hAnsi="Calibri" w:cs="Calibri"/>
        </w:rPr>
      </w:pPr>
    </w:p>
    <w:p w14:paraId="4F2C1025" w14:textId="77777777" w:rsidR="00036B19" w:rsidRDefault="00036B19" w:rsidP="00036B19">
      <w:pPr>
        <w:autoSpaceDE w:val="0"/>
        <w:autoSpaceDN w:val="0"/>
        <w:adjustRightInd w:val="0"/>
        <w:spacing w:after="0" w:line="240" w:lineRule="auto"/>
        <w:jc w:val="both"/>
        <w:rPr>
          <w:rFonts w:ascii="Calibri" w:hAnsi="Calibri" w:cs="Calibri"/>
        </w:rPr>
      </w:pPr>
      <w:r w:rsidRPr="00AA5173">
        <w:rPr>
          <w:rFonts w:ascii="Calibri" w:hAnsi="Calibri" w:cs="Calibri"/>
        </w:rPr>
        <w:t>As the patient population ages, the demand for imaging services will likely grow.  An aging population will have an increased need for high-quality imaging services to diagnose and treat age-related conditions.</w:t>
      </w:r>
      <w:r>
        <w:rPr>
          <w:rFonts w:ascii="Calibri" w:hAnsi="Calibri" w:cs="Calibri"/>
        </w:rPr>
        <w:t xml:space="preserve"> In fact, o</w:t>
      </w:r>
      <w:r w:rsidRPr="00F51FEC">
        <w:rPr>
          <w:rFonts w:ascii="Calibri" w:hAnsi="Calibri" w:cs="Calibri"/>
        </w:rPr>
        <w:t>n average, the geriatric patient use</w:t>
      </w:r>
      <w:r>
        <w:rPr>
          <w:rFonts w:ascii="Calibri" w:hAnsi="Calibri" w:cs="Calibri"/>
        </w:rPr>
        <w:t>s</w:t>
      </w:r>
      <w:r w:rsidRPr="00F51FEC">
        <w:rPr>
          <w:rFonts w:ascii="Calibri" w:hAnsi="Calibri" w:cs="Calibri"/>
        </w:rPr>
        <w:t xml:space="preserve"> 50% more lab/imaging services than younger populations.</w:t>
      </w:r>
      <w:r>
        <w:rPr>
          <w:rStyle w:val="FootnoteReference"/>
          <w:rFonts w:ascii="Calibri" w:hAnsi="Calibri" w:cs="Calibri"/>
        </w:rPr>
        <w:footnoteReference w:id="161"/>
      </w:r>
      <w:r>
        <w:rPr>
          <w:rFonts w:ascii="Calibri" w:hAnsi="Calibri" w:cs="Calibri"/>
        </w:rPr>
        <w:t xml:space="preserve"> </w:t>
      </w:r>
    </w:p>
    <w:p w14:paraId="68743A73" w14:textId="77777777" w:rsidR="00036B19" w:rsidRDefault="00036B19" w:rsidP="00036B19">
      <w:pPr>
        <w:autoSpaceDE w:val="0"/>
        <w:autoSpaceDN w:val="0"/>
        <w:adjustRightInd w:val="0"/>
        <w:spacing w:after="0" w:line="240" w:lineRule="auto"/>
        <w:jc w:val="both"/>
        <w:rPr>
          <w:rFonts w:ascii="Calibri" w:hAnsi="Calibri" w:cs="Calibri"/>
        </w:rPr>
      </w:pPr>
    </w:p>
    <w:p w14:paraId="4DF333E7" w14:textId="77777777" w:rsidR="00036B19" w:rsidRDefault="00036B19" w:rsidP="00036B19">
      <w:pPr>
        <w:autoSpaceDE w:val="0"/>
        <w:autoSpaceDN w:val="0"/>
        <w:adjustRightInd w:val="0"/>
        <w:spacing w:after="0" w:line="240" w:lineRule="auto"/>
        <w:jc w:val="both"/>
        <w:rPr>
          <w:rFonts w:ascii="Calibri" w:hAnsi="Calibri" w:cs="Calibri"/>
        </w:rPr>
      </w:pPr>
      <w:r>
        <w:rPr>
          <w:rFonts w:ascii="Calibri" w:hAnsi="Calibri" w:cs="Calibri"/>
        </w:rPr>
        <w:t>PET-CT services managed under Shields operating platform will provide access to patients residing within the PSA/SSA. Increasing demand as outlined in Factor 1 will be met with greater access to the highest quality diagnostic imaging. Creating streamlined pathways for access to high value care will improve overall public health outcomes.</w:t>
      </w:r>
    </w:p>
    <w:p w14:paraId="7EFDD2F0" w14:textId="77777777" w:rsidR="00036B19" w:rsidRPr="00DF02E6" w:rsidRDefault="00036B19" w:rsidP="00036B19">
      <w:pPr>
        <w:rPr>
          <w:b/>
          <w:bCs/>
        </w:rPr>
      </w:pPr>
      <w:r w:rsidRPr="00DF02E6">
        <w:rPr>
          <w:b/>
          <w:bCs/>
        </w:rPr>
        <w:lastRenderedPageBreak/>
        <w:t>F2.c</w:t>
      </w:r>
      <w:r w:rsidRPr="00DF02E6">
        <w:rPr>
          <w:b/>
          <w:bCs/>
        </w:rPr>
        <w:tab/>
      </w:r>
      <w:r w:rsidRPr="00DF02E6">
        <w:rPr>
          <w:b/>
          <w:bCs/>
          <w:u w:val="single"/>
        </w:rPr>
        <w:t>Delivery System Transformation</w:t>
      </w:r>
      <w:r w:rsidRPr="00DF02E6">
        <w:rPr>
          <w:b/>
          <w:bCs/>
        </w:rPr>
        <w:t>:</w:t>
      </w:r>
    </w:p>
    <w:p w14:paraId="6A923134" w14:textId="77777777" w:rsidR="00036B19" w:rsidRDefault="00036B19" w:rsidP="00036B19">
      <w:pPr>
        <w:rPr>
          <w:b/>
          <w:bCs/>
        </w:rPr>
      </w:pPr>
      <w:r w:rsidRPr="00DF02E6">
        <w:rPr>
          <w:b/>
          <w:bCs/>
        </w:rPr>
        <w:t xml:space="preserve">Because the </w:t>
      </w:r>
      <w:bookmarkStart w:id="25" w:name="_Hlk112921710"/>
      <w:r w:rsidRPr="00DF02E6">
        <w:rPr>
          <w:b/>
          <w:bCs/>
        </w:rPr>
        <w:t xml:space="preserve">integration of social services and community-based expertise </w:t>
      </w:r>
      <w:bookmarkEnd w:id="25"/>
      <w:r w:rsidRPr="00DF02E6">
        <w:rPr>
          <w:b/>
          <w:bCs/>
        </w:rPr>
        <w:t>is central to goal of delivery system transformation, discuss how the needs of their patient panel have been assessed and linkages to social services organizations have been created and how the social determinants of health have been incorporated into care planning.</w:t>
      </w:r>
    </w:p>
    <w:p w14:paraId="05768703" w14:textId="77777777" w:rsidR="00036B19" w:rsidRDefault="00036B19" w:rsidP="00036B19">
      <w:pPr>
        <w:autoSpaceDE w:val="0"/>
        <w:autoSpaceDN w:val="0"/>
        <w:adjustRightInd w:val="0"/>
        <w:spacing w:after="0" w:line="240" w:lineRule="auto"/>
        <w:jc w:val="both"/>
        <w:rPr>
          <w:rFonts w:ascii="Calibri" w:hAnsi="Calibri" w:cs="Calibri"/>
        </w:rPr>
      </w:pPr>
      <w:r w:rsidRPr="007852F7">
        <w:rPr>
          <w:rFonts w:ascii="Calibri" w:hAnsi="Calibri" w:cs="Calibri"/>
        </w:rPr>
        <w:t xml:space="preserve">Through the Proposed Project, access to high-value, low-cost PET-CT imaging services will be expanded to the community served within </w:t>
      </w:r>
      <w:r>
        <w:rPr>
          <w:rFonts w:ascii="Calibri" w:hAnsi="Calibri" w:cs="Calibri"/>
        </w:rPr>
        <w:t>MWH</w:t>
      </w:r>
      <w:r w:rsidRPr="007852F7">
        <w:rPr>
          <w:rFonts w:ascii="Calibri" w:hAnsi="Calibri" w:cs="Calibri"/>
        </w:rPr>
        <w:t>’s PSA</w:t>
      </w:r>
      <w:r>
        <w:rPr>
          <w:rFonts w:ascii="Calibri" w:hAnsi="Calibri" w:cs="Calibri"/>
        </w:rPr>
        <w:t>/SSA</w:t>
      </w:r>
      <w:r w:rsidRPr="007852F7">
        <w:rPr>
          <w:rFonts w:ascii="Calibri" w:hAnsi="Calibri" w:cs="Calibri"/>
        </w:rPr>
        <w:t>. In instances where patients need support to address social determinants of health,</w:t>
      </w:r>
      <w:r w:rsidRPr="007852F7">
        <w:rPr>
          <w:rStyle w:val="FootnoteReference"/>
          <w:rFonts w:ascii="Calibri" w:hAnsi="Calibri" w:cs="Calibri"/>
        </w:rPr>
        <w:footnoteReference w:id="162"/>
      </w:r>
      <w:r w:rsidRPr="007852F7">
        <w:rPr>
          <w:rFonts w:ascii="Calibri" w:hAnsi="Calibri" w:cs="Calibri"/>
        </w:rPr>
        <w:t xml:space="preserve"> the Applicant offers enhanced access to services designed to facilitate improved care pathways influenced by social determinants of health. Specifically, the Applicant plans to implement numerous amenities, including patient access tools, such as preregistration functionality, a cost transparency application, linkages to financial counselors, culturally competent staff, and a robust translation services program. These amenities facilitate easier to access care for vulnerable and at-risk populations.</w:t>
      </w:r>
    </w:p>
    <w:p w14:paraId="2F263FE1" w14:textId="77777777" w:rsidR="00036B19" w:rsidRDefault="00036B19" w:rsidP="00036B19">
      <w:pPr>
        <w:autoSpaceDE w:val="0"/>
        <w:autoSpaceDN w:val="0"/>
        <w:adjustRightInd w:val="0"/>
        <w:spacing w:after="0" w:line="240" w:lineRule="auto"/>
        <w:jc w:val="both"/>
        <w:rPr>
          <w:rFonts w:ascii="Calibri" w:hAnsi="Calibri" w:cs="Calibri"/>
        </w:rPr>
      </w:pPr>
    </w:p>
    <w:p w14:paraId="696D60A5" w14:textId="77777777" w:rsidR="00036B19" w:rsidRDefault="00036B19" w:rsidP="00036B19">
      <w:pPr>
        <w:autoSpaceDE w:val="0"/>
        <w:autoSpaceDN w:val="0"/>
        <w:adjustRightInd w:val="0"/>
        <w:spacing w:after="0" w:line="240" w:lineRule="auto"/>
        <w:jc w:val="both"/>
        <w:rPr>
          <w:rFonts w:ascii="Calibri" w:hAnsi="Calibri" w:cs="Calibri"/>
        </w:rPr>
      </w:pPr>
      <w:r w:rsidRPr="007852F7">
        <w:rPr>
          <w:rFonts w:ascii="Calibri" w:hAnsi="Calibri" w:cs="Calibri"/>
        </w:rPr>
        <w:t xml:space="preserve">PET-CT services will align with </w:t>
      </w:r>
      <w:r>
        <w:rPr>
          <w:rFonts w:ascii="Calibri" w:hAnsi="Calibri" w:cs="Calibri"/>
        </w:rPr>
        <w:t>MWH’s</w:t>
      </w:r>
      <w:r w:rsidRPr="007852F7">
        <w:rPr>
          <w:rFonts w:ascii="Calibri" w:hAnsi="Calibri" w:cs="Calibri"/>
        </w:rPr>
        <w:t xml:space="preserve"> well-established cancer care continuum including access to </w:t>
      </w:r>
      <w:r w:rsidRPr="00C234B8">
        <w:rPr>
          <w:rFonts w:ascii="Calibri" w:hAnsi="Calibri" w:cs="Calibri"/>
        </w:rPr>
        <w:t>board-certified cancer specialists</w:t>
      </w:r>
      <w:r>
        <w:rPr>
          <w:rFonts w:ascii="Calibri" w:hAnsi="Calibri" w:cs="Calibri"/>
        </w:rPr>
        <w:t xml:space="preserve"> who </w:t>
      </w:r>
      <w:r w:rsidRPr="00C234B8">
        <w:rPr>
          <w:rFonts w:ascii="Calibri" w:hAnsi="Calibri" w:cs="Calibri"/>
        </w:rPr>
        <w:t xml:space="preserve">take a team approach to personalized cancer treatment plans for each patient. </w:t>
      </w:r>
      <w:r>
        <w:rPr>
          <w:rFonts w:ascii="Calibri" w:hAnsi="Calibri" w:cs="Calibri"/>
        </w:rPr>
        <w:t>MWH</w:t>
      </w:r>
      <w:r w:rsidRPr="00C234B8">
        <w:rPr>
          <w:rFonts w:ascii="Calibri" w:hAnsi="Calibri" w:cs="Calibri"/>
        </w:rPr>
        <w:t xml:space="preserve"> surgeons, radiation oncologists, pathologists, oncologists/hematologists, nutritionists, primary care physicians, oncology nurses</w:t>
      </w:r>
      <w:r>
        <w:rPr>
          <w:rFonts w:ascii="Calibri" w:hAnsi="Calibri" w:cs="Calibri"/>
        </w:rPr>
        <w:t>,</w:t>
      </w:r>
      <w:r w:rsidRPr="00C234B8">
        <w:rPr>
          <w:rFonts w:ascii="Calibri" w:hAnsi="Calibri" w:cs="Calibri"/>
        </w:rPr>
        <w:t xml:space="preserve"> and social workers collaborate to deliver the best possible care.</w:t>
      </w:r>
    </w:p>
    <w:p w14:paraId="242185D7" w14:textId="77777777" w:rsidR="00036B19" w:rsidRDefault="00036B19" w:rsidP="00036B19">
      <w:pPr>
        <w:autoSpaceDE w:val="0"/>
        <w:autoSpaceDN w:val="0"/>
        <w:adjustRightInd w:val="0"/>
        <w:spacing w:after="0" w:line="240" w:lineRule="auto"/>
        <w:jc w:val="both"/>
        <w:rPr>
          <w:rFonts w:ascii="Calibri" w:hAnsi="Calibri" w:cs="Calibri"/>
        </w:rPr>
      </w:pPr>
      <w:r w:rsidRPr="007852F7">
        <w:rPr>
          <w:rFonts w:ascii="Calibri" w:hAnsi="Calibri" w:cs="Calibri"/>
        </w:rPr>
        <w:t xml:space="preserve">PET-CT services will also align with </w:t>
      </w:r>
      <w:r>
        <w:rPr>
          <w:rFonts w:ascii="Calibri" w:hAnsi="Calibri" w:cs="Calibri"/>
        </w:rPr>
        <w:t>MWH’s</w:t>
      </w:r>
      <w:r w:rsidRPr="007852F7">
        <w:rPr>
          <w:rFonts w:ascii="Calibri" w:hAnsi="Calibri" w:cs="Calibri"/>
        </w:rPr>
        <w:t xml:space="preserve"> comprehensive, cardiac rehabilitation program.</w:t>
      </w:r>
      <w:r>
        <w:rPr>
          <w:rStyle w:val="FootnoteReference"/>
          <w:rFonts w:ascii="Calibri" w:hAnsi="Calibri" w:cs="Calibri"/>
        </w:rPr>
        <w:footnoteReference w:id="163"/>
      </w:r>
      <w:r w:rsidRPr="007852F7">
        <w:rPr>
          <w:rFonts w:ascii="Calibri" w:hAnsi="Calibri" w:cs="Calibri"/>
        </w:rPr>
        <w:t xml:space="preserve"> These programs include access to social work, dietary support, and wellness services. The design of care navigation specifically deals with barriers to care and long-term connections to wellness offerings. PET-CT appointments and results will become embedded in these programs.</w:t>
      </w:r>
    </w:p>
    <w:p w14:paraId="35185229" w14:textId="77777777" w:rsidR="00036B19" w:rsidRDefault="00036B19" w:rsidP="00036B19">
      <w:pPr>
        <w:autoSpaceDE w:val="0"/>
        <w:autoSpaceDN w:val="0"/>
        <w:adjustRightInd w:val="0"/>
        <w:spacing w:after="0" w:line="240" w:lineRule="auto"/>
        <w:jc w:val="both"/>
        <w:rPr>
          <w:b/>
          <w:bCs/>
        </w:rPr>
      </w:pPr>
    </w:p>
    <w:p w14:paraId="0114CC8F" w14:textId="77777777" w:rsidR="00036B19" w:rsidRDefault="00036B19" w:rsidP="00036B19">
      <w:pPr>
        <w:autoSpaceDE w:val="0"/>
        <w:autoSpaceDN w:val="0"/>
        <w:adjustRightInd w:val="0"/>
        <w:spacing w:after="0" w:line="240" w:lineRule="auto"/>
        <w:jc w:val="both"/>
        <w:rPr>
          <w:rFonts w:ascii="Calibri" w:hAnsi="Calibri" w:cs="Calibri"/>
        </w:rPr>
      </w:pPr>
      <w:r>
        <w:rPr>
          <w:rFonts w:ascii="Calibri" w:hAnsi="Calibri" w:cs="Calibri"/>
        </w:rPr>
        <w:t>The Applicant’s enhanced service offerings are not limited to staffing and programmatic functionality – care has also been taken for the physical space where the PET-CT services will be offered. Research shows that a safe and well-designed clinical space helps to improve patient outcomes.</w:t>
      </w:r>
      <w:r>
        <w:rPr>
          <w:rStyle w:val="FootnoteReference"/>
          <w:rFonts w:ascii="Calibri" w:hAnsi="Calibri" w:cs="Calibri"/>
        </w:rPr>
        <w:footnoteReference w:id="164"/>
      </w:r>
      <w:r>
        <w:rPr>
          <w:rFonts w:ascii="Calibri" w:hAnsi="Calibri" w:cs="Calibri"/>
        </w:rPr>
        <w:t xml:space="preserve">  The </w:t>
      </w:r>
      <w:r>
        <w:t>MelroseWakefield Medical Building is a state-of-the-art building constructed in 2016 and erected in compliance with the Americans with Disabilities Act (“ADA”) design standards.  The building hosts over 27,000 square feet of convenience and offers a patient-centered design, ample free parking, walking distance to Greenwood commuter rail stop, extended hours, and on-site laboratory services.  The PET-CT area will optimize</w:t>
      </w:r>
      <w:r w:rsidRPr="00542705">
        <w:t xml:space="preserve"> a combination of inside space and a mobile PET</w:t>
      </w:r>
      <w:r>
        <w:t>-</w:t>
      </w:r>
      <w:r w:rsidRPr="00542705">
        <w:t>CT unit</w:t>
      </w:r>
      <w:r>
        <w:t xml:space="preserve"> </w:t>
      </w:r>
      <w:r w:rsidRPr="00542705">
        <w:t>aligned with the building</w:t>
      </w:r>
      <w:r>
        <w:t xml:space="preserve">. To access diagnostic imaging, patients will </w:t>
      </w:r>
      <w:r w:rsidRPr="00310041">
        <w:t>enter the mobile environment that is temporarily attached to the building, enclosed from the outside elements</w:t>
      </w:r>
      <w:r>
        <w:t xml:space="preserve">. </w:t>
      </w:r>
    </w:p>
    <w:p w14:paraId="15F83F60" w14:textId="77777777" w:rsidR="00036B19" w:rsidRPr="00EE284E" w:rsidRDefault="00036B19" w:rsidP="00036B19">
      <w:pPr>
        <w:autoSpaceDE w:val="0"/>
        <w:autoSpaceDN w:val="0"/>
        <w:adjustRightInd w:val="0"/>
        <w:spacing w:after="0" w:line="240" w:lineRule="auto"/>
        <w:jc w:val="both"/>
        <w:rPr>
          <w:rFonts w:ascii="Calibri" w:hAnsi="Calibri" w:cs="Calibri"/>
        </w:rPr>
      </w:pPr>
    </w:p>
    <w:p w14:paraId="6FA40CE8" w14:textId="77777777" w:rsidR="00036B19" w:rsidRDefault="00036B19" w:rsidP="00036B19">
      <w:r>
        <w:t xml:space="preserve">The needs of the Applicant’s patient panel have been thoughtfully assessed in contemplation of the Proposed Project and as a result the Applicant is confident that </w:t>
      </w:r>
      <w:r w:rsidRPr="00B37577">
        <w:t xml:space="preserve">integration of social services and community-based </w:t>
      </w:r>
      <w:r>
        <w:t>needs will be enhanced, should this project be approved.</w:t>
      </w:r>
    </w:p>
    <w:p w14:paraId="6603156A" w14:textId="77777777" w:rsidR="00A24239" w:rsidRPr="00DF02E6" w:rsidRDefault="00A24239" w:rsidP="00A24239">
      <w:pPr>
        <w:rPr>
          <w:b/>
          <w:color w:val="0070C0"/>
        </w:rPr>
      </w:pPr>
      <w:r w:rsidRPr="00DF02E6">
        <w:rPr>
          <w:b/>
          <w:color w:val="0070C0"/>
        </w:rPr>
        <w:lastRenderedPageBreak/>
        <w:t xml:space="preserve">Factor 5: Relative Merit </w:t>
      </w:r>
    </w:p>
    <w:p w14:paraId="1F598343" w14:textId="77777777" w:rsidR="00A24239" w:rsidRDefault="00A24239" w:rsidP="00A24239">
      <w:pPr>
        <w:rPr>
          <w:b/>
          <w:bCs/>
        </w:rPr>
      </w:pPr>
      <w:r w:rsidRPr="00DF02E6">
        <w:rPr>
          <w:b/>
          <w:bCs/>
        </w:rPr>
        <w:t>F5.</w:t>
      </w:r>
      <w:proofErr w:type="gramStart"/>
      <w:r w:rsidRPr="00DF02E6">
        <w:rPr>
          <w:b/>
          <w:bCs/>
        </w:rPr>
        <w:t>a.i</w:t>
      </w:r>
      <w:proofErr w:type="gramEnd"/>
      <w:r w:rsidRPr="00DF02E6">
        <w:rPr>
          <w:b/>
          <w:bCs/>
        </w:rPr>
        <w:tab/>
        <w:t xml:space="preserve">Describe the process of analysis and the conclusion that the Proposed Project, on balance, is superior to alternative and substitute methods for meeting the existing Patient Panel needs as those have been identified by the Applicant pursuant to 105 CMR 100.210(A)(1). When conducting this evaluation and articulating the relative merit determination, Applicant shall </w:t>
      </w:r>
      <w:proofErr w:type="gramStart"/>
      <w:r w:rsidRPr="00DF02E6">
        <w:rPr>
          <w:b/>
          <w:bCs/>
        </w:rPr>
        <w:t>take into account</w:t>
      </w:r>
      <w:proofErr w:type="gramEnd"/>
      <w:r w:rsidRPr="00DF02E6">
        <w:rPr>
          <w:b/>
          <w:bCs/>
        </w:rPr>
        <w:t>, at a minimum, the quality, efficiency, and capital and operating costs of the Proposed Project relative to potential alternatives or substitutes, including alternative evidence-based strategies and public health interventions.</w:t>
      </w:r>
    </w:p>
    <w:p w14:paraId="480D6F91" w14:textId="77777777" w:rsidR="00A24239" w:rsidRPr="0066420B" w:rsidRDefault="00A24239" w:rsidP="00A24239">
      <w:pPr>
        <w:pStyle w:val="ListParagraph"/>
        <w:numPr>
          <w:ilvl w:val="0"/>
          <w:numId w:val="8"/>
        </w:numPr>
        <w:rPr>
          <w:b/>
        </w:rPr>
      </w:pPr>
      <w:r w:rsidRPr="0066420B">
        <w:rPr>
          <w:b/>
        </w:rPr>
        <w:t>Proposal</w:t>
      </w:r>
    </w:p>
    <w:p w14:paraId="467DD96E" w14:textId="77777777" w:rsidR="00A24239" w:rsidRDefault="00A24239" w:rsidP="00A24239">
      <w:pPr>
        <w:ind w:left="360"/>
        <w:jc w:val="both"/>
        <w:rPr>
          <w:bCs/>
        </w:rPr>
      </w:pPr>
      <w:r>
        <w:rPr>
          <w:bCs/>
        </w:rPr>
        <w:t xml:space="preserve">To continue to provide PET-CT services </w:t>
      </w:r>
      <w:r w:rsidRPr="000E6ECA">
        <w:rPr>
          <w:bCs/>
        </w:rPr>
        <w:t xml:space="preserve">to </w:t>
      </w:r>
      <w:r>
        <w:rPr>
          <w:bCs/>
        </w:rPr>
        <w:t>the local, MelroseWakefield patient panel, through the new partnership established between MelroseWakefield Hospital and Shields (the Tufts Medicine: Shields PET-CT, LLC). The physical clinic will be located in a pre-existing space in the MelroseWakfield Medical Building. P</w:t>
      </w:r>
      <w:r w:rsidRPr="002500F2">
        <w:rPr>
          <w:bCs/>
        </w:rPr>
        <w:t xml:space="preserve">atients would enter </w:t>
      </w:r>
      <w:r>
        <w:rPr>
          <w:bCs/>
        </w:rPr>
        <w:t>a</w:t>
      </w:r>
      <w:r w:rsidRPr="002500F2">
        <w:rPr>
          <w:bCs/>
        </w:rPr>
        <w:t xml:space="preserve"> mobile environment that is temporarily attached to the building, enclosed from the outside elements</w:t>
      </w:r>
      <w:r>
        <w:rPr>
          <w:bCs/>
        </w:rPr>
        <w:t xml:space="preserve">. Services will be </w:t>
      </w:r>
      <w:r w:rsidRPr="000E6ECA">
        <w:rPr>
          <w:bCs/>
        </w:rPr>
        <w:t>reimbursed as an IDTF to enhance efficiency and effectiveness of care delivery.</w:t>
      </w:r>
    </w:p>
    <w:p w14:paraId="650B1CF0" w14:textId="77777777" w:rsidR="00A24239" w:rsidRPr="0066420B" w:rsidRDefault="00A24239" w:rsidP="00A24239">
      <w:pPr>
        <w:pStyle w:val="ListParagraph"/>
        <w:numPr>
          <w:ilvl w:val="0"/>
          <w:numId w:val="8"/>
        </w:numPr>
        <w:rPr>
          <w:b/>
        </w:rPr>
      </w:pPr>
      <w:r w:rsidRPr="0066420B">
        <w:rPr>
          <w:b/>
        </w:rPr>
        <w:t>Quality</w:t>
      </w:r>
    </w:p>
    <w:p w14:paraId="76620411" w14:textId="746E835F" w:rsidR="00A24239" w:rsidRDefault="00114B3F" w:rsidP="00A24239">
      <w:pPr>
        <w:ind w:left="360"/>
        <w:jc w:val="both"/>
        <w:rPr>
          <w:bCs/>
        </w:rPr>
      </w:pPr>
      <w:r>
        <w:rPr>
          <w:bCs/>
        </w:rPr>
        <w:t>Maintaining</w:t>
      </w:r>
      <w:r w:rsidR="00A24239">
        <w:rPr>
          <w:bCs/>
        </w:rPr>
        <w:t xml:space="preserve"> PET-CT imaging capability for c</w:t>
      </w:r>
      <w:r w:rsidR="00A24239" w:rsidRPr="00026A16">
        <w:rPr>
          <w:bCs/>
        </w:rPr>
        <w:t xml:space="preserve">ancer staging, Alzheimer’s disease evaluation, cardiac applications </w:t>
      </w:r>
      <w:r w:rsidR="00A24239">
        <w:rPr>
          <w:bCs/>
        </w:rPr>
        <w:t xml:space="preserve">(amongst other things) to the patient panel at MWH will allow for continued access to the highest quality diagnostic imaging services with the added benefit that patients will be receiving care at the same convenient location, and at a competitive IDTF price point. </w:t>
      </w:r>
    </w:p>
    <w:p w14:paraId="2942FB0F" w14:textId="77777777" w:rsidR="00A24239" w:rsidRPr="00822341" w:rsidRDefault="00A24239" w:rsidP="00A24239">
      <w:pPr>
        <w:ind w:left="360"/>
        <w:jc w:val="both"/>
        <w:rPr>
          <w:bCs/>
        </w:rPr>
      </w:pPr>
      <w:r w:rsidRPr="00822341">
        <w:rPr>
          <w:bCs/>
        </w:rPr>
        <w:t>Care provided at Shields’ operated imaging centers are high-quality, with clinical outcomes</w:t>
      </w:r>
      <w:r>
        <w:rPr>
          <w:bCs/>
        </w:rPr>
        <w:t xml:space="preserve"> </w:t>
      </w:r>
      <w:r w:rsidRPr="00822341">
        <w:rPr>
          <w:bCs/>
        </w:rPr>
        <w:t>that are equal to or better than hospital-based services for the same procedures.</w:t>
      </w:r>
    </w:p>
    <w:p w14:paraId="09A64419" w14:textId="77777777" w:rsidR="00A24239" w:rsidRPr="0066420B" w:rsidRDefault="00A24239" w:rsidP="00A24239">
      <w:pPr>
        <w:pStyle w:val="ListParagraph"/>
        <w:numPr>
          <w:ilvl w:val="0"/>
          <w:numId w:val="8"/>
        </w:numPr>
        <w:rPr>
          <w:b/>
        </w:rPr>
      </w:pPr>
      <w:r w:rsidRPr="0066420B">
        <w:rPr>
          <w:b/>
        </w:rPr>
        <w:t>Efficiency</w:t>
      </w:r>
    </w:p>
    <w:p w14:paraId="4A8F17CC" w14:textId="77777777" w:rsidR="00A24239" w:rsidRDefault="00A24239" w:rsidP="00A24239">
      <w:pPr>
        <w:autoSpaceDE w:val="0"/>
        <w:autoSpaceDN w:val="0"/>
        <w:adjustRightInd w:val="0"/>
        <w:spacing w:after="0" w:line="240" w:lineRule="auto"/>
        <w:ind w:left="360"/>
        <w:jc w:val="both"/>
        <w:rPr>
          <w:rFonts w:ascii="Calibri" w:hAnsi="Calibri" w:cs="Calibri"/>
        </w:rPr>
      </w:pPr>
      <w:r>
        <w:rPr>
          <w:rFonts w:ascii="Calibri" w:hAnsi="Calibri" w:cs="Calibri"/>
        </w:rPr>
        <w:t>Care provided in an IDTF setting allows for greater focus on a specialized service. Highly trained staff and the ability to maintain a uniform schedule due to the PET-CT’s ambulatory location allows for greater efficiencies and lower costs.</w:t>
      </w:r>
    </w:p>
    <w:p w14:paraId="6E90C719" w14:textId="77777777" w:rsidR="00A24239" w:rsidRDefault="00A24239" w:rsidP="00A24239">
      <w:pPr>
        <w:autoSpaceDE w:val="0"/>
        <w:autoSpaceDN w:val="0"/>
        <w:adjustRightInd w:val="0"/>
        <w:spacing w:after="0" w:line="240" w:lineRule="auto"/>
        <w:ind w:left="360"/>
        <w:jc w:val="both"/>
        <w:rPr>
          <w:rFonts w:ascii="Calibri" w:hAnsi="Calibri" w:cs="Calibri"/>
        </w:rPr>
      </w:pPr>
    </w:p>
    <w:p w14:paraId="4332E9B1" w14:textId="77777777" w:rsidR="00A24239" w:rsidRPr="0066420B" w:rsidRDefault="00A24239" w:rsidP="00A24239">
      <w:pPr>
        <w:pStyle w:val="ListParagraph"/>
        <w:numPr>
          <w:ilvl w:val="0"/>
          <w:numId w:val="8"/>
        </w:numPr>
        <w:jc w:val="both"/>
        <w:rPr>
          <w:b/>
        </w:rPr>
      </w:pPr>
      <w:r w:rsidRPr="0066420B">
        <w:rPr>
          <w:b/>
        </w:rPr>
        <w:t>Capital Expense</w:t>
      </w:r>
    </w:p>
    <w:p w14:paraId="133BFC74" w14:textId="0F945502" w:rsidR="00A24239" w:rsidRDefault="00A24239" w:rsidP="00A24239">
      <w:pPr>
        <w:autoSpaceDE w:val="0"/>
        <w:autoSpaceDN w:val="0"/>
        <w:adjustRightInd w:val="0"/>
        <w:spacing w:after="0" w:line="240" w:lineRule="auto"/>
        <w:ind w:left="360"/>
        <w:jc w:val="both"/>
        <w:rPr>
          <w:rFonts w:ascii="Calibri" w:hAnsi="Calibri" w:cs="Calibri"/>
        </w:rPr>
      </w:pPr>
      <w:r>
        <w:rPr>
          <w:rFonts w:ascii="Calibri" w:hAnsi="Calibri" w:cs="Calibri"/>
        </w:rPr>
        <w:t>Establishin</w:t>
      </w:r>
      <w:r w:rsidR="00364000">
        <w:rPr>
          <w:rFonts w:ascii="Calibri" w:hAnsi="Calibri" w:cs="Calibri"/>
        </w:rPr>
        <w:t>g a new diagnostic imaging vendor partnership</w:t>
      </w:r>
      <w:r w:rsidR="00A435E2">
        <w:rPr>
          <w:rFonts w:ascii="Calibri" w:hAnsi="Calibri" w:cs="Calibri"/>
        </w:rPr>
        <w:t xml:space="preserve"> that leverages an </w:t>
      </w:r>
      <w:r>
        <w:rPr>
          <w:rFonts w:ascii="Calibri" w:hAnsi="Calibri" w:cs="Calibri"/>
        </w:rPr>
        <w:t>IDTF</w:t>
      </w:r>
      <w:r w:rsidR="003C017C">
        <w:rPr>
          <w:rFonts w:ascii="Calibri" w:hAnsi="Calibri" w:cs="Calibri"/>
        </w:rPr>
        <w:t xml:space="preserve"> fee schedule</w:t>
      </w:r>
      <w:r>
        <w:rPr>
          <w:rFonts w:ascii="Calibri" w:hAnsi="Calibri" w:cs="Calibri"/>
        </w:rPr>
        <w:t xml:space="preserve"> will result in minimal capital expense</w:t>
      </w:r>
      <w:r w:rsidR="006F4C46">
        <w:rPr>
          <w:rFonts w:ascii="Calibri" w:hAnsi="Calibri" w:cs="Calibri"/>
        </w:rPr>
        <w:t>. Th</w:t>
      </w:r>
      <w:r w:rsidRPr="00D55E4A">
        <w:rPr>
          <w:rFonts w:ascii="Calibri" w:hAnsi="Calibri" w:cs="Calibri"/>
        </w:rPr>
        <w:t xml:space="preserve">ere are </w:t>
      </w:r>
      <w:r w:rsidR="003C017C">
        <w:rPr>
          <w:rFonts w:ascii="Calibri" w:hAnsi="Calibri" w:cs="Calibri"/>
        </w:rPr>
        <w:t>only minimal</w:t>
      </w:r>
      <w:r w:rsidRPr="00D55E4A">
        <w:rPr>
          <w:rFonts w:ascii="Calibri" w:hAnsi="Calibri" w:cs="Calibri"/>
        </w:rPr>
        <w:t xml:space="preserve"> </w:t>
      </w:r>
      <w:r>
        <w:rPr>
          <w:rFonts w:ascii="Calibri" w:hAnsi="Calibri" w:cs="Calibri"/>
        </w:rPr>
        <w:t xml:space="preserve">expenses attributable to </w:t>
      </w:r>
      <w:r w:rsidRPr="00D55E4A">
        <w:rPr>
          <w:rFonts w:ascii="Calibri" w:hAnsi="Calibri" w:cs="Calibri"/>
        </w:rPr>
        <w:t xml:space="preserve">facility build </w:t>
      </w:r>
      <w:r>
        <w:rPr>
          <w:rFonts w:ascii="Calibri" w:hAnsi="Calibri" w:cs="Calibri"/>
        </w:rPr>
        <w:t xml:space="preserve">out, </w:t>
      </w:r>
      <w:r w:rsidRPr="00D55E4A">
        <w:rPr>
          <w:rFonts w:ascii="Calibri" w:hAnsi="Calibri" w:cs="Calibri"/>
        </w:rPr>
        <w:t>as the proposed mobile PET/CT unit will utilize a</w:t>
      </w:r>
      <w:r>
        <w:rPr>
          <w:rFonts w:ascii="Calibri" w:hAnsi="Calibri" w:cs="Calibri"/>
        </w:rPr>
        <w:t xml:space="preserve"> </w:t>
      </w:r>
      <w:r w:rsidRPr="00D55E4A">
        <w:rPr>
          <w:rFonts w:ascii="Calibri" w:hAnsi="Calibri" w:cs="Calibri"/>
        </w:rPr>
        <w:t xml:space="preserve">mobile pad </w:t>
      </w:r>
      <w:r>
        <w:rPr>
          <w:rFonts w:ascii="Calibri" w:hAnsi="Calibri" w:cs="Calibri"/>
        </w:rPr>
        <w:t>to be located at the MelroseWakefield Medical Building</w:t>
      </w:r>
      <w:r w:rsidRPr="00D55E4A">
        <w:rPr>
          <w:rFonts w:ascii="Calibri" w:hAnsi="Calibri" w:cs="Calibri"/>
        </w:rPr>
        <w:t xml:space="preserve">. There </w:t>
      </w:r>
      <w:r>
        <w:rPr>
          <w:rFonts w:ascii="Calibri" w:hAnsi="Calibri" w:cs="Calibri"/>
        </w:rPr>
        <w:t xml:space="preserve">are only $25,000 </w:t>
      </w:r>
      <w:r w:rsidRPr="00122BAF">
        <w:rPr>
          <w:rFonts w:ascii="Calibri" w:hAnsi="Calibri" w:cs="Calibri"/>
        </w:rPr>
        <w:t>capital asset acquisitions in 2023.</w:t>
      </w:r>
      <w:r w:rsidRPr="003C668D">
        <w:rPr>
          <w:rStyle w:val="FootnoteReference"/>
          <w:rFonts w:ascii="Calibri" w:hAnsi="Calibri" w:cs="Calibri"/>
        </w:rPr>
        <w:footnoteReference w:id="165"/>
      </w:r>
      <w:r w:rsidRPr="00122BAF">
        <w:rPr>
          <w:rFonts w:ascii="Calibri" w:hAnsi="Calibri" w:cs="Calibri"/>
        </w:rPr>
        <w:t xml:space="preserve"> There are no capital expenditures expected from 2024 through 2028.</w:t>
      </w:r>
      <w:r w:rsidRPr="003C668D">
        <w:rPr>
          <w:rStyle w:val="FootnoteReference"/>
          <w:rFonts w:ascii="Calibri" w:hAnsi="Calibri" w:cs="Calibri"/>
        </w:rPr>
        <w:footnoteReference w:id="166"/>
      </w:r>
      <w:r w:rsidRPr="003C668D">
        <w:rPr>
          <w:rStyle w:val="FootnoteReference"/>
        </w:rPr>
        <w:t xml:space="preserve"> </w:t>
      </w:r>
    </w:p>
    <w:p w14:paraId="7F5096C0" w14:textId="76BA0E73" w:rsidR="00A24239" w:rsidRDefault="00A24239" w:rsidP="00A24239">
      <w:pPr>
        <w:autoSpaceDE w:val="0"/>
        <w:autoSpaceDN w:val="0"/>
        <w:adjustRightInd w:val="0"/>
        <w:spacing w:after="0" w:line="240" w:lineRule="auto"/>
        <w:ind w:left="360"/>
        <w:rPr>
          <w:bCs/>
        </w:rPr>
      </w:pPr>
    </w:p>
    <w:p w14:paraId="5AC94C0F" w14:textId="7777C612" w:rsidR="00A24239" w:rsidRDefault="00A24239" w:rsidP="00A24239">
      <w:pPr>
        <w:autoSpaceDE w:val="0"/>
        <w:autoSpaceDN w:val="0"/>
        <w:adjustRightInd w:val="0"/>
        <w:spacing w:after="0" w:line="240" w:lineRule="auto"/>
        <w:ind w:left="360"/>
        <w:rPr>
          <w:bCs/>
        </w:rPr>
      </w:pPr>
    </w:p>
    <w:p w14:paraId="48F68C96" w14:textId="357C2DA2" w:rsidR="00A24239" w:rsidRDefault="00A24239" w:rsidP="00A24239">
      <w:pPr>
        <w:autoSpaceDE w:val="0"/>
        <w:autoSpaceDN w:val="0"/>
        <w:adjustRightInd w:val="0"/>
        <w:spacing w:after="0" w:line="240" w:lineRule="auto"/>
        <w:ind w:left="360"/>
        <w:rPr>
          <w:bCs/>
        </w:rPr>
      </w:pPr>
    </w:p>
    <w:p w14:paraId="77EF8334" w14:textId="77777777" w:rsidR="00A24239" w:rsidRDefault="00A24239" w:rsidP="00A24239">
      <w:pPr>
        <w:autoSpaceDE w:val="0"/>
        <w:autoSpaceDN w:val="0"/>
        <w:adjustRightInd w:val="0"/>
        <w:spacing w:after="0" w:line="240" w:lineRule="auto"/>
        <w:ind w:left="360"/>
        <w:rPr>
          <w:bCs/>
        </w:rPr>
      </w:pPr>
    </w:p>
    <w:p w14:paraId="51B42ED2" w14:textId="77777777" w:rsidR="00A24239" w:rsidRPr="0066420B" w:rsidRDefault="00A24239" w:rsidP="00A24239">
      <w:pPr>
        <w:pStyle w:val="ListParagraph"/>
        <w:numPr>
          <w:ilvl w:val="0"/>
          <w:numId w:val="8"/>
        </w:numPr>
        <w:jc w:val="both"/>
        <w:rPr>
          <w:b/>
        </w:rPr>
      </w:pPr>
      <w:r w:rsidRPr="0066420B">
        <w:rPr>
          <w:b/>
        </w:rPr>
        <w:lastRenderedPageBreak/>
        <w:t>Operating Costs</w:t>
      </w:r>
    </w:p>
    <w:p w14:paraId="08751DDC" w14:textId="77777777" w:rsidR="00A24239" w:rsidRDefault="00A24239" w:rsidP="00A24239">
      <w:pPr>
        <w:spacing w:after="0" w:line="240" w:lineRule="auto"/>
        <w:ind w:left="360"/>
        <w:jc w:val="both"/>
        <w:rPr>
          <w:rFonts w:ascii="Calibri" w:hAnsi="Calibri" w:cs="Calibri"/>
        </w:rPr>
      </w:pPr>
      <w:r w:rsidRPr="00A65342">
        <w:rPr>
          <w:rFonts w:ascii="Calibri" w:hAnsi="Calibri" w:cs="Calibri"/>
        </w:rPr>
        <w:t>As noted above, greater efficiencies will be identified, thus reducing operating costs,</w:t>
      </w:r>
      <w:r>
        <w:rPr>
          <w:rFonts w:ascii="Calibri" w:hAnsi="Calibri" w:cs="Calibri"/>
        </w:rPr>
        <w:t xml:space="preserve"> </w:t>
      </w:r>
      <w:r w:rsidRPr="00A65342">
        <w:rPr>
          <w:rFonts w:ascii="Calibri" w:hAnsi="Calibri" w:cs="Calibri"/>
        </w:rPr>
        <w:t>savings from which should be passed along to patients through lower premiums and deductibles,</w:t>
      </w:r>
      <w:r>
        <w:rPr>
          <w:rFonts w:ascii="Calibri" w:hAnsi="Calibri" w:cs="Calibri"/>
        </w:rPr>
        <w:t xml:space="preserve"> </w:t>
      </w:r>
      <w:r w:rsidRPr="00A65342">
        <w:rPr>
          <w:rFonts w:ascii="Calibri" w:hAnsi="Calibri" w:cs="Calibri"/>
        </w:rPr>
        <w:t>subject to third-party payer adjustments to new market conditions.</w:t>
      </w:r>
    </w:p>
    <w:p w14:paraId="10074629" w14:textId="77777777" w:rsidR="00A24239" w:rsidRDefault="00A24239" w:rsidP="00A24239">
      <w:pPr>
        <w:spacing w:after="0" w:line="240" w:lineRule="auto"/>
        <w:ind w:left="360"/>
        <w:jc w:val="both"/>
        <w:rPr>
          <w:rFonts w:ascii="Calibri" w:hAnsi="Calibri" w:cs="Calibri"/>
        </w:rPr>
      </w:pPr>
    </w:p>
    <w:p w14:paraId="021B4015" w14:textId="77777777" w:rsidR="00A24239" w:rsidRDefault="00A24239" w:rsidP="00A24239">
      <w:pPr>
        <w:spacing w:after="0" w:line="240" w:lineRule="auto"/>
        <w:ind w:left="360"/>
        <w:jc w:val="both"/>
        <w:rPr>
          <w:rFonts w:ascii="Calibri" w:hAnsi="Calibri" w:cs="Calibri"/>
        </w:rPr>
      </w:pPr>
      <w:r>
        <w:rPr>
          <w:rFonts w:ascii="Calibri" w:hAnsi="Calibri" w:cs="Calibri"/>
        </w:rPr>
        <w:t xml:space="preserve">The </w:t>
      </w:r>
      <w:r w:rsidRPr="00AF59A5">
        <w:rPr>
          <w:rFonts w:ascii="Calibri" w:hAnsi="Calibri" w:cs="Calibri"/>
        </w:rPr>
        <w:t>calculated operating expense</w:t>
      </w:r>
      <w:r>
        <w:rPr>
          <w:rFonts w:ascii="Calibri" w:hAnsi="Calibri" w:cs="Calibri"/>
        </w:rPr>
        <w:t>s</w:t>
      </w:r>
      <w:r w:rsidRPr="00AF59A5">
        <w:rPr>
          <w:rFonts w:ascii="Calibri" w:hAnsi="Calibri" w:cs="Calibri"/>
        </w:rPr>
        <w:t xml:space="preserve"> (including support services, billing, and bad debt</w:t>
      </w:r>
      <w:r>
        <w:rPr>
          <w:rFonts w:ascii="Calibri" w:hAnsi="Calibri" w:cs="Calibri"/>
        </w:rPr>
        <w:t xml:space="preserve"> </w:t>
      </w:r>
      <w:r w:rsidRPr="00AF59A5">
        <w:rPr>
          <w:rFonts w:ascii="Calibri" w:hAnsi="Calibri" w:cs="Calibri"/>
        </w:rPr>
        <w:t>expense) CAGR</w:t>
      </w:r>
      <w:r>
        <w:rPr>
          <w:rStyle w:val="FootnoteReference"/>
          <w:rFonts w:ascii="Calibri" w:hAnsi="Calibri" w:cs="Calibri"/>
        </w:rPr>
        <w:footnoteReference w:id="167"/>
      </w:r>
      <w:r w:rsidRPr="00AF59A5">
        <w:rPr>
          <w:rFonts w:ascii="Calibri" w:hAnsi="Calibri" w:cs="Calibri"/>
        </w:rPr>
        <w:t xml:space="preserve"> for Years 2 through 6 </w:t>
      </w:r>
      <w:r>
        <w:rPr>
          <w:rFonts w:ascii="Calibri" w:hAnsi="Calibri" w:cs="Calibri"/>
        </w:rPr>
        <w:t>is 7.6%</w:t>
      </w:r>
      <w:r w:rsidRPr="00AF59A5">
        <w:rPr>
          <w:rFonts w:ascii="Calibri" w:hAnsi="Calibri" w:cs="Calibri"/>
        </w:rPr>
        <w:t>.</w:t>
      </w:r>
      <w:r>
        <w:rPr>
          <w:rFonts w:ascii="Calibri" w:hAnsi="Calibri" w:cs="Calibri"/>
        </w:rPr>
        <w:t xml:space="preserve"> </w:t>
      </w:r>
      <w:r w:rsidRPr="00AF59A5">
        <w:rPr>
          <w:rFonts w:ascii="Calibri" w:hAnsi="Calibri" w:cs="Calibri"/>
        </w:rPr>
        <w:t>Year 1 was not included in the CAGR calculation.</w:t>
      </w:r>
      <w:r>
        <w:rPr>
          <w:rStyle w:val="FootnoteReference"/>
          <w:rFonts w:ascii="Calibri" w:hAnsi="Calibri" w:cs="Calibri"/>
        </w:rPr>
        <w:footnoteReference w:id="168"/>
      </w:r>
      <w:r w:rsidRPr="00AF59A5">
        <w:rPr>
          <w:rFonts w:ascii="Calibri" w:hAnsi="Calibri" w:cs="Calibri"/>
        </w:rPr>
        <w:t xml:space="preserve"> These expenses for </w:t>
      </w:r>
      <w:r>
        <w:rPr>
          <w:rFonts w:ascii="Calibri" w:hAnsi="Calibri" w:cs="Calibri"/>
        </w:rPr>
        <w:t>the Proposed Project</w:t>
      </w:r>
      <w:r w:rsidRPr="00AF59A5">
        <w:rPr>
          <w:rFonts w:ascii="Calibri" w:hAnsi="Calibri" w:cs="Calibri"/>
        </w:rPr>
        <w:t xml:space="preserve"> in Year 6 </w:t>
      </w:r>
      <w:r>
        <w:rPr>
          <w:rFonts w:ascii="Calibri" w:hAnsi="Calibri" w:cs="Calibri"/>
        </w:rPr>
        <w:t xml:space="preserve">are projected to be </w:t>
      </w:r>
      <w:r w:rsidRPr="00AF59A5">
        <w:rPr>
          <w:rFonts w:ascii="Calibri" w:hAnsi="Calibri" w:cs="Calibri"/>
        </w:rPr>
        <w:t>$</w:t>
      </w:r>
      <w:r>
        <w:rPr>
          <w:rFonts w:ascii="Calibri" w:hAnsi="Calibri" w:cs="Calibri"/>
        </w:rPr>
        <w:t>62,441</w:t>
      </w:r>
      <w:r w:rsidRPr="00AF59A5">
        <w:rPr>
          <w:rFonts w:ascii="Calibri" w:hAnsi="Calibri" w:cs="Calibri"/>
        </w:rPr>
        <w:t>.</w:t>
      </w:r>
      <w:r>
        <w:rPr>
          <w:rStyle w:val="FootnoteReference"/>
          <w:rFonts w:ascii="Calibri" w:hAnsi="Calibri" w:cs="Calibri"/>
        </w:rPr>
        <w:footnoteReference w:id="169"/>
      </w:r>
    </w:p>
    <w:p w14:paraId="6A76070B" w14:textId="77777777" w:rsidR="00A24239" w:rsidRPr="00A65342" w:rsidRDefault="00A24239" w:rsidP="00A24239">
      <w:pPr>
        <w:spacing w:after="0" w:line="240" w:lineRule="auto"/>
        <w:ind w:left="360"/>
        <w:jc w:val="both"/>
        <w:rPr>
          <w:rFonts w:ascii="Calibri" w:hAnsi="Calibri" w:cs="Calibri"/>
        </w:rPr>
      </w:pPr>
    </w:p>
    <w:p w14:paraId="4CF931A6" w14:textId="77777777" w:rsidR="00A24239" w:rsidRPr="0066420B" w:rsidRDefault="00A24239" w:rsidP="00A24239">
      <w:pPr>
        <w:pStyle w:val="ListParagraph"/>
        <w:numPr>
          <w:ilvl w:val="0"/>
          <w:numId w:val="8"/>
        </w:numPr>
        <w:jc w:val="both"/>
        <w:rPr>
          <w:b/>
        </w:rPr>
      </w:pPr>
      <w:r w:rsidRPr="0066420B">
        <w:rPr>
          <w:b/>
        </w:rPr>
        <w:t>Alternative Option for the Project</w:t>
      </w:r>
    </w:p>
    <w:p w14:paraId="56948E3E" w14:textId="77777777" w:rsidR="00AC15B1" w:rsidRPr="0066420B" w:rsidRDefault="00AC15B1" w:rsidP="00AC15B1">
      <w:pPr>
        <w:pStyle w:val="ListParagraph"/>
        <w:numPr>
          <w:ilvl w:val="1"/>
          <w:numId w:val="8"/>
        </w:numPr>
        <w:jc w:val="both"/>
        <w:rPr>
          <w:b/>
        </w:rPr>
      </w:pPr>
      <w:r w:rsidRPr="0066420B">
        <w:rPr>
          <w:b/>
        </w:rPr>
        <w:t>Option 1</w:t>
      </w:r>
    </w:p>
    <w:p w14:paraId="1C21C48E" w14:textId="77777777" w:rsidR="00AC15B1" w:rsidRPr="0066420B" w:rsidRDefault="00AC15B1" w:rsidP="00AC15B1">
      <w:pPr>
        <w:pStyle w:val="ListParagraph"/>
        <w:numPr>
          <w:ilvl w:val="2"/>
          <w:numId w:val="8"/>
        </w:numPr>
        <w:jc w:val="both"/>
        <w:rPr>
          <w:b/>
        </w:rPr>
      </w:pPr>
      <w:r w:rsidRPr="0066420B">
        <w:rPr>
          <w:b/>
        </w:rPr>
        <w:t>Alternative Proposal</w:t>
      </w:r>
    </w:p>
    <w:p w14:paraId="567E41DE" w14:textId="77777777" w:rsidR="00AC15B1" w:rsidRDefault="00AC15B1" w:rsidP="00AC15B1">
      <w:pPr>
        <w:pStyle w:val="ListParagraph"/>
        <w:ind w:left="2160"/>
        <w:jc w:val="both"/>
        <w:rPr>
          <w:bCs/>
        </w:rPr>
      </w:pPr>
      <w:r>
        <w:rPr>
          <w:bCs/>
        </w:rPr>
        <w:t xml:space="preserve">The Applicant considered not </w:t>
      </w:r>
      <w:r w:rsidRPr="00B651C2">
        <w:rPr>
          <w:bCs/>
        </w:rPr>
        <w:t>establish</w:t>
      </w:r>
      <w:r>
        <w:rPr>
          <w:bCs/>
        </w:rPr>
        <w:t>ing</w:t>
      </w:r>
      <w:r w:rsidRPr="00B651C2">
        <w:rPr>
          <w:bCs/>
        </w:rPr>
        <w:t xml:space="preserve"> </w:t>
      </w:r>
      <w:r>
        <w:rPr>
          <w:bCs/>
        </w:rPr>
        <w:t>a new vendor partnership</w:t>
      </w:r>
      <w:r w:rsidRPr="00B651C2">
        <w:rPr>
          <w:bCs/>
        </w:rPr>
        <w:t xml:space="preserve"> </w:t>
      </w:r>
      <w:r>
        <w:rPr>
          <w:bCs/>
        </w:rPr>
        <w:t>to replace the current PET-CT imaging vender once the contract expires in the summer of 2023</w:t>
      </w:r>
      <w:r w:rsidRPr="00B651C2">
        <w:rPr>
          <w:bCs/>
        </w:rPr>
        <w:t>.</w:t>
      </w:r>
      <w:r>
        <w:rPr>
          <w:bCs/>
        </w:rPr>
        <w:t xml:space="preserve">  In this scenario, patients would not be able to continue to enjoy local access to diagnostic imaging services conveniently located at the MelroseWakefield Medical Building – a location proximately located to where patients currently receive</w:t>
      </w:r>
      <w:r>
        <w:rPr>
          <w:bCs/>
          <w:lang w:bidi="en-US"/>
        </w:rPr>
        <w:t xml:space="preserve"> the rest of their integrated care services at the MelroseWakefield Hospital. </w:t>
      </w:r>
    </w:p>
    <w:p w14:paraId="44B1CA06" w14:textId="77777777" w:rsidR="00AC15B1" w:rsidRPr="00C4260F" w:rsidRDefault="00AC15B1" w:rsidP="00AC15B1">
      <w:pPr>
        <w:pStyle w:val="ListParagraph"/>
        <w:ind w:left="2160"/>
        <w:jc w:val="both"/>
        <w:rPr>
          <w:bCs/>
        </w:rPr>
      </w:pPr>
    </w:p>
    <w:p w14:paraId="73A022FD" w14:textId="77777777" w:rsidR="00AC15B1" w:rsidRPr="0066420B" w:rsidRDefault="00AC15B1" w:rsidP="00AC15B1">
      <w:pPr>
        <w:pStyle w:val="ListParagraph"/>
        <w:numPr>
          <w:ilvl w:val="2"/>
          <w:numId w:val="8"/>
        </w:numPr>
        <w:jc w:val="both"/>
        <w:rPr>
          <w:b/>
        </w:rPr>
      </w:pPr>
      <w:r w:rsidRPr="0066420B">
        <w:rPr>
          <w:b/>
        </w:rPr>
        <w:t>Alternative Quality</w:t>
      </w:r>
    </w:p>
    <w:p w14:paraId="616B49CE" w14:textId="77777777" w:rsidR="00AC15B1" w:rsidRDefault="00AC15B1" w:rsidP="00AC15B1">
      <w:pPr>
        <w:pStyle w:val="ListParagraph"/>
        <w:ind w:left="2160"/>
        <w:jc w:val="both"/>
        <w:rPr>
          <w:bCs/>
        </w:rPr>
      </w:pPr>
      <w:r w:rsidRPr="00677760">
        <w:rPr>
          <w:bCs/>
        </w:rPr>
        <w:t>This alternative is not sufficient to meet the combined patient panel's need for highly accessible, low cost and high-quality PET-CT imaging in the community. The current arrangement</w:t>
      </w:r>
      <w:r>
        <w:rPr>
          <w:bCs/>
        </w:rPr>
        <w:t xml:space="preserve"> allows those </w:t>
      </w:r>
      <w:r w:rsidRPr="00A67E94">
        <w:rPr>
          <w:bCs/>
        </w:rPr>
        <w:t>patients who meet the clinical protocols for combined PET-CT</w:t>
      </w:r>
      <w:r>
        <w:rPr>
          <w:bCs/>
        </w:rPr>
        <w:t xml:space="preserve"> to receive the service locally, thus enhancing</w:t>
      </w:r>
      <w:r w:rsidRPr="00677760">
        <w:rPr>
          <w:bCs/>
        </w:rPr>
        <w:t xml:space="preserve"> access </w:t>
      </w:r>
      <w:r>
        <w:rPr>
          <w:bCs/>
        </w:rPr>
        <w:t>for</w:t>
      </w:r>
      <w:r w:rsidRPr="00677760">
        <w:rPr>
          <w:bCs/>
        </w:rPr>
        <w:t xml:space="preserve"> the patient panel</w:t>
      </w:r>
      <w:r>
        <w:rPr>
          <w:bCs/>
        </w:rPr>
        <w:t>.  Discontinuation of a diagnostic imaging vending partnership would result in i</w:t>
      </w:r>
      <w:r w:rsidRPr="00677760">
        <w:rPr>
          <w:bCs/>
        </w:rPr>
        <w:t>nsufficient access</w:t>
      </w:r>
      <w:r>
        <w:rPr>
          <w:bCs/>
        </w:rPr>
        <w:t>.  Insufficient access may increase the risk of poor health outcomes and health disparities.</w:t>
      </w:r>
      <w:r>
        <w:rPr>
          <w:rStyle w:val="FootnoteReference"/>
          <w:bCs/>
        </w:rPr>
        <w:footnoteReference w:id="170"/>
      </w:r>
    </w:p>
    <w:p w14:paraId="6BFB5473" w14:textId="77777777" w:rsidR="00AC15B1" w:rsidRDefault="00AC15B1" w:rsidP="00AC15B1">
      <w:pPr>
        <w:pStyle w:val="ListParagraph"/>
        <w:ind w:left="2160"/>
        <w:jc w:val="both"/>
        <w:rPr>
          <w:bCs/>
        </w:rPr>
      </w:pPr>
    </w:p>
    <w:p w14:paraId="23E3C035" w14:textId="77777777" w:rsidR="00AC15B1" w:rsidRDefault="00AC15B1" w:rsidP="00AC15B1">
      <w:pPr>
        <w:pStyle w:val="ListParagraph"/>
        <w:ind w:left="2160"/>
        <w:jc w:val="both"/>
        <w:rPr>
          <w:bCs/>
        </w:rPr>
      </w:pPr>
      <w:r>
        <w:rPr>
          <w:bCs/>
        </w:rPr>
        <w:t xml:space="preserve">On the other hand, </w:t>
      </w:r>
      <w:r w:rsidRPr="00C12622">
        <w:rPr>
          <w:bCs/>
        </w:rPr>
        <w:t xml:space="preserve">ready access to PET-CT services </w:t>
      </w:r>
      <w:r>
        <w:rPr>
          <w:bCs/>
        </w:rPr>
        <w:t xml:space="preserve">is not only more convenient for the patients, but also it </w:t>
      </w:r>
      <w:r w:rsidRPr="00C12622">
        <w:rPr>
          <w:bCs/>
        </w:rPr>
        <w:t xml:space="preserve">will allow clinicians to determine appropriate treatment options that will impact overall health outcomes in a time effective </w:t>
      </w:r>
      <w:r w:rsidRPr="00C12622">
        <w:rPr>
          <w:bCs/>
        </w:rPr>
        <w:lastRenderedPageBreak/>
        <w:t>manner.</w:t>
      </w:r>
      <w:r w:rsidRPr="00CA6D7D">
        <w:rPr>
          <w:rFonts w:ascii="Arial" w:hAnsi="Arial" w:cs="Arial"/>
          <w:color w:val="000000"/>
          <w:sz w:val="21"/>
          <w:szCs w:val="21"/>
          <w:shd w:val="clear" w:color="auto" w:fill="FFFFFF"/>
        </w:rPr>
        <w:t xml:space="preserve"> </w:t>
      </w:r>
      <w:r w:rsidRPr="00CA6D7D">
        <w:rPr>
          <w:bCs/>
        </w:rPr>
        <w:t>Expanding access to health services is an important step toward reducing health disparities</w:t>
      </w:r>
      <w:r>
        <w:rPr>
          <w:rFonts w:ascii="Arial" w:hAnsi="Arial" w:cs="Arial"/>
          <w:color w:val="000000"/>
          <w:sz w:val="21"/>
          <w:szCs w:val="21"/>
          <w:shd w:val="clear" w:color="auto" w:fill="FFFFFF"/>
        </w:rPr>
        <w:t>.</w:t>
      </w:r>
      <w:r>
        <w:rPr>
          <w:rStyle w:val="FootnoteReference"/>
          <w:rFonts w:ascii="Arial" w:hAnsi="Arial" w:cs="Arial"/>
          <w:color w:val="000000"/>
          <w:sz w:val="21"/>
          <w:szCs w:val="21"/>
          <w:shd w:val="clear" w:color="auto" w:fill="FFFFFF"/>
        </w:rPr>
        <w:footnoteReference w:id="171"/>
      </w:r>
    </w:p>
    <w:p w14:paraId="7351719D" w14:textId="77777777" w:rsidR="00AC15B1" w:rsidRDefault="00AC15B1" w:rsidP="00AC15B1">
      <w:pPr>
        <w:pStyle w:val="ListParagraph"/>
        <w:ind w:left="2160"/>
        <w:jc w:val="both"/>
        <w:rPr>
          <w:bCs/>
        </w:rPr>
      </w:pPr>
    </w:p>
    <w:p w14:paraId="1680955D" w14:textId="77777777" w:rsidR="00AC15B1" w:rsidRPr="0066420B" w:rsidRDefault="00AC15B1" w:rsidP="00AC15B1">
      <w:pPr>
        <w:pStyle w:val="ListParagraph"/>
        <w:numPr>
          <w:ilvl w:val="2"/>
          <w:numId w:val="8"/>
        </w:numPr>
        <w:jc w:val="both"/>
        <w:rPr>
          <w:b/>
        </w:rPr>
      </w:pPr>
      <w:r w:rsidRPr="0066420B">
        <w:rPr>
          <w:b/>
        </w:rPr>
        <w:t>Alternative Efficiency</w:t>
      </w:r>
    </w:p>
    <w:p w14:paraId="5DEED80A" w14:textId="77777777" w:rsidR="00AC15B1" w:rsidRPr="00677760" w:rsidRDefault="00AC15B1" w:rsidP="00AC15B1">
      <w:pPr>
        <w:pStyle w:val="ListParagraph"/>
        <w:ind w:left="2160"/>
        <w:jc w:val="both"/>
        <w:rPr>
          <w:bCs/>
        </w:rPr>
      </w:pPr>
      <w:r w:rsidRPr="00677760">
        <w:rPr>
          <w:bCs/>
        </w:rPr>
        <w:t xml:space="preserve">Not </w:t>
      </w:r>
      <w:r>
        <w:rPr>
          <w:bCs/>
        </w:rPr>
        <w:t xml:space="preserve">establishing the PET-CT service offering, which represents </w:t>
      </w:r>
      <w:r w:rsidRPr="00677760">
        <w:rPr>
          <w:bCs/>
        </w:rPr>
        <w:t xml:space="preserve">a superior </w:t>
      </w:r>
      <w:r>
        <w:rPr>
          <w:bCs/>
        </w:rPr>
        <w:t xml:space="preserve">imaging </w:t>
      </w:r>
      <w:r w:rsidRPr="00677760">
        <w:rPr>
          <w:bCs/>
        </w:rPr>
        <w:t>altern</w:t>
      </w:r>
      <w:r w:rsidRPr="00540D7E">
        <w:rPr>
          <w:bCs/>
        </w:rPr>
        <w:t>ative at a convenient location for the patients, would not help improve efficiency</w:t>
      </w:r>
      <w:r w:rsidRPr="00677760">
        <w:rPr>
          <w:bCs/>
        </w:rPr>
        <w:t xml:space="preserve"> </w:t>
      </w:r>
      <w:r>
        <w:rPr>
          <w:bCs/>
        </w:rPr>
        <w:t>because it deprives</w:t>
      </w:r>
      <w:r w:rsidRPr="00677760">
        <w:rPr>
          <w:bCs/>
        </w:rPr>
        <w:t xml:space="preserve"> patient</w:t>
      </w:r>
      <w:r>
        <w:rPr>
          <w:bCs/>
        </w:rPr>
        <w:t>s</w:t>
      </w:r>
      <w:r w:rsidRPr="00677760">
        <w:rPr>
          <w:bCs/>
        </w:rPr>
        <w:t xml:space="preserve"> </w:t>
      </w:r>
      <w:r>
        <w:rPr>
          <w:bCs/>
        </w:rPr>
        <w:t xml:space="preserve">of the most timely and accurate </w:t>
      </w:r>
      <w:r w:rsidRPr="00677760">
        <w:rPr>
          <w:bCs/>
        </w:rPr>
        <w:t xml:space="preserve">access to necessary diagnostic information.  </w:t>
      </w:r>
    </w:p>
    <w:p w14:paraId="2EE2EDDF" w14:textId="77777777" w:rsidR="00AC15B1" w:rsidRDefault="00AC15B1" w:rsidP="00AC15B1">
      <w:pPr>
        <w:pStyle w:val="ListParagraph"/>
        <w:ind w:left="2160"/>
        <w:jc w:val="both"/>
        <w:rPr>
          <w:b/>
        </w:rPr>
      </w:pPr>
    </w:p>
    <w:p w14:paraId="52CC4F9D" w14:textId="77777777" w:rsidR="00AC15B1" w:rsidRPr="00DE7819" w:rsidRDefault="00AC15B1" w:rsidP="00AC15B1">
      <w:pPr>
        <w:pStyle w:val="ListParagraph"/>
        <w:numPr>
          <w:ilvl w:val="2"/>
          <w:numId w:val="8"/>
        </w:numPr>
        <w:jc w:val="both"/>
        <w:rPr>
          <w:b/>
        </w:rPr>
      </w:pPr>
      <w:r w:rsidRPr="00DE7819">
        <w:rPr>
          <w:b/>
        </w:rPr>
        <w:t>Alternative Capital Expense</w:t>
      </w:r>
    </w:p>
    <w:p w14:paraId="03171E71" w14:textId="77777777" w:rsidR="00AC15B1" w:rsidRPr="004D2381" w:rsidRDefault="00AC15B1" w:rsidP="00AC15B1">
      <w:pPr>
        <w:pStyle w:val="ListParagraph"/>
        <w:ind w:left="2160"/>
        <w:jc w:val="both"/>
        <w:rPr>
          <w:bCs/>
        </w:rPr>
      </w:pPr>
      <w:r w:rsidRPr="00DE7819">
        <w:rPr>
          <w:bCs/>
        </w:rPr>
        <w:t xml:space="preserve">Taking no action to </w:t>
      </w:r>
      <w:r>
        <w:rPr>
          <w:bCs/>
        </w:rPr>
        <w:t>maintain</w:t>
      </w:r>
      <w:r w:rsidRPr="00DE7819">
        <w:rPr>
          <w:bCs/>
        </w:rPr>
        <w:t xml:space="preserve"> a</w:t>
      </w:r>
      <w:r>
        <w:rPr>
          <w:bCs/>
        </w:rPr>
        <w:t xml:space="preserve"> local</w:t>
      </w:r>
      <w:r w:rsidRPr="00DE7819">
        <w:rPr>
          <w:bCs/>
        </w:rPr>
        <w:t xml:space="preserve"> PET-CT service offering would deprive the patient panel of an important diagnostic imaging tool for the community. While no additional capital expenses would be incurred in the short term, forgoing this project would greatly impact patient experience, clinician experience, and health outcomes.</w:t>
      </w:r>
    </w:p>
    <w:p w14:paraId="28F797D0" w14:textId="77777777" w:rsidR="00AC15B1" w:rsidRPr="008E4FF3" w:rsidRDefault="00AC15B1" w:rsidP="00AC15B1">
      <w:pPr>
        <w:pStyle w:val="ListParagraph"/>
        <w:ind w:left="2160"/>
        <w:jc w:val="both"/>
        <w:rPr>
          <w:bCs/>
          <w:highlight w:val="yellow"/>
        </w:rPr>
      </w:pPr>
    </w:p>
    <w:p w14:paraId="3D87DA56" w14:textId="77777777" w:rsidR="00AC15B1" w:rsidRPr="00DE7819" w:rsidRDefault="00AC15B1" w:rsidP="00AC15B1">
      <w:pPr>
        <w:pStyle w:val="ListParagraph"/>
        <w:numPr>
          <w:ilvl w:val="2"/>
          <w:numId w:val="8"/>
        </w:numPr>
        <w:jc w:val="both"/>
        <w:rPr>
          <w:b/>
        </w:rPr>
      </w:pPr>
      <w:r w:rsidRPr="00DE7819">
        <w:rPr>
          <w:b/>
        </w:rPr>
        <w:t xml:space="preserve">Alternative Operating Costs </w:t>
      </w:r>
    </w:p>
    <w:p w14:paraId="1FCFE292" w14:textId="77777777" w:rsidR="00AC15B1" w:rsidRDefault="00AC15B1" w:rsidP="00AC15B1">
      <w:pPr>
        <w:pStyle w:val="ListParagraph"/>
        <w:ind w:left="2160"/>
        <w:jc w:val="both"/>
        <w:rPr>
          <w:bCs/>
        </w:rPr>
      </w:pPr>
      <w:r w:rsidRPr="00DE7819">
        <w:rPr>
          <w:bCs/>
        </w:rPr>
        <w:t xml:space="preserve">Taking no action to </w:t>
      </w:r>
      <w:r>
        <w:rPr>
          <w:bCs/>
        </w:rPr>
        <w:t xml:space="preserve">maintain a local </w:t>
      </w:r>
      <w:r w:rsidRPr="00DE7819">
        <w:rPr>
          <w:bCs/>
        </w:rPr>
        <w:t xml:space="preserve">PET-CT service offering would not result in any significant near term changes in operating costs. </w:t>
      </w:r>
    </w:p>
    <w:p w14:paraId="21911B84" w14:textId="77777777" w:rsidR="00A24239" w:rsidRDefault="00A24239" w:rsidP="00A24239">
      <w:pPr>
        <w:pStyle w:val="ListParagraph"/>
        <w:ind w:left="2160"/>
        <w:jc w:val="both"/>
        <w:rPr>
          <w:bCs/>
        </w:rPr>
      </w:pPr>
    </w:p>
    <w:p w14:paraId="3C5B6303" w14:textId="77777777" w:rsidR="00AC15B1" w:rsidRPr="0066420B" w:rsidRDefault="00AC15B1" w:rsidP="00AC15B1">
      <w:pPr>
        <w:pStyle w:val="ListParagraph"/>
        <w:numPr>
          <w:ilvl w:val="1"/>
          <w:numId w:val="8"/>
        </w:numPr>
        <w:jc w:val="both"/>
        <w:rPr>
          <w:b/>
        </w:rPr>
      </w:pPr>
      <w:r w:rsidRPr="0066420B">
        <w:rPr>
          <w:b/>
        </w:rPr>
        <w:t xml:space="preserve">Option </w:t>
      </w:r>
      <w:r>
        <w:rPr>
          <w:b/>
        </w:rPr>
        <w:t>2</w:t>
      </w:r>
    </w:p>
    <w:p w14:paraId="18F24668" w14:textId="77777777" w:rsidR="00AC15B1" w:rsidRPr="0066420B" w:rsidRDefault="00AC15B1" w:rsidP="00AC15B1">
      <w:pPr>
        <w:pStyle w:val="ListParagraph"/>
        <w:numPr>
          <w:ilvl w:val="2"/>
          <w:numId w:val="8"/>
        </w:numPr>
        <w:jc w:val="both"/>
        <w:rPr>
          <w:b/>
        </w:rPr>
      </w:pPr>
      <w:r w:rsidRPr="0066420B">
        <w:rPr>
          <w:b/>
        </w:rPr>
        <w:t xml:space="preserve">Alternative </w:t>
      </w:r>
      <w:r>
        <w:rPr>
          <w:b/>
        </w:rPr>
        <w:t xml:space="preserve">(2) </w:t>
      </w:r>
      <w:r w:rsidRPr="0066420B">
        <w:rPr>
          <w:b/>
        </w:rPr>
        <w:t>Proposal</w:t>
      </w:r>
    </w:p>
    <w:p w14:paraId="2183BA55" w14:textId="4AF604E3" w:rsidR="00AC15B1" w:rsidRDefault="00AC15B1" w:rsidP="00AC15B1">
      <w:pPr>
        <w:pStyle w:val="ListParagraph"/>
        <w:ind w:left="2160"/>
        <w:jc w:val="both"/>
        <w:rPr>
          <w:bCs/>
        </w:rPr>
      </w:pPr>
      <w:r>
        <w:rPr>
          <w:bCs/>
        </w:rPr>
        <w:t xml:space="preserve">The Applicant considered </w:t>
      </w:r>
      <w:r w:rsidRPr="00B651C2">
        <w:rPr>
          <w:bCs/>
        </w:rPr>
        <w:t>not establ</w:t>
      </w:r>
      <w:r>
        <w:rPr>
          <w:bCs/>
        </w:rPr>
        <w:t>ishing a new vendor partnership</w:t>
      </w:r>
      <w:r w:rsidRPr="00B651C2">
        <w:rPr>
          <w:bCs/>
        </w:rPr>
        <w:t xml:space="preserve"> </w:t>
      </w:r>
      <w:r>
        <w:rPr>
          <w:bCs/>
        </w:rPr>
        <w:t xml:space="preserve">to provide </w:t>
      </w:r>
      <w:r w:rsidRPr="00B651C2">
        <w:rPr>
          <w:bCs/>
        </w:rPr>
        <w:t>patients</w:t>
      </w:r>
      <w:r>
        <w:rPr>
          <w:bCs/>
        </w:rPr>
        <w:t xml:space="preserve"> with continued local access to </w:t>
      </w:r>
      <w:r w:rsidRPr="00B651C2">
        <w:rPr>
          <w:bCs/>
        </w:rPr>
        <w:t>PET-CT service</w:t>
      </w:r>
      <w:r>
        <w:rPr>
          <w:bCs/>
        </w:rPr>
        <w:t>s and to instead refer all patients meeting the clinical protocols for PET-CT to Shields PET-CT at Tufts Medical Center located at 800 Washington Street in Boston</w:t>
      </w:r>
      <w:r w:rsidRPr="00B651C2">
        <w:rPr>
          <w:bCs/>
        </w:rPr>
        <w:t>.</w:t>
      </w:r>
      <w:r>
        <w:rPr>
          <w:bCs/>
        </w:rPr>
        <w:t xml:space="preserve">  In this scenario, patients would need to travel a half an hour (or more) to downtown Boston to receive PET-CT scans for their </w:t>
      </w:r>
      <w:r w:rsidRPr="00A21AAF">
        <w:rPr>
          <w:bCs/>
          <w:lang w:bidi="en-US"/>
        </w:rPr>
        <w:t>oncologic</w:t>
      </w:r>
      <w:r>
        <w:rPr>
          <w:bCs/>
          <w:lang w:bidi="en-US"/>
        </w:rPr>
        <w:t xml:space="preserve">, </w:t>
      </w:r>
      <w:r w:rsidRPr="00A21AAF">
        <w:rPr>
          <w:bCs/>
          <w:lang w:bidi="en-US"/>
        </w:rPr>
        <w:t>cardiac</w:t>
      </w:r>
      <w:r>
        <w:rPr>
          <w:bCs/>
          <w:lang w:bidi="en-US"/>
        </w:rPr>
        <w:t>, and neurologic c</w:t>
      </w:r>
      <w:r w:rsidRPr="00A21AAF">
        <w:rPr>
          <w:bCs/>
          <w:lang w:bidi="en-US"/>
        </w:rPr>
        <w:t>onditions</w:t>
      </w:r>
      <w:r>
        <w:rPr>
          <w:bCs/>
          <w:lang w:bidi="en-US"/>
        </w:rPr>
        <w:t xml:space="preserve">, rather than receiving those scans at the location where they receive the rest of their integrated care services. </w:t>
      </w:r>
    </w:p>
    <w:p w14:paraId="55900B58" w14:textId="77777777" w:rsidR="00AC15B1" w:rsidRPr="00C4260F" w:rsidRDefault="00AC15B1" w:rsidP="00AC15B1">
      <w:pPr>
        <w:pStyle w:val="ListParagraph"/>
        <w:ind w:left="2160"/>
        <w:jc w:val="both"/>
        <w:rPr>
          <w:bCs/>
        </w:rPr>
      </w:pPr>
    </w:p>
    <w:p w14:paraId="12101F37" w14:textId="77777777" w:rsidR="00AC15B1" w:rsidRPr="0066420B" w:rsidRDefault="00AC15B1" w:rsidP="00AC15B1">
      <w:pPr>
        <w:pStyle w:val="ListParagraph"/>
        <w:numPr>
          <w:ilvl w:val="2"/>
          <w:numId w:val="8"/>
        </w:numPr>
        <w:jc w:val="both"/>
        <w:rPr>
          <w:b/>
        </w:rPr>
      </w:pPr>
      <w:r w:rsidRPr="0066420B">
        <w:rPr>
          <w:b/>
        </w:rPr>
        <w:t xml:space="preserve">Alternative </w:t>
      </w:r>
      <w:r>
        <w:rPr>
          <w:b/>
        </w:rPr>
        <w:t xml:space="preserve">(2) </w:t>
      </w:r>
      <w:r w:rsidRPr="0066420B">
        <w:rPr>
          <w:b/>
        </w:rPr>
        <w:t>Quality</w:t>
      </w:r>
    </w:p>
    <w:p w14:paraId="0F8A3835" w14:textId="5611C4AB" w:rsidR="00AC15B1" w:rsidRDefault="00AC15B1" w:rsidP="00AC15B1">
      <w:pPr>
        <w:pStyle w:val="ListParagraph"/>
        <w:ind w:left="2160"/>
        <w:jc w:val="both"/>
        <w:rPr>
          <w:bCs/>
        </w:rPr>
      </w:pPr>
      <w:r w:rsidRPr="00677760">
        <w:rPr>
          <w:bCs/>
        </w:rPr>
        <w:t>This alternative is not sufficient to meet the combined patient panel's need for highly accessible, low cost and high-quality PET-CT imaging in the community. Th</w:t>
      </w:r>
      <w:r>
        <w:rPr>
          <w:bCs/>
        </w:rPr>
        <w:t xml:space="preserve">is alternative would force those </w:t>
      </w:r>
      <w:r w:rsidRPr="00A67E94">
        <w:rPr>
          <w:bCs/>
        </w:rPr>
        <w:t>patients who meet the clinical protocols for combined PET-CT</w:t>
      </w:r>
      <w:r>
        <w:rPr>
          <w:bCs/>
        </w:rPr>
        <w:t xml:space="preserve"> to travel to receive the service, thus l</w:t>
      </w:r>
      <w:r w:rsidRPr="00677760">
        <w:rPr>
          <w:bCs/>
        </w:rPr>
        <w:t>imit</w:t>
      </w:r>
      <w:r>
        <w:rPr>
          <w:bCs/>
        </w:rPr>
        <w:t>ing</w:t>
      </w:r>
      <w:r w:rsidRPr="00677760">
        <w:rPr>
          <w:bCs/>
        </w:rPr>
        <w:t xml:space="preserve"> </w:t>
      </w:r>
      <w:r>
        <w:rPr>
          <w:bCs/>
        </w:rPr>
        <w:t xml:space="preserve">local </w:t>
      </w:r>
      <w:r w:rsidRPr="00677760">
        <w:rPr>
          <w:bCs/>
        </w:rPr>
        <w:t xml:space="preserve">access </w:t>
      </w:r>
      <w:r>
        <w:rPr>
          <w:bCs/>
        </w:rPr>
        <w:t>for</w:t>
      </w:r>
      <w:r w:rsidRPr="00677760">
        <w:rPr>
          <w:bCs/>
        </w:rPr>
        <w:t xml:space="preserve"> the patient panel</w:t>
      </w:r>
      <w:r>
        <w:rPr>
          <w:bCs/>
        </w:rPr>
        <w:t xml:space="preserve">. </w:t>
      </w:r>
      <w:r w:rsidR="00AD04C5" w:rsidRPr="00AD04C5">
        <w:t xml:space="preserve">Appointment availability for MWH patients would also be difficult due to already existing volumes and lack of capacity available at Tufts Medical Center. </w:t>
      </w:r>
      <w:r>
        <w:rPr>
          <w:bCs/>
        </w:rPr>
        <w:t>I</w:t>
      </w:r>
      <w:r w:rsidRPr="00677760">
        <w:rPr>
          <w:bCs/>
        </w:rPr>
        <w:t xml:space="preserve">nsufficient access </w:t>
      </w:r>
      <w:r>
        <w:rPr>
          <w:bCs/>
        </w:rPr>
        <w:t xml:space="preserve">effects the </w:t>
      </w:r>
      <w:r w:rsidRPr="00677760">
        <w:rPr>
          <w:bCs/>
        </w:rPr>
        <w:t xml:space="preserve">quality of care </w:t>
      </w:r>
      <w:r>
        <w:rPr>
          <w:bCs/>
        </w:rPr>
        <w:t xml:space="preserve">for </w:t>
      </w:r>
      <w:r w:rsidRPr="00677760">
        <w:rPr>
          <w:bCs/>
        </w:rPr>
        <w:t>the patients served.</w:t>
      </w:r>
    </w:p>
    <w:p w14:paraId="449AF7B6" w14:textId="77777777" w:rsidR="00AC15B1" w:rsidRDefault="00AC15B1" w:rsidP="00AC15B1">
      <w:pPr>
        <w:pStyle w:val="ListParagraph"/>
        <w:ind w:left="2160"/>
        <w:jc w:val="both"/>
        <w:rPr>
          <w:bCs/>
        </w:rPr>
      </w:pPr>
    </w:p>
    <w:p w14:paraId="081DCC46" w14:textId="77777777" w:rsidR="00AC15B1" w:rsidRPr="00677760" w:rsidRDefault="00AC15B1" w:rsidP="00AC15B1">
      <w:pPr>
        <w:pStyle w:val="ListParagraph"/>
        <w:ind w:left="2160"/>
        <w:jc w:val="both"/>
        <w:rPr>
          <w:bCs/>
        </w:rPr>
      </w:pPr>
      <w:r>
        <w:rPr>
          <w:bCs/>
        </w:rPr>
        <w:lastRenderedPageBreak/>
        <w:t>R</w:t>
      </w:r>
      <w:r w:rsidRPr="00C12622">
        <w:rPr>
          <w:bCs/>
        </w:rPr>
        <w:t xml:space="preserve">eady access to PET-CT services </w:t>
      </w:r>
      <w:r>
        <w:rPr>
          <w:bCs/>
        </w:rPr>
        <w:t xml:space="preserve">is not only more convenient for the patients, but also it </w:t>
      </w:r>
      <w:r w:rsidRPr="00C12622">
        <w:rPr>
          <w:bCs/>
        </w:rPr>
        <w:t>will allow clinicians to determine appropriate treatment options that will impact overall health outcomes in a time effective manner.</w:t>
      </w:r>
    </w:p>
    <w:p w14:paraId="316F4FBE" w14:textId="77777777" w:rsidR="00AC15B1" w:rsidRDefault="00AC15B1" w:rsidP="00AC15B1">
      <w:pPr>
        <w:pStyle w:val="ListParagraph"/>
        <w:ind w:left="2160"/>
        <w:jc w:val="both"/>
        <w:rPr>
          <w:bCs/>
        </w:rPr>
      </w:pPr>
    </w:p>
    <w:p w14:paraId="77CE45AA" w14:textId="77777777" w:rsidR="00AC15B1" w:rsidRPr="0066420B" w:rsidRDefault="00AC15B1" w:rsidP="00AC15B1">
      <w:pPr>
        <w:pStyle w:val="ListParagraph"/>
        <w:numPr>
          <w:ilvl w:val="2"/>
          <w:numId w:val="8"/>
        </w:numPr>
        <w:jc w:val="both"/>
        <w:rPr>
          <w:b/>
        </w:rPr>
      </w:pPr>
      <w:r w:rsidRPr="0066420B">
        <w:rPr>
          <w:b/>
        </w:rPr>
        <w:t>Alternative</w:t>
      </w:r>
      <w:r>
        <w:rPr>
          <w:b/>
        </w:rPr>
        <w:t xml:space="preserve"> (2)</w:t>
      </w:r>
      <w:r w:rsidRPr="0066420B">
        <w:rPr>
          <w:b/>
        </w:rPr>
        <w:t xml:space="preserve"> Efficiency</w:t>
      </w:r>
    </w:p>
    <w:p w14:paraId="3F5382B8" w14:textId="77777777" w:rsidR="00AC15B1" w:rsidRPr="00677760" w:rsidRDefault="00AC15B1" w:rsidP="00AC15B1">
      <w:pPr>
        <w:pStyle w:val="ListParagraph"/>
        <w:ind w:left="2160"/>
        <w:jc w:val="both"/>
        <w:rPr>
          <w:bCs/>
        </w:rPr>
      </w:pPr>
      <w:r w:rsidRPr="00677760">
        <w:rPr>
          <w:bCs/>
        </w:rPr>
        <w:t xml:space="preserve">Not </w:t>
      </w:r>
      <w:r>
        <w:rPr>
          <w:bCs/>
        </w:rPr>
        <w:t xml:space="preserve">maintaining a local PET-CT service offering, </w:t>
      </w:r>
      <w:r w:rsidRPr="00540D7E">
        <w:rPr>
          <w:bCs/>
        </w:rPr>
        <w:t>would not help improve efficiency</w:t>
      </w:r>
      <w:r w:rsidRPr="00677760">
        <w:rPr>
          <w:bCs/>
        </w:rPr>
        <w:t xml:space="preserve"> </w:t>
      </w:r>
      <w:r>
        <w:rPr>
          <w:bCs/>
        </w:rPr>
        <w:t>because it deprives</w:t>
      </w:r>
      <w:r w:rsidRPr="00677760">
        <w:rPr>
          <w:bCs/>
        </w:rPr>
        <w:t xml:space="preserve"> patient</w:t>
      </w:r>
      <w:r>
        <w:rPr>
          <w:bCs/>
        </w:rPr>
        <w:t>s</w:t>
      </w:r>
      <w:r w:rsidRPr="00677760">
        <w:rPr>
          <w:bCs/>
        </w:rPr>
        <w:t xml:space="preserve"> </w:t>
      </w:r>
      <w:r>
        <w:rPr>
          <w:bCs/>
        </w:rPr>
        <w:t xml:space="preserve">of the most timely and accurate </w:t>
      </w:r>
      <w:r w:rsidRPr="00677760">
        <w:rPr>
          <w:bCs/>
        </w:rPr>
        <w:t xml:space="preserve">access to necessary diagnostic information.  </w:t>
      </w:r>
    </w:p>
    <w:p w14:paraId="01CA9F58" w14:textId="77777777" w:rsidR="00AC15B1" w:rsidRDefault="00AC15B1" w:rsidP="00AC15B1">
      <w:pPr>
        <w:pStyle w:val="ListParagraph"/>
        <w:ind w:left="2160"/>
        <w:jc w:val="both"/>
        <w:rPr>
          <w:b/>
        </w:rPr>
      </w:pPr>
    </w:p>
    <w:p w14:paraId="554FA5EB" w14:textId="77777777" w:rsidR="00AC15B1" w:rsidRPr="0066420B" w:rsidRDefault="00AC15B1" w:rsidP="00AC15B1">
      <w:pPr>
        <w:pStyle w:val="ListParagraph"/>
        <w:numPr>
          <w:ilvl w:val="2"/>
          <w:numId w:val="8"/>
        </w:numPr>
        <w:jc w:val="both"/>
        <w:rPr>
          <w:b/>
        </w:rPr>
      </w:pPr>
      <w:r w:rsidRPr="0066420B">
        <w:rPr>
          <w:b/>
        </w:rPr>
        <w:t>Alternative</w:t>
      </w:r>
      <w:r>
        <w:rPr>
          <w:b/>
        </w:rPr>
        <w:t xml:space="preserve"> (2)</w:t>
      </w:r>
      <w:r w:rsidRPr="0066420B">
        <w:rPr>
          <w:b/>
        </w:rPr>
        <w:t xml:space="preserve"> Capital Expense</w:t>
      </w:r>
    </w:p>
    <w:p w14:paraId="6B9D15FE" w14:textId="77777777" w:rsidR="00AC15B1" w:rsidRPr="00677760" w:rsidRDefault="00AC15B1" w:rsidP="00AC15B1">
      <w:pPr>
        <w:pStyle w:val="ListParagraph"/>
        <w:ind w:left="2160"/>
        <w:jc w:val="both"/>
        <w:rPr>
          <w:bCs/>
        </w:rPr>
      </w:pPr>
      <w:r>
        <w:rPr>
          <w:bCs/>
        </w:rPr>
        <w:t>Taking no action to maintain a local PET-CT service offering would maintain the status quo and no additional c</w:t>
      </w:r>
      <w:r w:rsidRPr="00677760">
        <w:rPr>
          <w:bCs/>
        </w:rPr>
        <w:t>apital expense</w:t>
      </w:r>
      <w:r>
        <w:rPr>
          <w:bCs/>
        </w:rPr>
        <w:t>s</w:t>
      </w:r>
      <w:r w:rsidRPr="00677760">
        <w:rPr>
          <w:bCs/>
        </w:rPr>
        <w:t xml:space="preserve"> would likely </w:t>
      </w:r>
      <w:r>
        <w:rPr>
          <w:bCs/>
        </w:rPr>
        <w:t>be incurred for the Applicant.</w:t>
      </w:r>
    </w:p>
    <w:p w14:paraId="04619827" w14:textId="77777777" w:rsidR="00AC15B1" w:rsidRPr="00BE5B9E" w:rsidRDefault="00AC15B1" w:rsidP="00AC15B1">
      <w:pPr>
        <w:pStyle w:val="ListParagraph"/>
        <w:ind w:left="2160"/>
        <w:jc w:val="both"/>
        <w:rPr>
          <w:bCs/>
        </w:rPr>
      </w:pPr>
    </w:p>
    <w:p w14:paraId="2F16D2C8" w14:textId="77777777" w:rsidR="00AC15B1" w:rsidRPr="0066420B" w:rsidRDefault="00AC15B1" w:rsidP="00AC15B1">
      <w:pPr>
        <w:pStyle w:val="ListParagraph"/>
        <w:numPr>
          <w:ilvl w:val="2"/>
          <w:numId w:val="8"/>
        </w:numPr>
        <w:jc w:val="both"/>
        <w:rPr>
          <w:b/>
        </w:rPr>
      </w:pPr>
      <w:r w:rsidRPr="0066420B">
        <w:rPr>
          <w:b/>
        </w:rPr>
        <w:t xml:space="preserve">Alternative </w:t>
      </w:r>
      <w:r>
        <w:rPr>
          <w:b/>
        </w:rPr>
        <w:t xml:space="preserve">(2) </w:t>
      </w:r>
      <w:r w:rsidRPr="0066420B">
        <w:rPr>
          <w:b/>
        </w:rPr>
        <w:t xml:space="preserve">Operating Costs </w:t>
      </w:r>
    </w:p>
    <w:p w14:paraId="19A1087E" w14:textId="77777777" w:rsidR="00AC15B1" w:rsidRDefault="00AC15B1" w:rsidP="00AC15B1">
      <w:pPr>
        <w:pStyle w:val="ListParagraph"/>
        <w:ind w:left="2160"/>
        <w:jc w:val="both"/>
        <w:rPr>
          <w:bCs/>
        </w:rPr>
      </w:pPr>
      <w:r w:rsidRPr="00677760">
        <w:rPr>
          <w:bCs/>
        </w:rPr>
        <w:t xml:space="preserve">Taking no action to </w:t>
      </w:r>
      <w:r>
        <w:rPr>
          <w:bCs/>
        </w:rPr>
        <w:t>maintain</w:t>
      </w:r>
      <w:r w:rsidRPr="00677760">
        <w:rPr>
          <w:bCs/>
        </w:rPr>
        <w:t xml:space="preserve"> </w:t>
      </w:r>
      <w:r>
        <w:rPr>
          <w:bCs/>
        </w:rPr>
        <w:t>a</w:t>
      </w:r>
      <w:r w:rsidRPr="00677760">
        <w:rPr>
          <w:bCs/>
        </w:rPr>
        <w:t xml:space="preserve"> </w:t>
      </w:r>
      <w:r>
        <w:rPr>
          <w:bCs/>
        </w:rPr>
        <w:t>local PET-CT service offering</w:t>
      </w:r>
      <w:r w:rsidRPr="00677760">
        <w:rPr>
          <w:bCs/>
        </w:rPr>
        <w:t xml:space="preserve"> would </w:t>
      </w:r>
      <w:r>
        <w:rPr>
          <w:bCs/>
        </w:rPr>
        <w:t>maintain the status quo and no additional operating costs</w:t>
      </w:r>
      <w:r w:rsidRPr="00677760">
        <w:rPr>
          <w:bCs/>
        </w:rPr>
        <w:t xml:space="preserve"> would likely </w:t>
      </w:r>
      <w:r>
        <w:rPr>
          <w:bCs/>
        </w:rPr>
        <w:t>be incurred directly by the Applicant. However, it is notable that the patients who would be referred to Shields PET-CT at Tufts Medical Center may present an operational burden that could translate into increased o</w:t>
      </w:r>
      <w:r>
        <w:t>perating costs for the Applicant’s sister corporation, due to increased appointment volume and the overtime that would likely be required for clinicians/technicians to accommodate the displaced patients’ imaging needs.</w:t>
      </w:r>
    </w:p>
    <w:p w14:paraId="56D94854" w14:textId="77777777" w:rsidR="00A24239" w:rsidRDefault="00A24239" w:rsidP="00A24239">
      <w:pPr>
        <w:pStyle w:val="ListParagraph"/>
        <w:ind w:left="2160"/>
        <w:jc w:val="both"/>
        <w:rPr>
          <w:bCs/>
        </w:rPr>
      </w:pPr>
    </w:p>
    <w:p w14:paraId="68B8B340" w14:textId="27D7F465" w:rsidR="00A24239" w:rsidRPr="00015BD5" w:rsidRDefault="00A24239" w:rsidP="00A24239">
      <w:pPr>
        <w:rPr>
          <w:b/>
          <w:color w:val="0070C0"/>
        </w:rPr>
      </w:pPr>
      <w:r w:rsidRPr="00015BD5">
        <w:rPr>
          <w:b/>
          <w:color w:val="0070C0"/>
        </w:rPr>
        <w:t>Factor 6: Community Based Health Initiative</w:t>
      </w:r>
      <w:r w:rsidR="0067298C">
        <w:rPr>
          <w:b/>
          <w:color w:val="0070C0"/>
        </w:rPr>
        <w:t>s</w:t>
      </w:r>
    </w:p>
    <w:p w14:paraId="10C19E4E" w14:textId="77777777" w:rsidR="00A24239" w:rsidRPr="00035B45" w:rsidRDefault="00A24239" w:rsidP="00A24239">
      <w:pPr>
        <w:jc w:val="both"/>
      </w:pPr>
      <w:bookmarkStart w:id="26" w:name="_Hlk96508994"/>
      <w:r w:rsidRPr="00035B45">
        <w:t xml:space="preserve">The Determination of Need Community-Based Health Initiative Planning Guidelines recite that the obligation to the Community-Based Health Initiative (“CHI") Program for proposed projects that classify as DoN-Required Equipment acquired by an entity other than a hospital will fulfill such obligations through a payment to the CHI Statewide Initiative at such time that the Applicant receives project approval. </w:t>
      </w:r>
    </w:p>
    <w:bookmarkEnd w:id="26"/>
    <w:p w14:paraId="6EE2DA12" w14:textId="77777777" w:rsidR="00A24239" w:rsidRPr="00035B45" w:rsidRDefault="00A24239" w:rsidP="00A24239">
      <w:pPr>
        <w:jc w:val="both"/>
      </w:pPr>
      <w:r w:rsidRPr="00035B45">
        <w:t xml:space="preserve">The Applicant’s proposed project falls into the category of DoN Required Equipment and is not a hospital and as such, will not submit CHI forms with this application. </w:t>
      </w:r>
    </w:p>
    <w:p w14:paraId="0FD4C62D" w14:textId="77777777" w:rsidR="00A24239" w:rsidRDefault="00A24239" w:rsidP="00A24239">
      <w:pPr>
        <w:spacing w:after="0" w:line="240" w:lineRule="auto"/>
        <w:jc w:val="both"/>
        <w:rPr>
          <w:lang w:bidi="en-US"/>
        </w:rPr>
      </w:pPr>
    </w:p>
    <w:p w14:paraId="70C35388" w14:textId="77777777" w:rsidR="00A24239" w:rsidRDefault="00A24239" w:rsidP="00A24239"/>
    <w:p w14:paraId="5F5A347F" w14:textId="77777777" w:rsidR="00B30E0E" w:rsidRPr="00F169B4" w:rsidRDefault="00B30E0E" w:rsidP="00B30E0E">
      <w:pPr>
        <w:jc w:val="both"/>
        <w:rPr>
          <w:bCs/>
        </w:rPr>
      </w:pPr>
    </w:p>
    <w:p w14:paraId="481EAD65" w14:textId="77777777" w:rsidR="00755171" w:rsidRDefault="00755171" w:rsidP="00755171"/>
    <w:p w14:paraId="4A859832" w14:textId="77777777" w:rsidR="00405BA9" w:rsidRDefault="00405BA9" w:rsidP="00405BA9"/>
    <w:p w14:paraId="71F37CC0" w14:textId="77777777" w:rsidR="008D0A05" w:rsidRDefault="008D0A05"/>
    <w:sectPr w:rsidR="008D0A05">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98731" w14:textId="77777777" w:rsidR="00000763" w:rsidRDefault="00000763" w:rsidP="00785409">
      <w:pPr>
        <w:spacing w:after="0" w:line="240" w:lineRule="auto"/>
      </w:pPr>
      <w:r>
        <w:separator/>
      </w:r>
    </w:p>
  </w:endnote>
  <w:endnote w:type="continuationSeparator" w:id="0">
    <w:p w14:paraId="231C8B52" w14:textId="77777777" w:rsidR="00000763" w:rsidRDefault="00000763" w:rsidP="007854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0681462"/>
      <w:docPartObj>
        <w:docPartGallery w:val="Page Numbers (Bottom of Page)"/>
        <w:docPartUnique/>
      </w:docPartObj>
    </w:sdtPr>
    <w:sdtEndPr>
      <w:rPr>
        <w:noProof/>
      </w:rPr>
    </w:sdtEndPr>
    <w:sdtContent>
      <w:p w14:paraId="2D5C76CA" w14:textId="467E5A04" w:rsidR="00553DCD" w:rsidRDefault="00553DC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5CBEB6C" w14:textId="77777777" w:rsidR="00553DCD" w:rsidRDefault="00553D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3F841" w14:textId="77777777" w:rsidR="00000763" w:rsidRDefault="00000763" w:rsidP="00785409">
      <w:pPr>
        <w:spacing w:after="0" w:line="240" w:lineRule="auto"/>
      </w:pPr>
      <w:r>
        <w:separator/>
      </w:r>
    </w:p>
  </w:footnote>
  <w:footnote w:type="continuationSeparator" w:id="0">
    <w:p w14:paraId="04F28680" w14:textId="77777777" w:rsidR="00000763" w:rsidRDefault="00000763" w:rsidP="00785409">
      <w:pPr>
        <w:spacing w:after="0" w:line="240" w:lineRule="auto"/>
      </w:pPr>
      <w:r>
        <w:continuationSeparator/>
      </w:r>
    </w:p>
  </w:footnote>
  <w:footnote w:id="1">
    <w:p w14:paraId="7ED377B6" w14:textId="77777777" w:rsidR="00553DCD" w:rsidRDefault="00553DCD" w:rsidP="007E7914">
      <w:pPr>
        <w:pStyle w:val="FootnoteText"/>
      </w:pPr>
      <w:r>
        <w:rPr>
          <w:rStyle w:val="FootnoteReference"/>
        </w:rPr>
        <w:footnoteRef/>
      </w:r>
      <w:r>
        <w:t xml:space="preserve"> </w:t>
      </w:r>
      <w:r w:rsidRPr="00787B8B">
        <w:rPr>
          <w:sz w:val="16"/>
          <w:szCs w:val="16"/>
        </w:rPr>
        <w:t>The PET-CT site is approximately two miles away and less than a ten-minute drive from MWH</w:t>
      </w:r>
      <w:r>
        <w:t>.</w:t>
      </w:r>
    </w:p>
  </w:footnote>
  <w:footnote w:id="2">
    <w:p w14:paraId="7C6D20B7" w14:textId="4521DE44" w:rsidR="00553DCD" w:rsidRDefault="00553DCD" w:rsidP="00B117D0">
      <w:pPr>
        <w:pStyle w:val="FootnoteText"/>
      </w:pPr>
      <w:r>
        <w:rPr>
          <w:rStyle w:val="FootnoteReference"/>
        </w:rPr>
        <w:footnoteRef/>
      </w:r>
      <w:r>
        <w:t xml:space="preserve"> </w:t>
      </w:r>
      <w:r w:rsidRPr="00577091">
        <w:rPr>
          <w:rFonts w:cstheme="minorHAnsi"/>
          <w:color w:val="303030"/>
          <w:sz w:val="16"/>
          <w:szCs w:val="16"/>
          <w:shd w:val="clear" w:color="auto" w:fill="FFFFFF"/>
        </w:rPr>
        <w:t xml:space="preserve">Jaul E, Barron J. </w:t>
      </w:r>
      <w:hyperlink r:id="rId1" w:history="1">
        <w:r w:rsidRPr="00E804CE">
          <w:rPr>
            <w:rStyle w:val="Hyperlink"/>
            <w:rFonts w:cstheme="minorHAnsi"/>
            <w:color w:val="auto"/>
            <w:sz w:val="16"/>
            <w:szCs w:val="16"/>
            <w:u w:val="none"/>
            <w:shd w:val="clear" w:color="auto" w:fill="FFFFFF"/>
          </w:rPr>
          <w:t>Age-Related Diseases and Clinical and Public Health Implications for the 85 Years Old and Over Population</w:t>
        </w:r>
      </w:hyperlink>
      <w:r w:rsidRPr="00577091">
        <w:rPr>
          <w:rFonts w:cstheme="minorHAnsi"/>
          <w:color w:val="303030"/>
          <w:sz w:val="16"/>
          <w:szCs w:val="16"/>
          <w:shd w:val="clear" w:color="auto" w:fill="FFFFFF"/>
        </w:rPr>
        <w:t>. </w:t>
      </w:r>
      <w:r w:rsidRPr="00577091">
        <w:rPr>
          <w:rFonts w:cstheme="minorHAnsi"/>
          <w:i/>
          <w:iCs/>
          <w:color w:val="303030"/>
          <w:sz w:val="16"/>
          <w:szCs w:val="16"/>
          <w:shd w:val="clear" w:color="auto" w:fill="FFFFFF"/>
        </w:rPr>
        <w:t>Front Public Health</w:t>
      </w:r>
      <w:r w:rsidRPr="00577091">
        <w:rPr>
          <w:rFonts w:cstheme="minorHAnsi"/>
          <w:color w:val="303030"/>
          <w:sz w:val="16"/>
          <w:szCs w:val="16"/>
          <w:shd w:val="clear" w:color="auto" w:fill="FFFFFF"/>
        </w:rPr>
        <w:t xml:space="preserve">. </w:t>
      </w:r>
      <w:proofErr w:type="gramStart"/>
      <w:r w:rsidRPr="00577091">
        <w:rPr>
          <w:rFonts w:cstheme="minorHAnsi"/>
          <w:color w:val="303030"/>
          <w:sz w:val="16"/>
          <w:szCs w:val="16"/>
          <w:shd w:val="clear" w:color="auto" w:fill="FFFFFF"/>
        </w:rPr>
        <w:t>2017;5:335</w:t>
      </w:r>
      <w:proofErr w:type="gramEnd"/>
      <w:r w:rsidRPr="00577091">
        <w:rPr>
          <w:rFonts w:cstheme="minorHAnsi"/>
          <w:color w:val="303030"/>
          <w:sz w:val="16"/>
          <w:szCs w:val="16"/>
          <w:shd w:val="clear" w:color="auto" w:fill="FFFFFF"/>
        </w:rPr>
        <w:t xml:space="preserve">. Published 2017 Dec 11. doi:10.3389/fpubh.2017.00335 Online at: </w:t>
      </w:r>
      <w:hyperlink r:id="rId2" w:history="1">
        <w:r w:rsidRPr="00577091">
          <w:rPr>
            <w:rStyle w:val="Hyperlink"/>
            <w:rFonts w:cstheme="minorHAnsi"/>
            <w:sz w:val="16"/>
            <w:szCs w:val="16"/>
            <w:shd w:val="clear" w:color="auto" w:fill="FFFFFF"/>
          </w:rPr>
          <w:t>https://www.ncbi.nlm.nih.gov/pmc/articles/PMC5732407/</w:t>
        </w:r>
      </w:hyperlink>
      <w:r w:rsidRPr="00577091">
        <w:rPr>
          <w:rFonts w:cstheme="minorHAnsi"/>
          <w:color w:val="303030"/>
          <w:sz w:val="16"/>
          <w:szCs w:val="16"/>
          <w:shd w:val="clear" w:color="auto" w:fill="FFFFFF"/>
        </w:rPr>
        <w:t xml:space="preserve"> &amp; Anand SS, Singh H, Dash AK. </w:t>
      </w:r>
      <w:hyperlink r:id="rId3" w:history="1">
        <w:r w:rsidRPr="00E804CE">
          <w:rPr>
            <w:rStyle w:val="Hyperlink"/>
            <w:rFonts w:cstheme="minorHAnsi"/>
            <w:color w:val="auto"/>
            <w:sz w:val="16"/>
            <w:szCs w:val="16"/>
            <w:u w:val="none"/>
            <w:shd w:val="clear" w:color="auto" w:fill="FFFFFF"/>
          </w:rPr>
          <w:t>Clinical Applications of PET and PET-CT</w:t>
        </w:r>
      </w:hyperlink>
      <w:r w:rsidRPr="00E804CE">
        <w:rPr>
          <w:rFonts w:cstheme="minorHAnsi"/>
          <w:sz w:val="16"/>
          <w:szCs w:val="16"/>
          <w:shd w:val="clear" w:color="auto" w:fill="FFFFFF"/>
        </w:rPr>
        <w:t>. </w:t>
      </w:r>
      <w:r w:rsidRPr="00577091">
        <w:rPr>
          <w:rFonts w:cstheme="minorHAnsi"/>
          <w:i/>
          <w:iCs/>
          <w:color w:val="303030"/>
          <w:sz w:val="16"/>
          <w:szCs w:val="16"/>
          <w:shd w:val="clear" w:color="auto" w:fill="FFFFFF"/>
        </w:rPr>
        <w:t>Med J</w:t>
      </w:r>
      <w:r w:rsidRPr="00E73347">
        <w:rPr>
          <w:rFonts w:ascii="Arial" w:hAnsi="Arial" w:cs="Arial"/>
          <w:i/>
          <w:iCs/>
          <w:color w:val="303030"/>
          <w:sz w:val="16"/>
          <w:szCs w:val="16"/>
          <w:shd w:val="clear" w:color="auto" w:fill="FFFFFF"/>
        </w:rPr>
        <w:t xml:space="preserve"> </w:t>
      </w:r>
      <w:r w:rsidRPr="00577091">
        <w:rPr>
          <w:rFonts w:cstheme="minorHAnsi"/>
          <w:i/>
          <w:iCs/>
          <w:color w:val="303030"/>
          <w:sz w:val="16"/>
          <w:szCs w:val="16"/>
          <w:shd w:val="clear" w:color="auto" w:fill="FFFFFF"/>
        </w:rPr>
        <w:t xml:space="preserve">Armed </w:t>
      </w:r>
      <w:r w:rsidRPr="00E73347">
        <w:rPr>
          <w:rFonts w:ascii="Arial" w:hAnsi="Arial" w:cs="Arial"/>
          <w:i/>
          <w:iCs/>
          <w:color w:val="303030"/>
          <w:sz w:val="16"/>
          <w:szCs w:val="16"/>
          <w:shd w:val="clear" w:color="auto" w:fill="FFFFFF"/>
        </w:rPr>
        <w:t>Forces India</w:t>
      </w:r>
      <w:r w:rsidRPr="00E73347">
        <w:rPr>
          <w:rFonts w:ascii="Arial" w:hAnsi="Arial" w:cs="Arial"/>
          <w:color w:val="303030"/>
          <w:sz w:val="16"/>
          <w:szCs w:val="16"/>
          <w:shd w:val="clear" w:color="auto" w:fill="FFFFFF"/>
        </w:rPr>
        <w:t xml:space="preserve">. 2009;65(4):353-358. doi:10.1016/S0377-1237(09)80099-3 Online at: </w:t>
      </w:r>
      <w:hyperlink r:id="rId4" w:history="1">
        <w:r w:rsidRPr="00E73347">
          <w:rPr>
            <w:rStyle w:val="Hyperlink"/>
            <w:rFonts w:ascii="Arial" w:hAnsi="Arial" w:cs="Arial"/>
            <w:sz w:val="16"/>
            <w:szCs w:val="16"/>
            <w:shd w:val="clear" w:color="auto" w:fill="FFFFFF"/>
          </w:rPr>
          <w:t>https://www.ncbi.nlm.nih.gov/pmc/articles/PMC4921358/</w:t>
        </w:r>
      </w:hyperlink>
      <w:r w:rsidRPr="00E73347">
        <w:rPr>
          <w:rFonts w:ascii="Arial" w:hAnsi="Arial" w:cs="Arial"/>
          <w:color w:val="303030"/>
          <w:sz w:val="16"/>
          <w:szCs w:val="16"/>
          <w:shd w:val="clear" w:color="auto" w:fill="FFFFFF"/>
        </w:rPr>
        <w:t xml:space="preserve"> </w:t>
      </w:r>
    </w:p>
  </w:footnote>
  <w:footnote w:id="3">
    <w:p w14:paraId="360DDCFF" w14:textId="77777777" w:rsidR="00553DCD" w:rsidRPr="00B947B5" w:rsidRDefault="00553DCD" w:rsidP="000E59CA">
      <w:pPr>
        <w:pStyle w:val="FootnoteText"/>
        <w:jc w:val="both"/>
        <w:rPr>
          <w:sz w:val="16"/>
          <w:szCs w:val="16"/>
        </w:rPr>
      </w:pPr>
      <w:r>
        <w:rPr>
          <w:rStyle w:val="FootnoteReference"/>
        </w:rPr>
        <w:footnoteRef/>
      </w:r>
      <w:r>
        <w:t xml:space="preserve"> </w:t>
      </w:r>
      <w:r w:rsidRPr="00B947B5">
        <w:rPr>
          <w:sz w:val="16"/>
          <w:szCs w:val="16"/>
        </w:rPr>
        <w:t xml:space="preserve">According to a study by the Centers of Disease Control and Prevention titled </w:t>
      </w:r>
      <w:hyperlink r:id="rId5" w:history="1">
        <w:r w:rsidRPr="00B947B5">
          <w:rPr>
            <w:rStyle w:val="Hyperlink"/>
            <w:sz w:val="16"/>
            <w:szCs w:val="16"/>
          </w:rPr>
          <w:t>“Chronic Disease and Cognitive Decline – A Public Health Issue,”</w:t>
        </w:r>
      </w:hyperlink>
      <w:r w:rsidRPr="00B947B5">
        <w:rPr>
          <w:sz w:val="16"/>
          <w:szCs w:val="16"/>
        </w:rPr>
        <w:t xml:space="preserve"> people are living longer and by 2030 about one in five Americans will be aged 65 years and older.  Although increased longevity brings with it many benefits, not all adults necessarily experience good health and well-being as they age. Older adults are at a significant risk of having multiple chronic diseases, also known as comorbidities or multi-morbidities, and associated functional impairment.</w:t>
      </w:r>
    </w:p>
  </w:footnote>
  <w:footnote w:id="4">
    <w:p w14:paraId="5EFE0126" w14:textId="4F4D80F3" w:rsidR="00553DCD" w:rsidRDefault="00553DCD" w:rsidP="000E59CA">
      <w:pPr>
        <w:pStyle w:val="FootnoteText"/>
      </w:pPr>
      <w:r>
        <w:rPr>
          <w:rStyle w:val="FootnoteReference"/>
        </w:rPr>
        <w:footnoteRef/>
      </w:r>
      <w:r>
        <w:t xml:space="preserve"> </w:t>
      </w:r>
      <w:r w:rsidRPr="00F74E99">
        <w:rPr>
          <w:sz w:val="16"/>
          <w:szCs w:val="16"/>
        </w:rPr>
        <w:t xml:space="preserve">Committee on Diagnostic Error in Health Care; Board on Health Care Services; Institute of Medicine; The National Academies of Sciences, Engineering, and Medicine; Balogh EP, Miller BT, Ball JR, editors. </w:t>
      </w:r>
      <w:hyperlink r:id="rId6" w:history="1">
        <w:r w:rsidRPr="00AE6049">
          <w:rPr>
            <w:rStyle w:val="Hyperlink"/>
            <w:color w:val="auto"/>
            <w:sz w:val="16"/>
            <w:szCs w:val="16"/>
            <w:u w:val="none"/>
          </w:rPr>
          <w:t>Improving Diagnosis in Health Care</w:t>
        </w:r>
      </w:hyperlink>
      <w:r w:rsidRPr="00AE6049">
        <w:rPr>
          <w:sz w:val="16"/>
          <w:szCs w:val="16"/>
        </w:rPr>
        <w:t xml:space="preserve">. </w:t>
      </w:r>
      <w:r w:rsidRPr="00F74E99">
        <w:rPr>
          <w:sz w:val="16"/>
          <w:szCs w:val="16"/>
        </w:rPr>
        <w:t xml:space="preserve">Washington (DC): National Academies Press (US); 2015 Dec 29. 2, The Diagnostic Process. Online at: </w:t>
      </w:r>
      <w:hyperlink r:id="rId7" w:history="1">
        <w:r w:rsidRPr="00F74E99">
          <w:rPr>
            <w:rStyle w:val="Hyperlink"/>
            <w:sz w:val="16"/>
            <w:szCs w:val="16"/>
          </w:rPr>
          <w:t>https://www.ncbi.nlm.nih.gov/books/NBK338593/</w:t>
        </w:r>
      </w:hyperlink>
    </w:p>
  </w:footnote>
  <w:footnote w:id="5">
    <w:p w14:paraId="517EFD9F" w14:textId="77777777" w:rsidR="00553DCD" w:rsidRPr="00F74E99" w:rsidRDefault="00553DCD" w:rsidP="000E59CA">
      <w:pPr>
        <w:pStyle w:val="FootnoteText"/>
      </w:pPr>
      <w:r>
        <w:rPr>
          <w:rStyle w:val="FootnoteReference"/>
        </w:rPr>
        <w:footnoteRef/>
      </w:r>
      <w:r>
        <w:t xml:space="preserve"> </w:t>
      </w:r>
      <w:r w:rsidRPr="005A6F7D">
        <w:rPr>
          <w:i/>
          <w:iCs/>
          <w:sz w:val="16"/>
          <w:szCs w:val="16"/>
        </w:rPr>
        <w:t>Ibid.</w:t>
      </w:r>
    </w:p>
  </w:footnote>
  <w:footnote w:id="6">
    <w:p w14:paraId="0FD4AF68" w14:textId="77777777" w:rsidR="00553DCD" w:rsidRDefault="00553DCD" w:rsidP="000E59CA">
      <w:pPr>
        <w:pStyle w:val="FootnoteText"/>
      </w:pPr>
      <w:r>
        <w:rPr>
          <w:rStyle w:val="FootnoteReference"/>
        </w:rPr>
        <w:footnoteRef/>
      </w:r>
      <w:r>
        <w:t xml:space="preserve"> </w:t>
      </w:r>
      <w:r w:rsidRPr="0019643E">
        <w:rPr>
          <w:sz w:val="16"/>
          <w:szCs w:val="16"/>
        </w:rPr>
        <w:t xml:space="preserve">Available online at: </w:t>
      </w:r>
      <w:hyperlink r:id="rId8" w:history="1">
        <w:r w:rsidRPr="0019643E">
          <w:rPr>
            <w:rStyle w:val="Hyperlink"/>
            <w:sz w:val="16"/>
            <w:szCs w:val="16"/>
          </w:rPr>
          <w:t>https://advis.com/services/independent-diagnostic-testing-facilities/?gclid=CjwKCAiAvaGRBhBlEiwAiY-yMHCMEtjEV0at0jsHbWkZwKZyWZI-ZUwUwvPraR98eltokq-f5V7OwhoCmWwQAvD_BwE</w:t>
        </w:r>
      </w:hyperlink>
      <w:r w:rsidRPr="0019643E">
        <w:rPr>
          <w:sz w:val="16"/>
          <w:szCs w:val="16"/>
        </w:rPr>
        <w:t xml:space="preserve"> </w:t>
      </w:r>
    </w:p>
  </w:footnote>
  <w:footnote w:id="7">
    <w:p w14:paraId="2ADF6799" w14:textId="63152A12" w:rsidR="00553DCD" w:rsidRPr="005841DF" w:rsidRDefault="00553DCD" w:rsidP="000E59CA">
      <w:pPr>
        <w:pStyle w:val="FootnoteText"/>
      </w:pPr>
      <w:r>
        <w:rPr>
          <w:rStyle w:val="FootnoteReference"/>
        </w:rPr>
        <w:footnoteRef/>
      </w:r>
      <w:r>
        <w:t xml:space="preserve"> </w:t>
      </w:r>
      <w:hyperlink r:id="rId9" w:history="1">
        <w:r w:rsidRPr="006071EA">
          <w:rPr>
            <w:rStyle w:val="Hyperlink"/>
            <w:color w:val="auto"/>
            <w:sz w:val="16"/>
            <w:szCs w:val="16"/>
            <w:u w:val="none"/>
          </w:rPr>
          <w:t>Infrastructure as a Platform Smart Hospital Infrastructure Best Practices</w:t>
        </w:r>
      </w:hyperlink>
      <w:r w:rsidRPr="006071EA">
        <w:rPr>
          <w:sz w:val="16"/>
          <w:szCs w:val="16"/>
        </w:rPr>
        <w:t xml:space="preserve">. </w:t>
      </w:r>
      <w:r w:rsidRPr="005841DF">
        <w:rPr>
          <w:sz w:val="16"/>
          <w:szCs w:val="16"/>
        </w:rPr>
        <w:t xml:space="preserve">Global Technology Briefing. Online at: </w:t>
      </w:r>
      <w:hyperlink r:id="rId10" w:history="1">
        <w:r w:rsidRPr="005841DF">
          <w:rPr>
            <w:rStyle w:val="Hyperlink"/>
            <w:sz w:val="16"/>
            <w:szCs w:val="16"/>
          </w:rPr>
          <w:t>https://www.anixter.com/content/dam/anixter/resources/brochures/anixter-iaap-healthcare-best-practices-report-en.pdf</w:t>
        </w:r>
      </w:hyperlink>
      <w:r w:rsidRPr="005841DF">
        <w:rPr>
          <w:sz w:val="16"/>
          <w:szCs w:val="16"/>
        </w:rPr>
        <w:t xml:space="preserve"> </w:t>
      </w:r>
    </w:p>
  </w:footnote>
  <w:footnote w:id="8">
    <w:p w14:paraId="260E1DD1" w14:textId="77777777" w:rsidR="00553DCD" w:rsidRPr="003478E7" w:rsidRDefault="00553DCD" w:rsidP="0033480A">
      <w:pPr>
        <w:pStyle w:val="FootnoteText"/>
        <w:rPr>
          <w:sz w:val="16"/>
          <w:szCs w:val="16"/>
        </w:rPr>
      </w:pPr>
      <w:r>
        <w:rPr>
          <w:rStyle w:val="FootnoteReference"/>
        </w:rPr>
        <w:footnoteRef/>
      </w:r>
      <w:r>
        <w:t xml:space="preserve"> </w:t>
      </w:r>
      <w:r w:rsidRPr="003478E7">
        <w:rPr>
          <w:sz w:val="16"/>
          <w:szCs w:val="16"/>
        </w:rPr>
        <w:t xml:space="preserve">For more information, visit </w:t>
      </w:r>
      <w:hyperlink r:id="rId11" w:history="1">
        <w:r w:rsidRPr="003478E7">
          <w:rPr>
            <w:rStyle w:val="Hyperlink"/>
            <w:sz w:val="16"/>
            <w:szCs w:val="16"/>
          </w:rPr>
          <w:t>https://www.melrosewakefield.org</w:t>
        </w:r>
      </w:hyperlink>
      <w:r w:rsidRPr="003478E7">
        <w:rPr>
          <w:sz w:val="16"/>
          <w:szCs w:val="16"/>
        </w:rPr>
        <w:t xml:space="preserve"> </w:t>
      </w:r>
    </w:p>
  </w:footnote>
  <w:footnote w:id="9">
    <w:p w14:paraId="069A935A" w14:textId="77777777" w:rsidR="00553DCD" w:rsidRDefault="00553DCD" w:rsidP="0033480A">
      <w:pPr>
        <w:pStyle w:val="FootnoteText"/>
      </w:pPr>
      <w:r>
        <w:rPr>
          <w:rStyle w:val="FootnoteReference"/>
        </w:rPr>
        <w:footnoteRef/>
      </w:r>
      <w:r>
        <w:t xml:space="preserve"> </w:t>
      </w:r>
      <w:r w:rsidRPr="00CC345F">
        <w:rPr>
          <w:sz w:val="16"/>
          <w:szCs w:val="16"/>
        </w:rPr>
        <w:t>Fiscal year is defined as the period from October</w:t>
      </w:r>
      <w:r>
        <w:rPr>
          <w:sz w:val="16"/>
          <w:szCs w:val="16"/>
        </w:rPr>
        <w:t xml:space="preserve"> 1</w:t>
      </w:r>
      <w:r w:rsidRPr="00CC345F">
        <w:rPr>
          <w:sz w:val="16"/>
          <w:szCs w:val="16"/>
        </w:rPr>
        <w:t xml:space="preserve"> to September</w:t>
      </w:r>
      <w:r>
        <w:rPr>
          <w:sz w:val="16"/>
          <w:szCs w:val="16"/>
        </w:rPr>
        <w:t xml:space="preserve"> 30</w:t>
      </w:r>
      <w:r w:rsidRPr="00CC345F">
        <w:rPr>
          <w:sz w:val="16"/>
          <w:szCs w:val="16"/>
        </w:rPr>
        <w:t xml:space="preserve">. </w:t>
      </w:r>
    </w:p>
  </w:footnote>
  <w:footnote w:id="10">
    <w:p w14:paraId="73138E8D" w14:textId="77777777" w:rsidR="00553DCD" w:rsidRDefault="00553DCD" w:rsidP="0033480A">
      <w:pPr>
        <w:pStyle w:val="FootnoteText"/>
      </w:pPr>
      <w:r>
        <w:rPr>
          <w:rStyle w:val="FootnoteReference"/>
        </w:rPr>
        <w:footnoteRef/>
      </w:r>
      <w:r>
        <w:t xml:space="preserve"> </w:t>
      </w:r>
      <w:r w:rsidRPr="005C640D">
        <w:rPr>
          <w:sz w:val="16"/>
          <w:szCs w:val="16"/>
        </w:rPr>
        <w:t>FY2019-FY2021 % variance = -2.9%</w:t>
      </w:r>
    </w:p>
  </w:footnote>
  <w:footnote w:id="11">
    <w:p w14:paraId="5050B387" w14:textId="77777777" w:rsidR="00553DCD" w:rsidRDefault="00553DCD" w:rsidP="0033480A">
      <w:pPr>
        <w:pStyle w:val="FootnoteText"/>
      </w:pPr>
      <w:r>
        <w:rPr>
          <w:rStyle w:val="FootnoteReference"/>
        </w:rPr>
        <w:footnoteRef/>
      </w:r>
      <w:r>
        <w:t xml:space="preserve"> </w:t>
      </w:r>
      <w:r w:rsidRPr="005C640D">
        <w:rPr>
          <w:sz w:val="16"/>
          <w:szCs w:val="16"/>
        </w:rPr>
        <w:t>FY2019-FY2021 % variance = -1.9%</w:t>
      </w:r>
    </w:p>
  </w:footnote>
  <w:footnote w:id="12">
    <w:p w14:paraId="43042912" w14:textId="77777777" w:rsidR="00553DCD" w:rsidRDefault="00553DCD" w:rsidP="0033480A">
      <w:pPr>
        <w:pStyle w:val="FootnoteText"/>
      </w:pPr>
      <w:r>
        <w:rPr>
          <w:rStyle w:val="FootnoteReference"/>
        </w:rPr>
        <w:footnoteRef/>
      </w:r>
      <w:r>
        <w:t xml:space="preserve"> </w:t>
      </w:r>
      <w:r w:rsidRPr="009A6B02">
        <w:rPr>
          <w:sz w:val="16"/>
          <w:szCs w:val="16"/>
        </w:rPr>
        <w:t>To ensure patient privacy, we have used the notation “&lt;11” in any instance where the patient count for a demographic category included less than 11 individuals.</w:t>
      </w:r>
    </w:p>
  </w:footnote>
  <w:footnote w:id="13">
    <w:p w14:paraId="11A86804" w14:textId="77777777" w:rsidR="00553DCD" w:rsidRDefault="00553DCD" w:rsidP="0033480A">
      <w:pPr>
        <w:pStyle w:val="FootnoteText"/>
      </w:pPr>
      <w:r>
        <w:rPr>
          <w:rStyle w:val="FootnoteReference"/>
        </w:rPr>
        <w:footnoteRef/>
      </w:r>
      <w:r>
        <w:t xml:space="preserve"> </w:t>
      </w:r>
      <w:r w:rsidRPr="00F272BB">
        <w:rPr>
          <w:bCs/>
          <w:sz w:val="16"/>
          <w:szCs w:val="16"/>
        </w:rPr>
        <w:t>To ensure patient privacy, we have used the notation “&lt;11” in any instance where the patient count for a demographic category included less than 11 individuals.</w:t>
      </w:r>
    </w:p>
    <w:p w14:paraId="04AB1814" w14:textId="77777777" w:rsidR="00553DCD" w:rsidRDefault="00553DCD" w:rsidP="0033480A">
      <w:pPr>
        <w:pStyle w:val="FootnoteText"/>
      </w:pPr>
    </w:p>
  </w:footnote>
  <w:footnote w:id="14">
    <w:p w14:paraId="32C77AB4" w14:textId="77777777" w:rsidR="00553DCD" w:rsidRDefault="00553DCD" w:rsidP="0033480A">
      <w:pPr>
        <w:pStyle w:val="FootnoteText"/>
      </w:pPr>
      <w:r>
        <w:rPr>
          <w:rStyle w:val="FootnoteReference"/>
        </w:rPr>
        <w:footnoteRef/>
      </w:r>
      <w:r>
        <w:t xml:space="preserve"> </w:t>
      </w:r>
      <w:r w:rsidRPr="002C5715">
        <w:rPr>
          <w:sz w:val="16"/>
          <w:szCs w:val="16"/>
        </w:rPr>
        <w:t xml:space="preserve">The MelroseWakefield Hospital’s Community Health Needs Assessment is available </w:t>
      </w:r>
      <w:hyperlink r:id="rId12" w:history="1">
        <w:r w:rsidRPr="002C5715">
          <w:rPr>
            <w:rStyle w:val="Hyperlink"/>
            <w:sz w:val="16"/>
            <w:szCs w:val="16"/>
          </w:rPr>
          <w:t>here</w:t>
        </w:r>
      </w:hyperlink>
      <w:r w:rsidRPr="002C5715">
        <w:rPr>
          <w:sz w:val="16"/>
          <w:szCs w:val="16"/>
        </w:rPr>
        <w:t xml:space="preserve">. </w:t>
      </w:r>
    </w:p>
  </w:footnote>
  <w:footnote w:id="15">
    <w:p w14:paraId="29BB1127" w14:textId="7BB89E9D" w:rsidR="00553DCD" w:rsidRDefault="00553DCD" w:rsidP="0033480A">
      <w:pPr>
        <w:pStyle w:val="FootnoteText"/>
      </w:pPr>
      <w:r>
        <w:rPr>
          <w:rStyle w:val="FootnoteReference"/>
        </w:rPr>
        <w:footnoteRef/>
      </w:r>
      <w:r>
        <w:t xml:space="preserve"> </w:t>
      </w:r>
      <w:r>
        <w:rPr>
          <w:sz w:val="16"/>
          <w:szCs w:val="16"/>
        </w:rPr>
        <w:t>Please note that t</w:t>
      </w:r>
      <w:r w:rsidRPr="00145CF9">
        <w:rPr>
          <w:sz w:val="16"/>
          <w:szCs w:val="16"/>
        </w:rPr>
        <w:t xml:space="preserve">he community benefits service area </w:t>
      </w:r>
      <w:r>
        <w:rPr>
          <w:sz w:val="16"/>
          <w:szCs w:val="16"/>
        </w:rPr>
        <w:t>evaluated for purposes of the CHNA differs slightly from the MWH Primary Service Area.</w:t>
      </w:r>
    </w:p>
  </w:footnote>
  <w:footnote w:id="16">
    <w:p w14:paraId="04A49C52" w14:textId="77C8F019" w:rsidR="00092336" w:rsidRDefault="00092336">
      <w:pPr>
        <w:pStyle w:val="FootnoteText"/>
      </w:pPr>
      <w:r>
        <w:rPr>
          <w:rStyle w:val="FootnoteReference"/>
        </w:rPr>
        <w:footnoteRef/>
      </w:r>
      <w:r>
        <w:t xml:space="preserve"> </w:t>
      </w:r>
      <w:r w:rsidRPr="009F4FA5">
        <w:rPr>
          <w:sz w:val="16"/>
          <w:szCs w:val="16"/>
        </w:rPr>
        <w:t xml:space="preserve">The Applicant does not have </w:t>
      </w:r>
      <w:r w:rsidR="009F4FA5" w:rsidRPr="009F4FA5">
        <w:rPr>
          <w:sz w:val="16"/>
          <w:szCs w:val="16"/>
        </w:rPr>
        <w:t xml:space="preserve">data to reflect the </w:t>
      </w:r>
      <w:r w:rsidR="00160629" w:rsidRPr="009F4FA5">
        <w:rPr>
          <w:sz w:val="16"/>
          <w:szCs w:val="16"/>
        </w:rPr>
        <w:t>patient panel brok</w:t>
      </w:r>
      <w:r w:rsidR="009F4FA5" w:rsidRPr="009F4FA5">
        <w:rPr>
          <w:sz w:val="16"/>
          <w:szCs w:val="16"/>
        </w:rPr>
        <w:t>en</w:t>
      </w:r>
      <w:r w:rsidR="00160629" w:rsidRPr="009F4FA5">
        <w:rPr>
          <w:sz w:val="16"/>
          <w:szCs w:val="16"/>
        </w:rPr>
        <w:t xml:space="preserve"> down by payer category</w:t>
      </w:r>
      <w:r w:rsidR="009F4FA5" w:rsidRPr="009F4FA5">
        <w:rPr>
          <w:sz w:val="16"/>
          <w:szCs w:val="16"/>
        </w:rPr>
        <w:t xml:space="preserve"> </w:t>
      </w:r>
      <w:r w:rsidR="00CE5CD3">
        <w:rPr>
          <w:sz w:val="16"/>
          <w:szCs w:val="16"/>
        </w:rPr>
        <w:t xml:space="preserve">with respect </w:t>
      </w:r>
      <w:r w:rsidR="009F4FA5" w:rsidRPr="009F4FA5">
        <w:rPr>
          <w:sz w:val="16"/>
          <w:szCs w:val="16"/>
        </w:rPr>
        <w:t xml:space="preserve">to the number of PET-CT scans completed over the last 36 months. </w:t>
      </w:r>
    </w:p>
  </w:footnote>
  <w:footnote w:id="17">
    <w:p w14:paraId="2A43A9A2" w14:textId="5BA5E7F5" w:rsidR="00553DCD" w:rsidRDefault="00553DCD" w:rsidP="00F74984">
      <w:pPr>
        <w:pStyle w:val="FootnoteText"/>
      </w:pPr>
      <w:r>
        <w:rPr>
          <w:rStyle w:val="FootnoteReference"/>
        </w:rPr>
        <w:footnoteRef/>
      </w:r>
      <w:r>
        <w:t xml:space="preserve"> </w:t>
      </w:r>
      <w:r w:rsidRPr="00577091">
        <w:rPr>
          <w:rFonts w:cstheme="minorHAnsi"/>
          <w:color w:val="303030"/>
          <w:sz w:val="16"/>
          <w:szCs w:val="16"/>
          <w:shd w:val="clear" w:color="auto" w:fill="FFFFFF"/>
        </w:rPr>
        <w:t xml:space="preserve">Jaul E, Barron J. </w:t>
      </w:r>
      <w:hyperlink r:id="rId13" w:history="1">
        <w:r w:rsidRPr="00F71FF0">
          <w:rPr>
            <w:rStyle w:val="Hyperlink"/>
            <w:rFonts w:cstheme="minorHAnsi"/>
            <w:color w:val="auto"/>
            <w:sz w:val="16"/>
            <w:szCs w:val="16"/>
            <w:u w:val="none"/>
            <w:shd w:val="clear" w:color="auto" w:fill="FFFFFF"/>
          </w:rPr>
          <w:t>Age-Related Diseases and Clinical and Public Health Implications for the 85 Years Old and Over Population. </w:t>
        </w:r>
      </w:hyperlink>
      <w:r w:rsidRPr="00577091">
        <w:rPr>
          <w:rFonts w:cstheme="minorHAnsi"/>
          <w:i/>
          <w:iCs/>
          <w:color w:val="303030"/>
          <w:sz w:val="16"/>
          <w:szCs w:val="16"/>
          <w:shd w:val="clear" w:color="auto" w:fill="FFFFFF"/>
        </w:rPr>
        <w:t>Front Public Health</w:t>
      </w:r>
      <w:r w:rsidRPr="00577091">
        <w:rPr>
          <w:rFonts w:cstheme="minorHAnsi"/>
          <w:color w:val="303030"/>
          <w:sz w:val="16"/>
          <w:szCs w:val="16"/>
          <w:shd w:val="clear" w:color="auto" w:fill="FFFFFF"/>
        </w:rPr>
        <w:t xml:space="preserve">. </w:t>
      </w:r>
      <w:proofErr w:type="gramStart"/>
      <w:r w:rsidRPr="00577091">
        <w:rPr>
          <w:rFonts w:cstheme="minorHAnsi"/>
          <w:color w:val="303030"/>
          <w:sz w:val="16"/>
          <w:szCs w:val="16"/>
          <w:shd w:val="clear" w:color="auto" w:fill="FFFFFF"/>
        </w:rPr>
        <w:t>2017;5:335</w:t>
      </w:r>
      <w:proofErr w:type="gramEnd"/>
      <w:r w:rsidRPr="00577091">
        <w:rPr>
          <w:rFonts w:cstheme="minorHAnsi"/>
          <w:color w:val="303030"/>
          <w:sz w:val="16"/>
          <w:szCs w:val="16"/>
          <w:shd w:val="clear" w:color="auto" w:fill="FFFFFF"/>
        </w:rPr>
        <w:t xml:space="preserve">. Published 2017 Dec 11. doi:10.3389/fpubh.2017.00335 Online at: </w:t>
      </w:r>
      <w:hyperlink r:id="rId14" w:history="1">
        <w:r w:rsidRPr="00577091">
          <w:rPr>
            <w:rStyle w:val="Hyperlink"/>
            <w:rFonts w:cstheme="minorHAnsi"/>
            <w:sz w:val="16"/>
            <w:szCs w:val="16"/>
            <w:shd w:val="clear" w:color="auto" w:fill="FFFFFF"/>
          </w:rPr>
          <w:t>https://www.ncbi.nlm.nih.gov/pmc/articles/PMC5732407/</w:t>
        </w:r>
      </w:hyperlink>
      <w:r w:rsidRPr="00577091">
        <w:rPr>
          <w:rFonts w:cstheme="minorHAnsi"/>
          <w:color w:val="303030"/>
          <w:sz w:val="16"/>
          <w:szCs w:val="16"/>
          <w:shd w:val="clear" w:color="auto" w:fill="FFFFFF"/>
        </w:rPr>
        <w:t xml:space="preserve"> &amp; Anand SS, Singh H, Dash AK. </w:t>
      </w:r>
      <w:hyperlink r:id="rId15" w:history="1">
        <w:r w:rsidRPr="00546A1C">
          <w:rPr>
            <w:rStyle w:val="Hyperlink"/>
            <w:rFonts w:cstheme="minorHAnsi"/>
            <w:color w:val="auto"/>
            <w:sz w:val="16"/>
            <w:szCs w:val="16"/>
            <w:u w:val="none"/>
            <w:shd w:val="clear" w:color="auto" w:fill="FFFFFF"/>
          </w:rPr>
          <w:t>Clinical Applications of PET and PET-CT</w:t>
        </w:r>
      </w:hyperlink>
      <w:r w:rsidRPr="00546A1C">
        <w:rPr>
          <w:rFonts w:cstheme="minorHAnsi"/>
          <w:sz w:val="16"/>
          <w:szCs w:val="16"/>
          <w:shd w:val="clear" w:color="auto" w:fill="FFFFFF"/>
        </w:rPr>
        <w:t>. </w:t>
      </w:r>
      <w:r w:rsidRPr="00577091">
        <w:rPr>
          <w:rFonts w:cstheme="minorHAnsi"/>
          <w:i/>
          <w:iCs/>
          <w:color w:val="303030"/>
          <w:sz w:val="16"/>
          <w:szCs w:val="16"/>
          <w:shd w:val="clear" w:color="auto" w:fill="FFFFFF"/>
        </w:rPr>
        <w:t>Med J</w:t>
      </w:r>
      <w:r w:rsidRPr="00E73347">
        <w:rPr>
          <w:rFonts w:ascii="Arial" w:hAnsi="Arial" w:cs="Arial"/>
          <w:i/>
          <w:iCs/>
          <w:color w:val="303030"/>
          <w:sz w:val="16"/>
          <w:szCs w:val="16"/>
          <w:shd w:val="clear" w:color="auto" w:fill="FFFFFF"/>
        </w:rPr>
        <w:t xml:space="preserve"> </w:t>
      </w:r>
      <w:r w:rsidRPr="00577091">
        <w:rPr>
          <w:rFonts w:cstheme="minorHAnsi"/>
          <w:i/>
          <w:iCs/>
          <w:color w:val="303030"/>
          <w:sz w:val="16"/>
          <w:szCs w:val="16"/>
          <w:shd w:val="clear" w:color="auto" w:fill="FFFFFF"/>
        </w:rPr>
        <w:t xml:space="preserve">Armed </w:t>
      </w:r>
      <w:r w:rsidRPr="00E73347">
        <w:rPr>
          <w:rFonts w:ascii="Arial" w:hAnsi="Arial" w:cs="Arial"/>
          <w:i/>
          <w:iCs/>
          <w:color w:val="303030"/>
          <w:sz w:val="16"/>
          <w:szCs w:val="16"/>
          <w:shd w:val="clear" w:color="auto" w:fill="FFFFFF"/>
        </w:rPr>
        <w:t>Forces India</w:t>
      </w:r>
      <w:r w:rsidRPr="00E73347">
        <w:rPr>
          <w:rFonts w:ascii="Arial" w:hAnsi="Arial" w:cs="Arial"/>
          <w:color w:val="303030"/>
          <w:sz w:val="16"/>
          <w:szCs w:val="16"/>
          <w:shd w:val="clear" w:color="auto" w:fill="FFFFFF"/>
        </w:rPr>
        <w:t xml:space="preserve">. 2009;65(4):353-358. doi:10.1016/S0377-1237(09)80099-3 Online at: </w:t>
      </w:r>
      <w:hyperlink r:id="rId16" w:history="1">
        <w:r w:rsidRPr="00E73347">
          <w:rPr>
            <w:rStyle w:val="Hyperlink"/>
            <w:rFonts w:ascii="Arial" w:hAnsi="Arial" w:cs="Arial"/>
            <w:sz w:val="16"/>
            <w:szCs w:val="16"/>
            <w:shd w:val="clear" w:color="auto" w:fill="FFFFFF"/>
          </w:rPr>
          <w:t>https://www.ncbi.nlm.nih.gov/pmc/articles/PMC4921358/</w:t>
        </w:r>
      </w:hyperlink>
      <w:r w:rsidRPr="00E73347">
        <w:rPr>
          <w:rFonts w:ascii="Arial" w:hAnsi="Arial" w:cs="Arial"/>
          <w:color w:val="303030"/>
          <w:sz w:val="16"/>
          <w:szCs w:val="16"/>
          <w:shd w:val="clear" w:color="auto" w:fill="FFFFFF"/>
        </w:rPr>
        <w:t xml:space="preserve"> </w:t>
      </w:r>
    </w:p>
  </w:footnote>
  <w:footnote w:id="18">
    <w:p w14:paraId="00CF822C" w14:textId="7C74D58E" w:rsidR="00553DCD" w:rsidRDefault="00553DCD" w:rsidP="00F74984">
      <w:pPr>
        <w:pStyle w:val="FootnoteText"/>
      </w:pPr>
      <w:r>
        <w:rPr>
          <w:rStyle w:val="FootnoteReference"/>
        </w:rPr>
        <w:footnoteRef/>
      </w:r>
      <w:r>
        <w:t xml:space="preserve"> </w:t>
      </w:r>
      <w:r w:rsidRPr="007418D2">
        <w:rPr>
          <w:sz w:val="16"/>
          <w:szCs w:val="16"/>
        </w:rPr>
        <w:t xml:space="preserve">Keith Loria. </w:t>
      </w:r>
      <w:hyperlink r:id="rId17" w:history="1">
        <w:r w:rsidRPr="00546A1C">
          <w:rPr>
            <w:rStyle w:val="Hyperlink"/>
            <w:color w:val="auto"/>
            <w:sz w:val="16"/>
            <w:szCs w:val="16"/>
            <w:u w:val="none"/>
          </w:rPr>
          <w:t>Accessible Care: Challenges and Opportunities Related to Radiology Services in Rural Areas</w:t>
        </w:r>
      </w:hyperlink>
      <w:r w:rsidRPr="007418D2">
        <w:rPr>
          <w:sz w:val="16"/>
          <w:szCs w:val="16"/>
        </w:rPr>
        <w:t xml:space="preserve">. Radiology Today. Vol. 20 No. 12 P. 22. Online at: </w:t>
      </w:r>
      <w:hyperlink r:id="rId18" w:history="1">
        <w:r w:rsidRPr="007418D2">
          <w:rPr>
            <w:rStyle w:val="Hyperlink"/>
            <w:sz w:val="16"/>
            <w:szCs w:val="16"/>
          </w:rPr>
          <w:t>https://www.radiologytoday.net/archive/rt1219p22.shtml</w:t>
        </w:r>
      </w:hyperlink>
      <w:r w:rsidRPr="007418D2">
        <w:rPr>
          <w:sz w:val="16"/>
          <w:szCs w:val="16"/>
        </w:rPr>
        <w:t xml:space="preserve"> </w:t>
      </w:r>
    </w:p>
  </w:footnote>
  <w:footnote w:id="19">
    <w:p w14:paraId="33C18F0D" w14:textId="77777777" w:rsidR="00553DCD" w:rsidRDefault="00553DCD" w:rsidP="00F74984">
      <w:pPr>
        <w:pStyle w:val="FootnoteText"/>
      </w:pPr>
      <w:r>
        <w:rPr>
          <w:rStyle w:val="FootnoteReference"/>
        </w:rPr>
        <w:footnoteRef/>
      </w:r>
      <w:r>
        <w:t xml:space="preserve"> </w:t>
      </w:r>
      <w:r w:rsidRPr="0030465E">
        <w:rPr>
          <w:sz w:val="16"/>
          <w:szCs w:val="16"/>
        </w:rPr>
        <w:t xml:space="preserve">According to John Simon, MD, founder and CEO of </w:t>
      </w:r>
      <w:proofErr w:type="spellStart"/>
      <w:r w:rsidRPr="0030465E">
        <w:rPr>
          <w:sz w:val="16"/>
          <w:szCs w:val="16"/>
        </w:rPr>
        <w:t>SimonMed</w:t>
      </w:r>
      <w:proofErr w:type="spellEnd"/>
      <w:r w:rsidRPr="0030465E">
        <w:rPr>
          <w:sz w:val="16"/>
          <w:szCs w:val="16"/>
        </w:rPr>
        <w:t xml:space="preserve"> Imaging.</w:t>
      </w:r>
    </w:p>
  </w:footnote>
  <w:footnote w:id="20">
    <w:p w14:paraId="2399C0FD" w14:textId="77777777" w:rsidR="00553DCD" w:rsidRDefault="00553DCD" w:rsidP="00F74984">
      <w:pPr>
        <w:pStyle w:val="FootnoteText"/>
      </w:pPr>
      <w:r>
        <w:rPr>
          <w:rStyle w:val="FootnoteReference"/>
        </w:rPr>
        <w:footnoteRef/>
      </w:r>
      <w:r>
        <w:t xml:space="preserve"> </w:t>
      </w:r>
      <w:r w:rsidRPr="00BC3F4B">
        <w:rPr>
          <w:sz w:val="16"/>
          <w:szCs w:val="16"/>
        </w:rPr>
        <w:t>02148; 02153; 02155; 02176; 01906; and 01880</w:t>
      </w:r>
    </w:p>
  </w:footnote>
  <w:footnote w:id="21">
    <w:p w14:paraId="5C8D7207" w14:textId="77777777" w:rsidR="00553DCD" w:rsidRDefault="00553DCD" w:rsidP="00F74984">
      <w:pPr>
        <w:pStyle w:val="FootnoteText"/>
      </w:pPr>
      <w:r>
        <w:rPr>
          <w:rStyle w:val="FootnoteReference"/>
        </w:rPr>
        <w:footnoteRef/>
      </w:r>
      <w:r>
        <w:t xml:space="preserve"> </w:t>
      </w:r>
      <w:r w:rsidRPr="0019643E">
        <w:rPr>
          <w:sz w:val="16"/>
          <w:szCs w:val="16"/>
        </w:rPr>
        <w:t xml:space="preserve">Available online at: </w:t>
      </w:r>
      <w:hyperlink r:id="rId19" w:history="1">
        <w:r w:rsidRPr="0019643E">
          <w:rPr>
            <w:rStyle w:val="Hyperlink"/>
            <w:sz w:val="16"/>
            <w:szCs w:val="16"/>
          </w:rPr>
          <w:t>https://advis.com/services/independent-diagnostic-testing-facilities/?gclid=CjwKCAiAvaGRBhBlEiwAiY-yMHCMEtjEV0at0jsHbWkZwKZyWZI-ZUwUwvPraR98eltokq-f5V7OwhoCmWwQAvD_BwE</w:t>
        </w:r>
      </w:hyperlink>
    </w:p>
  </w:footnote>
  <w:footnote w:id="22">
    <w:p w14:paraId="395C5D02" w14:textId="77777777" w:rsidR="00553DCD" w:rsidRDefault="00553DCD" w:rsidP="00F74984">
      <w:pPr>
        <w:pStyle w:val="FootnoteText"/>
      </w:pPr>
      <w:r>
        <w:rPr>
          <w:rStyle w:val="FootnoteReference"/>
        </w:rPr>
        <w:footnoteRef/>
      </w:r>
      <w:r>
        <w:t xml:space="preserve"> </w:t>
      </w:r>
      <w:r w:rsidRPr="00137EB9">
        <w:rPr>
          <w:sz w:val="16"/>
          <w:szCs w:val="16"/>
        </w:rPr>
        <w:t xml:space="preserve">These projections were derived </w:t>
      </w:r>
      <w:r>
        <w:rPr>
          <w:sz w:val="16"/>
          <w:szCs w:val="16"/>
        </w:rPr>
        <w:t xml:space="preserve">by Veralon, health care business valuation and consultants, who drafted the CPA report </w:t>
      </w:r>
      <w:r w:rsidRPr="00137EB9">
        <w:rPr>
          <w:sz w:val="16"/>
          <w:szCs w:val="16"/>
        </w:rPr>
        <w:t>using the Shields Pet standard year over year growth trend from new PET starts with Shields since 2016</w:t>
      </w:r>
      <w:r>
        <w:rPr>
          <w:sz w:val="16"/>
          <w:szCs w:val="16"/>
        </w:rPr>
        <w:t>.</w:t>
      </w:r>
    </w:p>
  </w:footnote>
  <w:footnote w:id="23">
    <w:p w14:paraId="2768EB72" w14:textId="77777777" w:rsidR="00553DCD" w:rsidRPr="00B74CA0" w:rsidRDefault="00553DCD" w:rsidP="00F74984">
      <w:pPr>
        <w:pStyle w:val="FootnoteText"/>
        <w:rPr>
          <w:sz w:val="16"/>
          <w:szCs w:val="16"/>
        </w:rPr>
      </w:pPr>
      <w:r>
        <w:rPr>
          <w:rStyle w:val="FootnoteReference"/>
        </w:rPr>
        <w:footnoteRef/>
      </w:r>
      <w:r>
        <w:t xml:space="preserve"> </w:t>
      </w:r>
      <w:r w:rsidRPr="00B74CA0">
        <w:rPr>
          <w:sz w:val="16"/>
          <w:szCs w:val="16"/>
        </w:rPr>
        <w:t>Year over year % change starting in Year 2 is 12%, Year 3 is 12%; Year 4 is 10%; Year 5 is 10%; and Year 6 is 5%.</w:t>
      </w:r>
      <w:r>
        <w:rPr>
          <w:sz w:val="16"/>
          <w:szCs w:val="16"/>
        </w:rPr>
        <w:t xml:space="preserve"> For details, please see the Statement of Profit and Loss in the Appendix of the Veralon CPA Report. </w:t>
      </w:r>
    </w:p>
  </w:footnote>
  <w:footnote w:id="24">
    <w:p w14:paraId="7F1D4675" w14:textId="566CED5A" w:rsidR="00553DCD" w:rsidRDefault="00553DCD" w:rsidP="00F74984">
      <w:pPr>
        <w:pStyle w:val="FootnoteText"/>
      </w:pPr>
      <w:r>
        <w:rPr>
          <w:rStyle w:val="FootnoteReference"/>
        </w:rPr>
        <w:footnoteRef/>
      </w:r>
      <w:r>
        <w:t xml:space="preserve"> </w:t>
      </w:r>
      <w:hyperlink r:id="rId20" w:history="1">
        <w:r w:rsidRPr="00E85CE9">
          <w:rPr>
            <w:rStyle w:val="Hyperlink"/>
            <w:color w:val="auto"/>
            <w:sz w:val="16"/>
            <w:szCs w:val="16"/>
            <w:u w:val="none"/>
          </w:rPr>
          <w:t>Johns Hopkins Medicine</w:t>
        </w:r>
      </w:hyperlink>
      <w:r w:rsidRPr="00E85CE9">
        <w:rPr>
          <w:sz w:val="16"/>
          <w:szCs w:val="16"/>
        </w:rPr>
        <w:t xml:space="preserve">. </w:t>
      </w:r>
      <w:r w:rsidRPr="00077E01">
        <w:rPr>
          <w:sz w:val="16"/>
          <w:szCs w:val="16"/>
        </w:rPr>
        <w:t xml:space="preserve">Available online at: </w:t>
      </w:r>
      <w:hyperlink r:id="rId21" w:history="1">
        <w:r w:rsidRPr="00077E01">
          <w:rPr>
            <w:rStyle w:val="Hyperlink"/>
            <w:sz w:val="16"/>
            <w:szCs w:val="16"/>
          </w:rPr>
          <w:t>https://www.hopkinsmedicine.org/health/treatment-tests-and-therapies/positron-emission-tomography-pet</w:t>
        </w:r>
      </w:hyperlink>
      <w:r w:rsidRPr="00077E01">
        <w:rPr>
          <w:sz w:val="16"/>
          <w:szCs w:val="16"/>
        </w:rPr>
        <w:t xml:space="preserve"> </w:t>
      </w:r>
    </w:p>
  </w:footnote>
  <w:footnote w:id="25">
    <w:p w14:paraId="2124F2BD" w14:textId="77777777" w:rsidR="00553DCD" w:rsidRDefault="00553DCD" w:rsidP="00F74984">
      <w:pPr>
        <w:pStyle w:val="FootnoteText"/>
      </w:pPr>
      <w:r>
        <w:rPr>
          <w:rStyle w:val="FootnoteReference"/>
        </w:rPr>
        <w:footnoteRef/>
      </w:r>
      <w:r>
        <w:t xml:space="preserve"> </w:t>
      </w:r>
      <w:r w:rsidRPr="00410188">
        <w:rPr>
          <w:sz w:val="16"/>
          <w:szCs w:val="16"/>
        </w:rPr>
        <w:t>There has been a relative decrease in the number of unique patients from 2019 to 2021 across these service line that the Applicant notes is both an anomaly and a derivative of the COVID-19 pandemic.</w:t>
      </w:r>
    </w:p>
  </w:footnote>
  <w:footnote w:id="26">
    <w:p w14:paraId="2180F66F" w14:textId="4AA5BD8B" w:rsidR="00553DCD" w:rsidRDefault="00553DCD" w:rsidP="00F74984">
      <w:pPr>
        <w:pStyle w:val="FootnoteText"/>
      </w:pPr>
      <w:r>
        <w:rPr>
          <w:rStyle w:val="FootnoteReference"/>
        </w:rPr>
        <w:footnoteRef/>
      </w:r>
      <w:r>
        <w:t xml:space="preserve"> </w:t>
      </w:r>
      <w:bookmarkStart w:id="12" w:name="_Hlk112162940"/>
      <w:r w:rsidRPr="00B57B96">
        <w:rPr>
          <w:sz w:val="16"/>
          <w:szCs w:val="16"/>
        </w:rPr>
        <w:t xml:space="preserve">United States Census Bureau. (2021). </w:t>
      </w:r>
      <w:hyperlink r:id="rId22" w:history="1">
        <w:r w:rsidRPr="00805962">
          <w:rPr>
            <w:rStyle w:val="Hyperlink"/>
            <w:i/>
            <w:iCs/>
            <w:color w:val="auto"/>
            <w:sz w:val="16"/>
            <w:szCs w:val="16"/>
            <w:u w:val="none"/>
          </w:rPr>
          <w:t>U.S. Census Bureau QuickFacts: Melrose city, Massachusetts</w:t>
        </w:r>
      </w:hyperlink>
      <w:r w:rsidRPr="00B57B96">
        <w:rPr>
          <w:sz w:val="16"/>
          <w:szCs w:val="16"/>
        </w:rPr>
        <w:t xml:space="preserve">. Www.census.gov. </w:t>
      </w:r>
      <w:r>
        <w:rPr>
          <w:sz w:val="16"/>
          <w:szCs w:val="16"/>
        </w:rPr>
        <w:t xml:space="preserve">Available online at: </w:t>
      </w:r>
      <w:hyperlink r:id="rId23" w:history="1">
        <w:r w:rsidRPr="009A47CC">
          <w:rPr>
            <w:rStyle w:val="Hyperlink"/>
            <w:sz w:val="16"/>
            <w:szCs w:val="16"/>
          </w:rPr>
          <w:t>https://www.census.gov/quickfacts/melrosecitymassachusetts</w:t>
        </w:r>
      </w:hyperlink>
      <w:r w:rsidRPr="00B57B96">
        <w:rPr>
          <w:sz w:val="16"/>
          <w:szCs w:val="16"/>
        </w:rPr>
        <w:t xml:space="preserve"> </w:t>
      </w:r>
    </w:p>
    <w:bookmarkEnd w:id="12"/>
  </w:footnote>
  <w:footnote w:id="27">
    <w:p w14:paraId="6B7AB585" w14:textId="58A6768E" w:rsidR="00553DCD" w:rsidRPr="00F74984" w:rsidRDefault="00553DCD" w:rsidP="00F74984">
      <w:pPr>
        <w:pStyle w:val="FootnoteText"/>
        <w:rPr>
          <w:sz w:val="16"/>
          <w:szCs w:val="16"/>
          <w:lang w:val="fr-FR"/>
        </w:rPr>
      </w:pPr>
      <w:r>
        <w:rPr>
          <w:rStyle w:val="FootnoteReference"/>
        </w:rPr>
        <w:footnoteRef/>
      </w:r>
      <w:r w:rsidRPr="0033137E">
        <w:rPr>
          <w:lang w:val="fr-FR"/>
        </w:rPr>
        <w:t xml:space="preserve"> </w:t>
      </w:r>
      <w:r w:rsidRPr="0033137E">
        <w:rPr>
          <w:sz w:val="16"/>
          <w:szCs w:val="16"/>
          <w:lang w:val="fr-FR"/>
        </w:rPr>
        <w:t xml:space="preserve">Census Reporter. (2021). </w:t>
      </w:r>
      <w:hyperlink r:id="rId24" w:history="1">
        <w:r w:rsidRPr="00805962">
          <w:rPr>
            <w:rStyle w:val="Hyperlink"/>
            <w:i/>
            <w:iCs/>
            <w:color w:val="auto"/>
            <w:sz w:val="16"/>
            <w:szCs w:val="16"/>
            <w:u w:val="none"/>
            <w:lang w:val="fr-FR"/>
          </w:rPr>
          <w:t>Census profile: Melrose, MA</w:t>
        </w:r>
        <w:r w:rsidRPr="00805962">
          <w:rPr>
            <w:rStyle w:val="Hyperlink"/>
            <w:color w:val="auto"/>
            <w:sz w:val="16"/>
            <w:szCs w:val="16"/>
            <w:u w:val="none"/>
            <w:lang w:val="fr-FR"/>
          </w:rPr>
          <w:t>.</w:t>
        </w:r>
      </w:hyperlink>
      <w:r w:rsidRPr="00805962">
        <w:rPr>
          <w:sz w:val="16"/>
          <w:szCs w:val="16"/>
          <w:lang w:val="fr-FR"/>
        </w:rPr>
        <w:t xml:space="preserve"> </w:t>
      </w:r>
      <w:r w:rsidRPr="00F74984">
        <w:rPr>
          <w:sz w:val="16"/>
          <w:szCs w:val="16"/>
          <w:lang w:val="fr-FR"/>
        </w:rPr>
        <w:t xml:space="preserve">Census Reporter. </w:t>
      </w:r>
      <w:hyperlink r:id="rId25" w:history="1">
        <w:r w:rsidRPr="00F74984">
          <w:rPr>
            <w:rStyle w:val="Hyperlink"/>
            <w:sz w:val="16"/>
            <w:szCs w:val="16"/>
            <w:lang w:val="fr-FR"/>
          </w:rPr>
          <w:t>https://censusreporter.org/profiles/16000US2540115-melrose-ma/</w:t>
        </w:r>
      </w:hyperlink>
      <w:r w:rsidRPr="00F74984">
        <w:rPr>
          <w:sz w:val="16"/>
          <w:szCs w:val="16"/>
          <w:lang w:val="fr-FR"/>
        </w:rPr>
        <w:t xml:space="preserve"> </w:t>
      </w:r>
    </w:p>
  </w:footnote>
  <w:footnote w:id="28">
    <w:p w14:paraId="5D92AE2B" w14:textId="77777777" w:rsidR="00553DCD" w:rsidRPr="00F74984" w:rsidRDefault="00553DCD" w:rsidP="00F74984">
      <w:pPr>
        <w:pStyle w:val="FootnoteText"/>
        <w:rPr>
          <w:lang w:val="fr-FR"/>
        </w:rPr>
      </w:pPr>
      <w:r>
        <w:rPr>
          <w:rStyle w:val="FootnoteReference"/>
        </w:rPr>
        <w:footnoteRef/>
      </w:r>
      <w:r w:rsidRPr="00F74984">
        <w:rPr>
          <w:i/>
          <w:iCs/>
          <w:sz w:val="16"/>
          <w:szCs w:val="16"/>
          <w:lang w:val="fr-FR"/>
        </w:rPr>
        <w:t xml:space="preserve"> Ibid.</w:t>
      </w:r>
      <w:r w:rsidRPr="00F74984">
        <w:rPr>
          <w:sz w:val="16"/>
          <w:szCs w:val="16"/>
          <w:lang w:val="fr-FR"/>
        </w:rPr>
        <w:t xml:space="preserve"> </w:t>
      </w:r>
    </w:p>
  </w:footnote>
  <w:footnote w:id="29">
    <w:p w14:paraId="5F309564" w14:textId="2932333F" w:rsidR="00553DCD" w:rsidRPr="00C46D46" w:rsidRDefault="00553DCD" w:rsidP="00F74984">
      <w:pPr>
        <w:pStyle w:val="FootnoteText"/>
      </w:pPr>
      <w:r>
        <w:rPr>
          <w:rStyle w:val="FootnoteReference"/>
        </w:rPr>
        <w:footnoteRef/>
      </w:r>
      <w:r w:rsidRPr="00F74984">
        <w:rPr>
          <w:lang w:val="fr-FR"/>
        </w:rPr>
        <w:t xml:space="preserve"> </w:t>
      </w:r>
      <w:r w:rsidRPr="00F74984">
        <w:rPr>
          <w:sz w:val="16"/>
          <w:szCs w:val="16"/>
          <w:lang w:val="fr-FR"/>
        </w:rPr>
        <w:t xml:space="preserve">Census Reporter. </w:t>
      </w:r>
      <w:r w:rsidRPr="0091102F">
        <w:rPr>
          <w:sz w:val="16"/>
          <w:szCs w:val="16"/>
          <w:lang w:val="fr-FR"/>
        </w:rPr>
        <w:t xml:space="preserve">(2021). </w:t>
      </w:r>
      <w:hyperlink r:id="rId26" w:history="1">
        <w:r w:rsidRPr="00805962">
          <w:rPr>
            <w:rStyle w:val="Hyperlink"/>
            <w:i/>
            <w:iCs/>
            <w:color w:val="auto"/>
            <w:sz w:val="16"/>
            <w:szCs w:val="16"/>
            <w:u w:val="none"/>
            <w:lang w:val="fr-FR"/>
          </w:rPr>
          <w:t>Census profile: Melrose, MA</w:t>
        </w:r>
      </w:hyperlink>
      <w:r w:rsidRPr="00805962">
        <w:rPr>
          <w:sz w:val="16"/>
          <w:szCs w:val="16"/>
          <w:lang w:val="fr-FR"/>
        </w:rPr>
        <w:t xml:space="preserve">. </w:t>
      </w:r>
      <w:r w:rsidRPr="00C46D46">
        <w:rPr>
          <w:sz w:val="16"/>
          <w:szCs w:val="16"/>
        </w:rPr>
        <w:t xml:space="preserve">Census Reporter. </w:t>
      </w:r>
      <w:hyperlink r:id="rId27" w:history="1">
        <w:r w:rsidRPr="00C46D46">
          <w:rPr>
            <w:rStyle w:val="Hyperlink"/>
            <w:sz w:val="16"/>
            <w:szCs w:val="16"/>
          </w:rPr>
          <w:t>https://censusreporter.org/profiles/16000US2540115-melrose-ma/</w:t>
        </w:r>
      </w:hyperlink>
    </w:p>
  </w:footnote>
  <w:footnote w:id="30">
    <w:p w14:paraId="65DFFB23" w14:textId="304B5315" w:rsidR="00553DCD" w:rsidRDefault="00553DCD" w:rsidP="00F74984">
      <w:pPr>
        <w:pStyle w:val="FootnoteText"/>
      </w:pPr>
      <w:r>
        <w:rPr>
          <w:rStyle w:val="FootnoteReference"/>
        </w:rPr>
        <w:footnoteRef/>
      </w:r>
      <w:r>
        <w:t xml:space="preserve"> </w:t>
      </w:r>
      <w:bookmarkStart w:id="13" w:name="_Hlk111025817"/>
      <w:r w:rsidRPr="00B43EA3">
        <w:rPr>
          <w:rFonts w:cstheme="minorHAnsi"/>
          <w:sz w:val="16"/>
          <w:szCs w:val="16"/>
        </w:rPr>
        <w:t xml:space="preserve">U.S. Census Bureau. (2021). </w:t>
      </w:r>
      <w:hyperlink r:id="rId28" w:history="1">
        <w:r w:rsidRPr="003B470C">
          <w:rPr>
            <w:rStyle w:val="Hyperlink"/>
            <w:rFonts w:cstheme="minorHAnsi"/>
            <w:i/>
            <w:iCs/>
            <w:color w:val="auto"/>
            <w:sz w:val="16"/>
            <w:szCs w:val="16"/>
            <w:u w:val="none"/>
          </w:rPr>
          <w:t>U.S. Census Bureau QuickFacts: Wakefield CDP, Massachusetts</w:t>
        </w:r>
      </w:hyperlink>
      <w:r w:rsidRPr="003B470C">
        <w:rPr>
          <w:rFonts w:cstheme="minorHAnsi"/>
          <w:sz w:val="16"/>
          <w:szCs w:val="16"/>
        </w:rPr>
        <w:t xml:space="preserve">. </w:t>
      </w:r>
      <w:r w:rsidRPr="00B43EA3">
        <w:rPr>
          <w:rFonts w:cstheme="minorHAnsi"/>
          <w:sz w:val="16"/>
          <w:szCs w:val="16"/>
        </w:rPr>
        <w:t xml:space="preserve">Www.census.gov. </w:t>
      </w:r>
      <w:r>
        <w:rPr>
          <w:rFonts w:cstheme="minorHAnsi"/>
          <w:sz w:val="16"/>
          <w:szCs w:val="16"/>
        </w:rPr>
        <w:t xml:space="preserve">Online at: </w:t>
      </w:r>
      <w:hyperlink r:id="rId29" w:history="1">
        <w:r w:rsidRPr="00534204">
          <w:rPr>
            <w:rStyle w:val="Hyperlink"/>
            <w:rFonts w:cstheme="minorHAnsi"/>
            <w:sz w:val="16"/>
            <w:szCs w:val="16"/>
          </w:rPr>
          <w:t>https://www.census.gov/quickfacts/fact/table/wakefieldcdpmassachusetts</w:t>
        </w:r>
      </w:hyperlink>
      <w:bookmarkEnd w:id="13"/>
    </w:p>
  </w:footnote>
  <w:footnote w:id="31">
    <w:p w14:paraId="5CB25770" w14:textId="498F1533" w:rsidR="00553DCD" w:rsidRDefault="00553DCD" w:rsidP="00F74984">
      <w:pPr>
        <w:pStyle w:val="FootnoteText"/>
      </w:pPr>
      <w:r>
        <w:rPr>
          <w:rStyle w:val="FootnoteReference"/>
        </w:rPr>
        <w:footnoteRef/>
      </w:r>
      <w:r>
        <w:t xml:space="preserve"> </w:t>
      </w:r>
      <w:r w:rsidRPr="00527C34">
        <w:rPr>
          <w:sz w:val="16"/>
          <w:szCs w:val="16"/>
        </w:rPr>
        <w:t xml:space="preserve">Census Reporter. (2021b). </w:t>
      </w:r>
      <w:hyperlink r:id="rId30" w:history="1">
        <w:r w:rsidRPr="00FA6414">
          <w:rPr>
            <w:rStyle w:val="Hyperlink"/>
            <w:i/>
            <w:iCs/>
            <w:color w:val="auto"/>
            <w:sz w:val="16"/>
            <w:szCs w:val="16"/>
            <w:u w:val="none"/>
          </w:rPr>
          <w:t>Census profile: Wakefield, MA</w:t>
        </w:r>
      </w:hyperlink>
      <w:r w:rsidRPr="00527C34">
        <w:rPr>
          <w:sz w:val="16"/>
          <w:szCs w:val="16"/>
        </w:rPr>
        <w:t xml:space="preserve">. Census Reporter. </w:t>
      </w:r>
      <w:hyperlink r:id="rId31" w:history="1">
        <w:r w:rsidRPr="00527C34">
          <w:rPr>
            <w:rStyle w:val="Hyperlink"/>
            <w:sz w:val="16"/>
            <w:szCs w:val="16"/>
          </w:rPr>
          <w:t>https://censusreporter.org/profiles/16000US2572250-wakefield-ma/</w:t>
        </w:r>
      </w:hyperlink>
      <w:r w:rsidRPr="00527C34">
        <w:rPr>
          <w:sz w:val="16"/>
          <w:szCs w:val="16"/>
        </w:rPr>
        <w:t xml:space="preserve"> </w:t>
      </w:r>
    </w:p>
  </w:footnote>
  <w:footnote w:id="32">
    <w:p w14:paraId="40D148D7" w14:textId="264FD3AB" w:rsidR="00553DCD" w:rsidRDefault="00553DCD" w:rsidP="00F74984">
      <w:pPr>
        <w:pStyle w:val="FootnoteText"/>
      </w:pPr>
      <w:r>
        <w:rPr>
          <w:rStyle w:val="FootnoteReference"/>
        </w:rPr>
        <w:footnoteRef/>
      </w:r>
      <w:r w:rsidRPr="00B43EA3">
        <w:rPr>
          <w:rFonts w:cstheme="minorHAnsi"/>
          <w:sz w:val="16"/>
          <w:szCs w:val="16"/>
        </w:rPr>
        <w:t xml:space="preserve">U.S. Census Bureau. (2021). </w:t>
      </w:r>
      <w:hyperlink r:id="rId32" w:history="1">
        <w:r w:rsidRPr="00FA6414">
          <w:rPr>
            <w:rStyle w:val="Hyperlink"/>
            <w:rFonts w:cstheme="minorHAnsi"/>
            <w:i/>
            <w:iCs/>
            <w:color w:val="auto"/>
            <w:sz w:val="16"/>
            <w:szCs w:val="16"/>
            <w:u w:val="none"/>
          </w:rPr>
          <w:t>U.S. Census Bureau QuickFacts: Wakefield CDP, Massachusetts</w:t>
        </w:r>
        <w:r w:rsidRPr="00FA6414">
          <w:rPr>
            <w:rStyle w:val="Hyperlink"/>
            <w:rFonts w:cstheme="minorHAnsi"/>
            <w:color w:val="auto"/>
            <w:sz w:val="16"/>
            <w:szCs w:val="16"/>
            <w:u w:val="none"/>
          </w:rPr>
          <w:t>.</w:t>
        </w:r>
      </w:hyperlink>
      <w:r w:rsidRPr="00FA6414">
        <w:rPr>
          <w:rFonts w:cstheme="minorHAnsi"/>
          <w:sz w:val="16"/>
          <w:szCs w:val="16"/>
        </w:rPr>
        <w:t xml:space="preserve"> </w:t>
      </w:r>
      <w:r w:rsidRPr="00B43EA3">
        <w:rPr>
          <w:rFonts w:cstheme="minorHAnsi"/>
          <w:sz w:val="16"/>
          <w:szCs w:val="16"/>
        </w:rPr>
        <w:t xml:space="preserve">Www.census.gov. </w:t>
      </w:r>
      <w:r>
        <w:rPr>
          <w:rFonts w:cstheme="minorHAnsi"/>
          <w:sz w:val="16"/>
          <w:szCs w:val="16"/>
        </w:rPr>
        <w:t xml:space="preserve">Online at: </w:t>
      </w:r>
      <w:hyperlink r:id="rId33" w:history="1">
        <w:r w:rsidRPr="00534204">
          <w:rPr>
            <w:rStyle w:val="Hyperlink"/>
            <w:rFonts w:cstheme="minorHAnsi"/>
            <w:sz w:val="16"/>
            <w:szCs w:val="16"/>
          </w:rPr>
          <w:t>https://www.census.gov/quickfacts/fact/table/wakefieldcdpmassachusetts</w:t>
        </w:r>
      </w:hyperlink>
    </w:p>
  </w:footnote>
  <w:footnote w:id="33">
    <w:p w14:paraId="37E44230" w14:textId="77777777" w:rsidR="00553DCD" w:rsidRDefault="00553DCD" w:rsidP="00F74984">
      <w:pPr>
        <w:pStyle w:val="FootnoteText"/>
      </w:pPr>
      <w:r>
        <w:rPr>
          <w:rStyle w:val="FootnoteReference"/>
        </w:rPr>
        <w:footnoteRef/>
      </w:r>
      <w:r>
        <w:t xml:space="preserve"> </w:t>
      </w:r>
      <w:r w:rsidRPr="0032439B">
        <w:rPr>
          <w:sz w:val="16"/>
          <w:szCs w:val="16"/>
        </w:rPr>
        <w:t xml:space="preserve">MelroseWakefield Healthcare Community Health Needs Assessment 2019. Prepared in collaboration with MelroseWakefield Healthcare by the Institute for Community Health. </w:t>
      </w:r>
      <w:r>
        <w:rPr>
          <w:sz w:val="16"/>
          <w:szCs w:val="16"/>
        </w:rPr>
        <w:t>Pages 95 &amp; 120.</w:t>
      </w:r>
    </w:p>
  </w:footnote>
  <w:footnote w:id="34">
    <w:p w14:paraId="4ACBFC5C" w14:textId="41F88D6F" w:rsidR="00553DCD" w:rsidRPr="00D464C8" w:rsidRDefault="00553DCD" w:rsidP="00F74984">
      <w:pPr>
        <w:pStyle w:val="FootnoteText"/>
      </w:pPr>
      <w:r>
        <w:rPr>
          <w:rStyle w:val="FootnoteReference"/>
        </w:rPr>
        <w:footnoteRef/>
      </w:r>
      <w:r>
        <w:t xml:space="preserve"> </w:t>
      </w:r>
      <w:r w:rsidRPr="00D464C8">
        <w:rPr>
          <w:sz w:val="16"/>
          <w:szCs w:val="16"/>
        </w:rPr>
        <w:t xml:space="preserve">Berti V, Pupi A, Mosconi L. </w:t>
      </w:r>
      <w:hyperlink r:id="rId34" w:history="1">
        <w:r w:rsidRPr="00FA6414">
          <w:rPr>
            <w:rStyle w:val="Hyperlink"/>
            <w:color w:val="auto"/>
            <w:sz w:val="16"/>
            <w:szCs w:val="16"/>
            <w:u w:val="none"/>
          </w:rPr>
          <w:t>PET/CT in diagnosis of dementia</w:t>
        </w:r>
      </w:hyperlink>
      <w:r w:rsidRPr="00D464C8">
        <w:rPr>
          <w:sz w:val="16"/>
          <w:szCs w:val="16"/>
        </w:rPr>
        <w:t xml:space="preserve">. </w:t>
      </w:r>
      <w:r w:rsidRPr="007C606F">
        <w:rPr>
          <w:sz w:val="16"/>
          <w:szCs w:val="16"/>
        </w:rPr>
        <w:t xml:space="preserve">Ann N Y </w:t>
      </w:r>
      <w:proofErr w:type="spellStart"/>
      <w:r w:rsidRPr="007C606F">
        <w:rPr>
          <w:sz w:val="16"/>
          <w:szCs w:val="16"/>
        </w:rPr>
        <w:t>Acad</w:t>
      </w:r>
      <w:proofErr w:type="spellEnd"/>
      <w:r w:rsidRPr="007C606F">
        <w:rPr>
          <w:sz w:val="16"/>
          <w:szCs w:val="16"/>
        </w:rPr>
        <w:t xml:space="preserve"> Sci. 2011 </w:t>
      </w:r>
      <w:proofErr w:type="gramStart"/>
      <w:r w:rsidRPr="007C606F">
        <w:rPr>
          <w:sz w:val="16"/>
          <w:szCs w:val="16"/>
        </w:rPr>
        <w:t>Jun;1228:81</w:t>
      </w:r>
      <w:proofErr w:type="gramEnd"/>
      <w:r w:rsidRPr="007C606F">
        <w:rPr>
          <w:sz w:val="16"/>
          <w:szCs w:val="16"/>
        </w:rPr>
        <w:t xml:space="preserve">-92. </w:t>
      </w:r>
      <w:proofErr w:type="spellStart"/>
      <w:r w:rsidRPr="007C606F">
        <w:rPr>
          <w:sz w:val="16"/>
          <w:szCs w:val="16"/>
        </w:rPr>
        <w:t>doi</w:t>
      </w:r>
      <w:proofErr w:type="spellEnd"/>
      <w:r w:rsidRPr="007C606F">
        <w:rPr>
          <w:sz w:val="16"/>
          <w:szCs w:val="16"/>
        </w:rPr>
        <w:t>: 10.1111/j.1749-6632.2011.</w:t>
      </w:r>
      <w:proofErr w:type="gramStart"/>
      <w:r w:rsidRPr="007C606F">
        <w:rPr>
          <w:sz w:val="16"/>
          <w:szCs w:val="16"/>
        </w:rPr>
        <w:t>06015.x.</w:t>
      </w:r>
      <w:proofErr w:type="gramEnd"/>
      <w:r w:rsidRPr="007C606F">
        <w:rPr>
          <w:sz w:val="16"/>
          <w:szCs w:val="16"/>
        </w:rPr>
        <w:t xml:space="preserve"> PMID: 21718326; PMCID: PMC3692287. </w:t>
      </w:r>
      <w:r w:rsidRPr="00D464C8">
        <w:rPr>
          <w:sz w:val="16"/>
          <w:szCs w:val="16"/>
        </w:rPr>
        <w:t xml:space="preserve">Online at: </w:t>
      </w:r>
      <w:hyperlink r:id="rId35" w:history="1">
        <w:r w:rsidRPr="00D464C8">
          <w:rPr>
            <w:rStyle w:val="Hyperlink"/>
            <w:sz w:val="16"/>
            <w:szCs w:val="16"/>
          </w:rPr>
          <w:t>https://www.ncbi.nlm.nih.gov/pmc/articles/PMC3692287/</w:t>
        </w:r>
      </w:hyperlink>
      <w:r w:rsidRPr="00D464C8">
        <w:rPr>
          <w:sz w:val="16"/>
          <w:szCs w:val="16"/>
        </w:rPr>
        <w:t xml:space="preserve"> </w:t>
      </w:r>
    </w:p>
  </w:footnote>
  <w:footnote w:id="35">
    <w:p w14:paraId="0E9D35DC" w14:textId="1A443C1C" w:rsidR="00553DCD" w:rsidRDefault="00553DCD" w:rsidP="00F74984">
      <w:pPr>
        <w:pStyle w:val="FootnoteText"/>
      </w:pPr>
      <w:r>
        <w:rPr>
          <w:rStyle w:val="FootnoteReference"/>
        </w:rPr>
        <w:footnoteRef/>
      </w:r>
      <w:r>
        <w:t xml:space="preserve"> </w:t>
      </w:r>
      <w:proofErr w:type="spellStart"/>
      <w:r w:rsidRPr="00D557CB">
        <w:rPr>
          <w:sz w:val="16"/>
          <w:szCs w:val="16"/>
        </w:rPr>
        <w:t>Knaapen</w:t>
      </w:r>
      <w:proofErr w:type="spellEnd"/>
      <w:r w:rsidRPr="00D557CB">
        <w:rPr>
          <w:sz w:val="16"/>
          <w:szCs w:val="16"/>
        </w:rPr>
        <w:t xml:space="preserve"> P, de Haan S, Hoekstra OS, </w:t>
      </w:r>
      <w:proofErr w:type="spellStart"/>
      <w:r w:rsidRPr="00D557CB">
        <w:rPr>
          <w:sz w:val="16"/>
          <w:szCs w:val="16"/>
        </w:rPr>
        <w:t>Halbmeijer</w:t>
      </w:r>
      <w:proofErr w:type="spellEnd"/>
      <w:r w:rsidRPr="00D557CB">
        <w:rPr>
          <w:sz w:val="16"/>
          <w:szCs w:val="16"/>
        </w:rPr>
        <w:t xml:space="preserve"> R, Appelman YE, Groothuis JG, Comans EF, </w:t>
      </w:r>
      <w:proofErr w:type="spellStart"/>
      <w:r w:rsidRPr="00D557CB">
        <w:rPr>
          <w:sz w:val="16"/>
          <w:szCs w:val="16"/>
        </w:rPr>
        <w:t>Meijerink</w:t>
      </w:r>
      <w:proofErr w:type="spellEnd"/>
      <w:r w:rsidRPr="00D557CB">
        <w:rPr>
          <w:sz w:val="16"/>
          <w:szCs w:val="16"/>
        </w:rPr>
        <w:t xml:space="preserve"> MR, </w:t>
      </w:r>
      <w:proofErr w:type="spellStart"/>
      <w:r w:rsidRPr="00D557CB">
        <w:rPr>
          <w:sz w:val="16"/>
          <w:szCs w:val="16"/>
        </w:rPr>
        <w:t>Lammertsma</w:t>
      </w:r>
      <w:proofErr w:type="spellEnd"/>
      <w:r w:rsidRPr="00D557CB">
        <w:rPr>
          <w:sz w:val="16"/>
          <w:szCs w:val="16"/>
        </w:rPr>
        <w:t xml:space="preserve"> AA, </w:t>
      </w:r>
      <w:proofErr w:type="spellStart"/>
      <w:r w:rsidRPr="00D557CB">
        <w:rPr>
          <w:sz w:val="16"/>
          <w:szCs w:val="16"/>
        </w:rPr>
        <w:t>Lubberink</w:t>
      </w:r>
      <w:proofErr w:type="spellEnd"/>
      <w:r w:rsidRPr="00D557CB">
        <w:rPr>
          <w:sz w:val="16"/>
          <w:szCs w:val="16"/>
        </w:rPr>
        <w:t xml:space="preserve"> M, Götte MJ, van Rossum AC. </w:t>
      </w:r>
      <w:hyperlink r:id="rId36" w:history="1">
        <w:r w:rsidRPr="00FA6414">
          <w:rPr>
            <w:rStyle w:val="Hyperlink"/>
            <w:color w:val="auto"/>
            <w:sz w:val="16"/>
            <w:szCs w:val="16"/>
            <w:u w:val="none"/>
          </w:rPr>
          <w:t>Cardiac PET-CT: advanced hybrid imaging for the detection of coronary artery disease</w:t>
        </w:r>
      </w:hyperlink>
      <w:r w:rsidRPr="00FA6414">
        <w:rPr>
          <w:sz w:val="16"/>
          <w:szCs w:val="16"/>
        </w:rPr>
        <w:t xml:space="preserve">. </w:t>
      </w:r>
      <w:r w:rsidRPr="00D557CB">
        <w:rPr>
          <w:sz w:val="16"/>
          <w:szCs w:val="16"/>
        </w:rPr>
        <w:t xml:space="preserve">Neth Heart J. 2010 Feb;18(2):90-8. </w:t>
      </w:r>
      <w:proofErr w:type="spellStart"/>
      <w:r w:rsidRPr="00D557CB">
        <w:rPr>
          <w:sz w:val="16"/>
          <w:szCs w:val="16"/>
        </w:rPr>
        <w:t>doi</w:t>
      </w:r>
      <w:proofErr w:type="spellEnd"/>
      <w:r w:rsidRPr="00D557CB">
        <w:rPr>
          <w:sz w:val="16"/>
          <w:szCs w:val="16"/>
        </w:rPr>
        <w:t xml:space="preserve">: 10.1007/BF03091744. PMID: 20200615; PMCID: PMC2828569. Online at: </w:t>
      </w:r>
      <w:hyperlink r:id="rId37" w:history="1">
        <w:r w:rsidRPr="00D557CB">
          <w:rPr>
            <w:rStyle w:val="Hyperlink"/>
            <w:sz w:val="16"/>
            <w:szCs w:val="16"/>
          </w:rPr>
          <w:t>https://www.ncbi.nlm.nih.gov/pmc/articles/PMC2828569/</w:t>
        </w:r>
      </w:hyperlink>
      <w:r w:rsidRPr="00D557CB">
        <w:rPr>
          <w:sz w:val="16"/>
          <w:szCs w:val="16"/>
        </w:rPr>
        <w:t xml:space="preserve"> </w:t>
      </w:r>
    </w:p>
  </w:footnote>
  <w:footnote w:id="36">
    <w:p w14:paraId="4027E3A2" w14:textId="11AB2E51" w:rsidR="00553DCD" w:rsidRDefault="00553DCD" w:rsidP="00F74984">
      <w:pPr>
        <w:pStyle w:val="FootnoteText"/>
      </w:pPr>
      <w:r>
        <w:rPr>
          <w:rStyle w:val="FootnoteReference"/>
        </w:rPr>
        <w:footnoteRef/>
      </w:r>
      <w:r>
        <w:t xml:space="preserve"> </w:t>
      </w:r>
      <w:proofErr w:type="spellStart"/>
      <w:r w:rsidRPr="003B27B6">
        <w:rPr>
          <w:sz w:val="16"/>
          <w:szCs w:val="16"/>
        </w:rPr>
        <w:t>Czernin</w:t>
      </w:r>
      <w:proofErr w:type="spellEnd"/>
      <w:r w:rsidRPr="003B27B6">
        <w:rPr>
          <w:sz w:val="16"/>
          <w:szCs w:val="16"/>
        </w:rPr>
        <w:t xml:space="preserve"> J, Allen-Auerbach M, Nathanson D, Herrmann K. </w:t>
      </w:r>
      <w:hyperlink r:id="rId38" w:anchor=":~:text=In%20summary%2C%20PET%2FCT%20is,therapy%20monitoring%2C%20and%20treatment%20stratification" w:history="1">
        <w:r w:rsidRPr="00147E8D">
          <w:rPr>
            <w:rStyle w:val="Hyperlink"/>
            <w:color w:val="auto"/>
            <w:sz w:val="16"/>
            <w:szCs w:val="16"/>
            <w:u w:val="none"/>
          </w:rPr>
          <w:t>PET/CT in Oncology: Current Status and Perspectives</w:t>
        </w:r>
      </w:hyperlink>
      <w:r w:rsidRPr="003B27B6">
        <w:rPr>
          <w:sz w:val="16"/>
          <w:szCs w:val="16"/>
        </w:rPr>
        <w:t xml:space="preserve">. </w:t>
      </w:r>
      <w:proofErr w:type="spellStart"/>
      <w:r w:rsidRPr="003B27B6">
        <w:rPr>
          <w:sz w:val="16"/>
          <w:szCs w:val="16"/>
        </w:rPr>
        <w:t>Curr</w:t>
      </w:r>
      <w:proofErr w:type="spellEnd"/>
      <w:r w:rsidRPr="003B27B6">
        <w:rPr>
          <w:sz w:val="16"/>
          <w:szCs w:val="16"/>
        </w:rPr>
        <w:t xml:space="preserve"> </w:t>
      </w:r>
      <w:proofErr w:type="spellStart"/>
      <w:r w:rsidRPr="003B27B6">
        <w:rPr>
          <w:sz w:val="16"/>
          <w:szCs w:val="16"/>
        </w:rPr>
        <w:t>Radiol</w:t>
      </w:r>
      <w:proofErr w:type="spellEnd"/>
      <w:r w:rsidRPr="003B27B6">
        <w:rPr>
          <w:sz w:val="16"/>
          <w:szCs w:val="16"/>
        </w:rPr>
        <w:t xml:space="preserve"> Rep. 2013 May 3;1(3):177-190. </w:t>
      </w:r>
      <w:proofErr w:type="spellStart"/>
      <w:r w:rsidRPr="003B27B6">
        <w:rPr>
          <w:sz w:val="16"/>
          <w:szCs w:val="16"/>
        </w:rPr>
        <w:t>doi</w:t>
      </w:r>
      <w:proofErr w:type="spellEnd"/>
      <w:r w:rsidRPr="003B27B6">
        <w:rPr>
          <w:sz w:val="16"/>
          <w:szCs w:val="16"/>
        </w:rPr>
        <w:t xml:space="preserve">: 10.1007/s40134-013-0016-x. PMID: 24883234; PMCID: PMC4034170. Online at: </w:t>
      </w:r>
      <w:hyperlink r:id="rId39" w:anchor=":~:text=In%20summary%2C%20PET%2FCT%20is,therapy%20monitoring%2C%20and%20treatment%20stratification" w:history="1">
        <w:r w:rsidRPr="003B27B6">
          <w:rPr>
            <w:rStyle w:val="Hyperlink"/>
            <w:sz w:val="16"/>
            <w:szCs w:val="16"/>
          </w:rPr>
          <w:t>https://www.ncbi.nlm.nih.gov/pmc/articles/PMC4034170/#:~:text=In%20summary%2C%20PET%2FCT%20is,therapy%20monitoring%2C%20and%20treatment%20stratification</w:t>
        </w:r>
      </w:hyperlink>
      <w:r w:rsidRPr="003B27B6">
        <w:rPr>
          <w:sz w:val="16"/>
          <w:szCs w:val="16"/>
        </w:rPr>
        <w:t xml:space="preserve">. </w:t>
      </w:r>
    </w:p>
  </w:footnote>
  <w:footnote w:id="37">
    <w:p w14:paraId="555485DB" w14:textId="77777777" w:rsidR="00553DCD" w:rsidRDefault="00553DCD" w:rsidP="00F74984">
      <w:pPr>
        <w:pStyle w:val="FootnoteText"/>
      </w:pPr>
      <w:r>
        <w:rPr>
          <w:rStyle w:val="FootnoteReference"/>
        </w:rPr>
        <w:footnoteRef/>
      </w:r>
      <w:r>
        <w:t xml:space="preserve"> </w:t>
      </w:r>
      <w:r w:rsidRPr="00FA6115">
        <w:rPr>
          <w:sz w:val="16"/>
          <w:szCs w:val="16"/>
        </w:rPr>
        <w:t xml:space="preserve">Online at: </w:t>
      </w:r>
      <w:hyperlink r:id="rId40" w:history="1">
        <w:r w:rsidRPr="002C3E34">
          <w:rPr>
            <w:rStyle w:val="Hyperlink"/>
            <w:sz w:val="16"/>
            <w:szCs w:val="16"/>
          </w:rPr>
          <w:t>http://pep.donahue-institute.org/downloads/2015/new/UMDI_LongTermPopulationProjectionsReport_2015%2004%20_29.pdf</w:t>
        </w:r>
      </w:hyperlink>
      <w:r w:rsidRPr="00567B4E">
        <w:rPr>
          <w:sz w:val="16"/>
          <w:szCs w:val="16"/>
        </w:rPr>
        <w:t xml:space="preserve"> </w:t>
      </w:r>
    </w:p>
  </w:footnote>
  <w:footnote w:id="38">
    <w:p w14:paraId="26A011C1" w14:textId="77777777" w:rsidR="00553DCD" w:rsidRPr="00680195" w:rsidRDefault="00553DCD" w:rsidP="00F74984">
      <w:pPr>
        <w:pStyle w:val="FootnoteText"/>
        <w:rPr>
          <w:sz w:val="16"/>
          <w:szCs w:val="16"/>
        </w:rPr>
      </w:pPr>
      <w:r>
        <w:rPr>
          <w:rStyle w:val="FootnoteReference"/>
        </w:rPr>
        <w:footnoteRef/>
      </w:r>
      <w:r>
        <w:t xml:space="preserve"> </w:t>
      </w:r>
      <w:r w:rsidRPr="00FA6115">
        <w:rPr>
          <w:sz w:val="16"/>
          <w:szCs w:val="16"/>
        </w:rPr>
        <w:t xml:space="preserve">Online at: </w:t>
      </w:r>
      <w:hyperlink r:id="rId41" w:history="1">
        <w:r w:rsidRPr="002C3E34">
          <w:rPr>
            <w:rStyle w:val="Hyperlink"/>
            <w:sz w:val="16"/>
            <w:szCs w:val="16"/>
          </w:rPr>
          <w:t>https://www.mass.gov/files/documents/2016/07/wb/healthy-aging-data-report.pdf</w:t>
        </w:r>
      </w:hyperlink>
      <w:r w:rsidRPr="00680195">
        <w:rPr>
          <w:sz w:val="16"/>
          <w:szCs w:val="16"/>
        </w:rPr>
        <w:t xml:space="preserve"> </w:t>
      </w:r>
    </w:p>
  </w:footnote>
  <w:footnote w:id="39">
    <w:p w14:paraId="65D5E1DE" w14:textId="544B0EB6" w:rsidR="00553DCD" w:rsidRPr="002C49EE" w:rsidRDefault="00553DCD" w:rsidP="00F74984">
      <w:pPr>
        <w:pStyle w:val="FootnoteText"/>
        <w:rPr>
          <w:sz w:val="16"/>
          <w:szCs w:val="16"/>
        </w:rPr>
      </w:pPr>
      <w:r>
        <w:rPr>
          <w:rStyle w:val="FootnoteReference"/>
        </w:rPr>
        <w:footnoteRef/>
      </w:r>
      <w:r>
        <w:t xml:space="preserve"> </w:t>
      </w:r>
      <w:r w:rsidRPr="002C49EE">
        <w:rPr>
          <w:sz w:val="16"/>
          <w:szCs w:val="16"/>
        </w:rPr>
        <w:t xml:space="preserve">Medically reviewed by Megan Soliman, MD, written by Yvette Brazier. </w:t>
      </w:r>
      <w:hyperlink r:id="rId42" w:anchor="what-it-is" w:history="1">
        <w:r w:rsidRPr="00147E8D">
          <w:rPr>
            <w:rStyle w:val="Hyperlink"/>
            <w:color w:val="auto"/>
            <w:sz w:val="16"/>
            <w:szCs w:val="16"/>
            <w:u w:val="none"/>
          </w:rPr>
          <w:t>What are PET scans, and what are their uses?</w:t>
        </w:r>
      </w:hyperlink>
      <w:r w:rsidRPr="00147E8D">
        <w:rPr>
          <w:sz w:val="16"/>
          <w:szCs w:val="16"/>
        </w:rPr>
        <w:t xml:space="preserve"> </w:t>
      </w:r>
      <w:r w:rsidRPr="002C49EE">
        <w:rPr>
          <w:sz w:val="16"/>
          <w:szCs w:val="16"/>
        </w:rPr>
        <w:t>Medical New Today. Updated on December 16, 2021</w:t>
      </w:r>
      <w:r>
        <w:rPr>
          <w:sz w:val="16"/>
          <w:szCs w:val="16"/>
        </w:rPr>
        <w:t xml:space="preserve">. Online at: </w:t>
      </w:r>
      <w:hyperlink r:id="rId43" w:anchor="what-it-is" w:history="1">
        <w:r w:rsidRPr="002C3E34">
          <w:rPr>
            <w:rStyle w:val="Hyperlink"/>
            <w:sz w:val="16"/>
            <w:szCs w:val="16"/>
          </w:rPr>
          <w:t>https://www.medicalnewstoday.com/articles/154877#what-it-is</w:t>
        </w:r>
      </w:hyperlink>
      <w:r>
        <w:rPr>
          <w:sz w:val="16"/>
          <w:szCs w:val="16"/>
        </w:rPr>
        <w:t xml:space="preserve"> </w:t>
      </w:r>
    </w:p>
  </w:footnote>
  <w:footnote w:id="40">
    <w:p w14:paraId="5946E9CC" w14:textId="513DF8E5" w:rsidR="00553DCD" w:rsidRDefault="00553DCD" w:rsidP="00F74984">
      <w:pPr>
        <w:pStyle w:val="FootnoteText"/>
      </w:pPr>
      <w:r>
        <w:rPr>
          <w:rStyle w:val="FootnoteReference"/>
        </w:rPr>
        <w:footnoteRef/>
      </w:r>
      <w:r>
        <w:t xml:space="preserve"> </w:t>
      </w:r>
      <w:r w:rsidRPr="00BB0209">
        <w:rPr>
          <w:sz w:val="16"/>
          <w:szCs w:val="16"/>
        </w:rPr>
        <w:t xml:space="preserve">Guy Frija, Ivana Blažić, Donald P. Frush, Monika </w:t>
      </w:r>
      <w:proofErr w:type="spellStart"/>
      <w:r w:rsidRPr="00BB0209">
        <w:rPr>
          <w:sz w:val="16"/>
          <w:szCs w:val="16"/>
        </w:rPr>
        <w:t>Hierath</w:t>
      </w:r>
      <w:proofErr w:type="spellEnd"/>
      <w:r w:rsidRPr="00BB0209">
        <w:rPr>
          <w:sz w:val="16"/>
          <w:szCs w:val="16"/>
        </w:rPr>
        <w:t xml:space="preserve">, Michael Kawooya, Lluis Donoso-Bach, et al. </w:t>
      </w:r>
      <w:hyperlink r:id="rId44" w:history="1">
        <w:r w:rsidRPr="00712033">
          <w:rPr>
            <w:rStyle w:val="Hyperlink"/>
            <w:color w:val="auto"/>
            <w:sz w:val="16"/>
            <w:szCs w:val="16"/>
            <w:u w:val="none"/>
          </w:rPr>
          <w:t>How to improve access to medical imaging in low- and middle-income countries</w:t>
        </w:r>
      </w:hyperlink>
      <w:r w:rsidRPr="00712033">
        <w:rPr>
          <w:sz w:val="16"/>
          <w:szCs w:val="16"/>
        </w:rPr>
        <w:t xml:space="preserve">. </w:t>
      </w:r>
      <w:proofErr w:type="spellStart"/>
      <w:r w:rsidRPr="00BB0209">
        <w:rPr>
          <w:sz w:val="16"/>
          <w:szCs w:val="16"/>
        </w:rPr>
        <w:t>eClinical</w:t>
      </w:r>
      <w:proofErr w:type="spellEnd"/>
      <w:r w:rsidRPr="00BB0209">
        <w:rPr>
          <w:sz w:val="16"/>
          <w:szCs w:val="16"/>
        </w:rPr>
        <w:t xml:space="preserve"> Medicine, Part of The Lancet Discovery Science.  VOLUME 38, 101034, AUGUST 01, 2021. Online at: </w:t>
      </w:r>
      <w:hyperlink r:id="rId45" w:history="1">
        <w:r w:rsidRPr="00BB0209">
          <w:rPr>
            <w:rStyle w:val="Hyperlink"/>
            <w:sz w:val="16"/>
            <w:szCs w:val="16"/>
          </w:rPr>
          <w:t>https://www.thelancet.com/journals/eclinm/article/PIIS2589-5370(21)00314-X/fulltext</w:t>
        </w:r>
      </w:hyperlink>
      <w:r w:rsidRPr="00BB0209">
        <w:rPr>
          <w:sz w:val="16"/>
          <w:szCs w:val="16"/>
        </w:rPr>
        <w:t xml:space="preserve"> </w:t>
      </w:r>
    </w:p>
  </w:footnote>
  <w:footnote w:id="41">
    <w:p w14:paraId="10842362" w14:textId="77777777" w:rsidR="00553DCD" w:rsidRDefault="00553DCD" w:rsidP="00F74984">
      <w:pPr>
        <w:pStyle w:val="FootnoteText"/>
      </w:pPr>
      <w:r>
        <w:rPr>
          <w:rStyle w:val="FootnoteReference"/>
        </w:rPr>
        <w:footnoteRef/>
      </w:r>
      <w:r>
        <w:t xml:space="preserve"> </w:t>
      </w:r>
      <w:r w:rsidRPr="00874FF9">
        <w:rPr>
          <w:i/>
          <w:iCs/>
          <w:sz w:val="16"/>
          <w:szCs w:val="16"/>
        </w:rPr>
        <w:t>Ibid</w:t>
      </w:r>
      <w:r>
        <w:t>.</w:t>
      </w:r>
    </w:p>
  </w:footnote>
  <w:footnote w:id="42">
    <w:p w14:paraId="384E2C23" w14:textId="2F99CB7C" w:rsidR="00553DCD" w:rsidRPr="006E7CC6" w:rsidRDefault="00553DCD" w:rsidP="00F74984">
      <w:pPr>
        <w:pStyle w:val="FootnoteText"/>
        <w:rPr>
          <w:sz w:val="12"/>
          <w:szCs w:val="12"/>
        </w:rPr>
      </w:pPr>
      <w:r>
        <w:rPr>
          <w:rStyle w:val="FootnoteReference"/>
        </w:rPr>
        <w:footnoteRef/>
      </w:r>
      <w:r w:rsidRPr="00372FCD">
        <w:t xml:space="preserve"> </w:t>
      </w:r>
      <w:r w:rsidRPr="00372FCD">
        <w:rPr>
          <w:sz w:val="16"/>
          <w:szCs w:val="16"/>
        </w:rPr>
        <w:t xml:space="preserve">Brady, A.P., Bello, J.A., </w:t>
      </w:r>
      <w:proofErr w:type="spellStart"/>
      <w:r w:rsidRPr="00372FCD">
        <w:rPr>
          <w:sz w:val="16"/>
          <w:szCs w:val="16"/>
        </w:rPr>
        <w:t>Derchi</w:t>
      </w:r>
      <w:proofErr w:type="spellEnd"/>
      <w:r w:rsidRPr="00372FCD">
        <w:rPr>
          <w:sz w:val="16"/>
          <w:szCs w:val="16"/>
        </w:rPr>
        <w:t xml:space="preserve">, L.E. et al. </w:t>
      </w:r>
      <w:hyperlink r:id="rId46" w:history="1">
        <w:r w:rsidRPr="009E62E1">
          <w:rPr>
            <w:rStyle w:val="Hyperlink"/>
            <w:color w:val="auto"/>
            <w:sz w:val="16"/>
            <w:szCs w:val="16"/>
            <w:u w:val="none"/>
          </w:rPr>
          <w:t>Radiology in the era of value-based healthcare: a multi-society expert statement from the ACR, CAR, ESR, IS3R, RANZCR, and RSNA</w:t>
        </w:r>
      </w:hyperlink>
      <w:r w:rsidRPr="009E62E1">
        <w:rPr>
          <w:sz w:val="16"/>
          <w:szCs w:val="16"/>
        </w:rPr>
        <w:t xml:space="preserve">. </w:t>
      </w:r>
      <w:r w:rsidRPr="006E7CC6">
        <w:rPr>
          <w:sz w:val="16"/>
          <w:szCs w:val="16"/>
        </w:rPr>
        <w:t xml:space="preserve">Insights Imaging 11, 136 (2020). </w:t>
      </w:r>
      <w:hyperlink r:id="rId47" w:history="1">
        <w:r w:rsidRPr="009A1A65">
          <w:rPr>
            <w:rStyle w:val="Hyperlink"/>
            <w:sz w:val="16"/>
            <w:szCs w:val="16"/>
          </w:rPr>
          <w:t>https://doi.org/10.1186/s13244-020-00941-z</w:t>
        </w:r>
      </w:hyperlink>
      <w:r>
        <w:rPr>
          <w:sz w:val="16"/>
          <w:szCs w:val="16"/>
        </w:rPr>
        <w:t xml:space="preserve">. </w:t>
      </w:r>
    </w:p>
  </w:footnote>
  <w:footnote w:id="43">
    <w:p w14:paraId="2A0003C6" w14:textId="301395AC" w:rsidR="00553DCD" w:rsidRDefault="00553DCD" w:rsidP="00F74984">
      <w:pPr>
        <w:pStyle w:val="FootnoteText"/>
      </w:pPr>
      <w:r>
        <w:rPr>
          <w:rStyle w:val="FootnoteReference"/>
        </w:rPr>
        <w:footnoteRef/>
      </w:r>
      <w:r>
        <w:t xml:space="preserve"> </w:t>
      </w:r>
      <w:r w:rsidRPr="009A4ADA">
        <w:rPr>
          <w:sz w:val="16"/>
          <w:szCs w:val="16"/>
        </w:rPr>
        <w:t xml:space="preserve">White MC, Holman DM, Boehm JE, </w:t>
      </w:r>
      <w:proofErr w:type="spellStart"/>
      <w:r w:rsidRPr="009A4ADA">
        <w:rPr>
          <w:sz w:val="16"/>
          <w:szCs w:val="16"/>
        </w:rPr>
        <w:t>Peipins</w:t>
      </w:r>
      <w:proofErr w:type="spellEnd"/>
      <w:r w:rsidRPr="009A4ADA">
        <w:rPr>
          <w:sz w:val="16"/>
          <w:szCs w:val="16"/>
        </w:rPr>
        <w:t xml:space="preserve"> LA, Grossman M, Henley SJ. </w:t>
      </w:r>
      <w:hyperlink r:id="rId48" w:history="1">
        <w:r w:rsidRPr="00FC692A">
          <w:rPr>
            <w:rStyle w:val="Hyperlink"/>
            <w:color w:val="auto"/>
            <w:sz w:val="16"/>
            <w:szCs w:val="16"/>
            <w:u w:val="none"/>
          </w:rPr>
          <w:t>Age and cancer risk: a potentially modifiable relationship.</w:t>
        </w:r>
      </w:hyperlink>
      <w:r w:rsidRPr="009A4ADA">
        <w:rPr>
          <w:sz w:val="16"/>
          <w:szCs w:val="16"/>
        </w:rPr>
        <w:t xml:space="preserve"> Am J Prev Med. 2014;46(3 Suppl 1</w:t>
      </w:r>
      <w:proofErr w:type="gramStart"/>
      <w:r w:rsidRPr="009A4ADA">
        <w:rPr>
          <w:sz w:val="16"/>
          <w:szCs w:val="16"/>
        </w:rPr>
        <w:t>):S</w:t>
      </w:r>
      <w:proofErr w:type="gramEnd"/>
      <w:r w:rsidRPr="009A4ADA">
        <w:rPr>
          <w:sz w:val="16"/>
          <w:szCs w:val="16"/>
        </w:rPr>
        <w:t xml:space="preserve">7-S15. </w:t>
      </w:r>
      <w:proofErr w:type="gramStart"/>
      <w:r w:rsidRPr="009A4ADA">
        <w:rPr>
          <w:sz w:val="16"/>
          <w:szCs w:val="16"/>
        </w:rPr>
        <w:t>doi:10.1016/j.amepre</w:t>
      </w:r>
      <w:proofErr w:type="gramEnd"/>
      <w:r w:rsidRPr="009A4ADA">
        <w:rPr>
          <w:sz w:val="16"/>
          <w:szCs w:val="16"/>
        </w:rPr>
        <w:t>.2013.10.029</w:t>
      </w:r>
      <w:r>
        <w:rPr>
          <w:sz w:val="16"/>
          <w:szCs w:val="16"/>
        </w:rPr>
        <w:t xml:space="preserve">. Online at:  </w:t>
      </w:r>
      <w:hyperlink r:id="rId49" w:history="1">
        <w:r w:rsidRPr="002C3E34">
          <w:rPr>
            <w:rStyle w:val="Hyperlink"/>
            <w:sz w:val="16"/>
            <w:szCs w:val="16"/>
          </w:rPr>
          <w:t>https://www.sciencedirect.com/science/article/pii/S0749379713006429</w:t>
        </w:r>
      </w:hyperlink>
      <w:r>
        <w:rPr>
          <w:sz w:val="16"/>
          <w:szCs w:val="16"/>
        </w:rPr>
        <w:t xml:space="preserve"> </w:t>
      </w:r>
    </w:p>
  </w:footnote>
  <w:footnote w:id="44">
    <w:p w14:paraId="5D9D7A3A" w14:textId="240D1837" w:rsidR="00553DCD" w:rsidRPr="00C816E9" w:rsidRDefault="00553DCD" w:rsidP="00F74984">
      <w:pPr>
        <w:pStyle w:val="FootnoteText"/>
      </w:pPr>
      <w:r>
        <w:rPr>
          <w:rStyle w:val="FootnoteReference"/>
        </w:rPr>
        <w:footnoteRef/>
      </w:r>
      <w:r w:rsidRPr="00C816E9">
        <w:t xml:space="preserve"> </w:t>
      </w:r>
      <w:r w:rsidRPr="00C816E9">
        <w:rPr>
          <w:sz w:val="16"/>
          <w:szCs w:val="16"/>
        </w:rPr>
        <w:t xml:space="preserve">Berger NA, Savvides P, </w:t>
      </w:r>
      <w:proofErr w:type="spellStart"/>
      <w:r w:rsidRPr="00C816E9">
        <w:rPr>
          <w:sz w:val="16"/>
          <w:szCs w:val="16"/>
        </w:rPr>
        <w:t>Koroukian</w:t>
      </w:r>
      <w:proofErr w:type="spellEnd"/>
      <w:r w:rsidRPr="00C816E9">
        <w:rPr>
          <w:sz w:val="16"/>
          <w:szCs w:val="16"/>
        </w:rPr>
        <w:t xml:space="preserve"> SM, Kahana EF, Deimling GT, Rose JH, Bowman KF, Miller RH. </w:t>
      </w:r>
      <w:hyperlink r:id="rId50" w:history="1">
        <w:r w:rsidRPr="00FC692A">
          <w:rPr>
            <w:rStyle w:val="Hyperlink"/>
            <w:color w:val="auto"/>
            <w:sz w:val="16"/>
            <w:szCs w:val="16"/>
            <w:u w:val="none"/>
          </w:rPr>
          <w:t>Cancer in the elderly.</w:t>
        </w:r>
      </w:hyperlink>
      <w:r w:rsidRPr="00FC692A">
        <w:rPr>
          <w:sz w:val="16"/>
          <w:szCs w:val="16"/>
        </w:rPr>
        <w:t xml:space="preserve"> </w:t>
      </w:r>
      <w:r w:rsidRPr="00C816E9">
        <w:rPr>
          <w:sz w:val="16"/>
          <w:szCs w:val="16"/>
        </w:rPr>
        <w:t xml:space="preserve">Trans Am Clin </w:t>
      </w:r>
      <w:proofErr w:type="spellStart"/>
      <w:r w:rsidRPr="00C816E9">
        <w:rPr>
          <w:sz w:val="16"/>
          <w:szCs w:val="16"/>
        </w:rPr>
        <w:t>Climatol</w:t>
      </w:r>
      <w:proofErr w:type="spellEnd"/>
      <w:r w:rsidRPr="00C816E9">
        <w:rPr>
          <w:sz w:val="16"/>
          <w:szCs w:val="16"/>
        </w:rPr>
        <w:t xml:space="preserve"> Assoc. 2006;117:147-55; discussion 155-6. PMID: 18528470; PMCID: PMC1500929.</w:t>
      </w:r>
      <w:r>
        <w:rPr>
          <w:sz w:val="16"/>
          <w:szCs w:val="16"/>
        </w:rPr>
        <w:t xml:space="preserve"> Online at: </w:t>
      </w:r>
      <w:hyperlink r:id="rId51" w:history="1">
        <w:r w:rsidRPr="002C3E34">
          <w:rPr>
            <w:rStyle w:val="Hyperlink"/>
            <w:sz w:val="16"/>
            <w:szCs w:val="16"/>
          </w:rPr>
          <w:t>https://pubmed.ncbi.nlm.nih.gov/18528470/</w:t>
        </w:r>
      </w:hyperlink>
      <w:r>
        <w:rPr>
          <w:sz w:val="16"/>
          <w:szCs w:val="16"/>
        </w:rPr>
        <w:t xml:space="preserve"> </w:t>
      </w:r>
    </w:p>
  </w:footnote>
  <w:footnote w:id="45">
    <w:p w14:paraId="7D66DEDB" w14:textId="77777777" w:rsidR="00553DCD" w:rsidRDefault="00553DCD" w:rsidP="00F74984">
      <w:pPr>
        <w:pStyle w:val="FootnoteText"/>
      </w:pPr>
      <w:r>
        <w:rPr>
          <w:rStyle w:val="FootnoteReference"/>
        </w:rPr>
        <w:footnoteRef/>
      </w:r>
      <w:r>
        <w:t xml:space="preserve"> </w:t>
      </w:r>
      <w:bookmarkStart w:id="15" w:name="_Hlk100226975"/>
      <w:r w:rsidRPr="004262EA">
        <w:rPr>
          <w:i/>
          <w:iCs/>
          <w:sz w:val="16"/>
          <w:szCs w:val="16"/>
        </w:rPr>
        <w:t>Ibid.</w:t>
      </w:r>
      <w:r w:rsidRPr="004262EA">
        <w:rPr>
          <w:sz w:val="16"/>
          <w:szCs w:val="16"/>
        </w:rPr>
        <w:t xml:space="preserve"> </w:t>
      </w:r>
      <w:bookmarkEnd w:id="15"/>
    </w:p>
  </w:footnote>
  <w:footnote w:id="46">
    <w:p w14:paraId="6E8064F4" w14:textId="77777777" w:rsidR="00553DCD" w:rsidRPr="00ED5405" w:rsidRDefault="00553DCD" w:rsidP="00F74984">
      <w:pPr>
        <w:pStyle w:val="FootnoteText"/>
        <w:rPr>
          <w:sz w:val="16"/>
          <w:szCs w:val="16"/>
        </w:rPr>
      </w:pPr>
      <w:r>
        <w:rPr>
          <w:rStyle w:val="FootnoteReference"/>
        </w:rPr>
        <w:footnoteRef/>
      </w:r>
      <w:r>
        <w:t xml:space="preserve"> </w:t>
      </w:r>
      <w:r w:rsidRPr="00ED5405">
        <w:rPr>
          <w:sz w:val="16"/>
          <w:szCs w:val="16"/>
        </w:rPr>
        <w:t xml:space="preserve">Online at: </w:t>
      </w:r>
      <w:hyperlink r:id="rId52" w:history="1">
        <w:r w:rsidRPr="00ED5405">
          <w:rPr>
            <w:rStyle w:val="Hyperlink"/>
            <w:sz w:val="16"/>
            <w:szCs w:val="16"/>
          </w:rPr>
          <w:t>http://www.cancerinmass.org/uploads/1/1/9/4/119429235/macancer-report2018.pdf</w:t>
        </w:r>
      </w:hyperlink>
      <w:r w:rsidRPr="00ED5405">
        <w:rPr>
          <w:sz w:val="16"/>
          <w:szCs w:val="16"/>
        </w:rPr>
        <w:t xml:space="preserve"> </w:t>
      </w:r>
    </w:p>
  </w:footnote>
  <w:footnote w:id="47">
    <w:p w14:paraId="4EADC5F9" w14:textId="77777777" w:rsidR="00553DCD" w:rsidRDefault="00553DCD" w:rsidP="00F74984">
      <w:pPr>
        <w:pStyle w:val="FootnoteText"/>
      </w:pPr>
      <w:r>
        <w:rPr>
          <w:rStyle w:val="FootnoteReference"/>
        </w:rPr>
        <w:footnoteRef/>
      </w:r>
      <w:r>
        <w:t xml:space="preserve"> </w:t>
      </w:r>
      <w:r w:rsidRPr="000E499C">
        <w:rPr>
          <w:sz w:val="16"/>
          <w:szCs w:val="16"/>
        </w:rPr>
        <w:t>Increased from 36,990 cases in 2020.</w:t>
      </w:r>
    </w:p>
  </w:footnote>
  <w:footnote w:id="48">
    <w:p w14:paraId="7B90B97F" w14:textId="77777777" w:rsidR="00553DCD" w:rsidRDefault="00553DCD" w:rsidP="00F74984">
      <w:pPr>
        <w:pStyle w:val="FootnoteText"/>
      </w:pPr>
      <w:r>
        <w:rPr>
          <w:rStyle w:val="FootnoteReference"/>
        </w:rPr>
        <w:footnoteRef/>
      </w:r>
      <w:r>
        <w:t xml:space="preserve"> </w:t>
      </w:r>
      <w:r w:rsidRPr="007844BF">
        <w:rPr>
          <w:sz w:val="16"/>
          <w:szCs w:val="16"/>
        </w:rPr>
        <w:t xml:space="preserve">Increased from 12,430 in 2020. </w:t>
      </w:r>
    </w:p>
  </w:footnote>
  <w:footnote w:id="49">
    <w:p w14:paraId="7A292762" w14:textId="77777777" w:rsidR="00553DCD" w:rsidRDefault="00553DCD" w:rsidP="00F74984">
      <w:pPr>
        <w:pStyle w:val="FootnoteText"/>
      </w:pPr>
      <w:r>
        <w:rPr>
          <w:rStyle w:val="FootnoteReference"/>
        </w:rPr>
        <w:footnoteRef/>
      </w:r>
      <w:r>
        <w:t xml:space="preserve"> </w:t>
      </w:r>
      <w:r w:rsidRPr="00510214">
        <w:rPr>
          <w:sz w:val="16"/>
          <w:szCs w:val="16"/>
        </w:rPr>
        <w:t xml:space="preserve">Online at: </w:t>
      </w:r>
      <w:hyperlink r:id="rId53" w:anchor="!/state/Massachusetts" w:history="1">
        <w:r w:rsidRPr="00510214">
          <w:rPr>
            <w:rStyle w:val="Hyperlink"/>
            <w:sz w:val="16"/>
            <w:szCs w:val="16"/>
          </w:rPr>
          <w:t>https://cancerstatisticscenter.cancer.org/#!/state/Massachusetts</w:t>
        </w:r>
      </w:hyperlink>
      <w:r w:rsidRPr="00510214">
        <w:rPr>
          <w:sz w:val="16"/>
          <w:szCs w:val="16"/>
        </w:rPr>
        <w:t xml:space="preserve"> </w:t>
      </w:r>
    </w:p>
  </w:footnote>
  <w:footnote w:id="50">
    <w:p w14:paraId="17D8CA53" w14:textId="2065BA6B" w:rsidR="00553DCD" w:rsidRPr="00CF150C" w:rsidRDefault="00553DCD" w:rsidP="00F74984">
      <w:pPr>
        <w:pStyle w:val="FootnoteText"/>
        <w:rPr>
          <w:sz w:val="16"/>
          <w:szCs w:val="16"/>
        </w:rPr>
      </w:pPr>
      <w:r>
        <w:rPr>
          <w:rStyle w:val="FootnoteReference"/>
        </w:rPr>
        <w:footnoteRef/>
      </w:r>
      <w:r>
        <w:t xml:space="preserve"> </w:t>
      </w:r>
      <w:r w:rsidRPr="00CF150C">
        <w:rPr>
          <w:sz w:val="16"/>
          <w:szCs w:val="16"/>
        </w:rPr>
        <w:t xml:space="preserve">Joung, RH, Nelson, H, Mullett, TW, Kurtzman, SH, Shafir, S, Harris, JB, Yao, KA, </w:t>
      </w:r>
      <w:proofErr w:type="spellStart"/>
      <w:r w:rsidRPr="00CF150C">
        <w:rPr>
          <w:sz w:val="16"/>
          <w:szCs w:val="16"/>
        </w:rPr>
        <w:t>Brajcich</w:t>
      </w:r>
      <w:proofErr w:type="spellEnd"/>
      <w:r w:rsidRPr="00CF150C">
        <w:rPr>
          <w:sz w:val="16"/>
          <w:szCs w:val="16"/>
        </w:rPr>
        <w:t xml:space="preserve">, BC, Bilimoria, KY, Cance, WG. </w:t>
      </w:r>
      <w:hyperlink r:id="rId54" w:history="1">
        <w:r w:rsidRPr="00FC692A">
          <w:rPr>
            <w:rStyle w:val="Hyperlink"/>
            <w:color w:val="auto"/>
            <w:sz w:val="16"/>
            <w:szCs w:val="16"/>
            <w:u w:val="none"/>
          </w:rPr>
          <w:t>A national quality improvement study identifying and addressing cancer screening deficits due to the COVID-19 pandemic.</w:t>
        </w:r>
      </w:hyperlink>
      <w:r w:rsidRPr="00CF150C">
        <w:rPr>
          <w:sz w:val="16"/>
          <w:szCs w:val="16"/>
        </w:rPr>
        <w:t xml:space="preserve"> Cancer. 2022. Online at:</w:t>
      </w:r>
      <w:r>
        <w:t xml:space="preserve"> </w:t>
      </w:r>
      <w:hyperlink r:id="rId55" w:history="1">
        <w:r w:rsidRPr="00CF150C">
          <w:rPr>
            <w:rStyle w:val="Hyperlink"/>
            <w:sz w:val="16"/>
            <w:szCs w:val="16"/>
          </w:rPr>
          <w:t>https://doi.org/10.1002/cncr.34157</w:t>
        </w:r>
      </w:hyperlink>
      <w:r w:rsidRPr="00CF150C">
        <w:rPr>
          <w:sz w:val="16"/>
          <w:szCs w:val="16"/>
        </w:rPr>
        <w:t xml:space="preserve"> </w:t>
      </w:r>
    </w:p>
  </w:footnote>
  <w:footnote w:id="51">
    <w:p w14:paraId="72D67F08" w14:textId="77777777" w:rsidR="00553DCD" w:rsidRDefault="00553DCD" w:rsidP="00F74984">
      <w:pPr>
        <w:pStyle w:val="FootnoteText"/>
      </w:pPr>
      <w:r>
        <w:rPr>
          <w:rStyle w:val="FootnoteReference"/>
        </w:rPr>
        <w:footnoteRef/>
      </w:r>
      <w:r>
        <w:t xml:space="preserve"> </w:t>
      </w:r>
      <w:bookmarkStart w:id="16" w:name="_Hlk111029099"/>
      <w:r w:rsidRPr="004262EA">
        <w:rPr>
          <w:i/>
          <w:iCs/>
          <w:sz w:val="16"/>
          <w:szCs w:val="16"/>
        </w:rPr>
        <w:t>Ibid.</w:t>
      </w:r>
      <w:bookmarkEnd w:id="16"/>
    </w:p>
  </w:footnote>
  <w:footnote w:id="52">
    <w:p w14:paraId="29D44E8B" w14:textId="025FCC11" w:rsidR="00553DCD" w:rsidRDefault="00553DCD" w:rsidP="00F74984">
      <w:pPr>
        <w:pStyle w:val="FootnoteText"/>
      </w:pPr>
      <w:r>
        <w:rPr>
          <w:rStyle w:val="FootnoteReference"/>
        </w:rPr>
        <w:footnoteRef/>
      </w:r>
      <w:r>
        <w:t xml:space="preserve"> </w:t>
      </w:r>
      <w:r w:rsidRPr="001B1756">
        <w:rPr>
          <w:sz w:val="16"/>
          <w:szCs w:val="16"/>
        </w:rPr>
        <w:t xml:space="preserve">Isabel Rauscher, Matthias </w:t>
      </w:r>
      <w:proofErr w:type="spellStart"/>
      <w:r w:rsidRPr="001B1756">
        <w:rPr>
          <w:sz w:val="16"/>
          <w:szCs w:val="16"/>
        </w:rPr>
        <w:t>Eiber</w:t>
      </w:r>
      <w:proofErr w:type="spellEnd"/>
      <w:r w:rsidRPr="001B1756">
        <w:rPr>
          <w:sz w:val="16"/>
          <w:szCs w:val="16"/>
        </w:rPr>
        <w:t xml:space="preserve">, Wolfgang A Weber, </w:t>
      </w:r>
      <w:proofErr w:type="spellStart"/>
      <w:r w:rsidRPr="001B1756">
        <w:rPr>
          <w:sz w:val="16"/>
          <w:szCs w:val="16"/>
        </w:rPr>
        <w:t>J€urgen</w:t>
      </w:r>
      <w:proofErr w:type="spellEnd"/>
      <w:r w:rsidRPr="001B1756">
        <w:rPr>
          <w:sz w:val="16"/>
          <w:szCs w:val="16"/>
        </w:rPr>
        <w:t xml:space="preserve"> E Gschwend, Thomas Horn and Tobias Maurer. </w:t>
      </w:r>
      <w:hyperlink r:id="rId56" w:history="1">
        <w:r w:rsidRPr="00772C7C">
          <w:rPr>
            <w:rStyle w:val="Hyperlink"/>
            <w:color w:val="auto"/>
            <w:sz w:val="16"/>
            <w:szCs w:val="16"/>
            <w:u w:val="none"/>
          </w:rPr>
          <w:t>Positron-emission tomography imaging in urological oncology: Current aspects and developments</w:t>
        </w:r>
      </w:hyperlink>
      <w:r w:rsidRPr="001B1756">
        <w:rPr>
          <w:sz w:val="16"/>
          <w:szCs w:val="16"/>
        </w:rPr>
        <w:t xml:space="preserve">. International Journal of Urology. 2018. 25. Online at: </w:t>
      </w:r>
      <w:hyperlink r:id="rId57" w:history="1">
        <w:r w:rsidRPr="00534204">
          <w:rPr>
            <w:rStyle w:val="Hyperlink"/>
            <w:sz w:val="16"/>
            <w:szCs w:val="16"/>
          </w:rPr>
          <w:t>https://onlinelibrary.wiley.com/doi/10.1111/iju.13779</w:t>
        </w:r>
      </w:hyperlink>
      <w:r>
        <w:rPr>
          <w:sz w:val="16"/>
          <w:szCs w:val="16"/>
        </w:rPr>
        <w:t xml:space="preserve"> </w:t>
      </w:r>
    </w:p>
  </w:footnote>
  <w:footnote w:id="53">
    <w:p w14:paraId="50D5EF0E" w14:textId="77777777" w:rsidR="00553DCD" w:rsidRDefault="00553DCD" w:rsidP="00F74984">
      <w:pPr>
        <w:pStyle w:val="FootnoteText"/>
      </w:pPr>
      <w:r>
        <w:rPr>
          <w:rStyle w:val="FootnoteReference"/>
        </w:rPr>
        <w:footnoteRef/>
      </w:r>
      <w:r>
        <w:t xml:space="preserve"> </w:t>
      </w:r>
      <w:r w:rsidRPr="004262EA">
        <w:rPr>
          <w:i/>
          <w:iCs/>
          <w:sz w:val="16"/>
          <w:szCs w:val="16"/>
        </w:rPr>
        <w:t>Ibid.</w:t>
      </w:r>
    </w:p>
  </w:footnote>
  <w:footnote w:id="54">
    <w:p w14:paraId="3A40CDA5" w14:textId="77777777" w:rsidR="00553DCD" w:rsidRDefault="00553DCD" w:rsidP="00F74984">
      <w:pPr>
        <w:pStyle w:val="FootnoteText"/>
      </w:pPr>
      <w:r>
        <w:rPr>
          <w:rStyle w:val="FootnoteReference"/>
        </w:rPr>
        <w:footnoteRef/>
      </w:r>
      <w:r>
        <w:t xml:space="preserve"> </w:t>
      </w:r>
      <w:r w:rsidRPr="004262EA">
        <w:rPr>
          <w:i/>
          <w:iCs/>
          <w:sz w:val="16"/>
          <w:szCs w:val="16"/>
        </w:rPr>
        <w:t>Ibid.</w:t>
      </w:r>
    </w:p>
  </w:footnote>
  <w:footnote w:id="55">
    <w:p w14:paraId="631DF972" w14:textId="77777777" w:rsidR="00553DCD" w:rsidRPr="00400AA4" w:rsidRDefault="00553DCD" w:rsidP="00F74984">
      <w:pPr>
        <w:pStyle w:val="FootnoteText"/>
        <w:rPr>
          <w:sz w:val="16"/>
          <w:szCs w:val="16"/>
        </w:rPr>
      </w:pPr>
      <w:r>
        <w:rPr>
          <w:rStyle w:val="FootnoteReference"/>
        </w:rPr>
        <w:footnoteRef/>
      </w:r>
      <w:r w:rsidRPr="00400AA4">
        <w:t xml:space="preserve"> </w:t>
      </w:r>
      <w:r w:rsidRPr="00400AA4">
        <w:rPr>
          <w:sz w:val="16"/>
          <w:szCs w:val="16"/>
        </w:rPr>
        <w:t xml:space="preserve">Available online at: </w:t>
      </w:r>
      <w:hyperlink r:id="rId58" w:history="1">
        <w:r w:rsidRPr="00400AA4">
          <w:rPr>
            <w:rStyle w:val="Hyperlink"/>
            <w:sz w:val="16"/>
            <w:szCs w:val="16"/>
          </w:rPr>
          <w:t>https://www.mass.gov/lists/cancer-incidence-city-town-supplement</w:t>
        </w:r>
      </w:hyperlink>
      <w:r w:rsidRPr="00400AA4">
        <w:rPr>
          <w:sz w:val="16"/>
          <w:szCs w:val="16"/>
        </w:rPr>
        <w:t xml:space="preserve"> </w:t>
      </w:r>
    </w:p>
  </w:footnote>
  <w:footnote w:id="56">
    <w:p w14:paraId="0FF787B3" w14:textId="77777777" w:rsidR="00553DCD" w:rsidRDefault="00553DCD" w:rsidP="00F74984">
      <w:pPr>
        <w:pStyle w:val="FootnoteText"/>
      </w:pPr>
      <w:r>
        <w:rPr>
          <w:rStyle w:val="FootnoteReference"/>
        </w:rPr>
        <w:footnoteRef/>
      </w:r>
      <w:r>
        <w:t xml:space="preserve"> </w:t>
      </w:r>
      <w:r w:rsidRPr="00111BFA">
        <w:rPr>
          <w:sz w:val="16"/>
          <w:szCs w:val="16"/>
        </w:rPr>
        <w:t xml:space="preserve">Available online at: </w:t>
      </w:r>
      <w:hyperlink r:id="rId59" w:history="1">
        <w:r w:rsidRPr="00111BFA">
          <w:rPr>
            <w:rStyle w:val="Hyperlink"/>
            <w:sz w:val="16"/>
            <w:szCs w:val="16"/>
          </w:rPr>
          <w:t>https://www.mass.gov/doc/cancer-incidence-in-massachusetts-citytown-supplement-2011-2015</w:t>
        </w:r>
      </w:hyperlink>
      <w:r w:rsidRPr="00111BFA">
        <w:rPr>
          <w:sz w:val="16"/>
          <w:szCs w:val="16"/>
        </w:rPr>
        <w:t xml:space="preserve"> </w:t>
      </w:r>
    </w:p>
  </w:footnote>
  <w:footnote w:id="57">
    <w:p w14:paraId="261D861E" w14:textId="77777777" w:rsidR="00553DCD" w:rsidRDefault="00553DCD" w:rsidP="00F74984">
      <w:pPr>
        <w:pStyle w:val="FootnoteText"/>
      </w:pPr>
      <w:r>
        <w:rPr>
          <w:rStyle w:val="FootnoteReference"/>
        </w:rPr>
        <w:footnoteRef/>
      </w:r>
      <w:r>
        <w:t xml:space="preserve"> </w:t>
      </w:r>
      <w:r w:rsidRPr="005649F7">
        <w:rPr>
          <w:sz w:val="16"/>
          <w:szCs w:val="16"/>
        </w:rPr>
        <w:t>For example, an SIR of 105 indicates that a city/town’s cancer incidence is 5% higher than expected based on statewide average annual age-specific incidence rates. An SIR of less than 100 indicates that a city/town’s incidence of a certain type of cancer is lower than expected based on statewide average age-specific incidence rates. For example, an SIR of 85 indicates that a city/town’s cancer incidence is 15% lower than expected based on statewide average annual age-specific incidence rates.</w:t>
      </w:r>
    </w:p>
  </w:footnote>
  <w:footnote w:id="58">
    <w:p w14:paraId="55AEE731" w14:textId="1E0DA862" w:rsidR="00553DCD" w:rsidRDefault="00553DCD" w:rsidP="00F74984">
      <w:pPr>
        <w:pStyle w:val="FootnoteText"/>
      </w:pPr>
      <w:r>
        <w:rPr>
          <w:rStyle w:val="FootnoteReference"/>
        </w:rPr>
        <w:footnoteRef/>
      </w:r>
      <w:r>
        <w:t xml:space="preserve"> </w:t>
      </w:r>
      <w:r w:rsidRPr="00937E80">
        <w:rPr>
          <w:sz w:val="16"/>
          <w:szCs w:val="16"/>
        </w:rPr>
        <w:t xml:space="preserve">Hajar R. </w:t>
      </w:r>
      <w:hyperlink r:id="rId60" w:history="1">
        <w:r w:rsidRPr="009607CE">
          <w:rPr>
            <w:rStyle w:val="Hyperlink"/>
            <w:color w:val="auto"/>
            <w:sz w:val="16"/>
            <w:szCs w:val="16"/>
            <w:u w:val="none"/>
          </w:rPr>
          <w:t>Risk Factors for Coronary Artery Disease: Historical Perspectives.</w:t>
        </w:r>
      </w:hyperlink>
      <w:r w:rsidRPr="009607CE">
        <w:rPr>
          <w:sz w:val="16"/>
          <w:szCs w:val="16"/>
        </w:rPr>
        <w:t xml:space="preserve"> </w:t>
      </w:r>
      <w:r w:rsidRPr="00937E80">
        <w:rPr>
          <w:sz w:val="16"/>
          <w:szCs w:val="16"/>
        </w:rPr>
        <w:t xml:space="preserve">Heart Views. 2017;18(3):109-114. </w:t>
      </w:r>
      <w:proofErr w:type="gramStart"/>
      <w:r w:rsidRPr="00937E80">
        <w:rPr>
          <w:sz w:val="16"/>
          <w:szCs w:val="16"/>
        </w:rPr>
        <w:t>doi:10.4103/HEARTVIEWS.HEARTVIEWS</w:t>
      </w:r>
      <w:proofErr w:type="gramEnd"/>
      <w:r w:rsidRPr="00937E80">
        <w:rPr>
          <w:sz w:val="16"/>
          <w:szCs w:val="16"/>
        </w:rPr>
        <w:t>_106_17</w:t>
      </w:r>
      <w:r>
        <w:rPr>
          <w:sz w:val="16"/>
          <w:szCs w:val="16"/>
        </w:rPr>
        <w:t xml:space="preserve">. Online at: </w:t>
      </w:r>
      <w:hyperlink r:id="rId61" w:history="1">
        <w:r w:rsidRPr="002C3E34">
          <w:rPr>
            <w:rStyle w:val="Hyperlink"/>
            <w:sz w:val="16"/>
            <w:szCs w:val="16"/>
          </w:rPr>
          <w:t>https://pubmed.ncbi.nlm.nih.gov/29184622/</w:t>
        </w:r>
      </w:hyperlink>
      <w:r>
        <w:rPr>
          <w:sz w:val="16"/>
          <w:szCs w:val="16"/>
        </w:rPr>
        <w:t xml:space="preserve"> </w:t>
      </w:r>
    </w:p>
  </w:footnote>
  <w:footnote w:id="59">
    <w:p w14:paraId="31E828C8" w14:textId="77777777" w:rsidR="00553DCD" w:rsidRDefault="00553DCD" w:rsidP="00F74984">
      <w:pPr>
        <w:pStyle w:val="FootnoteText"/>
      </w:pPr>
      <w:r>
        <w:rPr>
          <w:rStyle w:val="FootnoteReference"/>
        </w:rPr>
        <w:footnoteRef/>
      </w:r>
      <w:r>
        <w:t xml:space="preserve"> </w:t>
      </w:r>
      <w:r w:rsidRPr="00882BC8">
        <w:rPr>
          <w:sz w:val="16"/>
          <w:szCs w:val="16"/>
        </w:rPr>
        <w:t xml:space="preserve">Online at: </w:t>
      </w:r>
      <w:hyperlink r:id="rId62" w:history="1">
        <w:r w:rsidRPr="00882BC8">
          <w:rPr>
            <w:rStyle w:val="Hyperlink"/>
            <w:sz w:val="16"/>
            <w:szCs w:val="16"/>
          </w:rPr>
          <w:t>https://www.mass.gov/doc/a-profile-of-health-among-massachusetts-adults-2018/download</w:t>
        </w:r>
      </w:hyperlink>
      <w:r w:rsidRPr="00882BC8">
        <w:rPr>
          <w:sz w:val="16"/>
          <w:szCs w:val="16"/>
        </w:rPr>
        <w:t xml:space="preserve"> </w:t>
      </w:r>
    </w:p>
  </w:footnote>
  <w:footnote w:id="60">
    <w:p w14:paraId="32713C4D" w14:textId="77777777" w:rsidR="00553DCD" w:rsidRDefault="00553DCD" w:rsidP="00F74984">
      <w:pPr>
        <w:pStyle w:val="FootnoteText"/>
      </w:pPr>
      <w:r>
        <w:rPr>
          <w:rStyle w:val="FootnoteReference"/>
        </w:rPr>
        <w:footnoteRef/>
      </w:r>
      <w:r>
        <w:t xml:space="preserve"> </w:t>
      </w:r>
      <w:r w:rsidRPr="00046D17">
        <w:rPr>
          <w:sz w:val="16"/>
          <w:szCs w:val="16"/>
        </w:rPr>
        <w:t xml:space="preserve">Online at: </w:t>
      </w:r>
      <w:hyperlink r:id="rId63" w:history="1">
        <w:r w:rsidRPr="00046D17">
          <w:rPr>
            <w:rStyle w:val="Hyperlink"/>
            <w:sz w:val="16"/>
            <w:szCs w:val="16"/>
          </w:rPr>
          <w:t>https://www.cdc.gov/nchs/pressroom/states/massachusetts/massachusetts.htm</w:t>
        </w:r>
      </w:hyperlink>
      <w:r w:rsidRPr="00046D17">
        <w:rPr>
          <w:sz w:val="16"/>
          <w:szCs w:val="16"/>
        </w:rPr>
        <w:t xml:space="preserve"> </w:t>
      </w:r>
    </w:p>
  </w:footnote>
  <w:footnote w:id="61">
    <w:p w14:paraId="3D231FED" w14:textId="77777777" w:rsidR="00553DCD" w:rsidRDefault="00553DCD" w:rsidP="00F74984">
      <w:pPr>
        <w:pStyle w:val="FootnoteText"/>
      </w:pPr>
      <w:r>
        <w:rPr>
          <w:rStyle w:val="FootnoteReference"/>
        </w:rPr>
        <w:footnoteRef/>
      </w:r>
      <w:r>
        <w:t xml:space="preserve"> </w:t>
      </w:r>
      <w:r w:rsidRPr="006D7ABE">
        <w:rPr>
          <w:sz w:val="16"/>
          <w:szCs w:val="16"/>
        </w:rPr>
        <w:t xml:space="preserve">Stroke is also included in this statistic. </w:t>
      </w:r>
    </w:p>
  </w:footnote>
  <w:footnote w:id="62">
    <w:p w14:paraId="078CABA8" w14:textId="77777777" w:rsidR="00553DCD" w:rsidRPr="0051271B" w:rsidRDefault="00553DCD" w:rsidP="00F74984">
      <w:pPr>
        <w:pStyle w:val="FootnoteText"/>
        <w:rPr>
          <w:sz w:val="16"/>
          <w:szCs w:val="16"/>
        </w:rPr>
      </w:pPr>
      <w:r>
        <w:rPr>
          <w:rStyle w:val="FootnoteReference"/>
        </w:rPr>
        <w:footnoteRef/>
      </w:r>
      <w:r>
        <w:t xml:space="preserve"> </w:t>
      </w:r>
      <w:r w:rsidRPr="0051271B">
        <w:rPr>
          <w:sz w:val="16"/>
          <w:szCs w:val="16"/>
        </w:rPr>
        <w:t>Heart disease #1 cause of death rank likely to be impacted by COVID-19 for years to come</w:t>
      </w:r>
    </w:p>
    <w:p w14:paraId="3AA1F65E" w14:textId="00586E2B" w:rsidR="00553DCD" w:rsidRDefault="00BB7A4A" w:rsidP="00F74984">
      <w:pPr>
        <w:pStyle w:val="FootnoteText"/>
      </w:pPr>
      <w:hyperlink r:id="rId64" w:history="1">
        <w:r w:rsidR="00553DCD" w:rsidRPr="00BB7A4A">
          <w:rPr>
            <w:rStyle w:val="Hyperlink"/>
            <w:color w:val="auto"/>
            <w:sz w:val="16"/>
            <w:szCs w:val="16"/>
            <w:u w:val="none"/>
          </w:rPr>
          <w:t>American Heart Association Report – Annual Statistical Update</w:t>
        </w:r>
      </w:hyperlink>
      <w:r w:rsidR="00553DCD" w:rsidRPr="0051271B">
        <w:rPr>
          <w:sz w:val="16"/>
          <w:szCs w:val="16"/>
        </w:rPr>
        <w:t xml:space="preserve">. Available online at: </w:t>
      </w:r>
      <w:hyperlink r:id="rId65" w:history="1">
        <w:r w:rsidR="00553DCD" w:rsidRPr="0051271B">
          <w:rPr>
            <w:rStyle w:val="Hyperlink"/>
            <w:sz w:val="16"/>
            <w:szCs w:val="16"/>
          </w:rPr>
          <w:t>https://newsroom.heart.org/news/heart-disease</w:t>
        </w:r>
      </w:hyperlink>
      <w:r w:rsidR="00553DCD">
        <w:t xml:space="preserve"> </w:t>
      </w:r>
    </w:p>
  </w:footnote>
  <w:footnote w:id="63">
    <w:p w14:paraId="72753FAC" w14:textId="77777777" w:rsidR="00553DCD" w:rsidRDefault="00553DCD" w:rsidP="00F74984">
      <w:pPr>
        <w:pStyle w:val="FootnoteText"/>
      </w:pPr>
      <w:r>
        <w:rPr>
          <w:rStyle w:val="FootnoteReference"/>
        </w:rPr>
        <w:footnoteRef/>
      </w:r>
      <w:r>
        <w:t xml:space="preserve"> </w:t>
      </w:r>
      <w:r w:rsidRPr="005C0479">
        <w:rPr>
          <w:i/>
          <w:iCs/>
          <w:sz w:val="16"/>
          <w:szCs w:val="16"/>
        </w:rPr>
        <w:t>Ibid.</w:t>
      </w:r>
      <w:r>
        <w:t xml:space="preserve"> </w:t>
      </w:r>
    </w:p>
  </w:footnote>
  <w:footnote w:id="64">
    <w:p w14:paraId="1718AD49" w14:textId="5FE84F49" w:rsidR="00553DCD" w:rsidRDefault="00553DCD" w:rsidP="00F74984">
      <w:pPr>
        <w:pStyle w:val="FootnoteText"/>
      </w:pPr>
      <w:r>
        <w:rPr>
          <w:rStyle w:val="FootnoteReference"/>
        </w:rPr>
        <w:footnoteRef/>
      </w:r>
      <w:r>
        <w:t xml:space="preserve"> </w:t>
      </w:r>
      <w:r w:rsidRPr="008D3515">
        <w:rPr>
          <w:sz w:val="16"/>
          <w:szCs w:val="16"/>
        </w:rPr>
        <w:t xml:space="preserve">Acharya JN, Acharya VJ. </w:t>
      </w:r>
      <w:hyperlink r:id="rId66" w:history="1">
        <w:r w:rsidRPr="002B78BC">
          <w:rPr>
            <w:rStyle w:val="Hyperlink"/>
            <w:color w:val="auto"/>
            <w:sz w:val="16"/>
            <w:szCs w:val="16"/>
            <w:u w:val="none"/>
          </w:rPr>
          <w:t>Epilepsy in the elderly: Special considerations and challenges.</w:t>
        </w:r>
      </w:hyperlink>
      <w:r w:rsidRPr="008D3515">
        <w:rPr>
          <w:sz w:val="16"/>
          <w:szCs w:val="16"/>
        </w:rPr>
        <w:t xml:space="preserve"> Ann Indian </w:t>
      </w:r>
      <w:proofErr w:type="spellStart"/>
      <w:r w:rsidRPr="008D3515">
        <w:rPr>
          <w:sz w:val="16"/>
          <w:szCs w:val="16"/>
        </w:rPr>
        <w:t>Acad</w:t>
      </w:r>
      <w:proofErr w:type="spellEnd"/>
      <w:r w:rsidRPr="008D3515">
        <w:rPr>
          <w:sz w:val="16"/>
          <w:szCs w:val="16"/>
        </w:rPr>
        <w:t xml:space="preserve"> Neurol. 2014;17(Suppl 1</w:t>
      </w:r>
      <w:proofErr w:type="gramStart"/>
      <w:r w:rsidRPr="008D3515">
        <w:rPr>
          <w:sz w:val="16"/>
          <w:szCs w:val="16"/>
        </w:rPr>
        <w:t>):S</w:t>
      </w:r>
      <w:proofErr w:type="gramEnd"/>
      <w:r w:rsidRPr="008D3515">
        <w:rPr>
          <w:sz w:val="16"/>
          <w:szCs w:val="16"/>
        </w:rPr>
        <w:t>18-S26. doi:10.4103/0972-2327.128645</w:t>
      </w:r>
      <w:r>
        <w:rPr>
          <w:sz w:val="16"/>
          <w:szCs w:val="16"/>
        </w:rPr>
        <w:t xml:space="preserve">. Online at: </w:t>
      </w:r>
      <w:hyperlink r:id="rId67" w:history="1">
        <w:r w:rsidRPr="002C3E34">
          <w:rPr>
            <w:rStyle w:val="Hyperlink"/>
            <w:sz w:val="16"/>
            <w:szCs w:val="16"/>
          </w:rPr>
          <w:t>https://pubmed.ncbi.nlm.nih.gov/24791083/</w:t>
        </w:r>
      </w:hyperlink>
      <w:r>
        <w:rPr>
          <w:sz w:val="16"/>
          <w:szCs w:val="16"/>
        </w:rPr>
        <w:t xml:space="preserve"> </w:t>
      </w:r>
    </w:p>
  </w:footnote>
  <w:footnote w:id="65">
    <w:p w14:paraId="28BC907A" w14:textId="081BB54E" w:rsidR="00553DCD" w:rsidRPr="00282053" w:rsidRDefault="00553DCD" w:rsidP="00F74984">
      <w:pPr>
        <w:pStyle w:val="FootnoteText"/>
        <w:rPr>
          <w:sz w:val="16"/>
          <w:szCs w:val="16"/>
        </w:rPr>
      </w:pPr>
      <w:r>
        <w:rPr>
          <w:rStyle w:val="FootnoteReference"/>
        </w:rPr>
        <w:footnoteRef/>
      </w:r>
      <w:r>
        <w:t xml:space="preserve"> </w:t>
      </w:r>
      <w:r w:rsidRPr="00282053">
        <w:rPr>
          <w:sz w:val="16"/>
          <w:szCs w:val="16"/>
        </w:rPr>
        <w:t>Age is the greatest of these the risk factors. As noted in the Prevalence section, the percentage of people with Alzheimer's dementia increases dramatically with age: 3% of people age 65-74, 17% of people age 75-84 and 32% of people age 85 or older have Alzheimer's dementia</w:t>
      </w:r>
      <w:r>
        <w:rPr>
          <w:sz w:val="16"/>
          <w:szCs w:val="16"/>
        </w:rPr>
        <w:t xml:space="preserve">. Source: </w:t>
      </w:r>
      <w:hyperlink r:id="rId68" w:history="1">
        <w:r w:rsidRPr="004B10E4">
          <w:rPr>
            <w:rStyle w:val="Hyperlink"/>
            <w:color w:val="auto"/>
            <w:sz w:val="16"/>
            <w:szCs w:val="16"/>
            <w:u w:val="none"/>
          </w:rPr>
          <w:t>2020 Alzheimer's disease facts and figures.</w:t>
        </w:r>
      </w:hyperlink>
      <w:r w:rsidRPr="004B10E4">
        <w:rPr>
          <w:sz w:val="16"/>
          <w:szCs w:val="16"/>
        </w:rPr>
        <w:t xml:space="preserve"> </w:t>
      </w:r>
      <w:r>
        <w:rPr>
          <w:sz w:val="16"/>
          <w:szCs w:val="16"/>
        </w:rPr>
        <w:t xml:space="preserve">March 10, 2020. Online at: </w:t>
      </w:r>
      <w:hyperlink r:id="rId69" w:history="1">
        <w:r w:rsidRPr="002C3E34">
          <w:rPr>
            <w:rStyle w:val="Hyperlink"/>
            <w:sz w:val="16"/>
            <w:szCs w:val="16"/>
          </w:rPr>
          <w:t>https://alz-journals.onlinelibrary.wiley.com/doi/10.1002/alz.12068</w:t>
        </w:r>
      </w:hyperlink>
      <w:r>
        <w:rPr>
          <w:sz w:val="16"/>
          <w:szCs w:val="16"/>
        </w:rPr>
        <w:t xml:space="preserve"> </w:t>
      </w:r>
    </w:p>
  </w:footnote>
  <w:footnote w:id="66">
    <w:p w14:paraId="64FF72AF" w14:textId="77777777" w:rsidR="00553DCD" w:rsidRDefault="00553DCD" w:rsidP="00F74984">
      <w:pPr>
        <w:pStyle w:val="FootnoteText"/>
      </w:pPr>
      <w:r>
        <w:rPr>
          <w:rStyle w:val="FootnoteReference"/>
        </w:rPr>
        <w:footnoteRef/>
      </w:r>
      <w:r>
        <w:t xml:space="preserve"> </w:t>
      </w:r>
      <w:r w:rsidRPr="000D3F33">
        <w:rPr>
          <w:i/>
          <w:iCs/>
          <w:sz w:val="16"/>
          <w:szCs w:val="16"/>
        </w:rPr>
        <w:t>Ibid.</w:t>
      </w:r>
      <w:r w:rsidRPr="000D3F33">
        <w:rPr>
          <w:sz w:val="16"/>
          <w:szCs w:val="16"/>
        </w:rPr>
        <w:t xml:space="preserve"> </w:t>
      </w:r>
    </w:p>
  </w:footnote>
  <w:footnote w:id="67">
    <w:p w14:paraId="36DF7FA9" w14:textId="77777777" w:rsidR="00553DCD" w:rsidRDefault="00553DCD" w:rsidP="00F74984">
      <w:pPr>
        <w:pStyle w:val="FootnoteText"/>
      </w:pPr>
      <w:r>
        <w:rPr>
          <w:rStyle w:val="FootnoteReference"/>
        </w:rPr>
        <w:footnoteRef/>
      </w:r>
      <w:r>
        <w:t xml:space="preserve"> </w:t>
      </w:r>
      <w:r w:rsidRPr="007307F2">
        <w:rPr>
          <w:i/>
          <w:iCs/>
          <w:sz w:val="16"/>
          <w:szCs w:val="16"/>
        </w:rPr>
        <w:t>Ibid.</w:t>
      </w:r>
      <w:r w:rsidRPr="007307F2">
        <w:rPr>
          <w:sz w:val="16"/>
          <w:szCs w:val="16"/>
        </w:rPr>
        <w:t xml:space="preserve"> </w:t>
      </w:r>
    </w:p>
  </w:footnote>
  <w:footnote w:id="68">
    <w:p w14:paraId="3731594D" w14:textId="77777777" w:rsidR="00553DCD" w:rsidRDefault="00553DCD" w:rsidP="00F74984">
      <w:pPr>
        <w:pStyle w:val="FootnoteText"/>
      </w:pPr>
      <w:r>
        <w:rPr>
          <w:rStyle w:val="FootnoteReference"/>
        </w:rPr>
        <w:footnoteRef/>
      </w:r>
      <w:r>
        <w:t xml:space="preserve"> </w:t>
      </w:r>
      <w:r w:rsidRPr="00EB580F">
        <w:rPr>
          <w:sz w:val="16"/>
          <w:szCs w:val="16"/>
        </w:rPr>
        <w:t xml:space="preserve">Online at: </w:t>
      </w:r>
      <w:hyperlink r:id="rId70" w:history="1">
        <w:r w:rsidRPr="002C3E34">
          <w:rPr>
            <w:rStyle w:val="Hyperlink"/>
            <w:sz w:val="16"/>
            <w:szCs w:val="16"/>
          </w:rPr>
          <w:t>https://www.census.gov/library/stories/2019/12/by-2030-all-baby-boomers-will-be-age-65-or-older.html</w:t>
        </w:r>
      </w:hyperlink>
      <w:r>
        <w:rPr>
          <w:sz w:val="16"/>
          <w:szCs w:val="16"/>
        </w:rPr>
        <w:t xml:space="preserve"> </w:t>
      </w:r>
    </w:p>
  </w:footnote>
  <w:footnote w:id="69">
    <w:p w14:paraId="7B3BAFD1" w14:textId="3C107660" w:rsidR="00553DCD" w:rsidRDefault="00553DCD" w:rsidP="00F74984">
      <w:pPr>
        <w:pStyle w:val="FootnoteText"/>
      </w:pPr>
      <w:r>
        <w:rPr>
          <w:rStyle w:val="FootnoteReference"/>
        </w:rPr>
        <w:footnoteRef/>
      </w:r>
      <w:r>
        <w:t xml:space="preserve"> </w:t>
      </w:r>
      <w:hyperlink r:id="rId71" w:anchor=":~:text=The%20impact%20of%20Alzheimer's%20is,of%20the%20disease%20in%20Massachusetts" w:history="1">
        <w:r w:rsidRPr="004B10E4">
          <w:rPr>
            <w:rStyle w:val="Hyperlink"/>
            <w:color w:val="auto"/>
            <w:sz w:val="16"/>
            <w:szCs w:val="16"/>
            <w:u w:val="none"/>
          </w:rPr>
          <w:t>Alzheimer’s Association. Massachusetts State Overview</w:t>
        </w:r>
      </w:hyperlink>
      <w:r w:rsidRPr="003526D5">
        <w:rPr>
          <w:sz w:val="16"/>
          <w:szCs w:val="16"/>
        </w:rPr>
        <w:t xml:space="preserve">. Available online at:  </w:t>
      </w:r>
      <w:hyperlink r:id="rId72" w:anchor=":~:text=The%20impact%20of%20Alzheimer's%20is,of%20the%20disease%20in%20Massachusetts" w:history="1">
        <w:r w:rsidRPr="003526D5">
          <w:rPr>
            <w:rStyle w:val="Hyperlink"/>
            <w:sz w:val="16"/>
            <w:szCs w:val="16"/>
          </w:rPr>
          <w:t>https://www.alz.org/professionals/public-health/state-overview/massachusetts#:~:text=The%20impact%20of%20Alzheimer's%20is,of%20the%20disease%20in%20Massachusetts</w:t>
        </w:r>
      </w:hyperlink>
      <w:r w:rsidRPr="003526D5">
        <w:rPr>
          <w:sz w:val="16"/>
          <w:szCs w:val="16"/>
        </w:rPr>
        <w:t xml:space="preserve">. </w:t>
      </w:r>
    </w:p>
  </w:footnote>
  <w:footnote w:id="70">
    <w:p w14:paraId="3BD4E4C1" w14:textId="77777777" w:rsidR="00553DCD" w:rsidRDefault="00553DCD" w:rsidP="00F74984">
      <w:pPr>
        <w:pStyle w:val="FootnoteText"/>
      </w:pPr>
      <w:r>
        <w:rPr>
          <w:rStyle w:val="FootnoteReference"/>
        </w:rPr>
        <w:footnoteRef/>
      </w:r>
      <w:r>
        <w:t xml:space="preserve"> </w:t>
      </w:r>
      <w:bookmarkStart w:id="20" w:name="_Hlk100228894"/>
      <w:r w:rsidRPr="003526D5">
        <w:rPr>
          <w:i/>
          <w:iCs/>
          <w:sz w:val="16"/>
          <w:szCs w:val="16"/>
        </w:rPr>
        <w:t>Ibid.</w:t>
      </w:r>
      <w:r>
        <w:t xml:space="preserve"> </w:t>
      </w:r>
      <w:bookmarkEnd w:id="20"/>
    </w:p>
  </w:footnote>
  <w:footnote w:id="71">
    <w:p w14:paraId="71589574" w14:textId="24C155C9" w:rsidR="00553DCD" w:rsidRPr="00A61E7E" w:rsidRDefault="00553DCD" w:rsidP="00F74984">
      <w:pPr>
        <w:pStyle w:val="FootnoteText"/>
        <w:rPr>
          <w:sz w:val="16"/>
          <w:szCs w:val="16"/>
        </w:rPr>
      </w:pPr>
      <w:r>
        <w:rPr>
          <w:rStyle w:val="FootnoteReference"/>
        </w:rPr>
        <w:footnoteRef/>
      </w:r>
      <w:r>
        <w:t xml:space="preserve"> </w:t>
      </w:r>
      <w:hyperlink r:id="rId73" w:history="1">
        <w:r w:rsidRPr="00027F42">
          <w:rPr>
            <w:rStyle w:val="Hyperlink"/>
            <w:color w:val="auto"/>
            <w:sz w:val="16"/>
            <w:szCs w:val="16"/>
            <w:u w:val="none"/>
          </w:rPr>
          <w:t>Why early diagnosis of dementia is important.</w:t>
        </w:r>
      </w:hyperlink>
      <w:r w:rsidRPr="00027F42">
        <w:rPr>
          <w:sz w:val="16"/>
          <w:szCs w:val="16"/>
        </w:rPr>
        <w:t xml:space="preserve"> </w:t>
      </w:r>
      <w:r>
        <w:rPr>
          <w:sz w:val="16"/>
          <w:szCs w:val="16"/>
        </w:rPr>
        <w:t xml:space="preserve">Available online at: </w:t>
      </w:r>
      <w:hyperlink r:id="rId74" w:history="1">
        <w:r w:rsidRPr="00D51531">
          <w:rPr>
            <w:rStyle w:val="Hyperlink"/>
            <w:sz w:val="16"/>
            <w:szCs w:val="16"/>
          </w:rPr>
          <w:t>https://www.scie.org.uk/dementia/symptoms/diagnosis/early-diagnosis.asp</w:t>
        </w:r>
      </w:hyperlink>
      <w:r>
        <w:rPr>
          <w:sz w:val="16"/>
          <w:szCs w:val="16"/>
        </w:rPr>
        <w:t xml:space="preserve"> </w:t>
      </w:r>
    </w:p>
  </w:footnote>
  <w:footnote w:id="72">
    <w:p w14:paraId="6E6A7F12" w14:textId="77777777" w:rsidR="00553DCD" w:rsidRDefault="00553DCD" w:rsidP="00F74984">
      <w:pPr>
        <w:pStyle w:val="FootnoteText"/>
      </w:pPr>
      <w:r>
        <w:rPr>
          <w:rStyle w:val="FootnoteReference"/>
        </w:rPr>
        <w:footnoteRef/>
      </w:r>
      <w:r>
        <w:t xml:space="preserve"> </w:t>
      </w:r>
      <w:r w:rsidRPr="003526D5">
        <w:rPr>
          <w:i/>
          <w:iCs/>
          <w:sz w:val="16"/>
          <w:szCs w:val="16"/>
        </w:rPr>
        <w:t>Ibid.</w:t>
      </w:r>
    </w:p>
  </w:footnote>
  <w:footnote w:id="73">
    <w:p w14:paraId="084AC739" w14:textId="77777777" w:rsidR="00553DCD" w:rsidRDefault="00553DCD" w:rsidP="00F24049">
      <w:pPr>
        <w:pStyle w:val="FootnoteText"/>
      </w:pPr>
      <w:r>
        <w:rPr>
          <w:rStyle w:val="FootnoteReference"/>
        </w:rPr>
        <w:footnoteRef/>
      </w:r>
      <w:r>
        <w:t xml:space="preserve"> </w:t>
      </w:r>
      <w:r w:rsidRPr="00C2695C">
        <w:rPr>
          <w:sz w:val="16"/>
          <w:szCs w:val="16"/>
        </w:rPr>
        <w:t>MWH currently offers PET-CT services to its patients through a joint venture with their Montvale partner – that joint venture will cease operations in 2023.</w:t>
      </w:r>
    </w:p>
  </w:footnote>
  <w:footnote w:id="74">
    <w:p w14:paraId="37C97964" w14:textId="77777777" w:rsidR="00553DCD" w:rsidRDefault="00553DCD" w:rsidP="00F24049">
      <w:pPr>
        <w:pStyle w:val="FootnoteText"/>
      </w:pPr>
      <w:r>
        <w:rPr>
          <w:rStyle w:val="FootnoteReference"/>
        </w:rPr>
        <w:footnoteRef/>
      </w:r>
      <w:r>
        <w:t xml:space="preserve"> </w:t>
      </w:r>
      <w:r w:rsidRPr="00FF4199">
        <w:rPr>
          <w:sz w:val="16"/>
          <w:szCs w:val="16"/>
        </w:rPr>
        <w:t>Located at 888 Main Street in Wakefield.</w:t>
      </w:r>
    </w:p>
  </w:footnote>
  <w:footnote w:id="75">
    <w:p w14:paraId="4742D500" w14:textId="41755DF6" w:rsidR="00553DCD" w:rsidRPr="00B164D8" w:rsidRDefault="00553DCD" w:rsidP="00F24049">
      <w:pPr>
        <w:pStyle w:val="FootnoteText"/>
        <w:rPr>
          <w:sz w:val="16"/>
          <w:szCs w:val="16"/>
        </w:rPr>
      </w:pPr>
      <w:r>
        <w:rPr>
          <w:rStyle w:val="FootnoteReference"/>
        </w:rPr>
        <w:footnoteRef/>
      </w:r>
      <w:r>
        <w:t xml:space="preserve"> </w:t>
      </w:r>
      <w:r w:rsidRPr="00B164D8">
        <w:t xml:space="preserve"> </w:t>
      </w:r>
      <w:r w:rsidRPr="00B164D8">
        <w:rPr>
          <w:sz w:val="16"/>
          <w:szCs w:val="16"/>
        </w:rPr>
        <w:t xml:space="preserve">World Health Organization, </w:t>
      </w:r>
      <w:hyperlink r:id="rId75" w:history="1">
        <w:r w:rsidRPr="003632B9">
          <w:rPr>
            <w:rStyle w:val="Hyperlink"/>
            <w:color w:val="auto"/>
            <w:sz w:val="16"/>
            <w:szCs w:val="16"/>
            <w:u w:val="none"/>
          </w:rPr>
          <w:t>Early cancer diagnosis saves lives, cuts treatment costs</w:t>
        </w:r>
      </w:hyperlink>
      <w:r w:rsidRPr="003632B9">
        <w:rPr>
          <w:sz w:val="16"/>
          <w:szCs w:val="16"/>
        </w:rPr>
        <w:t xml:space="preserve">, </w:t>
      </w:r>
      <w:r w:rsidRPr="00B164D8">
        <w:rPr>
          <w:sz w:val="16"/>
          <w:szCs w:val="16"/>
        </w:rPr>
        <w:t xml:space="preserve">February 3, 2017, </w:t>
      </w:r>
      <w:hyperlink r:id="rId76" w:history="1">
        <w:r w:rsidRPr="00B164D8">
          <w:rPr>
            <w:rStyle w:val="Hyperlink"/>
            <w:sz w:val="16"/>
            <w:szCs w:val="16"/>
          </w:rPr>
          <w:t>https://www.who.int/news-room/detail/03-02-2017-early-cancer-diagnosis-saves-lives-cuts-treatment-costs</w:t>
        </w:r>
      </w:hyperlink>
      <w:r w:rsidRPr="00B164D8">
        <w:rPr>
          <w:sz w:val="16"/>
          <w:szCs w:val="16"/>
        </w:rPr>
        <w:t xml:space="preserve"> </w:t>
      </w:r>
      <w:r>
        <w:rPr>
          <w:sz w:val="16"/>
          <w:szCs w:val="16"/>
        </w:rPr>
        <w:t xml:space="preserve">&amp; </w:t>
      </w:r>
      <w:r w:rsidRPr="00B164D8">
        <w:rPr>
          <w:sz w:val="16"/>
          <w:szCs w:val="16"/>
        </w:rPr>
        <w:t xml:space="preserve">Robert Wood Johnson Foundation, </w:t>
      </w:r>
      <w:hyperlink r:id="rId77" w:history="1">
        <w:r w:rsidRPr="003632B9">
          <w:rPr>
            <w:rStyle w:val="Hyperlink"/>
            <w:color w:val="auto"/>
            <w:sz w:val="16"/>
            <w:szCs w:val="16"/>
            <w:u w:val="none"/>
          </w:rPr>
          <w:t>How can Early Treatment of Serious Mental Illness Improve Lives and Save Money?</w:t>
        </w:r>
      </w:hyperlink>
      <w:r w:rsidRPr="003632B9">
        <w:rPr>
          <w:sz w:val="16"/>
          <w:szCs w:val="16"/>
        </w:rPr>
        <w:t xml:space="preserve"> </w:t>
      </w:r>
      <w:r w:rsidRPr="00B164D8">
        <w:rPr>
          <w:sz w:val="16"/>
          <w:szCs w:val="16"/>
        </w:rPr>
        <w:t xml:space="preserve">March 26, 2013, </w:t>
      </w:r>
      <w:hyperlink r:id="rId78" w:history="1">
        <w:r w:rsidRPr="00243D8A">
          <w:rPr>
            <w:rStyle w:val="Hyperlink"/>
            <w:sz w:val="16"/>
            <w:szCs w:val="16"/>
          </w:rPr>
          <w:t>https://www.rwjf.org/en/library/research/2013/03/how-can-early-treatment-of-serious-mental-illness-improve-lives-.html</w:t>
        </w:r>
      </w:hyperlink>
      <w:r>
        <w:rPr>
          <w:sz w:val="16"/>
          <w:szCs w:val="16"/>
        </w:rPr>
        <w:t xml:space="preserve"> </w:t>
      </w:r>
    </w:p>
  </w:footnote>
  <w:footnote w:id="76">
    <w:p w14:paraId="69F2494C" w14:textId="1CBFA784" w:rsidR="00553DCD" w:rsidRDefault="00553DCD" w:rsidP="00F24049">
      <w:pPr>
        <w:pStyle w:val="FootnoteText"/>
      </w:pPr>
      <w:r>
        <w:rPr>
          <w:rStyle w:val="FootnoteReference"/>
        </w:rPr>
        <w:footnoteRef/>
      </w:r>
      <w:r>
        <w:t xml:space="preserve"> </w:t>
      </w:r>
      <w:r w:rsidRPr="00B164D8">
        <w:rPr>
          <w:sz w:val="16"/>
          <w:szCs w:val="16"/>
        </w:rPr>
        <w:t xml:space="preserve">Jung HY, Vest JR, Unruh MA, Kern LM, Kaushal R; </w:t>
      </w:r>
      <w:hyperlink r:id="rId79" w:history="1">
        <w:r w:rsidRPr="003E04FF">
          <w:rPr>
            <w:rStyle w:val="Hyperlink"/>
            <w:color w:val="auto"/>
            <w:sz w:val="16"/>
            <w:szCs w:val="16"/>
            <w:u w:val="none"/>
          </w:rPr>
          <w:t>HITEC Investigators. Use of Health Information Exchange and Repeat Imaging Costs.</w:t>
        </w:r>
      </w:hyperlink>
      <w:r w:rsidRPr="003E04FF">
        <w:rPr>
          <w:sz w:val="16"/>
          <w:szCs w:val="16"/>
        </w:rPr>
        <w:t xml:space="preserve"> </w:t>
      </w:r>
      <w:r w:rsidRPr="00B164D8">
        <w:rPr>
          <w:sz w:val="16"/>
          <w:szCs w:val="16"/>
        </w:rPr>
        <w:t xml:space="preserve">J Am Coll </w:t>
      </w:r>
      <w:proofErr w:type="spellStart"/>
      <w:r w:rsidRPr="00B164D8">
        <w:rPr>
          <w:sz w:val="16"/>
          <w:szCs w:val="16"/>
        </w:rPr>
        <w:t>Radiol</w:t>
      </w:r>
      <w:proofErr w:type="spellEnd"/>
      <w:r w:rsidRPr="00B164D8">
        <w:rPr>
          <w:sz w:val="16"/>
          <w:szCs w:val="16"/>
        </w:rPr>
        <w:t>. 2015 Dec;12(12 Pt B):1364-70.</w:t>
      </w:r>
      <w:r>
        <w:rPr>
          <w:sz w:val="16"/>
          <w:szCs w:val="16"/>
        </w:rPr>
        <w:t xml:space="preserve"> Online at: </w:t>
      </w:r>
      <w:hyperlink r:id="rId80" w:history="1">
        <w:r w:rsidRPr="00243D8A">
          <w:rPr>
            <w:rStyle w:val="Hyperlink"/>
            <w:sz w:val="16"/>
            <w:szCs w:val="16"/>
          </w:rPr>
          <w:t>https://pubmed.ncbi.nlm.nih.gov/26614881/</w:t>
        </w:r>
      </w:hyperlink>
      <w:r>
        <w:rPr>
          <w:sz w:val="16"/>
          <w:szCs w:val="16"/>
        </w:rPr>
        <w:t xml:space="preserve"> </w:t>
      </w:r>
    </w:p>
  </w:footnote>
  <w:footnote w:id="77">
    <w:p w14:paraId="0EF2E2D2" w14:textId="55594E0F" w:rsidR="00553DCD" w:rsidRDefault="00553DCD" w:rsidP="00F24049">
      <w:pPr>
        <w:pStyle w:val="FootnoteText"/>
      </w:pPr>
      <w:r>
        <w:rPr>
          <w:rStyle w:val="FootnoteReference"/>
        </w:rPr>
        <w:footnoteRef/>
      </w:r>
      <w:r>
        <w:t xml:space="preserve"> </w:t>
      </w:r>
      <w:r w:rsidRPr="00B164D8">
        <w:rPr>
          <w:sz w:val="16"/>
          <w:szCs w:val="16"/>
        </w:rPr>
        <w:t>The World Health Organization defines integrated service delivery as the “the management and delivery of health services so that clients receive a continuum of preventive and curative services, according to their needs over time and across different levels of the health system”.</w:t>
      </w:r>
      <w:r>
        <w:rPr>
          <w:sz w:val="16"/>
          <w:szCs w:val="16"/>
        </w:rPr>
        <w:t xml:space="preserve"> See </w:t>
      </w:r>
      <w:hyperlink r:id="rId81" w:history="1">
        <w:r w:rsidRPr="003E04FF">
          <w:rPr>
            <w:rStyle w:val="Hyperlink"/>
            <w:color w:val="auto"/>
            <w:sz w:val="16"/>
            <w:szCs w:val="16"/>
            <w:u w:val="none"/>
          </w:rPr>
          <w:t>integrated health services  - what and  why?</w:t>
        </w:r>
        <w:r w:rsidRPr="003E04FF">
          <w:rPr>
            <w:rStyle w:val="Hyperlink"/>
            <w:color w:val="auto"/>
            <w:sz w:val="16"/>
            <w:szCs w:val="16"/>
          </w:rPr>
          <w:t xml:space="preserve"> </w:t>
        </w:r>
      </w:hyperlink>
      <w:r w:rsidRPr="003E04FF">
        <w:rPr>
          <w:sz w:val="16"/>
          <w:szCs w:val="16"/>
        </w:rPr>
        <w:t xml:space="preserve"> </w:t>
      </w:r>
      <w:r w:rsidRPr="00B164D8">
        <w:rPr>
          <w:sz w:val="16"/>
          <w:szCs w:val="16"/>
        </w:rPr>
        <w:t xml:space="preserve">Technical Brief No.1, 2008, World Health Organization.  Available from: </w:t>
      </w:r>
      <w:hyperlink r:id="rId82" w:history="1">
        <w:r w:rsidR="003E04FF" w:rsidRPr="006B6D9D">
          <w:rPr>
            <w:rStyle w:val="Hyperlink"/>
            <w:sz w:val="16"/>
            <w:szCs w:val="16"/>
          </w:rPr>
          <w:t>http://www.who.int/healthsystems/service_delivery_techbrief1.pdf</w:t>
        </w:r>
      </w:hyperlink>
      <w:r w:rsidR="003E04FF">
        <w:rPr>
          <w:sz w:val="16"/>
          <w:szCs w:val="16"/>
        </w:rPr>
        <w:t xml:space="preserve"> </w:t>
      </w:r>
    </w:p>
  </w:footnote>
  <w:footnote w:id="78">
    <w:p w14:paraId="16F44F95" w14:textId="5675C738" w:rsidR="00553DCD" w:rsidRPr="001269A0" w:rsidRDefault="00553DCD" w:rsidP="00F24049">
      <w:pPr>
        <w:pStyle w:val="FootnoteText"/>
        <w:rPr>
          <w:sz w:val="16"/>
          <w:szCs w:val="16"/>
        </w:rPr>
      </w:pPr>
      <w:r>
        <w:rPr>
          <w:rStyle w:val="FootnoteReference"/>
        </w:rPr>
        <w:footnoteRef/>
      </w:r>
      <w:r>
        <w:t xml:space="preserve"> </w:t>
      </w:r>
      <w:r w:rsidRPr="001269A0">
        <w:rPr>
          <w:sz w:val="16"/>
          <w:szCs w:val="16"/>
        </w:rPr>
        <w:t xml:space="preserve">HealthCare Appraisers, </w:t>
      </w:r>
      <w:hyperlink r:id="rId83" w:history="1">
        <w:r w:rsidRPr="003E04FF">
          <w:rPr>
            <w:rStyle w:val="Hyperlink"/>
            <w:color w:val="auto"/>
            <w:sz w:val="16"/>
            <w:szCs w:val="16"/>
            <w:u w:val="none"/>
          </w:rPr>
          <w:t>2020 Outlook: Diagnostic Imaging Centers and Radiology Practices.</w:t>
        </w:r>
      </w:hyperlink>
      <w:r w:rsidRPr="003E04FF">
        <w:rPr>
          <w:sz w:val="16"/>
          <w:szCs w:val="16"/>
        </w:rPr>
        <w:t xml:space="preserve"> </w:t>
      </w:r>
      <w:r w:rsidRPr="001269A0">
        <w:rPr>
          <w:sz w:val="16"/>
          <w:szCs w:val="16"/>
        </w:rPr>
        <w:t xml:space="preserve">July 21, 2020. Online at: </w:t>
      </w:r>
      <w:hyperlink r:id="rId84" w:history="1">
        <w:r w:rsidRPr="001269A0">
          <w:rPr>
            <w:rStyle w:val="Hyperlink"/>
            <w:sz w:val="16"/>
            <w:szCs w:val="16"/>
          </w:rPr>
          <w:t>https://healthcareappraisers.com/2020-outlook-diagnostic-imaging-and-radiology-practices/</w:t>
        </w:r>
      </w:hyperlink>
      <w:r w:rsidRPr="001269A0">
        <w:rPr>
          <w:sz w:val="16"/>
          <w:szCs w:val="16"/>
        </w:rPr>
        <w:t xml:space="preserve"> </w:t>
      </w:r>
    </w:p>
  </w:footnote>
  <w:footnote w:id="79">
    <w:p w14:paraId="359DD0EF" w14:textId="77777777" w:rsidR="00553DCD" w:rsidRDefault="00553DCD" w:rsidP="00F24049">
      <w:pPr>
        <w:pStyle w:val="FootnoteText"/>
      </w:pPr>
      <w:r>
        <w:rPr>
          <w:rStyle w:val="FootnoteReference"/>
        </w:rPr>
        <w:footnoteRef/>
      </w:r>
      <w:r>
        <w:t xml:space="preserve"> </w:t>
      </w:r>
      <w:r w:rsidRPr="00241B73">
        <w:rPr>
          <w:sz w:val="16"/>
          <w:szCs w:val="16"/>
        </w:rPr>
        <w:t xml:space="preserve">Links to site of care policies: </w:t>
      </w:r>
      <w:hyperlink r:id="rId85" w:history="1">
        <w:r w:rsidRPr="00B3764F">
          <w:rPr>
            <w:rStyle w:val="Hyperlink"/>
            <w:sz w:val="16"/>
            <w:szCs w:val="16"/>
          </w:rPr>
          <w:t>United Healthcare Site of Service Review for MRI Services</w:t>
        </w:r>
      </w:hyperlink>
      <w:r w:rsidRPr="00B3764F">
        <w:rPr>
          <w:sz w:val="16"/>
          <w:szCs w:val="16"/>
        </w:rPr>
        <w:t xml:space="preserve">; </w:t>
      </w:r>
      <w:hyperlink r:id="rId86" w:history="1">
        <w:r w:rsidRPr="00B3764F">
          <w:rPr>
            <w:rStyle w:val="Hyperlink"/>
            <w:sz w:val="16"/>
            <w:szCs w:val="16"/>
          </w:rPr>
          <w:t>Cigna Site of Service Review for MRI Services</w:t>
        </w:r>
      </w:hyperlink>
      <w:r w:rsidRPr="00B3764F">
        <w:rPr>
          <w:sz w:val="16"/>
          <w:szCs w:val="16"/>
        </w:rPr>
        <w:t xml:space="preserve">; and </w:t>
      </w:r>
      <w:hyperlink r:id="rId87" w:history="1">
        <w:r w:rsidRPr="00B3764F">
          <w:rPr>
            <w:rStyle w:val="Hyperlink"/>
            <w:sz w:val="16"/>
            <w:szCs w:val="16"/>
          </w:rPr>
          <w:t>Anthem/BCBS Site of Service Review for MRI Services</w:t>
        </w:r>
      </w:hyperlink>
    </w:p>
  </w:footnote>
  <w:footnote w:id="80">
    <w:p w14:paraId="02653772" w14:textId="77777777" w:rsidR="00553DCD" w:rsidRPr="000B41F7" w:rsidRDefault="00553DCD" w:rsidP="00F24049">
      <w:pPr>
        <w:pStyle w:val="FootnoteText"/>
        <w:rPr>
          <w:sz w:val="16"/>
          <w:szCs w:val="16"/>
        </w:rPr>
      </w:pPr>
      <w:r>
        <w:rPr>
          <w:rStyle w:val="FootnoteReference"/>
        </w:rPr>
        <w:footnoteRef/>
      </w:r>
      <w:r>
        <w:t xml:space="preserve"> </w:t>
      </w:r>
      <w:r w:rsidRPr="000B41F7">
        <w:rPr>
          <w:sz w:val="16"/>
          <w:szCs w:val="16"/>
        </w:rPr>
        <w:t>Please note that the years of operation are based on when the Applicant receives regulatory approval.</w:t>
      </w:r>
    </w:p>
  </w:footnote>
  <w:footnote w:id="81">
    <w:p w14:paraId="000CC2FF" w14:textId="77777777" w:rsidR="00553DCD" w:rsidRDefault="00553DCD" w:rsidP="00F24049">
      <w:pPr>
        <w:pStyle w:val="FootnoteText"/>
      </w:pPr>
      <w:r>
        <w:rPr>
          <w:rStyle w:val="FootnoteReference"/>
        </w:rPr>
        <w:footnoteRef/>
      </w:r>
      <w:r>
        <w:t xml:space="preserve"> </w:t>
      </w:r>
      <w:r w:rsidRPr="00AD0294">
        <w:rPr>
          <w:sz w:val="16"/>
          <w:szCs w:val="16"/>
        </w:rPr>
        <w:t xml:space="preserve">Please see Veralon Report Statement of Profit and Loss (Appendix). </w:t>
      </w:r>
    </w:p>
  </w:footnote>
  <w:footnote w:id="82">
    <w:p w14:paraId="24400ED1" w14:textId="72621556" w:rsidR="00553DCD" w:rsidRPr="00763555" w:rsidRDefault="00553DCD" w:rsidP="00405BA9">
      <w:pPr>
        <w:pStyle w:val="FootnoteText"/>
        <w:rPr>
          <w:sz w:val="16"/>
          <w:szCs w:val="16"/>
        </w:rPr>
      </w:pPr>
      <w:r>
        <w:rPr>
          <w:rStyle w:val="FootnoteReference"/>
        </w:rPr>
        <w:footnoteRef/>
      </w:r>
      <w:r>
        <w:t xml:space="preserve"> </w:t>
      </w:r>
      <w:r w:rsidRPr="00763555">
        <w:rPr>
          <w:sz w:val="16"/>
          <w:szCs w:val="16"/>
        </w:rPr>
        <w:t xml:space="preserve">Available at </w:t>
      </w:r>
      <w:hyperlink r:id="rId88" w:history="1">
        <w:r w:rsidRPr="00CC5486">
          <w:rPr>
            <w:rStyle w:val="Hyperlink"/>
            <w:color w:val="auto"/>
            <w:sz w:val="16"/>
            <w:szCs w:val="16"/>
            <w:u w:val="none"/>
          </w:rPr>
          <w:t>RadiologyInfo.org for patients</w:t>
        </w:r>
      </w:hyperlink>
      <w:r w:rsidRPr="00763555">
        <w:rPr>
          <w:sz w:val="16"/>
          <w:szCs w:val="16"/>
        </w:rPr>
        <w:t xml:space="preserve">. Online at: </w:t>
      </w:r>
      <w:hyperlink r:id="rId89" w:history="1">
        <w:r w:rsidRPr="00763555">
          <w:rPr>
            <w:rStyle w:val="Hyperlink"/>
            <w:sz w:val="16"/>
            <w:szCs w:val="16"/>
          </w:rPr>
          <w:t>https://www.radiologyinfo.org/en/info/pet</w:t>
        </w:r>
      </w:hyperlink>
      <w:r w:rsidRPr="00763555">
        <w:rPr>
          <w:sz w:val="16"/>
          <w:szCs w:val="16"/>
        </w:rPr>
        <w:t xml:space="preserve"> </w:t>
      </w:r>
    </w:p>
  </w:footnote>
  <w:footnote w:id="83">
    <w:p w14:paraId="48852332" w14:textId="77777777" w:rsidR="00553DCD" w:rsidRDefault="00553DCD" w:rsidP="00405BA9">
      <w:pPr>
        <w:pStyle w:val="FootnoteText"/>
      </w:pPr>
      <w:r>
        <w:rPr>
          <w:rStyle w:val="FootnoteReference"/>
        </w:rPr>
        <w:footnoteRef/>
      </w:r>
      <w:r>
        <w:t xml:space="preserve"> </w:t>
      </w:r>
      <w:bookmarkStart w:id="21" w:name="_Hlk98762473"/>
      <w:r w:rsidRPr="00763555">
        <w:rPr>
          <w:i/>
          <w:iCs/>
          <w:sz w:val="16"/>
          <w:szCs w:val="16"/>
        </w:rPr>
        <w:t>Ibid.</w:t>
      </w:r>
      <w:bookmarkEnd w:id="21"/>
    </w:p>
  </w:footnote>
  <w:footnote w:id="84">
    <w:p w14:paraId="36A402A4" w14:textId="77777777" w:rsidR="00553DCD" w:rsidRDefault="00553DCD" w:rsidP="00405BA9">
      <w:pPr>
        <w:pStyle w:val="FootnoteText"/>
      </w:pPr>
      <w:r>
        <w:rPr>
          <w:rStyle w:val="FootnoteReference"/>
        </w:rPr>
        <w:footnoteRef/>
      </w:r>
      <w:r>
        <w:t xml:space="preserve"> </w:t>
      </w:r>
      <w:r w:rsidRPr="00763555">
        <w:rPr>
          <w:i/>
          <w:iCs/>
          <w:sz w:val="16"/>
          <w:szCs w:val="16"/>
        </w:rPr>
        <w:t>Ibid.</w:t>
      </w:r>
    </w:p>
  </w:footnote>
  <w:footnote w:id="85">
    <w:p w14:paraId="4D062060" w14:textId="77777777" w:rsidR="00553DCD" w:rsidRDefault="00553DCD" w:rsidP="00405BA9">
      <w:pPr>
        <w:pStyle w:val="FootnoteText"/>
      </w:pPr>
      <w:r>
        <w:rPr>
          <w:rStyle w:val="FootnoteReference"/>
        </w:rPr>
        <w:footnoteRef/>
      </w:r>
      <w:r>
        <w:t xml:space="preserve"> </w:t>
      </w:r>
      <w:r w:rsidRPr="00763555">
        <w:rPr>
          <w:i/>
          <w:iCs/>
          <w:sz w:val="16"/>
          <w:szCs w:val="16"/>
        </w:rPr>
        <w:t>Ibid.</w:t>
      </w:r>
    </w:p>
  </w:footnote>
  <w:footnote w:id="86">
    <w:p w14:paraId="7F14D1B2" w14:textId="77777777" w:rsidR="00553DCD" w:rsidRDefault="00553DCD" w:rsidP="00405BA9">
      <w:pPr>
        <w:pStyle w:val="FootnoteText"/>
      </w:pPr>
      <w:r>
        <w:rPr>
          <w:rStyle w:val="FootnoteReference"/>
        </w:rPr>
        <w:footnoteRef/>
      </w:r>
      <w:r>
        <w:t xml:space="preserve"> </w:t>
      </w:r>
      <w:r w:rsidRPr="00763555">
        <w:rPr>
          <w:i/>
          <w:iCs/>
          <w:sz w:val="16"/>
          <w:szCs w:val="16"/>
        </w:rPr>
        <w:t>Ibid.</w:t>
      </w:r>
    </w:p>
  </w:footnote>
  <w:footnote w:id="87">
    <w:p w14:paraId="5CBD9D29" w14:textId="7E88463D" w:rsidR="00553DCD" w:rsidRDefault="00553DCD" w:rsidP="00405BA9">
      <w:pPr>
        <w:pStyle w:val="FootnoteText"/>
      </w:pPr>
      <w:r>
        <w:rPr>
          <w:rStyle w:val="FootnoteReference"/>
        </w:rPr>
        <w:footnoteRef/>
      </w:r>
      <w:r>
        <w:t xml:space="preserve"> </w:t>
      </w:r>
      <w:proofErr w:type="spellStart"/>
      <w:r w:rsidRPr="000148C8">
        <w:rPr>
          <w:sz w:val="16"/>
          <w:szCs w:val="16"/>
        </w:rPr>
        <w:t>Lövblad</w:t>
      </w:r>
      <w:proofErr w:type="spellEnd"/>
      <w:r w:rsidRPr="000148C8">
        <w:rPr>
          <w:sz w:val="16"/>
          <w:szCs w:val="16"/>
        </w:rPr>
        <w:t xml:space="preserve">, K.-O., Bouchez, L., Altrichter, S., Ratib, O., </w:t>
      </w:r>
      <w:proofErr w:type="gramStart"/>
      <w:r w:rsidRPr="000148C8">
        <w:rPr>
          <w:sz w:val="16"/>
          <w:szCs w:val="16"/>
        </w:rPr>
        <w:t>Zaidi ,</w:t>
      </w:r>
      <w:proofErr w:type="gramEnd"/>
      <w:r w:rsidRPr="000148C8">
        <w:rPr>
          <w:sz w:val="16"/>
          <w:szCs w:val="16"/>
        </w:rPr>
        <w:t xml:space="preserve"> H., &amp; Vargas, M. I. (2019, August). </w:t>
      </w:r>
      <w:hyperlink r:id="rId90" w:history="1">
        <w:r w:rsidRPr="00CC5486">
          <w:rPr>
            <w:rStyle w:val="Hyperlink"/>
            <w:color w:val="auto"/>
            <w:sz w:val="16"/>
            <w:szCs w:val="16"/>
            <w:u w:val="none"/>
          </w:rPr>
          <w:t>Pet-CT in Neuroradiology . Clinical and Translational Neuroscience</w:t>
        </w:r>
      </w:hyperlink>
      <w:r w:rsidRPr="000148C8">
        <w:rPr>
          <w:sz w:val="16"/>
          <w:szCs w:val="16"/>
        </w:rPr>
        <w:t xml:space="preserve">. Retrieved February 16, 2022. Online at: </w:t>
      </w:r>
      <w:hyperlink r:id="rId91" w:history="1">
        <w:r w:rsidRPr="000148C8">
          <w:rPr>
            <w:rStyle w:val="Hyperlink"/>
            <w:sz w:val="16"/>
            <w:szCs w:val="16"/>
          </w:rPr>
          <w:t>https://journals.sagepub.com/doi/full/10.1177/2514183X19868147</w:t>
        </w:r>
      </w:hyperlink>
      <w:r w:rsidRPr="000148C8">
        <w:rPr>
          <w:sz w:val="16"/>
          <w:szCs w:val="16"/>
        </w:rPr>
        <w:t xml:space="preserve">   </w:t>
      </w:r>
    </w:p>
  </w:footnote>
  <w:footnote w:id="88">
    <w:p w14:paraId="714325B4" w14:textId="77777777" w:rsidR="00553DCD" w:rsidRDefault="00553DCD" w:rsidP="00405BA9">
      <w:pPr>
        <w:pStyle w:val="FootnoteText"/>
      </w:pPr>
      <w:r>
        <w:rPr>
          <w:rStyle w:val="FootnoteReference"/>
        </w:rPr>
        <w:footnoteRef/>
      </w:r>
      <w:r>
        <w:t xml:space="preserve"> </w:t>
      </w:r>
      <w:r w:rsidRPr="005B6EC9">
        <w:rPr>
          <w:i/>
          <w:iCs/>
          <w:sz w:val="16"/>
          <w:szCs w:val="16"/>
        </w:rPr>
        <w:t>Ibid.</w:t>
      </w:r>
    </w:p>
  </w:footnote>
  <w:footnote w:id="89">
    <w:p w14:paraId="380A553D" w14:textId="7ADFF3C4" w:rsidR="00553DCD" w:rsidRPr="00EE32C1" w:rsidRDefault="00553DCD" w:rsidP="00405BA9">
      <w:pPr>
        <w:pStyle w:val="FootnoteText"/>
        <w:rPr>
          <w:sz w:val="16"/>
          <w:szCs w:val="16"/>
        </w:rPr>
      </w:pPr>
      <w:r>
        <w:rPr>
          <w:rStyle w:val="FootnoteReference"/>
        </w:rPr>
        <w:footnoteRef/>
      </w:r>
      <w:r>
        <w:t xml:space="preserve"> </w:t>
      </w:r>
      <w:r w:rsidRPr="00EE32C1">
        <w:rPr>
          <w:sz w:val="16"/>
          <w:szCs w:val="16"/>
        </w:rPr>
        <w:t xml:space="preserve">Whole-Body 18F-FDG </w:t>
      </w:r>
      <w:hyperlink r:id="rId92" w:history="1">
        <w:r w:rsidRPr="006C3B30">
          <w:rPr>
            <w:rStyle w:val="Hyperlink"/>
            <w:color w:val="auto"/>
            <w:sz w:val="16"/>
            <w:szCs w:val="16"/>
            <w:u w:val="none"/>
          </w:rPr>
          <w:t>PET/CT Is Superior to CT as First-Line Diagnostic Imaging in Patients Referred with Serious Nonspecific Symptoms or Signs of Cancer: A Randomized Prospective Study of 200 Patients</w:t>
        </w:r>
      </w:hyperlink>
      <w:r>
        <w:rPr>
          <w:sz w:val="16"/>
          <w:szCs w:val="16"/>
        </w:rPr>
        <w:t xml:space="preserve">. </w:t>
      </w:r>
      <w:r w:rsidRPr="00EE32C1">
        <w:rPr>
          <w:sz w:val="16"/>
          <w:szCs w:val="16"/>
        </w:rPr>
        <w:t xml:space="preserve">Anne-Mette Lebech, Anne Gaardsting, Annika Loft, Jesper Graff, Elena Markova, Anne Kiil Bertelsen, Jan Lysgård Madsen, Kim Francis Andersen, Eric von Benzon, Morten Helms, Lars R. Mathiesen, Kim P. David, Gitte Kronborg, Andreas Kjaer. Journal of Nuclear Medicine Jul 2017, 58 (7) 1058-1064; DOI: 10.2967/jnumed.116.175380. Online at:  </w:t>
      </w:r>
      <w:hyperlink r:id="rId93" w:history="1">
        <w:r w:rsidRPr="00EE32C1">
          <w:rPr>
            <w:rStyle w:val="Hyperlink"/>
            <w:sz w:val="16"/>
            <w:szCs w:val="16"/>
          </w:rPr>
          <w:t>https://jnm.snmjournals.org/content/58/7/1058</w:t>
        </w:r>
      </w:hyperlink>
      <w:r w:rsidRPr="00EE32C1">
        <w:rPr>
          <w:sz w:val="16"/>
          <w:szCs w:val="16"/>
        </w:rPr>
        <w:t xml:space="preserve"> </w:t>
      </w:r>
    </w:p>
  </w:footnote>
  <w:footnote w:id="90">
    <w:p w14:paraId="7F74DFE5" w14:textId="77777777" w:rsidR="00553DCD" w:rsidRDefault="00553DCD" w:rsidP="00405BA9">
      <w:pPr>
        <w:pStyle w:val="FootnoteText"/>
      </w:pPr>
      <w:r>
        <w:rPr>
          <w:rStyle w:val="FootnoteReference"/>
        </w:rPr>
        <w:footnoteRef/>
      </w:r>
      <w:r>
        <w:t xml:space="preserve"> </w:t>
      </w:r>
      <w:r w:rsidRPr="00D346C8">
        <w:rPr>
          <w:i/>
          <w:iCs/>
          <w:sz w:val="16"/>
          <w:szCs w:val="16"/>
        </w:rPr>
        <w:t>Ibid.</w:t>
      </w:r>
    </w:p>
  </w:footnote>
  <w:footnote w:id="91">
    <w:p w14:paraId="41BE531F" w14:textId="77777777" w:rsidR="00553DCD" w:rsidRDefault="00553DCD" w:rsidP="00405BA9">
      <w:pPr>
        <w:pStyle w:val="FootnoteText"/>
      </w:pPr>
      <w:r>
        <w:rPr>
          <w:rStyle w:val="FootnoteReference"/>
        </w:rPr>
        <w:footnoteRef/>
      </w:r>
      <w:r>
        <w:t xml:space="preserve"> </w:t>
      </w:r>
      <w:r w:rsidRPr="00D346C8">
        <w:rPr>
          <w:i/>
          <w:iCs/>
          <w:sz w:val="16"/>
          <w:szCs w:val="16"/>
        </w:rPr>
        <w:t>Ibid.</w:t>
      </w:r>
    </w:p>
  </w:footnote>
  <w:footnote w:id="92">
    <w:p w14:paraId="3D879AB6" w14:textId="48E1F0B4" w:rsidR="00553DCD" w:rsidRDefault="00553DCD" w:rsidP="00405BA9">
      <w:pPr>
        <w:pStyle w:val="FootnoteText"/>
      </w:pPr>
      <w:r>
        <w:rPr>
          <w:rStyle w:val="FootnoteReference"/>
        </w:rPr>
        <w:footnoteRef/>
      </w:r>
      <w:r w:rsidRPr="00AC15B1">
        <w:rPr>
          <w:lang w:val="fr-FR"/>
        </w:rPr>
        <w:t xml:space="preserve"> </w:t>
      </w:r>
      <w:bookmarkStart w:id="22" w:name="_Hlk100229628"/>
      <w:proofErr w:type="spellStart"/>
      <w:r w:rsidRPr="00AC15B1">
        <w:rPr>
          <w:sz w:val="16"/>
          <w:szCs w:val="16"/>
          <w:lang w:val="fr-FR"/>
        </w:rPr>
        <w:t>Czeisler</w:t>
      </w:r>
      <w:proofErr w:type="spellEnd"/>
      <w:r w:rsidRPr="00AC15B1">
        <w:rPr>
          <w:sz w:val="16"/>
          <w:szCs w:val="16"/>
          <w:lang w:val="fr-FR"/>
        </w:rPr>
        <w:t xml:space="preserve"> MÉ, </w:t>
      </w:r>
      <w:proofErr w:type="spellStart"/>
      <w:r w:rsidRPr="00AC15B1">
        <w:rPr>
          <w:sz w:val="16"/>
          <w:szCs w:val="16"/>
          <w:lang w:val="fr-FR"/>
        </w:rPr>
        <w:t>Marynak</w:t>
      </w:r>
      <w:proofErr w:type="spellEnd"/>
      <w:r w:rsidRPr="00AC15B1">
        <w:rPr>
          <w:sz w:val="16"/>
          <w:szCs w:val="16"/>
          <w:lang w:val="fr-FR"/>
        </w:rPr>
        <w:t xml:space="preserve"> K, Clarke KE, et al. </w:t>
      </w:r>
      <w:hyperlink r:id="rId94" w:history="1">
        <w:r w:rsidRPr="006C3B30">
          <w:rPr>
            <w:rStyle w:val="Hyperlink"/>
            <w:color w:val="auto"/>
            <w:sz w:val="16"/>
            <w:szCs w:val="16"/>
            <w:u w:val="none"/>
          </w:rPr>
          <w:t>Delay or Avoidance of Medical Care Because of COVID-19–Related Concerns — United States</w:t>
        </w:r>
      </w:hyperlink>
      <w:r w:rsidRPr="009816D1">
        <w:rPr>
          <w:sz w:val="16"/>
          <w:szCs w:val="16"/>
        </w:rPr>
        <w:t xml:space="preserve">, June 2020. MMWR </w:t>
      </w:r>
      <w:proofErr w:type="spellStart"/>
      <w:r w:rsidRPr="009816D1">
        <w:rPr>
          <w:sz w:val="16"/>
          <w:szCs w:val="16"/>
        </w:rPr>
        <w:t>Morb</w:t>
      </w:r>
      <w:proofErr w:type="spellEnd"/>
      <w:r w:rsidRPr="009816D1">
        <w:rPr>
          <w:sz w:val="16"/>
          <w:szCs w:val="16"/>
        </w:rPr>
        <w:t xml:space="preserve"> Mortal </w:t>
      </w:r>
      <w:proofErr w:type="spellStart"/>
      <w:r w:rsidRPr="009816D1">
        <w:rPr>
          <w:sz w:val="16"/>
          <w:szCs w:val="16"/>
        </w:rPr>
        <w:t>Wkly</w:t>
      </w:r>
      <w:proofErr w:type="spellEnd"/>
      <w:r w:rsidRPr="009816D1">
        <w:rPr>
          <w:sz w:val="16"/>
          <w:szCs w:val="16"/>
        </w:rPr>
        <w:t xml:space="preserve"> Rep </w:t>
      </w:r>
      <w:proofErr w:type="gramStart"/>
      <w:r w:rsidRPr="009816D1">
        <w:rPr>
          <w:sz w:val="16"/>
          <w:szCs w:val="16"/>
        </w:rPr>
        <w:t>2020;69:1250</w:t>
      </w:r>
      <w:proofErr w:type="gramEnd"/>
      <w:r w:rsidRPr="009816D1">
        <w:rPr>
          <w:sz w:val="16"/>
          <w:szCs w:val="16"/>
        </w:rPr>
        <w:t xml:space="preserve">–1257. </w:t>
      </w:r>
      <w:r>
        <w:rPr>
          <w:sz w:val="16"/>
          <w:szCs w:val="16"/>
        </w:rPr>
        <w:t>Available online at</w:t>
      </w:r>
      <w:r w:rsidRPr="009816D1">
        <w:rPr>
          <w:sz w:val="16"/>
          <w:szCs w:val="16"/>
        </w:rPr>
        <w:t xml:space="preserve">: </w:t>
      </w:r>
      <w:hyperlink r:id="rId95" w:history="1">
        <w:r w:rsidRPr="00D51531">
          <w:rPr>
            <w:rStyle w:val="Hyperlink"/>
            <w:sz w:val="16"/>
            <w:szCs w:val="16"/>
          </w:rPr>
          <w:t>http://dx.doi.org/10.15585/mmwr.mm6936a4</w:t>
        </w:r>
      </w:hyperlink>
      <w:r>
        <w:rPr>
          <w:sz w:val="16"/>
          <w:szCs w:val="16"/>
        </w:rPr>
        <w:t xml:space="preserve"> </w:t>
      </w:r>
    </w:p>
    <w:bookmarkEnd w:id="22"/>
  </w:footnote>
  <w:footnote w:id="93">
    <w:p w14:paraId="164718C7" w14:textId="3BC666CE" w:rsidR="00553DCD" w:rsidRDefault="00553DCD" w:rsidP="00405BA9">
      <w:pPr>
        <w:pStyle w:val="FootnoteText"/>
      </w:pPr>
      <w:r>
        <w:rPr>
          <w:rStyle w:val="FootnoteReference"/>
        </w:rPr>
        <w:footnoteRef/>
      </w:r>
      <w:r w:rsidRPr="009816D1">
        <w:rPr>
          <w:lang w:val="fr-FR"/>
        </w:rPr>
        <w:t xml:space="preserve"> </w:t>
      </w:r>
      <w:proofErr w:type="spellStart"/>
      <w:r w:rsidRPr="009816D1">
        <w:rPr>
          <w:sz w:val="16"/>
          <w:szCs w:val="16"/>
          <w:lang w:val="fr-FR"/>
        </w:rPr>
        <w:t>Czeisler</w:t>
      </w:r>
      <w:proofErr w:type="spellEnd"/>
      <w:r w:rsidRPr="009816D1">
        <w:rPr>
          <w:sz w:val="16"/>
          <w:szCs w:val="16"/>
          <w:lang w:val="fr-FR"/>
        </w:rPr>
        <w:t xml:space="preserve"> MÉ, </w:t>
      </w:r>
      <w:proofErr w:type="spellStart"/>
      <w:r w:rsidRPr="009816D1">
        <w:rPr>
          <w:sz w:val="16"/>
          <w:szCs w:val="16"/>
          <w:lang w:val="fr-FR"/>
        </w:rPr>
        <w:t>Marynak</w:t>
      </w:r>
      <w:proofErr w:type="spellEnd"/>
      <w:r w:rsidRPr="009816D1">
        <w:rPr>
          <w:sz w:val="16"/>
          <w:szCs w:val="16"/>
          <w:lang w:val="fr-FR"/>
        </w:rPr>
        <w:t xml:space="preserve"> K, Clarke KE, et al.</w:t>
      </w:r>
      <w:r w:rsidRPr="006C3B30">
        <w:rPr>
          <w:sz w:val="16"/>
          <w:szCs w:val="16"/>
          <w:lang w:val="fr-FR"/>
        </w:rPr>
        <w:t xml:space="preserve"> </w:t>
      </w:r>
      <w:hyperlink r:id="rId96" w:history="1">
        <w:r w:rsidRPr="006C3B30">
          <w:rPr>
            <w:rStyle w:val="Hyperlink"/>
            <w:color w:val="auto"/>
            <w:sz w:val="16"/>
            <w:szCs w:val="16"/>
            <w:u w:val="none"/>
          </w:rPr>
          <w:t>Delay or Avoidance of Medical Care Because of COVID-19–Related Concerns — United States</w:t>
        </w:r>
      </w:hyperlink>
      <w:r w:rsidRPr="009816D1">
        <w:rPr>
          <w:sz w:val="16"/>
          <w:szCs w:val="16"/>
        </w:rPr>
        <w:t xml:space="preserve">, June 2020. MMWR </w:t>
      </w:r>
      <w:proofErr w:type="spellStart"/>
      <w:r w:rsidRPr="009816D1">
        <w:rPr>
          <w:sz w:val="16"/>
          <w:szCs w:val="16"/>
        </w:rPr>
        <w:t>Morb</w:t>
      </w:r>
      <w:proofErr w:type="spellEnd"/>
      <w:r w:rsidRPr="009816D1">
        <w:rPr>
          <w:sz w:val="16"/>
          <w:szCs w:val="16"/>
        </w:rPr>
        <w:t xml:space="preserve"> Mortal </w:t>
      </w:r>
      <w:proofErr w:type="spellStart"/>
      <w:r w:rsidRPr="009816D1">
        <w:rPr>
          <w:sz w:val="16"/>
          <w:szCs w:val="16"/>
        </w:rPr>
        <w:t>Wkly</w:t>
      </w:r>
      <w:proofErr w:type="spellEnd"/>
      <w:r w:rsidRPr="009816D1">
        <w:rPr>
          <w:sz w:val="16"/>
          <w:szCs w:val="16"/>
        </w:rPr>
        <w:t xml:space="preserve"> Rep </w:t>
      </w:r>
      <w:proofErr w:type="gramStart"/>
      <w:r w:rsidRPr="009816D1">
        <w:rPr>
          <w:sz w:val="16"/>
          <w:szCs w:val="16"/>
        </w:rPr>
        <w:t>2020;69:1250</w:t>
      </w:r>
      <w:proofErr w:type="gramEnd"/>
      <w:r w:rsidRPr="009816D1">
        <w:rPr>
          <w:sz w:val="16"/>
          <w:szCs w:val="16"/>
        </w:rPr>
        <w:t xml:space="preserve">–1257. </w:t>
      </w:r>
      <w:r>
        <w:rPr>
          <w:sz w:val="16"/>
          <w:szCs w:val="16"/>
        </w:rPr>
        <w:t>Available online at</w:t>
      </w:r>
      <w:r w:rsidRPr="009816D1">
        <w:rPr>
          <w:sz w:val="16"/>
          <w:szCs w:val="16"/>
        </w:rPr>
        <w:t xml:space="preserve">: </w:t>
      </w:r>
      <w:hyperlink r:id="rId97" w:history="1">
        <w:r w:rsidRPr="00D51531">
          <w:rPr>
            <w:rStyle w:val="Hyperlink"/>
            <w:sz w:val="16"/>
            <w:szCs w:val="16"/>
          </w:rPr>
          <w:t>http://dx.doi.org/10.15585/mmwr.mm6936a4</w:t>
        </w:r>
      </w:hyperlink>
      <w:r>
        <w:rPr>
          <w:sz w:val="16"/>
          <w:szCs w:val="16"/>
        </w:rPr>
        <w:t xml:space="preserve"> </w:t>
      </w:r>
    </w:p>
  </w:footnote>
  <w:footnote w:id="94">
    <w:p w14:paraId="408E49E8" w14:textId="77777777" w:rsidR="00553DCD" w:rsidRDefault="00553DCD" w:rsidP="00405BA9">
      <w:pPr>
        <w:pStyle w:val="FootnoteText"/>
      </w:pPr>
      <w:r>
        <w:rPr>
          <w:rStyle w:val="FootnoteReference"/>
        </w:rPr>
        <w:footnoteRef/>
      </w:r>
      <w:r>
        <w:t xml:space="preserve"> </w:t>
      </w:r>
      <w:r w:rsidRPr="00C9737D">
        <w:rPr>
          <w:sz w:val="16"/>
          <w:szCs w:val="16"/>
        </w:rPr>
        <w:t>According to the American Cancer Society, regular screenings can help find and treat pre-cancers and cancers early, before they have a chance to spread.</w:t>
      </w:r>
      <w:r>
        <w:rPr>
          <w:sz w:val="16"/>
          <w:szCs w:val="16"/>
        </w:rPr>
        <w:t xml:space="preserve"> Available online at: </w:t>
      </w:r>
      <w:hyperlink r:id="rId98" w:history="1">
        <w:r w:rsidRPr="00D51531">
          <w:rPr>
            <w:rStyle w:val="Hyperlink"/>
            <w:sz w:val="16"/>
            <w:szCs w:val="16"/>
          </w:rPr>
          <w:t>https://www.cancer.org/healthy/find-cancer-early/american-cancer-society-guidelines-for-the-early-detection-of-cancer.html</w:t>
        </w:r>
      </w:hyperlink>
      <w:r>
        <w:rPr>
          <w:sz w:val="16"/>
          <w:szCs w:val="16"/>
        </w:rPr>
        <w:t xml:space="preserve"> </w:t>
      </w:r>
    </w:p>
  </w:footnote>
  <w:footnote w:id="95">
    <w:p w14:paraId="2DB62B4A" w14:textId="77777777" w:rsidR="00553DCD" w:rsidRPr="00385C6F" w:rsidRDefault="00553DCD" w:rsidP="00405BA9">
      <w:pPr>
        <w:pStyle w:val="FootnoteText"/>
        <w:rPr>
          <w:sz w:val="16"/>
          <w:szCs w:val="16"/>
        </w:rPr>
      </w:pPr>
      <w:r>
        <w:rPr>
          <w:rStyle w:val="FootnoteReference"/>
        </w:rPr>
        <w:footnoteRef/>
      </w:r>
      <w:r>
        <w:t xml:space="preserve"> </w:t>
      </w:r>
      <w:r w:rsidRPr="00385C6F">
        <w:rPr>
          <w:sz w:val="16"/>
          <w:szCs w:val="16"/>
        </w:rPr>
        <w:t xml:space="preserve">CDC website. Available online at: </w:t>
      </w:r>
      <w:hyperlink r:id="rId99" w:history="1">
        <w:r w:rsidRPr="00D51531">
          <w:rPr>
            <w:rStyle w:val="Hyperlink"/>
            <w:sz w:val="16"/>
            <w:szCs w:val="16"/>
          </w:rPr>
          <w:t>https://www.cdc.gov/cancer/dcpc/prevention/screening.htm</w:t>
        </w:r>
      </w:hyperlink>
      <w:r>
        <w:rPr>
          <w:sz w:val="16"/>
          <w:szCs w:val="16"/>
        </w:rPr>
        <w:t xml:space="preserve"> </w:t>
      </w:r>
    </w:p>
  </w:footnote>
  <w:footnote w:id="96">
    <w:p w14:paraId="40A77FD6" w14:textId="68FC8A70" w:rsidR="00553DCD" w:rsidRPr="00126D8B" w:rsidRDefault="00553DCD" w:rsidP="00405BA9">
      <w:pPr>
        <w:pStyle w:val="FootnoteText"/>
        <w:rPr>
          <w:sz w:val="16"/>
          <w:szCs w:val="16"/>
        </w:rPr>
      </w:pPr>
      <w:r>
        <w:rPr>
          <w:rStyle w:val="FootnoteReference"/>
        </w:rPr>
        <w:footnoteRef/>
      </w:r>
      <w:r>
        <w:t xml:space="preserve"> </w:t>
      </w:r>
      <w:r w:rsidRPr="00126D8B">
        <w:rPr>
          <w:sz w:val="16"/>
          <w:szCs w:val="16"/>
        </w:rPr>
        <w:t xml:space="preserve">Berger NA, Savvides P, </w:t>
      </w:r>
      <w:proofErr w:type="spellStart"/>
      <w:r w:rsidRPr="00126D8B">
        <w:rPr>
          <w:sz w:val="16"/>
          <w:szCs w:val="16"/>
        </w:rPr>
        <w:t>Koroukian</w:t>
      </w:r>
      <w:proofErr w:type="spellEnd"/>
      <w:r w:rsidRPr="00126D8B">
        <w:rPr>
          <w:sz w:val="16"/>
          <w:szCs w:val="16"/>
        </w:rPr>
        <w:t xml:space="preserve"> SM, Kahana EF, Deimling GT, Rose JH, Bowman KF, Miller RH. </w:t>
      </w:r>
      <w:hyperlink r:id="rId100" w:history="1">
        <w:r w:rsidRPr="00EA3C34">
          <w:rPr>
            <w:rStyle w:val="Hyperlink"/>
            <w:color w:val="auto"/>
            <w:sz w:val="16"/>
            <w:szCs w:val="16"/>
            <w:u w:val="none"/>
          </w:rPr>
          <w:t>Cancer in the elderly.</w:t>
        </w:r>
      </w:hyperlink>
      <w:r w:rsidRPr="00EA3C34">
        <w:rPr>
          <w:sz w:val="16"/>
          <w:szCs w:val="16"/>
        </w:rPr>
        <w:t xml:space="preserve"> </w:t>
      </w:r>
      <w:r w:rsidRPr="00126D8B">
        <w:rPr>
          <w:sz w:val="16"/>
          <w:szCs w:val="16"/>
        </w:rPr>
        <w:t xml:space="preserve">Trans Am Clin </w:t>
      </w:r>
      <w:proofErr w:type="spellStart"/>
      <w:r w:rsidRPr="00126D8B">
        <w:rPr>
          <w:sz w:val="16"/>
          <w:szCs w:val="16"/>
        </w:rPr>
        <w:t>Climatol</w:t>
      </w:r>
      <w:proofErr w:type="spellEnd"/>
      <w:r w:rsidRPr="00126D8B">
        <w:rPr>
          <w:sz w:val="16"/>
          <w:szCs w:val="16"/>
        </w:rPr>
        <w:t xml:space="preserve"> Assoc. 2006;117:147-55; discussion 155-6. PMID: 18528470; PMCID: PMC1500929. Online at: </w:t>
      </w:r>
      <w:hyperlink r:id="rId101" w:history="1">
        <w:r w:rsidRPr="00126D8B">
          <w:rPr>
            <w:rStyle w:val="Hyperlink"/>
            <w:sz w:val="16"/>
            <w:szCs w:val="16"/>
          </w:rPr>
          <w:t>https://pubmed.ncbi.nlm.nih.gov/18528470/</w:t>
        </w:r>
      </w:hyperlink>
      <w:r w:rsidRPr="00126D8B">
        <w:rPr>
          <w:sz w:val="16"/>
          <w:szCs w:val="16"/>
        </w:rPr>
        <w:t xml:space="preserve"> </w:t>
      </w:r>
    </w:p>
  </w:footnote>
  <w:footnote w:id="97">
    <w:p w14:paraId="74E0194B" w14:textId="77777777" w:rsidR="00553DCD" w:rsidRDefault="00553DCD" w:rsidP="00405BA9">
      <w:pPr>
        <w:pStyle w:val="FootnoteText"/>
      </w:pPr>
      <w:r>
        <w:rPr>
          <w:rStyle w:val="FootnoteReference"/>
        </w:rPr>
        <w:footnoteRef/>
      </w:r>
      <w:r>
        <w:t xml:space="preserve"> </w:t>
      </w:r>
      <w:bookmarkStart w:id="23" w:name="_Hlk98762078"/>
      <w:r w:rsidRPr="00497CF9">
        <w:rPr>
          <w:i/>
          <w:iCs/>
          <w:sz w:val="16"/>
          <w:szCs w:val="16"/>
        </w:rPr>
        <w:t>Ibid.</w:t>
      </w:r>
      <w:bookmarkEnd w:id="23"/>
    </w:p>
  </w:footnote>
  <w:footnote w:id="98">
    <w:p w14:paraId="5437494E" w14:textId="77777777" w:rsidR="00553DCD" w:rsidRDefault="00553DCD" w:rsidP="00405BA9">
      <w:pPr>
        <w:pStyle w:val="FootnoteText"/>
      </w:pPr>
      <w:r>
        <w:rPr>
          <w:rStyle w:val="FootnoteReference"/>
        </w:rPr>
        <w:footnoteRef/>
      </w:r>
      <w:r>
        <w:t xml:space="preserve"> </w:t>
      </w:r>
      <w:r w:rsidRPr="00497CF9">
        <w:rPr>
          <w:i/>
          <w:iCs/>
          <w:sz w:val="16"/>
          <w:szCs w:val="16"/>
        </w:rPr>
        <w:t>Ibid.</w:t>
      </w:r>
    </w:p>
  </w:footnote>
  <w:footnote w:id="99">
    <w:p w14:paraId="6804274D" w14:textId="589583A2" w:rsidR="00553DCD" w:rsidRDefault="00553DCD" w:rsidP="00405BA9">
      <w:pPr>
        <w:pStyle w:val="FootnoteText"/>
      </w:pPr>
      <w:r>
        <w:rPr>
          <w:rStyle w:val="FootnoteReference"/>
        </w:rPr>
        <w:footnoteRef/>
      </w:r>
      <w:r>
        <w:t xml:space="preserve"> </w:t>
      </w:r>
      <w:r w:rsidRPr="00C4190A">
        <w:rPr>
          <w:sz w:val="16"/>
          <w:szCs w:val="16"/>
        </w:rPr>
        <w:t xml:space="preserve">Rachel Lynch. </w:t>
      </w:r>
      <w:hyperlink r:id="rId102" w:history="1">
        <w:r w:rsidRPr="00EA3C34">
          <w:rPr>
            <w:rStyle w:val="Hyperlink"/>
            <w:color w:val="auto"/>
            <w:sz w:val="16"/>
            <w:szCs w:val="16"/>
            <w:u w:val="none"/>
          </w:rPr>
          <w:t>The Role of Diagnostic Imaging in Early Detection of Cancer.</w:t>
        </w:r>
      </w:hyperlink>
      <w:r w:rsidRPr="00C4190A">
        <w:rPr>
          <w:sz w:val="16"/>
          <w:szCs w:val="16"/>
        </w:rPr>
        <w:t xml:space="preserve"> Carestream. Online at: </w:t>
      </w:r>
      <w:hyperlink r:id="rId103" w:history="1">
        <w:r w:rsidRPr="00C4190A">
          <w:rPr>
            <w:rStyle w:val="Hyperlink"/>
            <w:sz w:val="16"/>
            <w:szCs w:val="16"/>
          </w:rPr>
          <w:t>https://www.carestream.com/blog/2017/12/26/diagnostic-imaging-and-early-detection-of-cancer/</w:t>
        </w:r>
      </w:hyperlink>
      <w:r w:rsidRPr="00C4190A">
        <w:rPr>
          <w:sz w:val="16"/>
          <w:szCs w:val="16"/>
        </w:rPr>
        <w:t xml:space="preserve"> </w:t>
      </w:r>
    </w:p>
  </w:footnote>
  <w:footnote w:id="100">
    <w:p w14:paraId="02649961" w14:textId="77777777" w:rsidR="00553DCD" w:rsidRPr="009A7F76" w:rsidRDefault="00553DCD" w:rsidP="00405BA9">
      <w:pPr>
        <w:pStyle w:val="FootnoteText"/>
        <w:rPr>
          <w:sz w:val="16"/>
          <w:szCs w:val="16"/>
        </w:rPr>
      </w:pPr>
      <w:r>
        <w:rPr>
          <w:rStyle w:val="FootnoteReference"/>
        </w:rPr>
        <w:footnoteRef/>
      </w:r>
      <w:r>
        <w:t xml:space="preserve"> “</w:t>
      </w:r>
      <w:r w:rsidRPr="009A7F76">
        <w:rPr>
          <w:sz w:val="16"/>
          <w:szCs w:val="16"/>
        </w:rPr>
        <w:t>Clinical research has shown that in comparison to a PET scan alone, PET/CT technology provides new information that can alter a patient's treatment plan to better target the cancer in approximately one-third of the cases.</w:t>
      </w:r>
      <w:r>
        <w:rPr>
          <w:sz w:val="16"/>
          <w:szCs w:val="16"/>
        </w:rPr>
        <w:t xml:space="preserve"> </w:t>
      </w:r>
      <w:r w:rsidRPr="009A7F76">
        <w:rPr>
          <w:sz w:val="16"/>
          <w:szCs w:val="16"/>
        </w:rPr>
        <w:t>In one example, the PET/CT scan of a lung cancer patient revealed not only the original tumor on the lung—which a previous CT scan had found—but an additional tumor the CT missed: a small, early stage lesion in the neck.</w:t>
      </w:r>
      <w:r>
        <w:rPr>
          <w:sz w:val="16"/>
          <w:szCs w:val="16"/>
        </w:rPr>
        <w:t xml:space="preserve"> </w:t>
      </w:r>
      <w:r w:rsidRPr="009A7F76">
        <w:rPr>
          <w:sz w:val="16"/>
          <w:szCs w:val="16"/>
        </w:rPr>
        <w:t>Based on the CT alone, the doctor would have recommended surgery, but the additional tumor found by PET/CT indicated that the cancer had spread and was inoperable. Based on this information, the doctor proceeded with radiation therapy, giving the patient a better chance of survival.</w:t>
      </w:r>
      <w:r>
        <w:rPr>
          <w:sz w:val="16"/>
          <w:szCs w:val="16"/>
        </w:rPr>
        <w:t xml:space="preserve">” Case study reference from Sandford Health available online at: </w:t>
      </w:r>
      <w:hyperlink r:id="rId104" w:history="1">
        <w:r w:rsidRPr="002C3E34">
          <w:rPr>
            <w:rStyle w:val="Hyperlink"/>
            <w:sz w:val="16"/>
            <w:szCs w:val="16"/>
          </w:rPr>
          <w:t>https://stanfordhealthcare.org/medical-tests/p/pet-ct-scan/what-to-expect.html</w:t>
        </w:r>
      </w:hyperlink>
      <w:r>
        <w:rPr>
          <w:sz w:val="16"/>
          <w:szCs w:val="16"/>
        </w:rPr>
        <w:t xml:space="preserve"> </w:t>
      </w:r>
    </w:p>
  </w:footnote>
  <w:footnote w:id="101">
    <w:p w14:paraId="685CE0FF" w14:textId="7E071F01" w:rsidR="00553DCD" w:rsidRPr="00CE63D7" w:rsidRDefault="00553DCD" w:rsidP="00405BA9">
      <w:pPr>
        <w:pStyle w:val="FootnoteText"/>
        <w:rPr>
          <w:sz w:val="16"/>
          <w:szCs w:val="16"/>
        </w:rPr>
      </w:pPr>
      <w:r>
        <w:rPr>
          <w:rStyle w:val="FootnoteReference"/>
        </w:rPr>
        <w:footnoteRef/>
      </w:r>
      <w:r>
        <w:t xml:space="preserve"> </w:t>
      </w:r>
      <w:r w:rsidRPr="00CE63D7">
        <w:rPr>
          <w:sz w:val="16"/>
          <w:szCs w:val="16"/>
        </w:rPr>
        <w:t xml:space="preserve">Griffeth LK. </w:t>
      </w:r>
      <w:hyperlink r:id="rId105" w:history="1">
        <w:r w:rsidRPr="00EA3C34">
          <w:rPr>
            <w:rStyle w:val="Hyperlink"/>
            <w:color w:val="auto"/>
            <w:sz w:val="16"/>
            <w:szCs w:val="16"/>
            <w:u w:val="none"/>
          </w:rPr>
          <w:t>Use of PET-CT scanning in cancer patients: technical and practical considerations.</w:t>
        </w:r>
      </w:hyperlink>
      <w:r w:rsidRPr="00EA3C34">
        <w:rPr>
          <w:sz w:val="16"/>
          <w:szCs w:val="16"/>
        </w:rPr>
        <w:t xml:space="preserve"> </w:t>
      </w:r>
      <w:r w:rsidRPr="00CE63D7">
        <w:rPr>
          <w:sz w:val="16"/>
          <w:szCs w:val="16"/>
        </w:rPr>
        <w:t>Proc (</w:t>
      </w:r>
      <w:proofErr w:type="spellStart"/>
      <w:r w:rsidRPr="00CE63D7">
        <w:rPr>
          <w:sz w:val="16"/>
          <w:szCs w:val="16"/>
        </w:rPr>
        <w:t>Bayl</w:t>
      </w:r>
      <w:proofErr w:type="spellEnd"/>
      <w:r w:rsidRPr="00CE63D7">
        <w:rPr>
          <w:sz w:val="16"/>
          <w:szCs w:val="16"/>
        </w:rPr>
        <w:t xml:space="preserve"> Univ Med Cent). 2005;18(4):321-330. doi:10.1080/08998280.2005.11928089</w:t>
      </w:r>
      <w:r>
        <w:rPr>
          <w:sz w:val="16"/>
          <w:szCs w:val="16"/>
        </w:rPr>
        <w:t xml:space="preserve">. Online at: </w:t>
      </w:r>
      <w:hyperlink r:id="rId106" w:history="1">
        <w:r w:rsidRPr="002C3E34">
          <w:rPr>
            <w:rStyle w:val="Hyperlink"/>
            <w:sz w:val="16"/>
            <w:szCs w:val="16"/>
          </w:rPr>
          <w:t>https://www.ncbi.nlm.nih.gov/pmc/articles/PMC1255942/</w:t>
        </w:r>
      </w:hyperlink>
      <w:r>
        <w:rPr>
          <w:sz w:val="16"/>
          <w:szCs w:val="16"/>
        </w:rPr>
        <w:t xml:space="preserve"> </w:t>
      </w:r>
    </w:p>
  </w:footnote>
  <w:footnote w:id="102">
    <w:p w14:paraId="4E3090C6" w14:textId="77777777" w:rsidR="00553DCD" w:rsidRDefault="00553DCD" w:rsidP="00405BA9">
      <w:pPr>
        <w:pStyle w:val="FootnoteText"/>
      </w:pPr>
      <w:r>
        <w:rPr>
          <w:rStyle w:val="FootnoteReference"/>
        </w:rPr>
        <w:footnoteRef/>
      </w:r>
      <w:r>
        <w:t xml:space="preserve"> </w:t>
      </w:r>
      <w:r w:rsidRPr="003A7168">
        <w:rPr>
          <w:sz w:val="16"/>
          <w:szCs w:val="16"/>
        </w:rPr>
        <w:t>Fluorodeoxyglucose F 18</w:t>
      </w:r>
      <w:r>
        <w:rPr>
          <w:sz w:val="16"/>
          <w:szCs w:val="16"/>
        </w:rPr>
        <w:t xml:space="preserve"> is a radiotracer used in PET imaging. Also written F-FDG^18</w:t>
      </w:r>
    </w:p>
  </w:footnote>
  <w:footnote w:id="103">
    <w:p w14:paraId="382EC942" w14:textId="0A7C692B" w:rsidR="00553DCD" w:rsidRPr="005B6451" w:rsidRDefault="00553DCD" w:rsidP="00405BA9">
      <w:pPr>
        <w:pStyle w:val="FootnoteText"/>
        <w:rPr>
          <w:sz w:val="16"/>
          <w:szCs w:val="16"/>
        </w:rPr>
      </w:pPr>
      <w:r>
        <w:rPr>
          <w:rStyle w:val="FootnoteReference"/>
        </w:rPr>
        <w:footnoteRef/>
      </w:r>
      <w:r w:rsidRPr="005B6451">
        <w:t xml:space="preserve"> </w:t>
      </w:r>
      <w:proofErr w:type="spellStart"/>
      <w:r w:rsidRPr="005B6451">
        <w:rPr>
          <w:sz w:val="16"/>
          <w:szCs w:val="16"/>
        </w:rPr>
        <w:t>Farolfi</w:t>
      </w:r>
      <w:proofErr w:type="spellEnd"/>
      <w:r w:rsidRPr="005B6451">
        <w:rPr>
          <w:sz w:val="16"/>
          <w:szCs w:val="16"/>
        </w:rPr>
        <w:t xml:space="preserve">, </w:t>
      </w:r>
      <w:proofErr w:type="spellStart"/>
      <w:r w:rsidRPr="005B6451">
        <w:rPr>
          <w:sz w:val="16"/>
          <w:szCs w:val="16"/>
        </w:rPr>
        <w:t>Andreaa</w:t>
      </w:r>
      <w:proofErr w:type="spellEnd"/>
      <w:r w:rsidRPr="005B6451">
        <w:rPr>
          <w:sz w:val="16"/>
          <w:szCs w:val="16"/>
        </w:rPr>
        <w:t xml:space="preserve">; Koschel, </w:t>
      </w:r>
      <w:proofErr w:type="spellStart"/>
      <w:r w:rsidRPr="005B6451">
        <w:rPr>
          <w:sz w:val="16"/>
          <w:szCs w:val="16"/>
        </w:rPr>
        <w:t>Samanthab</w:t>
      </w:r>
      <w:proofErr w:type="spellEnd"/>
      <w:r w:rsidRPr="005B6451">
        <w:rPr>
          <w:sz w:val="16"/>
          <w:szCs w:val="16"/>
        </w:rPr>
        <w:t xml:space="preserve">; Murphy, Declan </w:t>
      </w:r>
      <w:proofErr w:type="spellStart"/>
      <w:proofErr w:type="gramStart"/>
      <w:r w:rsidRPr="005B6451">
        <w:rPr>
          <w:sz w:val="16"/>
          <w:szCs w:val="16"/>
        </w:rPr>
        <w:t>G.b,c</w:t>
      </w:r>
      <w:proofErr w:type="spellEnd"/>
      <w:proofErr w:type="gramEnd"/>
      <w:r w:rsidRPr="005B6451">
        <w:rPr>
          <w:sz w:val="16"/>
          <w:szCs w:val="16"/>
        </w:rPr>
        <w:t xml:space="preserve">; Fanti, </w:t>
      </w:r>
      <w:proofErr w:type="spellStart"/>
      <w:r w:rsidRPr="005B6451">
        <w:rPr>
          <w:sz w:val="16"/>
          <w:szCs w:val="16"/>
        </w:rPr>
        <w:t>Stefanoa</w:t>
      </w:r>
      <w:proofErr w:type="spellEnd"/>
      <w:r w:rsidRPr="005B6451">
        <w:rPr>
          <w:sz w:val="16"/>
          <w:szCs w:val="16"/>
        </w:rPr>
        <w:t xml:space="preserve">. </w:t>
      </w:r>
      <w:hyperlink r:id="rId107" w:history="1">
        <w:r w:rsidRPr="001D3AEE">
          <w:rPr>
            <w:rStyle w:val="Hyperlink"/>
            <w:color w:val="auto"/>
            <w:sz w:val="16"/>
            <w:szCs w:val="16"/>
            <w:u w:val="none"/>
          </w:rPr>
          <w:t>PET imaging in urology: a rapidly growing successful collaboration</w:t>
        </w:r>
      </w:hyperlink>
      <w:r w:rsidRPr="005B6451">
        <w:rPr>
          <w:sz w:val="16"/>
          <w:szCs w:val="16"/>
        </w:rPr>
        <w:t>. Current Opinion in Urology: September 2020 - Volume 30 - Issue 5 - p 623-627</w:t>
      </w:r>
    </w:p>
    <w:p w14:paraId="75EBADD5" w14:textId="77777777" w:rsidR="00553DCD" w:rsidRPr="0041197C" w:rsidRDefault="00553DCD" w:rsidP="00405BA9">
      <w:pPr>
        <w:pStyle w:val="FootnoteText"/>
        <w:rPr>
          <w:sz w:val="16"/>
          <w:szCs w:val="16"/>
        </w:rPr>
      </w:pPr>
      <w:proofErr w:type="spellStart"/>
      <w:r w:rsidRPr="0041197C">
        <w:rPr>
          <w:sz w:val="16"/>
          <w:szCs w:val="16"/>
        </w:rPr>
        <w:t>doi</w:t>
      </w:r>
      <w:proofErr w:type="spellEnd"/>
      <w:r w:rsidRPr="0041197C">
        <w:rPr>
          <w:sz w:val="16"/>
          <w:szCs w:val="16"/>
        </w:rPr>
        <w:t xml:space="preserve">: 10.1097/MOU.0000000000000800. Online at : </w:t>
      </w:r>
      <w:hyperlink r:id="rId108" w:history="1">
        <w:r w:rsidRPr="00534204">
          <w:rPr>
            <w:rStyle w:val="Hyperlink"/>
            <w:sz w:val="16"/>
            <w:szCs w:val="16"/>
          </w:rPr>
          <w:t>https://journals.lww.com/co-urology/Abstract/2020/09000/PET_imaging_in_urology__a_rapidly_growing.2.aspx</w:t>
        </w:r>
      </w:hyperlink>
      <w:r>
        <w:rPr>
          <w:sz w:val="16"/>
          <w:szCs w:val="16"/>
        </w:rPr>
        <w:t xml:space="preserve"> </w:t>
      </w:r>
    </w:p>
  </w:footnote>
  <w:footnote w:id="104">
    <w:p w14:paraId="6D78C1CE" w14:textId="77777777" w:rsidR="00553DCD" w:rsidRDefault="00553DCD" w:rsidP="00405BA9">
      <w:pPr>
        <w:pStyle w:val="FootnoteText"/>
      </w:pPr>
      <w:r>
        <w:rPr>
          <w:rStyle w:val="FootnoteReference"/>
        </w:rPr>
        <w:footnoteRef/>
      </w:r>
      <w:r>
        <w:t xml:space="preserve"> </w:t>
      </w:r>
      <w:r w:rsidRPr="00A67D39">
        <w:rPr>
          <w:i/>
          <w:iCs/>
          <w:sz w:val="16"/>
          <w:szCs w:val="16"/>
        </w:rPr>
        <w:t>Ibid.</w:t>
      </w:r>
    </w:p>
  </w:footnote>
  <w:footnote w:id="105">
    <w:p w14:paraId="4CAFFEBC" w14:textId="77777777" w:rsidR="00553DCD" w:rsidRDefault="00553DCD" w:rsidP="00405BA9">
      <w:pPr>
        <w:pStyle w:val="FootnoteText"/>
      </w:pPr>
      <w:r>
        <w:rPr>
          <w:rStyle w:val="FootnoteReference"/>
        </w:rPr>
        <w:footnoteRef/>
      </w:r>
      <w:r>
        <w:t xml:space="preserve"> </w:t>
      </w:r>
      <w:r w:rsidRPr="0096293E">
        <w:rPr>
          <w:sz w:val="16"/>
          <w:szCs w:val="16"/>
        </w:rPr>
        <w:t>Theragnostics is a treatment strategy that combines therapeutics with diagnostics. It associates both a diagnostic test that identifies patients most likely to be helped or harmed by a new medication, and targeted drug therapy based on the test results.</w:t>
      </w:r>
    </w:p>
  </w:footnote>
  <w:footnote w:id="106">
    <w:p w14:paraId="16CC58BA" w14:textId="77777777" w:rsidR="00553DCD" w:rsidRPr="00923E50" w:rsidRDefault="00553DCD" w:rsidP="00405BA9">
      <w:pPr>
        <w:pStyle w:val="FootnoteText"/>
        <w:rPr>
          <w:sz w:val="16"/>
          <w:szCs w:val="16"/>
        </w:rPr>
      </w:pPr>
      <w:r>
        <w:rPr>
          <w:rStyle w:val="FootnoteReference"/>
        </w:rPr>
        <w:footnoteRef/>
      </w:r>
      <w:r w:rsidRPr="00923E50">
        <w:t xml:space="preserve"> </w:t>
      </w:r>
      <w:r w:rsidRPr="00923E50">
        <w:rPr>
          <w:sz w:val="16"/>
          <w:szCs w:val="16"/>
        </w:rPr>
        <w:t>Prostate specific membrane antigen radiotracer (PSMA radiotracer) is a medicinal compound, called a radiopharmaceutical, that is used in PET/CT imaging.</w:t>
      </w:r>
    </w:p>
  </w:footnote>
  <w:footnote w:id="107">
    <w:p w14:paraId="387496A9" w14:textId="77777777" w:rsidR="00553DCD" w:rsidRPr="009B3F30" w:rsidRDefault="00553DCD" w:rsidP="00405BA9">
      <w:pPr>
        <w:pStyle w:val="FootnoteText"/>
      </w:pPr>
      <w:r>
        <w:rPr>
          <w:rStyle w:val="FootnoteReference"/>
        </w:rPr>
        <w:footnoteRef/>
      </w:r>
      <w:r w:rsidRPr="009B3F30">
        <w:t xml:space="preserve"> </w:t>
      </w:r>
      <w:r w:rsidRPr="009B3F30">
        <w:rPr>
          <w:i/>
          <w:iCs/>
          <w:sz w:val="16"/>
          <w:szCs w:val="16"/>
        </w:rPr>
        <w:t xml:space="preserve">Ibid -- </w:t>
      </w:r>
      <w:r w:rsidRPr="009B3F30">
        <w:rPr>
          <w:sz w:val="16"/>
          <w:szCs w:val="16"/>
        </w:rPr>
        <w:t>Note 22</w:t>
      </w:r>
    </w:p>
  </w:footnote>
  <w:footnote w:id="108">
    <w:p w14:paraId="6BC4A8FC" w14:textId="53E9177C" w:rsidR="00553DCD" w:rsidRDefault="00553DCD" w:rsidP="00405BA9">
      <w:pPr>
        <w:pStyle w:val="FootnoteText"/>
      </w:pPr>
      <w:r>
        <w:rPr>
          <w:rStyle w:val="FootnoteReference"/>
        </w:rPr>
        <w:footnoteRef/>
      </w:r>
      <w:r w:rsidRPr="009B3F30">
        <w:t xml:space="preserve"> </w:t>
      </w:r>
      <w:r w:rsidRPr="009B3F30">
        <w:rPr>
          <w:sz w:val="16"/>
          <w:szCs w:val="16"/>
        </w:rPr>
        <w:t xml:space="preserve">Slomka, P., Berman, D.S., Alexanderson, E. et al. </w:t>
      </w:r>
      <w:hyperlink r:id="rId109" w:history="1">
        <w:r w:rsidRPr="00BA2FD6">
          <w:rPr>
            <w:rStyle w:val="Hyperlink"/>
            <w:color w:val="auto"/>
            <w:sz w:val="16"/>
            <w:szCs w:val="16"/>
            <w:u w:val="none"/>
          </w:rPr>
          <w:t>The role of PET quantification in cardiovascular imaging</w:t>
        </w:r>
      </w:hyperlink>
      <w:r w:rsidRPr="00BA2FD6">
        <w:rPr>
          <w:sz w:val="16"/>
          <w:szCs w:val="16"/>
        </w:rPr>
        <w:t xml:space="preserve">. </w:t>
      </w:r>
      <w:r w:rsidRPr="00B0695F">
        <w:rPr>
          <w:sz w:val="16"/>
          <w:szCs w:val="16"/>
        </w:rPr>
        <w:t xml:space="preserve">Clin </w:t>
      </w:r>
      <w:proofErr w:type="spellStart"/>
      <w:r w:rsidRPr="00B0695F">
        <w:rPr>
          <w:sz w:val="16"/>
          <w:szCs w:val="16"/>
        </w:rPr>
        <w:t>Transl</w:t>
      </w:r>
      <w:proofErr w:type="spellEnd"/>
      <w:r w:rsidRPr="00B0695F">
        <w:rPr>
          <w:sz w:val="16"/>
          <w:szCs w:val="16"/>
        </w:rPr>
        <w:t xml:space="preserve"> Imaging 2, 343–358 (2014). </w:t>
      </w:r>
      <w:r>
        <w:rPr>
          <w:sz w:val="16"/>
          <w:szCs w:val="16"/>
        </w:rPr>
        <w:t xml:space="preserve">Online at: </w:t>
      </w:r>
      <w:hyperlink r:id="rId110" w:history="1">
        <w:r w:rsidRPr="002C3E34">
          <w:rPr>
            <w:rStyle w:val="Hyperlink"/>
            <w:sz w:val="16"/>
            <w:szCs w:val="16"/>
          </w:rPr>
          <w:t>https://pubmed.ncbi.nlm.nih.gov/26247005/</w:t>
        </w:r>
      </w:hyperlink>
      <w:r>
        <w:rPr>
          <w:sz w:val="16"/>
          <w:szCs w:val="16"/>
        </w:rPr>
        <w:t xml:space="preserve"> </w:t>
      </w:r>
    </w:p>
  </w:footnote>
  <w:footnote w:id="109">
    <w:p w14:paraId="7293B259" w14:textId="0466E3A2" w:rsidR="00553DCD" w:rsidRDefault="00553DCD" w:rsidP="00405BA9">
      <w:pPr>
        <w:pStyle w:val="FootnoteText"/>
      </w:pPr>
      <w:r>
        <w:rPr>
          <w:rStyle w:val="FootnoteReference"/>
        </w:rPr>
        <w:footnoteRef/>
      </w:r>
      <w:r>
        <w:t xml:space="preserve"> </w:t>
      </w:r>
      <w:r w:rsidRPr="006F2F71">
        <w:rPr>
          <w:sz w:val="16"/>
          <w:szCs w:val="16"/>
        </w:rPr>
        <w:t xml:space="preserve">Strait JB, </w:t>
      </w:r>
      <w:proofErr w:type="spellStart"/>
      <w:r w:rsidRPr="006F2F71">
        <w:rPr>
          <w:sz w:val="16"/>
          <w:szCs w:val="16"/>
        </w:rPr>
        <w:t>Lakatta</w:t>
      </w:r>
      <w:proofErr w:type="spellEnd"/>
      <w:r w:rsidRPr="006F2F71">
        <w:rPr>
          <w:sz w:val="16"/>
          <w:szCs w:val="16"/>
        </w:rPr>
        <w:t xml:space="preserve"> EG. </w:t>
      </w:r>
      <w:hyperlink r:id="rId111" w:history="1">
        <w:r w:rsidRPr="00BA2FD6">
          <w:rPr>
            <w:rStyle w:val="Hyperlink"/>
            <w:color w:val="auto"/>
            <w:sz w:val="16"/>
            <w:szCs w:val="16"/>
            <w:u w:val="none"/>
          </w:rPr>
          <w:t>Aging-associated cardiovascular changes and their relationship to heart failure.</w:t>
        </w:r>
      </w:hyperlink>
      <w:r w:rsidRPr="00BA2FD6">
        <w:rPr>
          <w:sz w:val="16"/>
          <w:szCs w:val="16"/>
        </w:rPr>
        <w:t xml:space="preserve"> </w:t>
      </w:r>
      <w:r w:rsidRPr="006F2F71">
        <w:rPr>
          <w:sz w:val="16"/>
          <w:szCs w:val="16"/>
        </w:rPr>
        <w:t xml:space="preserve">Heart Fail Clin. 2012;8(1):143-164. </w:t>
      </w:r>
      <w:proofErr w:type="gramStart"/>
      <w:r w:rsidRPr="006F2F71">
        <w:rPr>
          <w:sz w:val="16"/>
          <w:szCs w:val="16"/>
        </w:rPr>
        <w:t>doi:10.1016/j.hfc</w:t>
      </w:r>
      <w:proofErr w:type="gramEnd"/>
      <w:r w:rsidRPr="006F2F71">
        <w:rPr>
          <w:sz w:val="16"/>
          <w:szCs w:val="16"/>
        </w:rPr>
        <w:t>.2011.08.011</w:t>
      </w:r>
      <w:r>
        <w:rPr>
          <w:sz w:val="16"/>
          <w:szCs w:val="16"/>
        </w:rPr>
        <w:t xml:space="preserve">. Online at: </w:t>
      </w:r>
      <w:hyperlink r:id="rId112" w:history="1">
        <w:r w:rsidRPr="002C3E34">
          <w:rPr>
            <w:rStyle w:val="Hyperlink"/>
            <w:sz w:val="16"/>
            <w:szCs w:val="16"/>
          </w:rPr>
          <w:t>https://pubmed.ncbi.nlm.nih.gov/22108734/</w:t>
        </w:r>
      </w:hyperlink>
      <w:r>
        <w:rPr>
          <w:sz w:val="16"/>
          <w:szCs w:val="16"/>
        </w:rPr>
        <w:t xml:space="preserve"> </w:t>
      </w:r>
    </w:p>
  </w:footnote>
  <w:footnote w:id="110">
    <w:p w14:paraId="272DE244" w14:textId="7F12714F" w:rsidR="00553DCD" w:rsidRDefault="00553DCD" w:rsidP="00405BA9">
      <w:pPr>
        <w:pStyle w:val="FootnoteText"/>
      </w:pPr>
      <w:r>
        <w:rPr>
          <w:rStyle w:val="FootnoteReference"/>
        </w:rPr>
        <w:footnoteRef/>
      </w:r>
      <w:r w:rsidRPr="003133AD">
        <w:rPr>
          <w:lang w:val="es-ES"/>
        </w:rPr>
        <w:t xml:space="preserve"> </w:t>
      </w:r>
      <w:proofErr w:type="spellStart"/>
      <w:r w:rsidRPr="003133AD">
        <w:rPr>
          <w:sz w:val="16"/>
          <w:szCs w:val="16"/>
          <w:lang w:val="es-ES"/>
        </w:rPr>
        <w:t>Knaapen</w:t>
      </w:r>
      <w:proofErr w:type="spellEnd"/>
      <w:r w:rsidRPr="003133AD">
        <w:rPr>
          <w:sz w:val="16"/>
          <w:szCs w:val="16"/>
          <w:lang w:val="es-ES"/>
        </w:rPr>
        <w:t xml:space="preserve"> P, de Haan S, </w:t>
      </w:r>
      <w:proofErr w:type="spellStart"/>
      <w:r w:rsidRPr="003133AD">
        <w:rPr>
          <w:sz w:val="16"/>
          <w:szCs w:val="16"/>
          <w:lang w:val="es-ES"/>
        </w:rPr>
        <w:t>Hoekstra</w:t>
      </w:r>
      <w:proofErr w:type="spellEnd"/>
      <w:r w:rsidRPr="003133AD">
        <w:rPr>
          <w:sz w:val="16"/>
          <w:szCs w:val="16"/>
          <w:lang w:val="es-ES"/>
        </w:rPr>
        <w:t xml:space="preserve"> OS, et al. </w:t>
      </w:r>
      <w:hyperlink r:id="rId113" w:history="1">
        <w:r w:rsidRPr="00BA2FD6">
          <w:rPr>
            <w:rStyle w:val="Hyperlink"/>
            <w:color w:val="auto"/>
            <w:sz w:val="16"/>
            <w:szCs w:val="16"/>
            <w:u w:val="none"/>
          </w:rPr>
          <w:t>Cardiac PET-CT: advanced hybrid imaging for the detection of coronary artery disease.</w:t>
        </w:r>
      </w:hyperlink>
      <w:r w:rsidRPr="00BA2FD6">
        <w:rPr>
          <w:sz w:val="16"/>
          <w:szCs w:val="16"/>
        </w:rPr>
        <w:t xml:space="preserve"> </w:t>
      </w:r>
      <w:r w:rsidRPr="003133AD">
        <w:rPr>
          <w:sz w:val="16"/>
          <w:szCs w:val="16"/>
        </w:rPr>
        <w:t>Neth Heart J. 2010;18(2):90-98. doi:10.1007/BF03091744</w:t>
      </w:r>
      <w:r>
        <w:rPr>
          <w:sz w:val="16"/>
          <w:szCs w:val="16"/>
        </w:rPr>
        <w:t xml:space="preserve">. Online at: </w:t>
      </w:r>
      <w:hyperlink r:id="rId114" w:history="1">
        <w:r w:rsidRPr="002C3E34">
          <w:rPr>
            <w:rStyle w:val="Hyperlink"/>
            <w:sz w:val="16"/>
            <w:szCs w:val="16"/>
          </w:rPr>
          <w:t>https://www.ncbi.nlm.nih.gov/pmc/articles/PMC2828569/</w:t>
        </w:r>
      </w:hyperlink>
      <w:r>
        <w:rPr>
          <w:sz w:val="16"/>
          <w:szCs w:val="16"/>
        </w:rPr>
        <w:t xml:space="preserve"> </w:t>
      </w:r>
    </w:p>
  </w:footnote>
  <w:footnote w:id="111">
    <w:p w14:paraId="264E0DC4" w14:textId="3D3DA835" w:rsidR="00553DCD" w:rsidRPr="007374EA" w:rsidRDefault="00553DCD" w:rsidP="00405BA9">
      <w:pPr>
        <w:rPr>
          <w:sz w:val="20"/>
          <w:szCs w:val="20"/>
        </w:rPr>
      </w:pPr>
      <w:r>
        <w:rPr>
          <w:rStyle w:val="FootnoteReference"/>
        </w:rPr>
        <w:footnoteRef/>
      </w:r>
      <w:r>
        <w:t xml:space="preserve"> </w:t>
      </w:r>
      <w:r w:rsidRPr="006C27ED">
        <w:rPr>
          <w:color w:val="212121"/>
          <w:sz w:val="16"/>
          <w:szCs w:val="16"/>
          <w:shd w:val="clear" w:color="auto" w:fill="FFFFFF"/>
        </w:rPr>
        <w:t xml:space="preserve">Visser F. C. (2001). </w:t>
      </w:r>
      <w:hyperlink r:id="rId115" w:history="1">
        <w:r w:rsidRPr="00BA2FD6">
          <w:rPr>
            <w:rStyle w:val="Hyperlink"/>
            <w:color w:val="auto"/>
            <w:sz w:val="16"/>
            <w:szCs w:val="16"/>
            <w:u w:val="none"/>
            <w:shd w:val="clear" w:color="auto" w:fill="FFFFFF"/>
          </w:rPr>
          <w:t>Imaging of cardiac metabolism using radio-labelled glucose, fatty acids and acetate</w:t>
        </w:r>
      </w:hyperlink>
      <w:r w:rsidRPr="00BA2FD6">
        <w:rPr>
          <w:sz w:val="16"/>
          <w:szCs w:val="16"/>
          <w:shd w:val="clear" w:color="auto" w:fill="FFFFFF"/>
        </w:rPr>
        <w:t>.</w:t>
      </w:r>
      <w:r w:rsidRPr="00BA2FD6">
        <w:rPr>
          <w:rStyle w:val="apple-converted-space"/>
          <w:sz w:val="16"/>
          <w:szCs w:val="16"/>
          <w:shd w:val="clear" w:color="auto" w:fill="FFFFFF"/>
        </w:rPr>
        <w:t> </w:t>
      </w:r>
      <w:r w:rsidRPr="006C27ED">
        <w:rPr>
          <w:i/>
          <w:iCs/>
          <w:color w:val="212121"/>
          <w:sz w:val="16"/>
          <w:szCs w:val="16"/>
        </w:rPr>
        <w:t>Coronary artery disease</w:t>
      </w:r>
      <w:r w:rsidRPr="006C27ED">
        <w:rPr>
          <w:color w:val="212121"/>
          <w:sz w:val="16"/>
          <w:szCs w:val="16"/>
          <w:shd w:val="clear" w:color="auto" w:fill="FFFFFF"/>
        </w:rPr>
        <w:t>,</w:t>
      </w:r>
      <w:r w:rsidRPr="006C27ED">
        <w:rPr>
          <w:rStyle w:val="apple-converted-space"/>
          <w:color w:val="212121"/>
          <w:sz w:val="16"/>
          <w:szCs w:val="16"/>
          <w:shd w:val="clear" w:color="auto" w:fill="FFFFFF"/>
        </w:rPr>
        <w:t> </w:t>
      </w:r>
      <w:r w:rsidRPr="006C27ED">
        <w:rPr>
          <w:i/>
          <w:iCs/>
          <w:color w:val="212121"/>
          <w:sz w:val="16"/>
          <w:szCs w:val="16"/>
        </w:rPr>
        <w:t>12 Suppl 1</w:t>
      </w:r>
      <w:r w:rsidRPr="006C27ED">
        <w:rPr>
          <w:color w:val="212121"/>
          <w:sz w:val="16"/>
          <w:szCs w:val="16"/>
          <w:shd w:val="clear" w:color="auto" w:fill="FFFFFF"/>
        </w:rPr>
        <w:t>, S12–S18.</w:t>
      </w:r>
      <w:r>
        <w:rPr>
          <w:color w:val="212121"/>
          <w:sz w:val="16"/>
          <w:szCs w:val="16"/>
          <w:shd w:val="clear" w:color="auto" w:fill="FFFFFF"/>
        </w:rPr>
        <w:t xml:space="preserve"> Online at:</w:t>
      </w:r>
      <w:r w:rsidRPr="006C27ED">
        <w:rPr>
          <w:color w:val="212121"/>
          <w:sz w:val="16"/>
          <w:szCs w:val="16"/>
          <w:shd w:val="clear" w:color="auto" w:fill="FFFFFF"/>
        </w:rPr>
        <w:t xml:space="preserve"> </w:t>
      </w:r>
      <w:hyperlink r:id="rId116" w:history="1">
        <w:r w:rsidRPr="006C27ED">
          <w:rPr>
            <w:rStyle w:val="Hyperlink"/>
            <w:sz w:val="16"/>
            <w:szCs w:val="16"/>
            <w:shd w:val="clear" w:color="auto" w:fill="FFFFFF"/>
          </w:rPr>
          <w:t>https://pubmed.ncbi.nlm.nih.gov/11286301/</w:t>
        </w:r>
      </w:hyperlink>
      <w:r w:rsidRPr="006C27ED">
        <w:rPr>
          <w:color w:val="212121"/>
          <w:sz w:val="12"/>
          <w:szCs w:val="12"/>
          <w:shd w:val="clear" w:color="auto" w:fill="FFFFFF"/>
        </w:rPr>
        <w:t xml:space="preserve"> </w:t>
      </w:r>
    </w:p>
    <w:p w14:paraId="1B72E17C" w14:textId="77777777" w:rsidR="00553DCD" w:rsidRDefault="00553DCD" w:rsidP="00405BA9">
      <w:pPr>
        <w:pStyle w:val="FootnoteText"/>
      </w:pPr>
    </w:p>
  </w:footnote>
  <w:footnote w:id="112">
    <w:p w14:paraId="21411E40" w14:textId="1E80F82F" w:rsidR="00553DCD" w:rsidRDefault="00553DCD" w:rsidP="00405BA9">
      <w:pPr>
        <w:pStyle w:val="FootnoteText"/>
      </w:pPr>
      <w:r>
        <w:rPr>
          <w:rStyle w:val="FootnoteReference"/>
        </w:rPr>
        <w:footnoteRef/>
      </w:r>
      <w:r>
        <w:t xml:space="preserve"> </w:t>
      </w:r>
      <w:r w:rsidRPr="00B774CA">
        <w:rPr>
          <w:color w:val="303030"/>
          <w:sz w:val="16"/>
          <w:szCs w:val="16"/>
          <w:shd w:val="clear" w:color="auto" w:fill="FFFFFF"/>
        </w:rPr>
        <w:t xml:space="preserve">Zhuang, H., &amp; Codreanu, I. (2015). </w:t>
      </w:r>
      <w:hyperlink r:id="rId117" w:history="1">
        <w:r w:rsidRPr="00BA2FD6">
          <w:rPr>
            <w:rStyle w:val="Hyperlink"/>
            <w:color w:val="auto"/>
            <w:sz w:val="16"/>
            <w:szCs w:val="16"/>
            <w:u w:val="none"/>
            <w:shd w:val="clear" w:color="auto" w:fill="FFFFFF"/>
          </w:rPr>
          <w:t>Growing applications of FDG PET-CT imaging in non-oncologic conditions</w:t>
        </w:r>
      </w:hyperlink>
      <w:r w:rsidRPr="00B774CA">
        <w:rPr>
          <w:color w:val="303030"/>
          <w:sz w:val="16"/>
          <w:szCs w:val="16"/>
          <w:shd w:val="clear" w:color="auto" w:fill="FFFFFF"/>
        </w:rPr>
        <w:t>.</w:t>
      </w:r>
      <w:r w:rsidRPr="00B774CA">
        <w:rPr>
          <w:rStyle w:val="apple-converted-space"/>
          <w:color w:val="303030"/>
          <w:sz w:val="16"/>
          <w:szCs w:val="16"/>
          <w:shd w:val="clear" w:color="auto" w:fill="FFFFFF"/>
        </w:rPr>
        <w:t> </w:t>
      </w:r>
      <w:r w:rsidRPr="00B774CA">
        <w:rPr>
          <w:i/>
          <w:iCs/>
          <w:color w:val="303030"/>
          <w:sz w:val="16"/>
          <w:szCs w:val="16"/>
        </w:rPr>
        <w:t>Journal of biomedical research</w:t>
      </w:r>
      <w:r w:rsidRPr="00B774CA">
        <w:rPr>
          <w:color w:val="303030"/>
          <w:sz w:val="16"/>
          <w:szCs w:val="16"/>
          <w:shd w:val="clear" w:color="auto" w:fill="FFFFFF"/>
        </w:rPr>
        <w:t>,</w:t>
      </w:r>
      <w:r w:rsidRPr="00B774CA">
        <w:rPr>
          <w:rStyle w:val="apple-converted-space"/>
          <w:color w:val="303030"/>
          <w:sz w:val="16"/>
          <w:szCs w:val="16"/>
          <w:shd w:val="clear" w:color="auto" w:fill="FFFFFF"/>
        </w:rPr>
        <w:t> </w:t>
      </w:r>
      <w:r w:rsidRPr="00B774CA">
        <w:rPr>
          <w:i/>
          <w:iCs/>
          <w:color w:val="303030"/>
          <w:sz w:val="16"/>
          <w:szCs w:val="16"/>
        </w:rPr>
        <w:t>29</w:t>
      </w:r>
      <w:r w:rsidRPr="00B774CA">
        <w:rPr>
          <w:color w:val="303030"/>
          <w:sz w:val="16"/>
          <w:szCs w:val="16"/>
          <w:shd w:val="clear" w:color="auto" w:fill="FFFFFF"/>
        </w:rPr>
        <w:t xml:space="preserve">(3), 189–202. Online at: </w:t>
      </w:r>
      <w:hyperlink r:id="rId118" w:history="1">
        <w:r w:rsidRPr="00B774CA">
          <w:rPr>
            <w:rStyle w:val="Hyperlink"/>
            <w:sz w:val="16"/>
            <w:szCs w:val="16"/>
            <w:shd w:val="clear" w:color="auto" w:fill="FFFFFF"/>
          </w:rPr>
          <w:t>https://www.ncbi.nlm.nih.gov/pmc/articles/PMC4449487/</w:t>
        </w:r>
      </w:hyperlink>
    </w:p>
  </w:footnote>
  <w:footnote w:id="113">
    <w:p w14:paraId="5A324CAC" w14:textId="791CCBDD" w:rsidR="00553DCD" w:rsidRDefault="00553DCD" w:rsidP="00405BA9">
      <w:pPr>
        <w:pStyle w:val="FootnoteText"/>
      </w:pPr>
      <w:r>
        <w:rPr>
          <w:rStyle w:val="FootnoteReference"/>
        </w:rPr>
        <w:footnoteRef/>
      </w:r>
      <w:r>
        <w:t xml:space="preserve"> </w:t>
      </w:r>
      <w:proofErr w:type="spellStart"/>
      <w:r w:rsidRPr="00BE4693">
        <w:rPr>
          <w:color w:val="212121"/>
          <w:sz w:val="16"/>
          <w:szCs w:val="16"/>
          <w:shd w:val="clear" w:color="auto" w:fill="FFFFFF"/>
        </w:rPr>
        <w:t>Bax</w:t>
      </w:r>
      <w:proofErr w:type="spellEnd"/>
      <w:r w:rsidRPr="00BE4693">
        <w:rPr>
          <w:color w:val="212121"/>
          <w:sz w:val="16"/>
          <w:szCs w:val="16"/>
          <w:shd w:val="clear" w:color="auto" w:fill="FFFFFF"/>
        </w:rPr>
        <w:t xml:space="preserve">, J. J., Patton, J. A., </w:t>
      </w:r>
      <w:proofErr w:type="spellStart"/>
      <w:r w:rsidRPr="00BE4693">
        <w:rPr>
          <w:color w:val="212121"/>
          <w:sz w:val="16"/>
          <w:szCs w:val="16"/>
          <w:shd w:val="clear" w:color="auto" w:fill="FFFFFF"/>
        </w:rPr>
        <w:t>Poldermans</w:t>
      </w:r>
      <w:proofErr w:type="spellEnd"/>
      <w:r w:rsidRPr="00BE4693">
        <w:rPr>
          <w:color w:val="212121"/>
          <w:sz w:val="16"/>
          <w:szCs w:val="16"/>
          <w:shd w:val="clear" w:color="auto" w:fill="FFFFFF"/>
        </w:rPr>
        <w:t xml:space="preserve">, D., </w:t>
      </w:r>
      <w:proofErr w:type="spellStart"/>
      <w:r w:rsidRPr="00BE4693">
        <w:rPr>
          <w:color w:val="212121"/>
          <w:sz w:val="16"/>
          <w:szCs w:val="16"/>
          <w:shd w:val="clear" w:color="auto" w:fill="FFFFFF"/>
        </w:rPr>
        <w:t>Elhendy</w:t>
      </w:r>
      <w:proofErr w:type="spellEnd"/>
      <w:r w:rsidRPr="00BE4693">
        <w:rPr>
          <w:color w:val="212121"/>
          <w:sz w:val="16"/>
          <w:szCs w:val="16"/>
          <w:shd w:val="clear" w:color="auto" w:fill="FFFFFF"/>
        </w:rPr>
        <w:t xml:space="preserve">, A., &amp; Sandler, M. P. (2000). </w:t>
      </w:r>
      <w:hyperlink r:id="rId119" w:history="1">
        <w:r w:rsidRPr="00BA2FD6">
          <w:rPr>
            <w:rStyle w:val="Hyperlink"/>
            <w:color w:val="auto"/>
            <w:sz w:val="16"/>
            <w:szCs w:val="16"/>
            <w:u w:val="none"/>
            <w:shd w:val="clear" w:color="auto" w:fill="FFFFFF"/>
          </w:rPr>
          <w:t>18-Fluorodeoxyglucose imaging with positron emission tomography and single photon emission computed tomography: cardiac applications. </w:t>
        </w:r>
      </w:hyperlink>
      <w:r w:rsidRPr="00BE4693">
        <w:rPr>
          <w:i/>
          <w:iCs/>
          <w:color w:val="212121"/>
          <w:sz w:val="16"/>
          <w:szCs w:val="16"/>
        </w:rPr>
        <w:t>Seminars in nuclear medicine</w:t>
      </w:r>
      <w:r w:rsidRPr="00BE4693">
        <w:rPr>
          <w:color w:val="212121"/>
          <w:sz w:val="16"/>
          <w:szCs w:val="16"/>
          <w:shd w:val="clear" w:color="auto" w:fill="FFFFFF"/>
        </w:rPr>
        <w:t>,</w:t>
      </w:r>
      <w:r w:rsidRPr="00BE4693">
        <w:rPr>
          <w:rStyle w:val="apple-converted-space"/>
          <w:color w:val="212121"/>
          <w:sz w:val="16"/>
          <w:szCs w:val="16"/>
          <w:shd w:val="clear" w:color="auto" w:fill="FFFFFF"/>
        </w:rPr>
        <w:t> </w:t>
      </w:r>
      <w:r w:rsidRPr="00BE4693">
        <w:rPr>
          <w:i/>
          <w:iCs/>
          <w:color w:val="212121"/>
          <w:sz w:val="16"/>
          <w:szCs w:val="16"/>
        </w:rPr>
        <w:t>30</w:t>
      </w:r>
      <w:r w:rsidRPr="00BE4693">
        <w:rPr>
          <w:color w:val="212121"/>
          <w:sz w:val="16"/>
          <w:szCs w:val="16"/>
          <w:shd w:val="clear" w:color="auto" w:fill="FFFFFF"/>
        </w:rPr>
        <w:t xml:space="preserve">(4), 281–298. Online at: </w:t>
      </w:r>
      <w:hyperlink r:id="rId120" w:history="1">
        <w:r w:rsidRPr="00BE4693">
          <w:rPr>
            <w:rStyle w:val="Hyperlink"/>
            <w:sz w:val="16"/>
            <w:szCs w:val="16"/>
            <w:shd w:val="clear" w:color="auto" w:fill="FFFFFF"/>
          </w:rPr>
          <w:t>https://pubmed.ncbi.nlm.nih.gov/11105929/</w:t>
        </w:r>
      </w:hyperlink>
    </w:p>
  </w:footnote>
  <w:footnote w:id="114">
    <w:p w14:paraId="56B45101" w14:textId="3259C9C4" w:rsidR="00553DCD" w:rsidRPr="000E07E5" w:rsidRDefault="00553DCD" w:rsidP="00405BA9">
      <w:pPr>
        <w:spacing w:after="0" w:line="240" w:lineRule="auto"/>
        <w:rPr>
          <w:sz w:val="20"/>
          <w:szCs w:val="20"/>
        </w:rPr>
      </w:pPr>
      <w:r>
        <w:rPr>
          <w:rStyle w:val="FootnoteReference"/>
        </w:rPr>
        <w:footnoteRef/>
      </w:r>
      <w:r>
        <w:t xml:space="preserve"> </w:t>
      </w:r>
      <w:r w:rsidRPr="000E07E5">
        <w:rPr>
          <w:color w:val="303030"/>
          <w:sz w:val="16"/>
          <w:szCs w:val="16"/>
          <w:shd w:val="clear" w:color="auto" w:fill="FFFFFF"/>
        </w:rPr>
        <w:t xml:space="preserve">Zhuang, H., &amp; Codreanu, I. (2015). </w:t>
      </w:r>
      <w:hyperlink r:id="rId121" w:history="1">
        <w:r w:rsidRPr="00BA2FD6">
          <w:rPr>
            <w:rStyle w:val="Hyperlink"/>
            <w:color w:val="auto"/>
            <w:sz w:val="16"/>
            <w:szCs w:val="16"/>
            <w:u w:val="none"/>
            <w:shd w:val="clear" w:color="auto" w:fill="FFFFFF"/>
          </w:rPr>
          <w:t>Growing applications of FDG PET-CT imaging in non-oncologic conditions. </w:t>
        </w:r>
      </w:hyperlink>
      <w:r w:rsidRPr="00BA2FD6">
        <w:rPr>
          <w:i/>
          <w:iCs/>
          <w:sz w:val="16"/>
          <w:szCs w:val="16"/>
        </w:rPr>
        <w:t xml:space="preserve">Journal </w:t>
      </w:r>
      <w:r w:rsidRPr="000E07E5">
        <w:rPr>
          <w:i/>
          <w:iCs/>
          <w:color w:val="303030"/>
          <w:sz w:val="16"/>
          <w:szCs w:val="16"/>
        </w:rPr>
        <w:t>of biomedical research</w:t>
      </w:r>
      <w:r w:rsidRPr="000E07E5">
        <w:rPr>
          <w:color w:val="303030"/>
          <w:sz w:val="16"/>
          <w:szCs w:val="16"/>
          <w:shd w:val="clear" w:color="auto" w:fill="FFFFFF"/>
        </w:rPr>
        <w:t>,</w:t>
      </w:r>
      <w:r w:rsidRPr="000E07E5">
        <w:rPr>
          <w:rStyle w:val="apple-converted-space"/>
          <w:color w:val="303030"/>
          <w:sz w:val="16"/>
          <w:szCs w:val="16"/>
          <w:shd w:val="clear" w:color="auto" w:fill="FFFFFF"/>
        </w:rPr>
        <w:t> </w:t>
      </w:r>
      <w:r w:rsidRPr="000E07E5">
        <w:rPr>
          <w:i/>
          <w:iCs/>
          <w:color w:val="303030"/>
          <w:sz w:val="16"/>
          <w:szCs w:val="16"/>
        </w:rPr>
        <w:t>29</w:t>
      </w:r>
      <w:r w:rsidRPr="000E07E5">
        <w:rPr>
          <w:color w:val="303030"/>
          <w:sz w:val="16"/>
          <w:szCs w:val="16"/>
          <w:shd w:val="clear" w:color="auto" w:fill="FFFFFF"/>
        </w:rPr>
        <w:t xml:space="preserve">(3), 189–202. Online at: </w:t>
      </w:r>
      <w:hyperlink r:id="rId122" w:history="1">
        <w:r w:rsidRPr="000E07E5">
          <w:rPr>
            <w:rStyle w:val="Hyperlink"/>
            <w:sz w:val="16"/>
            <w:szCs w:val="16"/>
            <w:shd w:val="clear" w:color="auto" w:fill="FFFFFF"/>
          </w:rPr>
          <w:t>https://www.ncbi.nlm.nih.gov/pmc/articles/PMC4449487/</w:t>
        </w:r>
      </w:hyperlink>
      <w:r w:rsidRPr="000E07E5">
        <w:rPr>
          <w:color w:val="303030"/>
          <w:sz w:val="16"/>
          <w:szCs w:val="16"/>
          <w:shd w:val="clear" w:color="auto" w:fill="FFFFFF"/>
        </w:rPr>
        <w:t xml:space="preserve"> </w:t>
      </w:r>
    </w:p>
  </w:footnote>
  <w:footnote w:id="115">
    <w:p w14:paraId="5E946A21" w14:textId="2E5B0248" w:rsidR="00553DCD" w:rsidRPr="00353C34" w:rsidRDefault="00553DCD" w:rsidP="00405BA9">
      <w:pPr>
        <w:spacing w:after="0" w:line="240" w:lineRule="auto"/>
        <w:rPr>
          <w:sz w:val="20"/>
          <w:szCs w:val="20"/>
        </w:rPr>
      </w:pPr>
      <w:r>
        <w:rPr>
          <w:rStyle w:val="FootnoteReference"/>
        </w:rPr>
        <w:footnoteRef/>
      </w:r>
      <w:r>
        <w:t xml:space="preserve"> </w:t>
      </w:r>
      <w:proofErr w:type="spellStart"/>
      <w:r w:rsidRPr="00353C34">
        <w:rPr>
          <w:color w:val="212121"/>
          <w:sz w:val="16"/>
          <w:szCs w:val="16"/>
          <w:shd w:val="clear" w:color="auto" w:fill="FFFFFF"/>
        </w:rPr>
        <w:t>Maureira</w:t>
      </w:r>
      <w:proofErr w:type="spellEnd"/>
      <w:r w:rsidRPr="00353C34">
        <w:rPr>
          <w:color w:val="212121"/>
          <w:sz w:val="16"/>
          <w:szCs w:val="16"/>
          <w:shd w:val="clear" w:color="auto" w:fill="FFFFFF"/>
        </w:rPr>
        <w:t xml:space="preserve">, P., Tran, N., Djaballah, W., Angioï, M., Bensoussan, D., Didot, N., Fay, R., </w:t>
      </w:r>
      <w:proofErr w:type="spellStart"/>
      <w:r w:rsidRPr="00353C34">
        <w:rPr>
          <w:color w:val="212121"/>
          <w:sz w:val="16"/>
          <w:szCs w:val="16"/>
          <w:shd w:val="clear" w:color="auto" w:fill="FFFFFF"/>
        </w:rPr>
        <w:t>Sadoul</w:t>
      </w:r>
      <w:proofErr w:type="spellEnd"/>
      <w:r w:rsidRPr="00353C34">
        <w:rPr>
          <w:color w:val="212121"/>
          <w:sz w:val="16"/>
          <w:szCs w:val="16"/>
          <w:shd w:val="clear" w:color="auto" w:fill="FFFFFF"/>
        </w:rPr>
        <w:t xml:space="preserve">, N., </w:t>
      </w:r>
      <w:proofErr w:type="spellStart"/>
      <w:r w:rsidRPr="00353C34">
        <w:rPr>
          <w:color w:val="212121"/>
          <w:sz w:val="16"/>
          <w:szCs w:val="16"/>
          <w:shd w:val="clear" w:color="auto" w:fill="FFFFFF"/>
        </w:rPr>
        <w:t>Villemot</w:t>
      </w:r>
      <w:proofErr w:type="spellEnd"/>
      <w:r w:rsidRPr="00353C34">
        <w:rPr>
          <w:color w:val="212121"/>
          <w:sz w:val="16"/>
          <w:szCs w:val="16"/>
          <w:shd w:val="clear" w:color="auto" w:fill="FFFFFF"/>
        </w:rPr>
        <w:t xml:space="preserve">, J. P., &amp; Marie, P. Y. (2012). </w:t>
      </w:r>
      <w:hyperlink r:id="rId123" w:history="1">
        <w:r w:rsidRPr="00BA2FD6">
          <w:rPr>
            <w:rStyle w:val="Hyperlink"/>
            <w:color w:val="auto"/>
            <w:sz w:val="16"/>
            <w:szCs w:val="16"/>
            <w:u w:val="none"/>
            <w:shd w:val="clear" w:color="auto" w:fill="FFFFFF"/>
          </w:rPr>
          <w:t>Residual viability is a predictor of the perfusion enhancement obtained with the cell therapy of chronic myocardial infarction: a pilot multimodal imaging study. </w:t>
        </w:r>
      </w:hyperlink>
      <w:r w:rsidRPr="00353C34">
        <w:rPr>
          <w:i/>
          <w:iCs/>
          <w:color w:val="212121"/>
          <w:sz w:val="16"/>
          <w:szCs w:val="16"/>
        </w:rPr>
        <w:t>Clinical nuclear medicine</w:t>
      </w:r>
      <w:r w:rsidRPr="00353C34">
        <w:rPr>
          <w:color w:val="212121"/>
          <w:sz w:val="16"/>
          <w:szCs w:val="16"/>
          <w:shd w:val="clear" w:color="auto" w:fill="FFFFFF"/>
        </w:rPr>
        <w:t>,</w:t>
      </w:r>
      <w:r w:rsidRPr="00353C34">
        <w:rPr>
          <w:rStyle w:val="apple-converted-space"/>
          <w:color w:val="212121"/>
          <w:sz w:val="16"/>
          <w:szCs w:val="16"/>
          <w:shd w:val="clear" w:color="auto" w:fill="FFFFFF"/>
        </w:rPr>
        <w:t> </w:t>
      </w:r>
      <w:r w:rsidRPr="00353C34">
        <w:rPr>
          <w:i/>
          <w:iCs/>
          <w:color w:val="212121"/>
          <w:sz w:val="16"/>
          <w:szCs w:val="16"/>
        </w:rPr>
        <w:t>37</w:t>
      </w:r>
      <w:r w:rsidRPr="00353C34">
        <w:rPr>
          <w:color w:val="212121"/>
          <w:sz w:val="16"/>
          <w:szCs w:val="16"/>
          <w:shd w:val="clear" w:color="auto" w:fill="FFFFFF"/>
        </w:rPr>
        <w:t xml:space="preserve">(8), 738–742. Online at: </w:t>
      </w:r>
      <w:hyperlink r:id="rId124" w:history="1">
        <w:r w:rsidRPr="00353C34">
          <w:rPr>
            <w:rStyle w:val="Hyperlink"/>
            <w:sz w:val="16"/>
            <w:szCs w:val="16"/>
            <w:shd w:val="clear" w:color="auto" w:fill="FFFFFF"/>
          </w:rPr>
          <w:t>https://pubmed.ncbi.nlm.nih.gov/22785499/</w:t>
        </w:r>
      </w:hyperlink>
      <w:r w:rsidRPr="00353C34">
        <w:rPr>
          <w:color w:val="212121"/>
          <w:sz w:val="16"/>
          <w:szCs w:val="16"/>
          <w:shd w:val="clear" w:color="auto" w:fill="FFFFFF"/>
        </w:rPr>
        <w:t xml:space="preserve"> </w:t>
      </w:r>
    </w:p>
  </w:footnote>
  <w:footnote w:id="116">
    <w:p w14:paraId="7EB85ADC" w14:textId="141D5D27" w:rsidR="00553DCD" w:rsidRDefault="00553DCD" w:rsidP="00405BA9">
      <w:pPr>
        <w:pStyle w:val="FootnoteText"/>
      </w:pPr>
      <w:r>
        <w:rPr>
          <w:rStyle w:val="FootnoteReference"/>
        </w:rPr>
        <w:footnoteRef/>
      </w:r>
      <w:r>
        <w:t xml:space="preserve"> </w:t>
      </w:r>
      <w:r w:rsidRPr="000F1E4D">
        <w:rPr>
          <w:color w:val="212121"/>
          <w:sz w:val="16"/>
          <w:szCs w:val="16"/>
          <w:shd w:val="clear" w:color="auto" w:fill="FFFFFF"/>
        </w:rPr>
        <w:t>Wang, L., Yan, C., Zhao, S., &amp; Fang, W. (2012).</w:t>
      </w:r>
      <w:r w:rsidRPr="00BA2FD6">
        <w:rPr>
          <w:sz w:val="16"/>
          <w:szCs w:val="16"/>
          <w:shd w:val="clear" w:color="auto" w:fill="FFFFFF"/>
        </w:rPr>
        <w:t xml:space="preserve"> </w:t>
      </w:r>
      <w:hyperlink r:id="rId125" w:history="1">
        <w:r w:rsidRPr="00BA2FD6">
          <w:rPr>
            <w:rStyle w:val="Hyperlink"/>
            <w:color w:val="auto"/>
            <w:sz w:val="16"/>
            <w:szCs w:val="16"/>
            <w:u w:val="none"/>
            <w:shd w:val="clear" w:color="auto" w:fill="FFFFFF"/>
          </w:rPr>
          <w:t>Comparison of (99m)Tc-MIBI SPECT/18F-FDG PET imaging and cardiac magnetic resonance imaging in patients with idiopathic dilated cardiomyopathy: assessment of cardiac function and myocardial injury. </w:t>
        </w:r>
      </w:hyperlink>
      <w:r w:rsidRPr="000F1E4D">
        <w:rPr>
          <w:i/>
          <w:iCs/>
          <w:color w:val="212121"/>
          <w:sz w:val="16"/>
          <w:szCs w:val="16"/>
        </w:rPr>
        <w:t>Clinical nuclear medicine</w:t>
      </w:r>
      <w:r w:rsidRPr="000F1E4D">
        <w:rPr>
          <w:color w:val="212121"/>
          <w:sz w:val="16"/>
          <w:szCs w:val="16"/>
          <w:shd w:val="clear" w:color="auto" w:fill="FFFFFF"/>
        </w:rPr>
        <w:t>,</w:t>
      </w:r>
      <w:r w:rsidRPr="000F1E4D">
        <w:rPr>
          <w:rStyle w:val="apple-converted-space"/>
          <w:color w:val="212121"/>
          <w:sz w:val="16"/>
          <w:szCs w:val="16"/>
          <w:shd w:val="clear" w:color="auto" w:fill="FFFFFF"/>
        </w:rPr>
        <w:t> </w:t>
      </w:r>
      <w:r w:rsidRPr="000F1E4D">
        <w:rPr>
          <w:i/>
          <w:iCs/>
          <w:color w:val="212121"/>
          <w:sz w:val="16"/>
          <w:szCs w:val="16"/>
        </w:rPr>
        <w:t>37</w:t>
      </w:r>
      <w:r w:rsidRPr="000F1E4D">
        <w:rPr>
          <w:color w:val="212121"/>
          <w:sz w:val="16"/>
          <w:szCs w:val="16"/>
          <w:shd w:val="clear" w:color="auto" w:fill="FFFFFF"/>
        </w:rPr>
        <w:t>(12), 1163–1169.</w:t>
      </w:r>
      <w:r>
        <w:rPr>
          <w:color w:val="212121"/>
          <w:sz w:val="16"/>
          <w:szCs w:val="16"/>
          <w:shd w:val="clear" w:color="auto" w:fill="FFFFFF"/>
        </w:rPr>
        <w:t xml:space="preserve"> Online at:</w:t>
      </w:r>
      <w:r w:rsidRPr="000F1E4D">
        <w:rPr>
          <w:color w:val="212121"/>
          <w:sz w:val="16"/>
          <w:szCs w:val="16"/>
          <w:shd w:val="clear" w:color="auto" w:fill="FFFFFF"/>
        </w:rPr>
        <w:t xml:space="preserve"> </w:t>
      </w:r>
      <w:hyperlink r:id="rId126" w:history="1">
        <w:r w:rsidRPr="000F1E4D">
          <w:rPr>
            <w:rStyle w:val="Hyperlink"/>
            <w:sz w:val="16"/>
            <w:szCs w:val="16"/>
            <w:shd w:val="clear" w:color="auto" w:fill="FFFFFF"/>
          </w:rPr>
          <w:t>https://pubmed.ncbi.nlm.nih.gov/23154474/</w:t>
        </w:r>
      </w:hyperlink>
    </w:p>
  </w:footnote>
  <w:footnote w:id="117">
    <w:p w14:paraId="0182B930" w14:textId="7A94E9F0" w:rsidR="00553DCD" w:rsidRPr="001A6E19" w:rsidRDefault="00553DCD" w:rsidP="00405BA9">
      <w:pPr>
        <w:spacing w:after="0" w:line="240" w:lineRule="auto"/>
        <w:rPr>
          <w:sz w:val="20"/>
          <w:szCs w:val="20"/>
        </w:rPr>
      </w:pPr>
      <w:r>
        <w:rPr>
          <w:rStyle w:val="FootnoteReference"/>
        </w:rPr>
        <w:footnoteRef/>
      </w:r>
      <w:r>
        <w:t xml:space="preserve"> </w:t>
      </w:r>
      <w:r w:rsidRPr="003A5136">
        <w:rPr>
          <w:color w:val="212121"/>
          <w:sz w:val="16"/>
          <w:szCs w:val="16"/>
          <w:shd w:val="clear" w:color="auto" w:fill="FFFFFF"/>
        </w:rPr>
        <w:t xml:space="preserve">Yu, J. Q., Doss, M., Codreanu, I., &amp; Zhuang, H. (2012). </w:t>
      </w:r>
      <w:hyperlink r:id="rId127" w:history="1">
        <w:r w:rsidRPr="00BA2FD6">
          <w:rPr>
            <w:rStyle w:val="Hyperlink"/>
            <w:color w:val="auto"/>
            <w:sz w:val="16"/>
            <w:szCs w:val="16"/>
            <w:u w:val="none"/>
            <w:shd w:val="clear" w:color="auto" w:fill="FFFFFF"/>
          </w:rPr>
          <w:t>PET/CT in Patients with Sarcoidosis or IgG4 Disease. </w:t>
        </w:r>
      </w:hyperlink>
      <w:r w:rsidRPr="00BA2FD6">
        <w:rPr>
          <w:i/>
          <w:iCs/>
          <w:sz w:val="16"/>
          <w:szCs w:val="16"/>
        </w:rPr>
        <w:t xml:space="preserve">PET </w:t>
      </w:r>
      <w:r w:rsidRPr="003A5136">
        <w:rPr>
          <w:i/>
          <w:iCs/>
          <w:color w:val="212121"/>
          <w:sz w:val="16"/>
          <w:szCs w:val="16"/>
        </w:rPr>
        <w:t>clinics</w:t>
      </w:r>
      <w:r w:rsidRPr="003A5136">
        <w:rPr>
          <w:color w:val="212121"/>
          <w:sz w:val="16"/>
          <w:szCs w:val="16"/>
          <w:shd w:val="clear" w:color="auto" w:fill="FFFFFF"/>
        </w:rPr>
        <w:t>,</w:t>
      </w:r>
      <w:r w:rsidRPr="003A5136">
        <w:rPr>
          <w:rStyle w:val="apple-converted-space"/>
          <w:color w:val="212121"/>
          <w:sz w:val="16"/>
          <w:szCs w:val="16"/>
          <w:shd w:val="clear" w:color="auto" w:fill="FFFFFF"/>
        </w:rPr>
        <w:t> </w:t>
      </w:r>
      <w:r w:rsidRPr="003A5136">
        <w:rPr>
          <w:i/>
          <w:iCs/>
          <w:color w:val="212121"/>
          <w:sz w:val="16"/>
          <w:szCs w:val="16"/>
        </w:rPr>
        <w:t>7</w:t>
      </w:r>
      <w:r w:rsidRPr="003A5136">
        <w:rPr>
          <w:color w:val="212121"/>
          <w:sz w:val="16"/>
          <w:szCs w:val="16"/>
          <w:shd w:val="clear" w:color="auto" w:fill="FFFFFF"/>
        </w:rPr>
        <w:t xml:space="preserve">(2), 191–210. </w:t>
      </w:r>
      <w:r>
        <w:rPr>
          <w:color w:val="212121"/>
          <w:sz w:val="16"/>
          <w:szCs w:val="16"/>
          <w:shd w:val="clear" w:color="auto" w:fill="FFFFFF"/>
        </w:rPr>
        <w:t xml:space="preserve">Online at: </w:t>
      </w:r>
      <w:hyperlink r:id="rId128" w:history="1">
        <w:r w:rsidRPr="002C3E34">
          <w:rPr>
            <w:rStyle w:val="Hyperlink"/>
            <w:sz w:val="16"/>
            <w:szCs w:val="16"/>
            <w:shd w:val="clear" w:color="auto" w:fill="FFFFFF"/>
          </w:rPr>
          <w:t>https://pubmed.ncbi.nlm.nih.gov/27157236/</w:t>
        </w:r>
      </w:hyperlink>
      <w:r w:rsidRPr="00574F66">
        <w:rPr>
          <w:color w:val="212121"/>
          <w:sz w:val="20"/>
          <w:szCs w:val="20"/>
          <w:shd w:val="clear" w:color="auto" w:fill="FFFFFF"/>
        </w:rPr>
        <w:t xml:space="preserve"> </w:t>
      </w:r>
    </w:p>
  </w:footnote>
  <w:footnote w:id="118">
    <w:p w14:paraId="0F07254E" w14:textId="77777777" w:rsidR="00553DCD" w:rsidRDefault="00553DCD" w:rsidP="00405BA9">
      <w:pPr>
        <w:pStyle w:val="FootnoteText"/>
      </w:pPr>
      <w:r>
        <w:rPr>
          <w:rStyle w:val="FootnoteReference"/>
        </w:rPr>
        <w:footnoteRef/>
      </w:r>
      <w:r>
        <w:t xml:space="preserve"> </w:t>
      </w:r>
      <w:r w:rsidRPr="001A6E19">
        <w:rPr>
          <w:i/>
          <w:iCs/>
          <w:sz w:val="16"/>
          <w:szCs w:val="16"/>
        </w:rPr>
        <w:t>Ibid.</w:t>
      </w:r>
      <w:r w:rsidRPr="001A6E19">
        <w:rPr>
          <w:sz w:val="16"/>
          <w:szCs w:val="16"/>
        </w:rPr>
        <w:t xml:space="preserve"> </w:t>
      </w:r>
    </w:p>
  </w:footnote>
  <w:footnote w:id="119">
    <w:p w14:paraId="202EE407" w14:textId="29184EC2" w:rsidR="00553DCD" w:rsidRDefault="00553DCD" w:rsidP="00405BA9">
      <w:pPr>
        <w:pStyle w:val="FootnoteText"/>
      </w:pPr>
      <w:r>
        <w:rPr>
          <w:rStyle w:val="FootnoteReference"/>
        </w:rPr>
        <w:footnoteRef/>
      </w:r>
      <w:r>
        <w:t xml:space="preserve"> </w:t>
      </w:r>
      <w:r w:rsidRPr="007719F7">
        <w:rPr>
          <w:sz w:val="16"/>
          <w:szCs w:val="16"/>
        </w:rPr>
        <w:t xml:space="preserve">Zhuang H, Codreanu I. </w:t>
      </w:r>
      <w:hyperlink r:id="rId129" w:history="1">
        <w:r w:rsidRPr="00546E20">
          <w:rPr>
            <w:rStyle w:val="Hyperlink"/>
            <w:color w:val="auto"/>
            <w:sz w:val="16"/>
            <w:szCs w:val="16"/>
            <w:u w:val="none"/>
          </w:rPr>
          <w:t>Growing applications of FDG PET-CT imaging in non-oncologic conditions.</w:t>
        </w:r>
      </w:hyperlink>
      <w:r w:rsidRPr="007719F7">
        <w:rPr>
          <w:sz w:val="16"/>
          <w:szCs w:val="16"/>
        </w:rPr>
        <w:t xml:space="preserve"> J Biomed Res. 2015;29(3):189-202. doi:10.7555/JBR.29.20140081</w:t>
      </w:r>
      <w:r>
        <w:rPr>
          <w:sz w:val="16"/>
          <w:szCs w:val="16"/>
        </w:rPr>
        <w:t xml:space="preserve">. Online at: </w:t>
      </w:r>
      <w:hyperlink r:id="rId130" w:history="1">
        <w:r w:rsidRPr="002C3E34">
          <w:rPr>
            <w:rStyle w:val="Hyperlink"/>
            <w:sz w:val="16"/>
            <w:szCs w:val="16"/>
          </w:rPr>
          <w:t>https://www.ncbi.nlm.nih.gov/pmc/articles/PMC4449487/</w:t>
        </w:r>
      </w:hyperlink>
      <w:r>
        <w:rPr>
          <w:sz w:val="16"/>
          <w:szCs w:val="16"/>
        </w:rPr>
        <w:t xml:space="preserve"> </w:t>
      </w:r>
    </w:p>
  </w:footnote>
  <w:footnote w:id="120">
    <w:p w14:paraId="41EE927C" w14:textId="77777777" w:rsidR="00553DCD" w:rsidRDefault="00553DCD" w:rsidP="00405BA9">
      <w:pPr>
        <w:pStyle w:val="FootnoteText"/>
      </w:pPr>
      <w:r>
        <w:rPr>
          <w:rStyle w:val="FootnoteReference"/>
        </w:rPr>
        <w:footnoteRef/>
      </w:r>
      <w:r>
        <w:t xml:space="preserve"> </w:t>
      </w:r>
      <w:r w:rsidRPr="00994F23">
        <w:rPr>
          <w:i/>
          <w:iCs/>
          <w:sz w:val="16"/>
          <w:szCs w:val="16"/>
        </w:rPr>
        <w:t>Ibid.</w:t>
      </w:r>
    </w:p>
  </w:footnote>
  <w:footnote w:id="121">
    <w:p w14:paraId="78766823" w14:textId="650E583B" w:rsidR="00553DCD" w:rsidRDefault="00553DCD" w:rsidP="00405BA9">
      <w:pPr>
        <w:pStyle w:val="FootnoteText"/>
      </w:pPr>
      <w:r>
        <w:rPr>
          <w:rStyle w:val="FootnoteReference"/>
        </w:rPr>
        <w:footnoteRef/>
      </w:r>
      <w:r>
        <w:t xml:space="preserve"> </w:t>
      </w:r>
      <w:proofErr w:type="spellStart"/>
      <w:r w:rsidRPr="000148C8">
        <w:rPr>
          <w:sz w:val="16"/>
          <w:szCs w:val="16"/>
        </w:rPr>
        <w:t>Lövblad</w:t>
      </w:r>
      <w:proofErr w:type="spellEnd"/>
      <w:r w:rsidRPr="000148C8">
        <w:rPr>
          <w:sz w:val="16"/>
          <w:szCs w:val="16"/>
        </w:rPr>
        <w:t xml:space="preserve">, K.-O., Bouchez, L., Altrichter, S., Ratib, O., </w:t>
      </w:r>
      <w:proofErr w:type="gramStart"/>
      <w:r w:rsidRPr="000148C8">
        <w:rPr>
          <w:sz w:val="16"/>
          <w:szCs w:val="16"/>
        </w:rPr>
        <w:t>Zaidi ,</w:t>
      </w:r>
      <w:proofErr w:type="gramEnd"/>
      <w:r w:rsidRPr="000148C8">
        <w:rPr>
          <w:sz w:val="16"/>
          <w:szCs w:val="16"/>
        </w:rPr>
        <w:t xml:space="preserve"> H., &amp; Vargas, M. I. (2019, August). </w:t>
      </w:r>
      <w:hyperlink r:id="rId131" w:history="1">
        <w:r w:rsidRPr="00546E20">
          <w:rPr>
            <w:rStyle w:val="Hyperlink"/>
            <w:color w:val="auto"/>
            <w:sz w:val="16"/>
            <w:szCs w:val="16"/>
            <w:u w:val="none"/>
          </w:rPr>
          <w:t>Pet-CT in Neuroradiology . Clinical and Translational Neuroscience</w:t>
        </w:r>
      </w:hyperlink>
      <w:r w:rsidRPr="00546E20">
        <w:rPr>
          <w:sz w:val="16"/>
          <w:szCs w:val="16"/>
        </w:rPr>
        <w:t xml:space="preserve">. </w:t>
      </w:r>
      <w:r w:rsidRPr="000148C8">
        <w:rPr>
          <w:sz w:val="16"/>
          <w:szCs w:val="16"/>
        </w:rPr>
        <w:t xml:space="preserve">Retrieved February 16, 2022. Online at: </w:t>
      </w:r>
      <w:hyperlink r:id="rId132" w:history="1">
        <w:r w:rsidRPr="000148C8">
          <w:rPr>
            <w:rStyle w:val="Hyperlink"/>
            <w:sz w:val="16"/>
            <w:szCs w:val="16"/>
          </w:rPr>
          <w:t>https://journals.sagepub.com/doi/full/10.1177/2514183X19868147</w:t>
        </w:r>
      </w:hyperlink>
      <w:r w:rsidRPr="000148C8">
        <w:rPr>
          <w:sz w:val="16"/>
          <w:szCs w:val="16"/>
        </w:rPr>
        <w:t xml:space="preserve">   </w:t>
      </w:r>
    </w:p>
  </w:footnote>
  <w:footnote w:id="122">
    <w:p w14:paraId="7185FB00" w14:textId="151AFEDB" w:rsidR="00553DCD" w:rsidRDefault="00553DCD" w:rsidP="00405BA9">
      <w:pPr>
        <w:pStyle w:val="FootnoteText"/>
      </w:pPr>
      <w:r>
        <w:rPr>
          <w:rStyle w:val="FootnoteReference"/>
        </w:rPr>
        <w:footnoteRef/>
      </w:r>
      <w:r>
        <w:t xml:space="preserve"> </w:t>
      </w:r>
      <w:proofErr w:type="spellStart"/>
      <w:r w:rsidRPr="00183736">
        <w:rPr>
          <w:sz w:val="16"/>
          <w:szCs w:val="16"/>
        </w:rPr>
        <w:t>Zukotynski</w:t>
      </w:r>
      <w:proofErr w:type="spellEnd"/>
      <w:r w:rsidRPr="00183736">
        <w:rPr>
          <w:sz w:val="16"/>
          <w:szCs w:val="16"/>
        </w:rPr>
        <w:t xml:space="preserve">, K., Kuo, P. K., </w:t>
      </w:r>
      <w:proofErr w:type="spellStart"/>
      <w:r w:rsidRPr="00183736">
        <w:rPr>
          <w:sz w:val="16"/>
          <w:szCs w:val="16"/>
        </w:rPr>
        <w:t>Mikulis</w:t>
      </w:r>
      <w:proofErr w:type="spellEnd"/>
      <w:r w:rsidRPr="00183736">
        <w:rPr>
          <w:sz w:val="16"/>
          <w:szCs w:val="16"/>
        </w:rPr>
        <w:t xml:space="preserve">, D., Rosa-Neto, P., </w:t>
      </w:r>
      <w:proofErr w:type="spellStart"/>
      <w:r w:rsidRPr="00183736">
        <w:rPr>
          <w:sz w:val="16"/>
          <w:szCs w:val="16"/>
        </w:rPr>
        <w:t>Strafella</w:t>
      </w:r>
      <w:proofErr w:type="spellEnd"/>
      <w:r w:rsidRPr="00183736">
        <w:rPr>
          <w:sz w:val="16"/>
          <w:szCs w:val="16"/>
        </w:rPr>
        <w:t xml:space="preserve">, A. P., Subramaniam, R. M., &amp; Black, S. E. (2018, August). </w:t>
      </w:r>
      <w:hyperlink r:id="rId133" w:history="1">
        <w:r w:rsidRPr="00EE5807">
          <w:rPr>
            <w:rStyle w:val="Hyperlink"/>
            <w:color w:val="auto"/>
            <w:sz w:val="16"/>
            <w:szCs w:val="16"/>
            <w:u w:val="none"/>
          </w:rPr>
          <w:t>PET/CT of Dementia</w:t>
        </w:r>
      </w:hyperlink>
      <w:r w:rsidRPr="00EE5807">
        <w:rPr>
          <w:sz w:val="16"/>
          <w:szCs w:val="16"/>
        </w:rPr>
        <w:t xml:space="preserve"> </w:t>
      </w:r>
      <w:r w:rsidRPr="00183736">
        <w:rPr>
          <w:sz w:val="16"/>
          <w:szCs w:val="16"/>
        </w:rPr>
        <w:t xml:space="preserve">. Retrieved February 22, 2022. Online at: </w:t>
      </w:r>
      <w:hyperlink r:id="rId134" w:history="1">
        <w:r w:rsidRPr="00183736">
          <w:rPr>
            <w:rStyle w:val="Hyperlink"/>
            <w:sz w:val="16"/>
            <w:szCs w:val="16"/>
          </w:rPr>
          <w:t>https://www.ajronline.org/doi/pdfplus/10.2214/AJR.18.19822</w:t>
        </w:r>
      </w:hyperlink>
      <w:r w:rsidRPr="00183736">
        <w:rPr>
          <w:sz w:val="16"/>
          <w:szCs w:val="16"/>
        </w:rPr>
        <w:t xml:space="preserve">   </w:t>
      </w:r>
    </w:p>
  </w:footnote>
  <w:footnote w:id="123">
    <w:p w14:paraId="3BFB2B9B" w14:textId="349A2836" w:rsidR="00553DCD" w:rsidRPr="009A0A56" w:rsidRDefault="00553DCD" w:rsidP="00405BA9">
      <w:pPr>
        <w:pStyle w:val="FootnoteText"/>
        <w:rPr>
          <w:sz w:val="16"/>
          <w:szCs w:val="16"/>
        </w:rPr>
      </w:pPr>
      <w:r>
        <w:rPr>
          <w:rStyle w:val="FootnoteReference"/>
        </w:rPr>
        <w:footnoteRef/>
      </w:r>
      <w:r>
        <w:t xml:space="preserve"> </w:t>
      </w:r>
      <w:proofErr w:type="spellStart"/>
      <w:r w:rsidRPr="009A0A56">
        <w:rPr>
          <w:sz w:val="16"/>
          <w:szCs w:val="16"/>
        </w:rPr>
        <w:t>Solnes</w:t>
      </w:r>
      <w:proofErr w:type="spellEnd"/>
      <w:r w:rsidRPr="009A0A56">
        <w:rPr>
          <w:sz w:val="16"/>
          <w:szCs w:val="16"/>
        </w:rPr>
        <w:t xml:space="preserve">, L. B., Jones, K. M., Rowe, S. P., </w:t>
      </w:r>
      <w:proofErr w:type="spellStart"/>
      <w:r w:rsidRPr="009A0A56">
        <w:rPr>
          <w:sz w:val="16"/>
          <w:szCs w:val="16"/>
        </w:rPr>
        <w:t>Pattanayak</w:t>
      </w:r>
      <w:proofErr w:type="spellEnd"/>
      <w:r w:rsidRPr="009A0A56">
        <w:rPr>
          <w:sz w:val="16"/>
          <w:szCs w:val="16"/>
        </w:rPr>
        <w:t xml:space="preserve">, P., Nalluri, A., Venkatesan, A., Probasco, J. C., &amp; Javadi, M. S. (2017). Diagnostic Value of 18F-FDG </w:t>
      </w:r>
      <w:hyperlink r:id="rId135" w:history="1">
        <w:r w:rsidRPr="00B7763B">
          <w:rPr>
            <w:rStyle w:val="Hyperlink"/>
            <w:color w:val="auto"/>
            <w:sz w:val="16"/>
            <w:szCs w:val="16"/>
            <w:u w:val="none"/>
          </w:rPr>
          <w:t>PET/CT Versus MRI in the Setting of Antibody-Specific Autoimmune Encephalitis</w:t>
        </w:r>
      </w:hyperlink>
      <w:r w:rsidRPr="00B7763B">
        <w:rPr>
          <w:sz w:val="16"/>
          <w:szCs w:val="16"/>
        </w:rPr>
        <w:t xml:space="preserve">. </w:t>
      </w:r>
      <w:r w:rsidRPr="009A0A56">
        <w:rPr>
          <w:sz w:val="16"/>
          <w:szCs w:val="16"/>
        </w:rPr>
        <w:t xml:space="preserve">Journal of nuclear </w:t>
      </w:r>
      <w:proofErr w:type="gramStart"/>
      <w:r w:rsidRPr="009A0A56">
        <w:rPr>
          <w:sz w:val="16"/>
          <w:szCs w:val="16"/>
        </w:rPr>
        <w:t>medicine :</w:t>
      </w:r>
      <w:proofErr w:type="gramEnd"/>
      <w:r w:rsidRPr="009A0A56">
        <w:rPr>
          <w:sz w:val="16"/>
          <w:szCs w:val="16"/>
        </w:rPr>
        <w:t xml:space="preserve"> official publication, Society of Nuclear Medicine, 58(8), 1307–1313. Online at: </w:t>
      </w:r>
      <w:hyperlink r:id="rId136" w:history="1">
        <w:r w:rsidRPr="009A0A56">
          <w:rPr>
            <w:rStyle w:val="Hyperlink"/>
            <w:sz w:val="16"/>
            <w:szCs w:val="16"/>
          </w:rPr>
          <w:t>https://pubmed.ncbi.nlm.nih.gov/28209905/</w:t>
        </w:r>
      </w:hyperlink>
      <w:r w:rsidRPr="009A0A56">
        <w:rPr>
          <w:sz w:val="16"/>
          <w:szCs w:val="16"/>
        </w:rPr>
        <w:t xml:space="preserve"> </w:t>
      </w:r>
    </w:p>
  </w:footnote>
  <w:footnote w:id="124">
    <w:p w14:paraId="2DC4B5D9" w14:textId="77777777" w:rsidR="00553DCD" w:rsidRPr="00D11644" w:rsidRDefault="00553DCD" w:rsidP="00405BA9">
      <w:pPr>
        <w:pStyle w:val="FootnoteText"/>
      </w:pPr>
      <w:r>
        <w:rPr>
          <w:rStyle w:val="FootnoteReference"/>
        </w:rPr>
        <w:footnoteRef/>
      </w:r>
      <w:r w:rsidRPr="00D11644">
        <w:t xml:space="preserve"> </w:t>
      </w:r>
      <w:r w:rsidRPr="00D11644">
        <w:rPr>
          <w:sz w:val="16"/>
          <w:szCs w:val="16"/>
        </w:rPr>
        <w:t xml:space="preserve">Available online </w:t>
      </w:r>
      <w:proofErr w:type="gramStart"/>
      <w:r w:rsidRPr="00D11644">
        <w:rPr>
          <w:sz w:val="16"/>
          <w:szCs w:val="16"/>
        </w:rPr>
        <w:t>at :</w:t>
      </w:r>
      <w:proofErr w:type="gramEnd"/>
      <w:r w:rsidRPr="00D11644">
        <w:rPr>
          <w:sz w:val="16"/>
          <w:szCs w:val="16"/>
        </w:rPr>
        <w:t xml:space="preserve"> </w:t>
      </w:r>
      <w:hyperlink r:id="rId137" w:history="1">
        <w:r w:rsidRPr="00D11644">
          <w:rPr>
            <w:rStyle w:val="Hyperlink"/>
            <w:sz w:val="16"/>
            <w:szCs w:val="16"/>
          </w:rPr>
          <w:t>https://www.alz.org/professionals/public-health/state-overview/massachusetts</w:t>
        </w:r>
      </w:hyperlink>
      <w:r w:rsidRPr="00D11644">
        <w:rPr>
          <w:sz w:val="16"/>
          <w:szCs w:val="16"/>
        </w:rPr>
        <w:t xml:space="preserve"> </w:t>
      </w:r>
    </w:p>
  </w:footnote>
  <w:footnote w:id="125">
    <w:p w14:paraId="6E8105D1" w14:textId="77777777" w:rsidR="00553DCD" w:rsidRPr="009B3F30" w:rsidRDefault="00553DCD" w:rsidP="00405BA9">
      <w:pPr>
        <w:pStyle w:val="FootnoteText"/>
        <w:rPr>
          <w:lang w:val="es-ES"/>
        </w:rPr>
      </w:pPr>
      <w:r>
        <w:rPr>
          <w:rStyle w:val="FootnoteReference"/>
        </w:rPr>
        <w:footnoteRef/>
      </w:r>
      <w:r w:rsidRPr="009B3F30">
        <w:rPr>
          <w:lang w:val="es-ES"/>
        </w:rPr>
        <w:t xml:space="preserve"> </w:t>
      </w:r>
      <w:r w:rsidRPr="009B3F30">
        <w:rPr>
          <w:i/>
          <w:iCs/>
          <w:sz w:val="16"/>
          <w:szCs w:val="16"/>
          <w:lang w:val="es-ES"/>
        </w:rPr>
        <w:t>Ibid.</w:t>
      </w:r>
      <w:r w:rsidRPr="009B3F30">
        <w:rPr>
          <w:sz w:val="16"/>
          <w:szCs w:val="16"/>
          <w:lang w:val="es-ES"/>
        </w:rPr>
        <w:t xml:space="preserve"> </w:t>
      </w:r>
    </w:p>
  </w:footnote>
  <w:footnote w:id="126">
    <w:p w14:paraId="66C927C6" w14:textId="4ACAA9AE" w:rsidR="00553DCD" w:rsidRDefault="00553DCD" w:rsidP="00405BA9">
      <w:pPr>
        <w:pStyle w:val="FootnoteText"/>
      </w:pPr>
      <w:r>
        <w:rPr>
          <w:rStyle w:val="FootnoteReference"/>
        </w:rPr>
        <w:footnoteRef/>
      </w:r>
      <w:r w:rsidRPr="00044060">
        <w:rPr>
          <w:lang w:val="es-ES"/>
        </w:rPr>
        <w:t xml:space="preserve"> </w:t>
      </w:r>
      <w:r w:rsidRPr="0070649A">
        <w:rPr>
          <w:sz w:val="16"/>
          <w:szCs w:val="16"/>
          <w:lang w:val="es-ES"/>
        </w:rPr>
        <w:t xml:space="preserve">Marcus C, Mena E, </w:t>
      </w:r>
      <w:proofErr w:type="spellStart"/>
      <w:r w:rsidRPr="0070649A">
        <w:rPr>
          <w:sz w:val="16"/>
          <w:szCs w:val="16"/>
          <w:lang w:val="es-ES"/>
        </w:rPr>
        <w:t>Subramaniam</w:t>
      </w:r>
      <w:proofErr w:type="spellEnd"/>
      <w:r w:rsidRPr="0070649A">
        <w:rPr>
          <w:sz w:val="16"/>
          <w:szCs w:val="16"/>
          <w:lang w:val="es-ES"/>
        </w:rPr>
        <w:t xml:space="preserve"> RM. </w:t>
      </w:r>
      <w:hyperlink r:id="rId138" w:history="1">
        <w:r w:rsidRPr="00AB2F5E">
          <w:rPr>
            <w:rStyle w:val="Hyperlink"/>
            <w:color w:val="auto"/>
            <w:sz w:val="16"/>
            <w:szCs w:val="16"/>
            <w:u w:val="none"/>
          </w:rPr>
          <w:t>Brain PET in the diagnosis of Alzheimer's disease.</w:t>
        </w:r>
      </w:hyperlink>
      <w:r w:rsidRPr="00AB2F5E">
        <w:rPr>
          <w:sz w:val="16"/>
          <w:szCs w:val="16"/>
        </w:rPr>
        <w:t xml:space="preserve"> </w:t>
      </w:r>
      <w:r w:rsidRPr="0070649A">
        <w:rPr>
          <w:sz w:val="16"/>
          <w:szCs w:val="16"/>
        </w:rPr>
        <w:t xml:space="preserve">Clin </w:t>
      </w:r>
      <w:proofErr w:type="spellStart"/>
      <w:r w:rsidRPr="0070649A">
        <w:rPr>
          <w:sz w:val="16"/>
          <w:szCs w:val="16"/>
        </w:rPr>
        <w:t>Nucl</w:t>
      </w:r>
      <w:proofErr w:type="spellEnd"/>
      <w:r w:rsidRPr="0070649A">
        <w:rPr>
          <w:sz w:val="16"/>
          <w:szCs w:val="16"/>
        </w:rPr>
        <w:t xml:space="preserve"> Med. 2014 Oct;39(10</w:t>
      </w:r>
      <w:proofErr w:type="gramStart"/>
      <w:r w:rsidRPr="0070649A">
        <w:rPr>
          <w:sz w:val="16"/>
          <w:szCs w:val="16"/>
        </w:rPr>
        <w:t>):e</w:t>
      </w:r>
      <w:proofErr w:type="gramEnd"/>
      <w:r w:rsidRPr="0070649A">
        <w:rPr>
          <w:sz w:val="16"/>
          <w:szCs w:val="16"/>
        </w:rPr>
        <w:t xml:space="preserve">413-22; quiz e423-6. </w:t>
      </w:r>
      <w:proofErr w:type="spellStart"/>
      <w:r w:rsidRPr="0070649A">
        <w:rPr>
          <w:sz w:val="16"/>
          <w:szCs w:val="16"/>
        </w:rPr>
        <w:t>doi</w:t>
      </w:r>
      <w:proofErr w:type="spellEnd"/>
      <w:r w:rsidRPr="0070649A">
        <w:rPr>
          <w:sz w:val="16"/>
          <w:szCs w:val="16"/>
        </w:rPr>
        <w:t xml:space="preserve">: 10.1097/RLU.0000000000000547. PMID: 25199063; PMCID: PMC4332800. Online at: </w:t>
      </w:r>
      <w:hyperlink r:id="rId139" w:history="1">
        <w:r w:rsidRPr="0070649A">
          <w:rPr>
            <w:rStyle w:val="Hyperlink"/>
            <w:sz w:val="16"/>
            <w:szCs w:val="16"/>
          </w:rPr>
          <w:t>https://www.ncbi.nlm.nih.gov/pmc/articles/PMC4332800/</w:t>
        </w:r>
      </w:hyperlink>
      <w:r w:rsidRPr="0070649A">
        <w:rPr>
          <w:sz w:val="16"/>
          <w:szCs w:val="16"/>
        </w:rPr>
        <w:t xml:space="preserve"> </w:t>
      </w:r>
    </w:p>
  </w:footnote>
  <w:footnote w:id="127">
    <w:p w14:paraId="75569715" w14:textId="0F95FA2D" w:rsidR="00553DCD" w:rsidRPr="000D183B" w:rsidRDefault="00553DCD" w:rsidP="00755171">
      <w:pPr>
        <w:pStyle w:val="FootnoteText"/>
        <w:rPr>
          <w:sz w:val="16"/>
          <w:szCs w:val="16"/>
        </w:rPr>
      </w:pPr>
      <w:r>
        <w:rPr>
          <w:rStyle w:val="FootnoteReference"/>
        </w:rPr>
        <w:footnoteRef/>
      </w:r>
      <w:r>
        <w:t xml:space="preserve"> </w:t>
      </w:r>
      <w:r w:rsidRPr="000D183B">
        <w:rPr>
          <w:sz w:val="16"/>
          <w:szCs w:val="16"/>
        </w:rPr>
        <w:t xml:space="preserve">Julia C. Prentice &amp; Steven D. Pizer, </w:t>
      </w:r>
      <w:hyperlink r:id="rId140" w:history="1">
        <w:r w:rsidRPr="00E326A8">
          <w:rPr>
            <w:rStyle w:val="Hyperlink"/>
            <w:color w:val="auto"/>
            <w:sz w:val="16"/>
            <w:szCs w:val="16"/>
            <w:u w:val="none"/>
          </w:rPr>
          <w:t>Delayed Access to Health Care and Mortality</w:t>
        </w:r>
      </w:hyperlink>
      <w:r w:rsidRPr="00E326A8">
        <w:rPr>
          <w:sz w:val="16"/>
          <w:szCs w:val="16"/>
        </w:rPr>
        <w:t xml:space="preserve">, </w:t>
      </w:r>
      <w:r w:rsidRPr="000D183B">
        <w:rPr>
          <w:sz w:val="16"/>
          <w:szCs w:val="16"/>
        </w:rPr>
        <w:t>42 HEALTH SERVICES RESEARCH</w:t>
      </w:r>
    </w:p>
    <w:p w14:paraId="15EEEF87" w14:textId="77777777" w:rsidR="00553DCD" w:rsidRDefault="00553DCD" w:rsidP="00755171">
      <w:pPr>
        <w:pStyle w:val="FootnoteText"/>
      </w:pPr>
      <w:r w:rsidRPr="000D183B">
        <w:rPr>
          <w:sz w:val="16"/>
          <w:szCs w:val="16"/>
        </w:rPr>
        <w:t xml:space="preserve">644 (2007), available at </w:t>
      </w:r>
      <w:hyperlink r:id="rId141" w:history="1">
        <w:r w:rsidRPr="000D183B">
          <w:rPr>
            <w:rStyle w:val="Hyperlink"/>
            <w:sz w:val="16"/>
            <w:szCs w:val="16"/>
          </w:rPr>
          <w:t>https://www.ncbi.nlm.nih.gov/pmc/articles/PMC1955366/</w:t>
        </w:r>
      </w:hyperlink>
      <w:r w:rsidRPr="000D183B">
        <w:rPr>
          <w:sz w:val="16"/>
          <w:szCs w:val="16"/>
        </w:rPr>
        <w:t xml:space="preserve"> </w:t>
      </w:r>
    </w:p>
  </w:footnote>
  <w:footnote w:id="128">
    <w:p w14:paraId="0A67BAEE" w14:textId="775D9A5B" w:rsidR="00553DCD" w:rsidRDefault="00553DCD" w:rsidP="00755171">
      <w:pPr>
        <w:pStyle w:val="FootnoteText"/>
      </w:pPr>
      <w:r>
        <w:rPr>
          <w:rStyle w:val="FootnoteReference"/>
        </w:rPr>
        <w:footnoteRef/>
      </w:r>
      <w:r>
        <w:t xml:space="preserve"> </w:t>
      </w:r>
      <w:r w:rsidRPr="008B03CA">
        <w:rPr>
          <w:sz w:val="16"/>
          <w:szCs w:val="16"/>
        </w:rPr>
        <w:t xml:space="preserve">American College of Radiology. </w:t>
      </w:r>
      <w:hyperlink r:id="rId142" w:history="1">
        <w:r w:rsidRPr="00E326A8">
          <w:rPr>
            <w:rStyle w:val="Hyperlink"/>
            <w:i/>
            <w:iCs/>
            <w:color w:val="auto"/>
            <w:sz w:val="16"/>
            <w:szCs w:val="16"/>
            <w:u w:val="none"/>
          </w:rPr>
          <w:t>Early Action Boots Patient Satisfaction</w:t>
        </w:r>
      </w:hyperlink>
      <w:r w:rsidRPr="00E326A8">
        <w:rPr>
          <w:sz w:val="16"/>
          <w:szCs w:val="16"/>
        </w:rPr>
        <w:t xml:space="preserve">. </w:t>
      </w:r>
      <w:r w:rsidRPr="008B03CA">
        <w:rPr>
          <w:sz w:val="16"/>
          <w:szCs w:val="16"/>
        </w:rPr>
        <w:t xml:space="preserve">Online at: </w:t>
      </w:r>
      <w:hyperlink r:id="rId143" w:history="1">
        <w:r w:rsidRPr="008B03CA">
          <w:rPr>
            <w:rStyle w:val="Hyperlink"/>
            <w:sz w:val="16"/>
            <w:szCs w:val="16"/>
          </w:rPr>
          <w:t>https://www.acr.org/Practice-Management-Quality-Informatics/Imaging-3/Case-Studies/Quality-and-Safety/Early-Action-Boosts-Patient-Satisfaction</w:t>
        </w:r>
      </w:hyperlink>
    </w:p>
  </w:footnote>
  <w:footnote w:id="129">
    <w:p w14:paraId="487AE85E" w14:textId="05DB942F" w:rsidR="00553DCD" w:rsidRDefault="00553DCD" w:rsidP="00755171">
      <w:pPr>
        <w:pStyle w:val="FootnoteText"/>
      </w:pPr>
      <w:r>
        <w:rPr>
          <w:rStyle w:val="FootnoteReference"/>
        </w:rPr>
        <w:footnoteRef/>
      </w:r>
      <w:r>
        <w:t xml:space="preserve"> </w:t>
      </w:r>
      <w:r w:rsidRPr="006D6BF1">
        <w:rPr>
          <w:sz w:val="16"/>
          <w:szCs w:val="16"/>
        </w:rPr>
        <w:t xml:space="preserve">Otani K, Ye S, Chumbler NR, Judy Z, Herrmann PA, Kurz RS. </w:t>
      </w:r>
      <w:hyperlink r:id="rId144" w:history="1">
        <w:r w:rsidRPr="00A7641B">
          <w:rPr>
            <w:rStyle w:val="Hyperlink"/>
            <w:color w:val="auto"/>
            <w:sz w:val="16"/>
            <w:szCs w:val="16"/>
            <w:u w:val="none"/>
          </w:rPr>
          <w:t>The impact of self-rated health status on patient satisfaction integration process.</w:t>
        </w:r>
      </w:hyperlink>
      <w:r w:rsidRPr="00A7641B">
        <w:rPr>
          <w:sz w:val="16"/>
          <w:szCs w:val="16"/>
        </w:rPr>
        <w:t xml:space="preserve"> </w:t>
      </w:r>
      <w:r w:rsidRPr="006D6BF1">
        <w:rPr>
          <w:sz w:val="16"/>
          <w:szCs w:val="16"/>
        </w:rPr>
        <w:t>Journal of Healthcare Management. 2015;60(3):205-218.</w:t>
      </w:r>
      <w:r>
        <w:rPr>
          <w:sz w:val="16"/>
          <w:szCs w:val="16"/>
        </w:rPr>
        <w:t xml:space="preserve"> Online at: </w:t>
      </w:r>
      <w:hyperlink r:id="rId145" w:history="1">
        <w:r w:rsidRPr="002B5FE8">
          <w:rPr>
            <w:rStyle w:val="Hyperlink"/>
            <w:sz w:val="16"/>
            <w:szCs w:val="16"/>
          </w:rPr>
          <w:t>https://pubmed.ncbi.nlm.nih.gov/26554265/</w:t>
        </w:r>
      </w:hyperlink>
      <w:r>
        <w:rPr>
          <w:sz w:val="16"/>
          <w:szCs w:val="16"/>
        </w:rPr>
        <w:t xml:space="preserve"> </w:t>
      </w:r>
    </w:p>
  </w:footnote>
  <w:footnote w:id="130">
    <w:p w14:paraId="2E3148EC" w14:textId="77777777" w:rsidR="00553DCD" w:rsidRDefault="00553DCD" w:rsidP="00755171">
      <w:pPr>
        <w:pStyle w:val="FootnoteText"/>
      </w:pPr>
      <w:r>
        <w:rPr>
          <w:rStyle w:val="FootnoteReference"/>
        </w:rPr>
        <w:footnoteRef/>
      </w:r>
      <w:r>
        <w:t xml:space="preserve"> </w:t>
      </w:r>
      <w:r w:rsidRPr="00FF4199">
        <w:rPr>
          <w:sz w:val="16"/>
          <w:szCs w:val="16"/>
        </w:rPr>
        <w:t>Located at 888 Main Street in Wakefield.</w:t>
      </w:r>
    </w:p>
  </w:footnote>
  <w:footnote w:id="131">
    <w:p w14:paraId="33C7595B" w14:textId="77777777" w:rsidR="00553DCD" w:rsidRPr="00BD1E9B" w:rsidRDefault="00553DCD" w:rsidP="00755171">
      <w:pPr>
        <w:pStyle w:val="FootnoteText"/>
        <w:rPr>
          <w:sz w:val="16"/>
          <w:szCs w:val="16"/>
        </w:rPr>
      </w:pPr>
      <w:r>
        <w:rPr>
          <w:rStyle w:val="FootnoteReference"/>
        </w:rPr>
        <w:footnoteRef/>
      </w:r>
      <w:r>
        <w:t xml:space="preserve"> </w:t>
      </w:r>
      <w:r w:rsidRPr="00BD1E9B">
        <w:rPr>
          <w:sz w:val="16"/>
          <w:szCs w:val="16"/>
        </w:rPr>
        <w:t xml:space="preserve">Online at: </w:t>
      </w:r>
      <w:hyperlink r:id="rId146" w:history="1">
        <w:r w:rsidRPr="00BD1E9B">
          <w:rPr>
            <w:rStyle w:val="Hyperlink"/>
            <w:sz w:val="16"/>
            <w:szCs w:val="16"/>
          </w:rPr>
          <w:t>https://stanfordhealthcare.org/medical-tests/p/pet-ct-scan/what-to-expect.html</w:t>
        </w:r>
      </w:hyperlink>
      <w:r w:rsidRPr="00BD1E9B">
        <w:rPr>
          <w:sz w:val="16"/>
          <w:szCs w:val="16"/>
        </w:rPr>
        <w:t xml:space="preserve"> </w:t>
      </w:r>
    </w:p>
  </w:footnote>
  <w:footnote w:id="132">
    <w:p w14:paraId="01BBC6D0" w14:textId="71440834" w:rsidR="00553DCD" w:rsidRDefault="00553DCD" w:rsidP="00755171">
      <w:pPr>
        <w:pStyle w:val="FootnoteText"/>
      </w:pPr>
      <w:r>
        <w:rPr>
          <w:rStyle w:val="FootnoteReference"/>
        </w:rPr>
        <w:footnoteRef/>
      </w:r>
      <w:r>
        <w:t xml:space="preserve"> </w:t>
      </w:r>
      <w:r w:rsidRPr="00657DA7">
        <w:rPr>
          <w:sz w:val="16"/>
          <w:szCs w:val="16"/>
        </w:rPr>
        <w:t xml:space="preserve">Saif MW, </w:t>
      </w:r>
      <w:proofErr w:type="spellStart"/>
      <w:r w:rsidRPr="00657DA7">
        <w:rPr>
          <w:sz w:val="16"/>
          <w:szCs w:val="16"/>
        </w:rPr>
        <w:t>Tzannou</w:t>
      </w:r>
      <w:proofErr w:type="spellEnd"/>
      <w:r w:rsidRPr="00657DA7">
        <w:rPr>
          <w:sz w:val="16"/>
          <w:szCs w:val="16"/>
        </w:rPr>
        <w:t xml:space="preserve"> I, </w:t>
      </w:r>
      <w:proofErr w:type="spellStart"/>
      <w:r w:rsidRPr="00657DA7">
        <w:rPr>
          <w:sz w:val="16"/>
          <w:szCs w:val="16"/>
        </w:rPr>
        <w:t>Makrilia</w:t>
      </w:r>
      <w:proofErr w:type="spellEnd"/>
      <w:r w:rsidRPr="00657DA7">
        <w:rPr>
          <w:sz w:val="16"/>
          <w:szCs w:val="16"/>
        </w:rPr>
        <w:t xml:space="preserve"> N, Syrigos K. </w:t>
      </w:r>
      <w:hyperlink r:id="rId147" w:history="1">
        <w:r w:rsidRPr="00A7641B">
          <w:rPr>
            <w:rStyle w:val="Hyperlink"/>
            <w:color w:val="auto"/>
            <w:sz w:val="16"/>
            <w:szCs w:val="16"/>
            <w:u w:val="none"/>
          </w:rPr>
          <w:t>Role and cost effectiveness of PET/CT in management of patients with cancer.</w:t>
        </w:r>
      </w:hyperlink>
      <w:r w:rsidRPr="00A7641B">
        <w:rPr>
          <w:sz w:val="16"/>
          <w:szCs w:val="16"/>
        </w:rPr>
        <w:t xml:space="preserve"> </w:t>
      </w:r>
      <w:r w:rsidRPr="00657DA7">
        <w:rPr>
          <w:sz w:val="16"/>
          <w:szCs w:val="16"/>
        </w:rPr>
        <w:t>Yale J Biol Med. 2010 Jun;83(2):53-65. PMID: 20589185; PMCID: PMC2892773.</w:t>
      </w:r>
      <w:r>
        <w:rPr>
          <w:sz w:val="16"/>
          <w:szCs w:val="16"/>
        </w:rPr>
        <w:t xml:space="preserve"> Available online at: </w:t>
      </w:r>
      <w:hyperlink r:id="rId148" w:history="1">
        <w:r w:rsidRPr="0048358C">
          <w:rPr>
            <w:rStyle w:val="Hyperlink"/>
            <w:sz w:val="16"/>
            <w:szCs w:val="16"/>
          </w:rPr>
          <w:t>https://www.ncbi.nlm.nih.gov/pmc/articles/PMC2892773/</w:t>
        </w:r>
      </w:hyperlink>
      <w:r>
        <w:rPr>
          <w:sz w:val="16"/>
          <w:szCs w:val="16"/>
        </w:rPr>
        <w:t xml:space="preserve"> </w:t>
      </w:r>
    </w:p>
  </w:footnote>
  <w:footnote w:id="133">
    <w:p w14:paraId="1BC6C95F" w14:textId="77777777" w:rsidR="00553DCD" w:rsidRDefault="00553DCD" w:rsidP="00755171">
      <w:pPr>
        <w:pStyle w:val="FootnoteText"/>
      </w:pPr>
      <w:r>
        <w:rPr>
          <w:rStyle w:val="FootnoteReference"/>
        </w:rPr>
        <w:footnoteRef/>
      </w:r>
      <w:r>
        <w:t xml:space="preserve"> </w:t>
      </w:r>
      <w:r w:rsidRPr="00095FA5">
        <w:rPr>
          <w:i/>
          <w:iCs/>
          <w:sz w:val="18"/>
          <w:szCs w:val="18"/>
        </w:rPr>
        <w:t>Ibid.</w:t>
      </w:r>
    </w:p>
  </w:footnote>
  <w:footnote w:id="134">
    <w:p w14:paraId="3427F0A5" w14:textId="77777777" w:rsidR="00553DCD" w:rsidRDefault="00553DCD" w:rsidP="00755171">
      <w:pPr>
        <w:pStyle w:val="FootnoteText"/>
      </w:pPr>
      <w:r>
        <w:rPr>
          <w:rStyle w:val="FootnoteReference"/>
        </w:rPr>
        <w:footnoteRef/>
      </w:r>
      <w:r>
        <w:t xml:space="preserve"> </w:t>
      </w:r>
      <w:r w:rsidRPr="00095FA5">
        <w:rPr>
          <w:i/>
          <w:iCs/>
          <w:sz w:val="16"/>
          <w:szCs w:val="16"/>
        </w:rPr>
        <w:t>Ibid.</w:t>
      </w:r>
    </w:p>
  </w:footnote>
  <w:footnote w:id="135">
    <w:p w14:paraId="7B47BE15" w14:textId="77777777" w:rsidR="00553DCD" w:rsidRDefault="00553DCD" w:rsidP="00755171">
      <w:pPr>
        <w:pStyle w:val="FootnoteText"/>
      </w:pPr>
      <w:r>
        <w:rPr>
          <w:rStyle w:val="FootnoteReference"/>
        </w:rPr>
        <w:footnoteRef/>
      </w:r>
      <w:r>
        <w:t xml:space="preserve"> </w:t>
      </w:r>
      <w:r w:rsidRPr="00095FA5">
        <w:rPr>
          <w:i/>
          <w:iCs/>
          <w:sz w:val="16"/>
          <w:szCs w:val="16"/>
        </w:rPr>
        <w:t>Ibid</w:t>
      </w:r>
      <w:r>
        <w:t>.</w:t>
      </w:r>
    </w:p>
  </w:footnote>
  <w:footnote w:id="136">
    <w:p w14:paraId="0A542B29" w14:textId="77777777" w:rsidR="00553DCD" w:rsidRDefault="00553DCD" w:rsidP="00755171">
      <w:pPr>
        <w:pStyle w:val="FootnoteText"/>
      </w:pPr>
      <w:r>
        <w:rPr>
          <w:rStyle w:val="FootnoteReference"/>
        </w:rPr>
        <w:footnoteRef/>
      </w:r>
      <w:r>
        <w:t xml:space="preserve"> </w:t>
      </w:r>
      <w:r w:rsidRPr="00585B2B">
        <w:rPr>
          <w:sz w:val="16"/>
          <w:szCs w:val="16"/>
        </w:rPr>
        <w:t>The Patient Experience in Imaging Study was conducted in the summer of 2017 by Kantar TNS, in the Netherlands per order of Philips. It was based on prior qualitative research conducted in April-May 2017.</w:t>
      </w:r>
      <w:r>
        <w:rPr>
          <w:sz w:val="16"/>
          <w:szCs w:val="16"/>
        </w:rPr>
        <w:t xml:space="preserve"> Available online at: </w:t>
      </w:r>
      <w:hyperlink r:id="rId149" w:history="1">
        <w:r w:rsidRPr="0048358C">
          <w:rPr>
            <w:rStyle w:val="Hyperlink"/>
            <w:sz w:val="16"/>
            <w:szCs w:val="16"/>
          </w:rPr>
          <w:t>https://Images.philips.com/is/content/PhilipsConsumer/Campaigns/HC20140401_DG/Documents/PEX_in_Imaging_research_11Oct17_FINAL.pdf</w:t>
        </w:r>
      </w:hyperlink>
      <w:r>
        <w:rPr>
          <w:sz w:val="16"/>
          <w:szCs w:val="16"/>
        </w:rPr>
        <w:t xml:space="preserve">     </w:t>
      </w:r>
    </w:p>
  </w:footnote>
  <w:footnote w:id="137">
    <w:p w14:paraId="5A087D5D" w14:textId="04BD0A2A" w:rsidR="00553DCD" w:rsidRPr="000D6444" w:rsidRDefault="00553DCD" w:rsidP="00755171">
      <w:pPr>
        <w:pStyle w:val="FootnoteText"/>
        <w:rPr>
          <w:sz w:val="16"/>
          <w:szCs w:val="16"/>
        </w:rPr>
      </w:pPr>
      <w:r>
        <w:rPr>
          <w:rStyle w:val="FootnoteReference"/>
        </w:rPr>
        <w:footnoteRef/>
      </w:r>
      <w:r>
        <w:t xml:space="preserve"> </w:t>
      </w:r>
      <w:r w:rsidRPr="001941AA">
        <w:rPr>
          <w:sz w:val="16"/>
          <w:szCs w:val="16"/>
        </w:rPr>
        <w:t xml:space="preserve">Bhanu Prakash, </w:t>
      </w:r>
      <w:hyperlink r:id="rId150" w:history="1">
        <w:r w:rsidRPr="009A7D44">
          <w:rPr>
            <w:rStyle w:val="Hyperlink"/>
            <w:color w:val="auto"/>
            <w:sz w:val="16"/>
            <w:szCs w:val="16"/>
            <w:u w:val="none"/>
          </w:rPr>
          <w:t>Patient Satisfaction</w:t>
        </w:r>
      </w:hyperlink>
      <w:r w:rsidRPr="009A7D44">
        <w:rPr>
          <w:sz w:val="16"/>
          <w:szCs w:val="16"/>
        </w:rPr>
        <w:t xml:space="preserve">, </w:t>
      </w:r>
      <w:r w:rsidRPr="001941AA">
        <w:rPr>
          <w:sz w:val="16"/>
          <w:szCs w:val="16"/>
        </w:rPr>
        <w:t>3 J. CUTANEOUS &amp; AESTHETIC SURGERY 151 (2010),</w:t>
      </w:r>
      <w:r>
        <w:rPr>
          <w:sz w:val="16"/>
          <w:szCs w:val="16"/>
        </w:rPr>
        <w:t xml:space="preserve"> online at: </w:t>
      </w:r>
      <w:hyperlink r:id="rId151" w:history="1">
        <w:r w:rsidRPr="002B5FE8">
          <w:rPr>
            <w:rStyle w:val="Hyperlink"/>
            <w:sz w:val="16"/>
            <w:szCs w:val="16"/>
          </w:rPr>
          <w:t>https://pubmed.ncbi.nlm.nih.gov/21430827/</w:t>
        </w:r>
      </w:hyperlink>
      <w:r>
        <w:rPr>
          <w:sz w:val="16"/>
          <w:szCs w:val="16"/>
        </w:rPr>
        <w:t xml:space="preserve"> </w:t>
      </w:r>
    </w:p>
  </w:footnote>
  <w:footnote w:id="138">
    <w:p w14:paraId="12BE3ED7" w14:textId="45842432" w:rsidR="00553DCD" w:rsidRDefault="00553DCD" w:rsidP="00755171">
      <w:pPr>
        <w:pStyle w:val="FootnoteText"/>
      </w:pPr>
      <w:r>
        <w:rPr>
          <w:rStyle w:val="FootnoteReference"/>
        </w:rPr>
        <w:footnoteRef/>
      </w:r>
      <w:r w:rsidRPr="00955163">
        <w:rPr>
          <w:lang w:val="es-ES"/>
        </w:rPr>
        <w:t xml:space="preserve"> </w:t>
      </w:r>
      <w:r w:rsidRPr="00955163">
        <w:rPr>
          <w:sz w:val="16"/>
          <w:szCs w:val="16"/>
          <w:lang w:val="es-ES"/>
        </w:rPr>
        <w:t xml:space="preserve">Hanan </w:t>
      </w:r>
      <w:proofErr w:type="spellStart"/>
      <w:r w:rsidRPr="00955163">
        <w:rPr>
          <w:sz w:val="16"/>
          <w:szCs w:val="16"/>
          <w:lang w:val="es-ES"/>
        </w:rPr>
        <w:t>Aldosari</w:t>
      </w:r>
      <w:proofErr w:type="spellEnd"/>
      <w:r w:rsidRPr="00955163">
        <w:rPr>
          <w:sz w:val="16"/>
          <w:szCs w:val="16"/>
          <w:lang w:val="es-ES"/>
        </w:rPr>
        <w:t xml:space="preserve">, </w:t>
      </w:r>
      <w:proofErr w:type="spellStart"/>
      <w:r w:rsidRPr="00955163">
        <w:rPr>
          <w:sz w:val="16"/>
          <w:szCs w:val="16"/>
          <w:lang w:val="es-ES"/>
        </w:rPr>
        <w:t>Basema</w:t>
      </w:r>
      <w:proofErr w:type="spellEnd"/>
      <w:r w:rsidRPr="00955163">
        <w:rPr>
          <w:sz w:val="16"/>
          <w:szCs w:val="16"/>
          <w:lang w:val="es-ES"/>
        </w:rPr>
        <w:t xml:space="preserve"> </w:t>
      </w:r>
      <w:proofErr w:type="spellStart"/>
      <w:r w:rsidRPr="00955163">
        <w:rPr>
          <w:sz w:val="16"/>
          <w:szCs w:val="16"/>
          <w:lang w:val="es-ES"/>
        </w:rPr>
        <w:t>Saddik</w:t>
      </w:r>
      <w:proofErr w:type="spellEnd"/>
      <w:r w:rsidRPr="00955163">
        <w:rPr>
          <w:sz w:val="16"/>
          <w:szCs w:val="16"/>
          <w:lang w:val="es-ES"/>
        </w:rPr>
        <w:t xml:space="preserve">, </w:t>
      </w:r>
      <w:proofErr w:type="spellStart"/>
      <w:r w:rsidRPr="00955163">
        <w:rPr>
          <w:sz w:val="16"/>
          <w:szCs w:val="16"/>
          <w:lang w:val="es-ES"/>
        </w:rPr>
        <w:t>Khulud</w:t>
      </w:r>
      <w:proofErr w:type="spellEnd"/>
      <w:r w:rsidRPr="00955163">
        <w:rPr>
          <w:sz w:val="16"/>
          <w:szCs w:val="16"/>
          <w:lang w:val="es-ES"/>
        </w:rPr>
        <w:t xml:space="preserve"> Al </w:t>
      </w:r>
      <w:proofErr w:type="spellStart"/>
      <w:r w:rsidRPr="00955163">
        <w:rPr>
          <w:sz w:val="16"/>
          <w:szCs w:val="16"/>
          <w:lang w:val="es-ES"/>
        </w:rPr>
        <w:t>Kadi</w:t>
      </w:r>
      <w:proofErr w:type="spellEnd"/>
      <w:r w:rsidRPr="00955163">
        <w:rPr>
          <w:sz w:val="16"/>
          <w:szCs w:val="16"/>
          <w:lang w:val="es-ES"/>
        </w:rPr>
        <w:t xml:space="preserve">. </w:t>
      </w:r>
      <w:hyperlink r:id="rId152" w:history="1">
        <w:r w:rsidRPr="009A7D44">
          <w:rPr>
            <w:rStyle w:val="Hyperlink"/>
            <w:color w:val="auto"/>
            <w:sz w:val="16"/>
            <w:szCs w:val="16"/>
            <w:u w:val="none"/>
          </w:rPr>
          <w:t>Impact of picture archiving and communication system (PACS) on radiology staff</w:t>
        </w:r>
      </w:hyperlink>
      <w:r w:rsidRPr="009A7D44">
        <w:rPr>
          <w:sz w:val="16"/>
          <w:szCs w:val="16"/>
        </w:rPr>
        <w:t xml:space="preserve">, </w:t>
      </w:r>
      <w:r w:rsidRPr="00D95EEB">
        <w:rPr>
          <w:sz w:val="16"/>
          <w:szCs w:val="16"/>
        </w:rPr>
        <w:t xml:space="preserve">Informatics in Medicine Unlocked, Volume 10, 2018. Online at: </w:t>
      </w:r>
      <w:hyperlink r:id="rId153" w:history="1">
        <w:r w:rsidRPr="00D95EEB">
          <w:rPr>
            <w:rStyle w:val="Hyperlink"/>
            <w:sz w:val="16"/>
            <w:szCs w:val="16"/>
          </w:rPr>
          <w:t>https://www.sciencedirect.com/science/article/pii/S2352914817301958</w:t>
        </w:r>
      </w:hyperlink>
      <w:r w:rsidRPr="00D95EEB">
        <w:rPr>
          <w:sz w:val="16"/>
          <w:szCs w:val="16"/>
        </w:rPr>
        <w:t xml:space="preserve"> </w:t>
      </w:r>
    </w:p>
  </w:footnote>
  <w:footnote w:id="139">
    <w:p w14:paraId="277D80B8" w14:textId="5E87488D" w:rsidR="00553DCD" w:rsidRDefault="00553DCD" w:rsidP="00755171">
      <w:pPr>
        <w:pStyle w:val="FootnoteText"/>
      </w:pPr>
      <w:r>
        <w:rPr>
          <w:rStyle w:val="FootnoteReference"/>
        </w:rPr>
        <w:footnoteRef/>
      </w:r>
      <w:r>
        <w:t xml:space="preserve"> </w:t>
      </w:r>
      <w:r w:rsidRPr="00E626A4">
        <w:rPr>
          <w:sz w:val="16"/>
          <w:szCs w:val="16"/>
        </w:rPr>
        <w:t>O</w:t>
      </w:r>
      <w:r w:rsidRPr="00667FB9">
        <w:rPr>
          <w:sz w:val="16"/>
          <w:szCs w:val="16"/>
        </w:rPr>
        <w:t xml:space="preserve">'Malley AS, Grossman JM, Cohen GR, Kemper NM, Pham HH. </w:t>
      </w:r>
      <w:hyperlink r:id="rId154" w:history="1">
        <w:r w:rsidRPr="009A7D44">
          <w:rPr>
            <w:rStyle w:val="Hyperlink"/>
            <w:color w:val="auto"/>
            <w:sz w:val="16"/>
            <w:szCs w:val="16"/>
            <w:u w:val="none"/>
          </w:rPr>
          <w:t>Are electronic medical records helpful for care coordination? Experiences of physician practices. </w:t>
        </w:r>
      </w:hyperlink>
      <w:r w:rsidRPr="009A7D44">
        <w:rPr>
          <w:i/>
          <w:iCs/>
          <w:sz w:val="16"/>
          <w:szCs w:val="16"/>
        </w:rPr>
        <w:t xml:space="preserve">J </w:t>
      </w:r>
      <w:r w:rsidRPr="00667FB9">
        <w:rPr>
          <w:i/>
          <w:iCs/>
          <w:sz w:val="16"/>
          <w:szCs w:val="16"/>
        </w:rPr>
        <w:t>Gen Intern Med</w:t>
      </w:r>
      <w:r w:rsidRPr="00667FB9">
        <w:rPr>
          <w:sz w:val="16"/>
          <w:szCs w:val="16"/>
        </w:rPr>
        <w:t>. 2010;25(3):177-185. doi:10.1007/s11606-009-1195-2</w:t>
      </w:r>
      <w:r>
        <w:rPr>
          <w:sz w:val="16"/>
          <w:szCs w:val="16"/>
        </w:rPr>
        <w:t xml:space="preserve">. Online at: </w:t>
      </w:r>
      <w:hyperlink r:id="rId155" w:history="1">
        <w:r w:rsidRPr="00727F68">
          <w:rPr>
            <w:rStyle w:val="Hyperlink"/>
            <w:sz w:val="16"/>
            <w:szCs w:val="16"/>
          </w:rPr>
          <w:t>https://www.ncbi.nlm.nih.gov/pmc/articles/PMC2839331/</w:t>
        </w:r>
      </w:hyperlink>
      <w:r>
        <w:rPr>
          <w:sz w:val="16"/>
          <w:szCs w:val="16"/>
        </w:rPr>
        <w:t xml:space="preserve"> </w:t>
      </w:r>
    </w:p>
  </w:footnote>
  <w:footnote w:id="140">
    <w:p w14:paraId="14BFD8AE" w14:textId="77777777" w:rsidR="00553DCD" w:rsidRDefault="00553DCD" w:rsidP="00755171">
      <w:pPr>
        <w:pStyle w:val="FootnoteText"/>
      </w:pPr>
      <w:r>
        <w:rPr>
          <w:rStyle w:val="FootnoteReference"/>
        </w:rPr>
        <w:footnoteRef/>
      </w:r>
      <w:r>
        <w:t xml:space="preserve"> </w:t>
      </w:r>
      <w:r w:rsidRPr="00C42C5F">
        <w:rPr>
          <w:sz w:val="16"/>
          <w:szCs w:val="16"/>
        </w:rPr>
        <w:t xml:space="preserve">Shields is now using a platform called Podium </w:t>
      </w:r>
      <w:r>
        <w:rPr>
          <w:sz w:val="16"/>
          <w:szCs w:val="16"/>
        </w:rPr>
        <w:t xml:space="preserve">– </w:t>
      </w:r>
      <w:r w:rsidRPr="00C42C5F">
        <w:rPr>
          <w:sz w:val="16"/>
          <w:szCs w:val="16"/>
        </w:rPr>
        <w:t>a</w:t>
      </w:r>
      <w:r>
        <w:rPr>
          <w:sz w:val="16"/>
          <w:szCs w:val="16"/>
        </w:rPr>
        <w:t xml:space="preserve"> </w:t>
      </w:r>
      <w:r w:rsidRPr="00C42C5F">
        <w:rPr>
          <w:sz w:val="16"/>
          <w:szCs w:val="16"/>
        </w:rPr>
        <w:t>text</w:t>
      </w:r>
      <w:r>
        <w:rPr>
          <w:sz w:val="16"/>
          <w:szCs w:val="16"/>
        </w:rPr>
        <w:t>-</w:t>
      </w:r>
      <w:r w:rsidRPr="00C42C5F">
        <w:rPr>
          <w:sz w:val="16"/>
          <w:szCs w:val="16"/>
        </w:rPr>
        <w:t>based program for patient experience.</w:t>
      </w:r>
    </w:p>
  </w:footnote>
  <w:footnote w:id="141">
    <w:p w14:paraId="72F13CDC" w14:textId="0386DDB4" w:rsidR="00553DCD" w:rsidRDefault="00553DCD" w:rsidP="00EF69DA">
      <w:pPr>
        <w:pStyle w:val="FootnoteText"/>
      </w:pPr>
      <w:r>
        <w:rPr>
          <w:rStyle w:val="FootnoteReference"/>
        </w:rPr>
        <w:footnoteRef/>
      </w:r>
      <w:r>
        <w:t xml:space="preserve"> </w:t>
      </w:r>
      <w:r w:rsidRPr="00270627">
        <w:rPr>
          <w:sz w:val="16"/>
          <w:szCs w:val="16"/>
        </w:rPr>
        <w:t xml:space="preserve">Kaiser Family Foundation. </w:t>
      </w:r>
      <w:hyperlink r:id="rId156" w:history="1">
        <w:r w:rsidRPr="00C80F81">
          <w:rPr>
            <w:rStyle w:val="Hyperlink"/>
            <w:i/>
            <w:iCs/>
            <w:color w:val="auto"/>
            <w:sz w:val="16"/>
            <w:szCs w:val="16"/>
            <w:u w:val="none"/>
          </w:rPr>
          <w:t>America’s Challenges with Health Care Costs</w:t>
        </w:r>
      </w:hyperlink>
      <w:r w:rsidRPr="00270627">
        <w:rPr>
          <w:sz w:val="16"/>
          <w:szCs w:val="16"/>
        </w:rPr>
        <w:t xml:space="preserve">. December 14, 2021. Online at: </w:t>
      </w:r>
      <w:hyperlink r:id="rId157" w:history="1">
        <w:r w:rsidRPr="00270627">
          <w:rPr>
            <w:rStyle w:val="Hyperlink"/>
            <w:sz w:val="16"/>
            <w:szCs w:val="16"/>
          </w:rPr>
          <w:t>https://www.kff.org/health-costs/issue-brief/americans-challenges-with-health-care-costs/</w:t>
        </w:r>
      </w:hyperlink>
      <w:r w:rsidRPr="00270627">
        <w:rPr>
          <w:sz w:val="16"/>
          <w:szCs w:val="16"/>
        </w:rPr>
        <w:t xml:space="preserve">  </w:t>
      </w:r>
    </w:p>
  </w:footnote>
  <w:footnote w:id="142">
    <w:p w14:paraId="2BB8CA7F" w14:textId="77777777" w:rsidR="00553DCD" w:rsidRDefault="00553DCD" w:rsidP="00EF69DA">
      <w:pPr>
        <w:pStyle w:val="FootnoteText"/>
      </w:pPr>
      <w:r>
        <w:rPr>
          <w:rStyle w:val="FootnoteReference"/>
        </w:rPr>
        <w:footnoteRef/>
      </w:r>
      <w:r>
        <w:t xml:space="preserve"> </w:t>
      </w:r>
      <w:r w:rsidRPr="00CF621A">
        <w:rPr>
          <w:i/>
          <w:iCs/>
          <w:sz w:val="16"/>
          <w:szCs w:val="16"/>
        </w:rPr>
        <w:t>Ibid.</w:t>
      </w:r>
    </w:p>
  </w:footnote>
  <w:footnote w:id="143">
    <w:p w14:paraId="6B3D264D" w14:textId="77777777" w:rsidR="00553DCD" w:rsidRPr="001C0DAA" w:rsidRDefault="00553DCD" w:rsidP="00EF69DA">
      <w:pPr>
        <w:pStyle w:val="FootnoteText"/>
        <w:rPr>
          <w:color w:val="0563C1" w:themeColor="hyperlink"/>
          <w:sz w:val="16"/>
          <w:szCs w:val="16"/>
          <w:u w:val="single"/>
        </w:rPr>
      </w:pPr>
      <w:r>
        <w:rPr>
          <w:rStyle w:val="FootnoteReference"/>
        </w:rPr>
        <w:footnoteRef/>
      </w:r>
      <w:r>
        <w:t xml:space="preserve"> </w:t>
      </w:r>
      <w:r w:rsidRPr="0019643E">
        <w:rPr>
          <w:sz w:val="16"/>
          <w:szCs w:val="16"/>
        </w:rPr>
        <w:t xml:space="preserve">Available online at: </w:t>
      </w:r>
      <w:hyperlink r:id="rId158" w:history="1">
        <w:r w:rsidRPr="0019643E">
          <w:rPr>
            <w:rStyle w:val="Hyperlink"/>
            <w:sz w:val="16"/>
            <w:szCs w:val="16"/>
          </w:rPr>
          <w:t>https://advis.com/services/independent-diagnostic-testing-facilities/?gclid=CjwKCAiAvaGRBhBlEiwAiY-yMHCMEtjEV0at0jsHbWkZwKZyWZI-ZUwUwvPraR98eltokq-f5V7OwhoCmWwQAvD_BwE</w:t>
        </w:r>
      </w:hyperlink>
    </w:p>
  </w:footnote>
  <w:footnote w:id="144">
    <w:p w14:paraId="23F352B5" w14:textId="77777777" w:rsidR="00553DCD" w:rsidRDefault="00553DCD" w:rsidP="00EF69DA">
      <w:pPr>
        <w:pStyle w:val="FootnoteText"/>
      </w:pPr>
      <w:r>
        <w:rPr>
          <w:rStyle w:val="FootnoteReference"/>
        </w:rPr>
        <w:footnoteRef/>
      </w:r>
      <w:r>
        <w:t xml:space="preserve"> </w:t>
      </w:r>
      <w:r w:rsidRPr="00863E73">
        <w:rPr>
          <w:sz w:val="16"/>
          <w:szCs w:val="16"/>
        </w:rPr>
        <w:t>Language Line Solutions phone interpreting may also be used in the event the In Demand system is not functioning properly.</w:t>
      </w:r>
    </w:p>
  </w:footnote>
  <w:footnote w:id="145">
    <w:p w14:paraId="48B8B19C" w14:textId="77777777" w:rsidR="00553DCD" w:rsidRPr="00E80F2B" w:rsidRDefault="00553DCD" w:rsidP="00EF69DA">
      <w:pPr>
        <w:pStyle w:val="FootnoteText"/>
        <w:rPr>
          <w:sz w:val="16"/>
          <w:szCs w:val="16"/>
        </w:rPr>
      </w:pPr>
      <w:r>
        <w:rPr>
          <w:rStyle w:val="FootnoteReference"/>
        </w:rPr>
        <w:footnoteRef/>
      </w:r>
      <w:r>
        <w:t xml:space="preserve"> </w:t>
      </w:r>
      <w:r w:rsidRPr="00E80F2B">
        <w:rPr>
          <w:sz w:val="16"/>
          <w:szCs w:val="16"/>
        </w:rPr>
        <w:t>Designated iPads are used for the In Demand interpreting which provides the following: real-time, full motion video and audio over a dedicated high-speed internet connection, wide and width video connection or wireless connection that delivers high quality video images; a sharply delineated image large enough to display the interpreter's face and the participating individual's face; a clear, audible transmission of voices; a choice of female or male interpreter, based on patient preference if requested; adequate training to users on the operation of the video remote interpreting system; and phone interpreting services when needed.</w:t>
      </w:r>
    </w:p>
  </w:footnote>
  <w:footnote w:id="146">
    <w:p w14:paraId="70828EED" w14:textId="5874F55A" w:rsidR="00553DCD" w:rsidRPr="001805DE" w:rsidRDefault="00553DCD" w:rsidP="00EF69DA">
      <w:pPr>
        <w:pStyle w:val="FootnoteText"/>
        <w:rPr>
          <w:sz w:val="16"/>
          <w:szCs w:val="16"/>
        </w:rPr>
      </w:pPr>
      <w:r>
        <w:rPr>
          <w:rStyle w:val="FootnoteReference"/>
        </w:rPr>
        <w:footnoteRef/>
      </w:r>
      <w:r>
        <w:t xml:space="preserve"> </w:t>
      </w:r>
      <w:r w:rsidRPr="00E744A1">
        <w:rPr>
          <w:sz w:val="16"/>
          <w:szCs w:val="16"/>
        </w:rPr>
        <w:t xml:space="preserve">“A relationship between travelling further and having worse health outcomes cannot be ruled out and should be considered within the healthcare services location debate.” Kelly C, Hulme C, Farragher T, Clarke G. </w:t>
      </w:r>
      <w:hyperlink r:id="rId159" w:history="1">
        <w:r w:rsidRPr="0030624A">
          <w:rPr>
            <w:rStyle w:val="Hyperlink"/>
            <w:color w:val="auto"/>
            <w:sz w:val="16"/>
            <w:szCs w:val="16"/>
            <w:u w:val="none"/>
          </w:rPr>
          <w:t>Are differences in travel time or distance to healthcare for adults in global north countries associated with an impact on health outcomes? A systematic review.</w:t>
        </w:r>
      </w:hyperlink>
      <w:r w:rsidRPr="00E744A1">
        <w:rPr>
          <w:sz w:val="16"/>
          <w:szCs w:val="16"/>
        </w:rPr>
        <w:t xml:space="preserve"> BMJ Open. 2016;6(11</w:t>
      </w:r>
      <w:proofErr w:type="gramStart"/>
      <w:r w:rsidRPr="00E744A1">
        <w:rPr>
          <w:sz w:val="16"/>
          <w:szCs w:val="16"/>
        </w:rPr>
        <w:t>):e</w:t>
      </w:r>
      <w:proofErr w:type="gramEnd"/>
      <w:r w:rsidRPr="00E744A1">
        <w:rPr>
          <w:sz w:val="16"/>
          <w:szCs w:val="16"/>
        </w:rPr>
        <w:t xml:space="preserve">013059. Published 2016 Nov 24. doi:10.1136/bmjopen-2016-013059. Online at: </w:t>
      </w:r>
      <w:hyperlink r:id="rId160" w:history="1">
        <w:r w:rsidRPr="005E317D">
          <w:rPr>
            <w:rStyle w:val="Hyperlink"/>
            <w:sz w:val="16"/>
            <w:szCs w:val="16"/>
          </w:rPr>
          <w:t>https://www.ncbi.nlm.nih.gov/pmc/articles/PMC5178808/</w:t>
        </w:r>
      </w:hyperlink>
      <w:r>
        <w:rPr>
          <w:sz w:val="16"/>
          <w:szCs w:val="16"/>
        </w:rPr>
        <w:t xml:space="preserve"> </w:t>
      </w:r>
    </w:p>
  </w:footnote>
  <w:footnote w:id="147">
    <w:p w14:paraId="59549CFB" w14:textId="22D581BC" w:rsidR="00553DCD" w:rsidRPr="004F6C81" w:rsidRDefault="00553DCD" w:rsidP="00EF69DA">
      <w:pPr>
        <w:pStyle w:val="FootnoteText"/>
        <w:rPr>
          <w:sz w:val="16"/>
          <w:szCs w:val="16"/>
        </w:rPr>
      </w:pPr>
      <w:r>
        <w:rPr>
          <w:rStyle w:val="FootnoteReference"/>
        </w:rPr>
        <w:footnoteRef/>
      </w:r>
      <w:r>
        <w:t xml:space="preserve"> </w:t>
      </w:r>
      <w:r w:rsidRPr="004F6C81">
        <w:rPr>
          <w:sz w:val="16"/>
          <w:szCs w:val="16"/>
        </w:rPr>
        <w:t>Syed ST, Gerber BS, Sharp LK.</w:t>
      </w:r>
      <w:r w:rsidRPr="0030624A">
        <w:rPr>
          <w:sz w:val="16"/>
          <w:szCs w:val="16"/>
        </w:rPr>
        <w:t xml:space="preserve"> </w:t>
      </w:r>
      <w:hyperlink r:id="rId161" w:history="1">
        <w:r w:rsidRPr="0030624A">
          <w:rPr>
            <w:rStyle w:val="Hyperlink"/>
            <w:color w:val="auto"/>
            <w:sz w:val="16"/>
            <w:szCs w:val="16"/>
            <w:u w:val="none"/>
          </w:rPr>
          <w:t>Traveling towards disease: transportation barriers to health care access.</w:t>
        </w:r>
      </w:hyperlink>
      <w:r w:rsidRPr="004F6C81">
        <w:rPr>
          <w:sz w:val="16"/>
          <w:szCs w:val="16"/>
        </w:rPr>
        <w:t xml:space="preserve"> J Community Health. 2013;38(5):976-993. doi:10.1007/s10900-013-9681-1. Online at: </w:t>
      </w:r>
      <w:hyperlink r:id="rId162" w:history="1">
        <w:r w:rsidRPr="004F6C81">
          <w:rPr>
            <w:rStyle w:val="Hyperlink"/>
            <w:sz w:val="16"/>
            <w:szCs w:val="16"/>
          </w:rPr>
          <w:t>https://www.ncbi.nlm.nih.gov/pmc/articles/PMC4265215/</w:t>
        </w:r>
      </w:hyperlink>
      <w:r w:rsidRPr="004F6C81">
        <w:rPr>
          <w:sz w:val="16"/>
          <w:szCs w:val="16"/>
        </w:rPr>
        <w:t xml:space="preserve"> </w:t>
      </w:r>
    </w:p>
  </w:footnote>
  <w:footnote w:id="148">
    <w:p w14:paraId="1E171D1B" w14:textId="77777777" w:rsidR="00553DCD" w:rsidRDefault="00553DCD" w:rsidP="00EF69DA">
      <w:pPr>
        <w:pStyle w:val="FootnoteText"/>
      </w:pPr>
      <w:r>
        <w:rPr>
          <w:rStyle w:val="FootnoteReference"/>
        </w:rPr>
        <w:footnoteRef/>
      </w:r>
      <w:r>
        <w:t xml:space="preserve"> </w:t>
      </w:r>
      <w:r w:rsidRPr="004F6C81">
        <w:rPr>
          <w:i/>
          <w:iCs/>
          <w:sz w:val="16"/>
          <w:szCs w:val="16"/>
        </w:rPr>
        <w:t>Ibid.</w:t>
      </w:r>
    </w:p>
  </w:footnote>
  <w:footnote w:id="149">
    <w:p w14:paraId="77C45911" w14:textId="667056AF" w:rsidR="00553DCD" w:rsidRDefault="00553DCD" w:rsidP="00EF69DA">
      <w:pPr>
        <w:pStyle w:val="FootnoteText"/>
      </w:pPr>
      <w:r>
        <w:rPr>
          <w:rStyle w:val="FootnoteReference"/>
        </w:rPr>
        <w:footnoteRef/>
      </w:r>
      <w:r>
        <w:t xml:space="preserve"> </w:t>
      </w:r>
      <w:hyperlink r:id="rId163" w:history="1">
        <w:r w:rsidRPr="00EA36FA">
          <w:rPr>
            <w:rStyle w:val="Hyperlink"/>
            <w:color w:val="auto"/>
            <w:sz w:val="16"/>
            <w:szCs w:val="16"/>
            <w:u w:val="none"/>
          </w:rPr>
          <w:t>Centers for Disease Control and Prevention</w:t>
        </w:r>
      </w:hyperlink>
      <w:r w:rsidRPr="00EA36FA">
        <w:rPr>
          <w:sz w:val="16"/>
          <w:szCs w:val="16"/>
        </w:rPr>
        <w:t xml:space="preserve">. </w:t>
      </w:r>
      <w:r w:rsidRPr="00DC7974">
        <w:rPr>
          <w:sz w:val="16"/>
          <w:szCs w:val="16"/>
        </w:rPr>
        <w:t xml:space="preserve">Online at: </w:t>
      </w:r>
      <w:hyperlink r:id="rId164" w:history="1">
        <w:r w:rsidRPr="00DC7974">
          <w:rPr>
            <w:rStyle w:val="Hyperlink"/>
            <w:sz w:val="16"/>
            <w:szCs w:val="16"/>
          </w:rPr>
          <w:t>https://www.cdc.gov/socialdeterminants/index.htm</w:t>
        </w:r>
      </w:hyperlink>
      <w:r>
        <w:t xml:space="preserve"> </w:t>
      </w:r>
    </w:p>
  </w:footnote>
  <w:footnote w:id="150">
    <w:p w14:paraId="4299CD39" w14:textId="77777777" w:rsidR="00553DCD" w:rsidRDefault="00553DCD" w:rsidP="00EF69DA">
      <w:pPr>
        <w:pStyle w:val="FootnoteText"/>
      </w:pPr>
      <w:r>
        <w:rPr>
          <w:rStyle w:val="FootnoteReference"/>
        </w:rPr>
        <w:footnoteRef/>
      </w:r>
      <w:r>
        <w:t xml:space="preserve"> </w:t>
      </w:r>
      <w:r w:rsidRPr="00320361">
        <w:rPr>
          <w:sz w:val="16"/>
          <w:szCs w:val="16"/>
        </w:rPr>
        <w:t>Access to transportation is one of the most important social determinants of health (SDOH), according to the CDC.</w:t>
      </w:r>
    </w:p>
  </w:footnote>
  <w:footnote w:id="151">
    <w:p w14:paraId="40E1F222" w14:textId="77777777" w:rsidR="00553DCD" w:rsidRDefault="00553DCD" w:rsidP="0019754C">
      <w:pPr>
        <w:pStyle w:val="FootnoteText"/>
      </w:pPr>
      <w:r>
        <w:rPr>
          <w:rStyle w:val="FootnoteReference"/>
        </w:rPr>
        <w:footnoteRef/>
      </w:r>
      <w:r>
        <w:t xml:space="preserve"> </w:t>
      </w:r>
      <w:r>
        <w:rPr>
          <w:sz w:val="16"/>
          <w:szCs w:val="16"/>
        </w:rPr>
        <w:t xml:space="preserve">Current imaging equipment is 15+ years old. </w:t>
      </w:r>
    </w:p>
  </w:footnote>
  <w:footnote w:id="152">
    <w:p w14:paraId="0A4B44A3" w14:textId="5291EDFA" w:rsidR="00553DCD" w:rsidRDefault="00553DCD">
      <w:pPr>
        <w:pStyle w:val="FootnoteText"/>
      </w:pPr>
      <w:r>
        <w:rPr>
          <w:rStyle w:val="FootnoteReference"/>
        </w:rPr>
        <w:footnoteRef/>
      </w:r>
      <w:r>
        <w:t xml:space="preserve"> </w:t>
      </w:r>
      <w:r w:rsidRPr="008B2061">
        <w:rPr>
          <w:sz w:val="16"/>
          <w:szCs w:val="16"/>
        </w:rPr>
        <w:t xml:space="preserve">A copy of the presentation is included herein with this submission. </w:t>
      </w:r>
    </w:p>
  </w:footnote>
  <w:footnote w:id="153">
    <w:p w14:paraId="3712EC27" w14:textId="727E10C6" w:rsidR="00553DCD" w:rsidRDefault="00553DCD" w:rsidP="0019754C">
      <w:pPr>
        <w:pStyle w:val="FootnoteText"/>
      </w:pPr>
      <w:r>
        <w:rPr>
          <w:rStyle w:val="FootnoteReference"/>
        </w:rPr>
        <w:footnoteRef/>
      </w:r>
      <w:r>
        <w:t xml:space="preserve"> </w:t>
      </w:r>
      <w:r>
        <w:rPr>
          <w:sz w:val="16"/>
          <w:szCs w:val="16"/>
        </w:rPr>
        <w:t xml:space="preserve">Published August 31, 2022 on the </w:t>
      </w:r>
      <w:hyperlink r:id="rId165" w:history="1">
        <w:r w:rsidRPr="00B03156">
          <w:rPr>
            <w:rStyle w:val="Hyperlink"/>
            <w:color w:val="auto"/>
            <w:sz w:val="16"/>
            <w:szCs w:val="16"/>
            <w:u w:val="none"/>
          </w:rPr>
          <w:t>Shields website</w:t>
        </w:r>
      </w:hyperlink>
      <w:r>
        <w:rPr>
          <w:sz w:val="16"/>
          <w:szCs w:val="16"/>
        </w:rPr>
        <w:t xml:space="preserve">: </w:t>
      </w:r>
      <w:hyperlink r:id="rId166" w:history="1">
        <w:r>
          <w:rPr>
            <w:rStyle w:val="Hyperlink"/>
            <w:sz w:val="16"/>
            <w:szCs w:val="16"/>
          </w:rPr>
          <w:t>https://shields.com/location/shields-petct-tufts-medical-center/</w:t>
        </w:r>
      </w:hyperlink>
      <w:r>
        <w:rPr>
          <w:sz w:val="16"/>
          <w:szCs w:val="16"/>
        </w:rPr>
        <w:t xml:space="preserve"> </w:t>
      </w:r>
    </w:p>
  </w:footnote>
  <w:footnote w:id="154">
    <w:p w14:paraId="6BFA59ED" w14:textId="6D35DFB9" w:rsidR="00553DCD" w:rsidRDefault="00553DCD" w:rsidP="0019754C">
      <w:pPr>
        <w:pStyle w:val="PlainText"/>
        <w:rPr>
          <w:rFonts w:ascii="Calibri" w:eastAsia="Calibri" w:hAnsi="Calibri" w:cs="Times New Roman"/>
          <w:sz w:val="16"/>
          <w:szCs w:val="16"/>
        </w:rPr>
      </w:pPr>
      <w:r>
        <w:rPr>
          <w:rStyle w:val="FootnoteReference"/>
        </w:rPr>
        <w:footnoteRef/>
      </w:r>
      <w:r>
        <w:t xml:space="preserve"> </w:t>
      </w:r>
      <w:r>
        <w:rPr>
          <w:rFonts w:ascii="Calibri" w:eastAsia="Calibri" w:hAnsi="Calibri" w:cs="Times New Roman"/>
          <w:sz w:val="16"/>
          <w:szCs w:val="16"/>
        </w:rPr>
        <w:t xml:space="preserve">Published August 31, 2022 on </w:t>
      </w:r>
      <w:hyperlink r:id="rId167" w:history="1">
        <w:r w:rsidRPr="00B03156">
          <w:rPr>
            <w:rStyle w:val="Hyperlink"/>
            <w:rFonts w:ascii="Calibri" w:eastAsia="Calibri" w:hAnsi="Calibri" w:cs="Times New Roman"/>
            <w:color w:val="auto"/>
            <w:sz w:val="16"/>
            <w:szCs w:val="16"/>
            <w:u w:val="none"/>
          </w:rPr>
          <w:t>MelroseWakefield Hospital website</w:t>
        </w:r>
      </w:hyperlink>
      <w:r>
        <w:rPr>
          <w:rFonts w:ascii="Calibri" w:eastAsia="Calibri" w:hAnsi="Calibri" w:cs="Times New Roman"/>
          <w:sz w:val="16"/>
          <w:szCs w:val="16"/>
        </w:rPr>
        <w:t xml:space="preserve">: </w:t>
      </w:r>
      <w:hyperlink r:id="rId168" w:history="1">
        <w:r>
          <w:rPr>
            <w:rStyle w:val="Hyperlink"/>
            <w:rFonts w:ascii="Calibri" w:eastAsia="Calibri" w:hAnsi="Calibri" w:cs="Times New Roman"/>
            <w:color w:val="0563C1"/>
            <w:sz w:val="16"/>
            <w:szCs w:val="16"/>
          </w:rPr>
          <w:t>https://www.melrosewakefield.org/news/public-announcement-concerning-a-proposed-health-care-project/</w:t>
        </w:r>
      </w:hyperlink>
    </w:p>
    <w:p w14:paraId="7E58B70E" w14:textId="77777777" w:rsidR="00553DCD" w:rsidRDefault="00553DCD" w:rsidP="0019754C">
      <w:pPr>
        <w:pStyle w:val="FootnoteText"/>
      </w:pPr>
    </w:p>
  </w:footnote>
  <w:footnote w:id="155">
    <w:p w14:paraId="19296369" w14:textId="620D1227" w:rsidR="00D92AD9" w:rsidRPr="00D92AD9" w:rsidRDefault="00D92AD9" w:rsidP="00D92AD9">
      <w:pPr>
        <w:jc w:val="both"/>
        <w:rPr>
          <w:rFonts w:ascii="Calibri" w:hAnsi="Calibri" w:cs="Calibri"/>
        </w:rPr>
      </w:pPr>
      <w:r>
        <w:rPr>
          <w:rStyle w:val="FootnoteReference"/>
        </w:rPr>
        <w:footnoteRef/>
      </w:r>
      <w:r>
        <w:t xml:space="preserve"> </w:t>
      </w:r>
      <w:r w:rsidRPr="00D92AD9">
        <w:rPr>
          <w:rFonts w:ascii="Calibri" w:hAnsi="Calibri" w:cs="Calibri"/>
          <w:sz w:val="16"/>
          <w:szCs w:val="16"/>
        </w:rPr>
        <w:t>For detailed information regarding these activities, please see attached exhibit.</w:t>
      </w:r>
    </w:p>
  </w:footnote>
  <w:footnote w:id="156">
    <w:p w14:paraId="03900D1E" w14:textId="5DC060E0" w:rsidR="00553DCD" w:rsidRDefault="00553DCD" w:rsidP="00036B19">
      <w:pPr>
        <w:pStyle w:val="FootnoteText"/>
      </w:pPr>
      <w:r>
        <w:rPr>
          <w:rStyle w:val="FootnoteReference"/>
        </w:rPr>
        <w:footnoteRef/>
      </w:r>
      <w:r>
        <w:t xml:space="preserve"> </w:t>
      </w:r>
      <w:bookmarkStart w:id="24" w:name="_Hlk109130172"/>
      <w:r w:rsidRPr="00FB455D">
        <w:rPr>
          <w:sz w:val="16"/>
          <w:szCs w:val="16"/>
        </w:rPr>
        <w:t xml:space="preserve">Saif MW, </w:t>
      </w:r>
      <w:proofErr w:type="spellStart"/>
      <w:r w:rsidRPr="00FB455D">
        <w:rPr>
          <w:sz w:val="16"/>
          <w:szCs w:val="16"/>
        </w:rPr>
        <w:t>Tzannou</w:t>
      </w:r>
      <w:proofErr w:type="spellEnd"/>
      <w:r w:rsidRPr="00FB455D">
        <w:rPr>
          <w:sz w:val="16"/>
          <w:szCs w:val="16"/>
        </w:rPr>
        <w:t xml:space="preserve"> I, </w:t>
      </w:r>
      <w:proofErr w:type="spellStart"/>
      <w:r w:rsidRPr="00FB455D">
        <w:rPr>
          <w:sz w:val="16"/>
          <w:szCs w:val="16"/>
        </w:rPr>
        <w:t>Makrilia</w:t>
      </w:r>
      <w:proofErr w:type="spellEnd"/>
      <w:r w:rsidRPr="00FB455D">
        <w:rPr>
          <w:sz w:val="16"/>
          <w:szCs w:val="16"/>
        </w:rPr>
        <w:t xml:space="preserve"> N, Syrigos K. </w:t>
      </w:r>
      <w:hyperlink r:id="rId169" w:history="1">
        <w:r w:rsidRPr="00B03156">
          <w:rPr>
            <w:rStyle w:val="Hyperlink"/>
            <w:color w:val="auto"/>
            <w:sz w:val="16"/>
            <w:szCs w:val="16"/>
            <w:u w:val="none"/>
          </w:rPr>
          <w:t>Role and cost effectiveness of PET/CT in management of patients with cancer.</w:t>
        </w:r>
      </w:hyperlink>
      <w:r w:rsidRPr="00B03156">
        <w:rPr>
          <w:sz w:val="16"/>
          <w:szCs w:val="16"/>
        </w:rPr>
        <w:t xml:space="preserve"> </w:t>
      </w:r>
      <w:r w:rsidRPr="00FB455D">
        <w:rPr>
          <w:sz w:val="16"/>
          <w:szCs w:val="16"/>
        </w:rPr>
        <w:t>Yale J Biol Med. 2010 Jun;83(2):53-65. PMID: 20589185; PMCID: PMC2892773.</w:t>
      </w:r>
      <w:r>
        <w:rPr>
          <w:sz w:val="16"/>
          <w:szCs w:val="16"/>
        </w:rPr>
        <w:t xml:space="preserve"> Available online at: </w:t>
      </w:r>
      <w:hyperlink r:id="rId170" w:history="1">
        <w:r w:rsidRPr="0048358C">
          <w:rPr>
            <w:rStyle w:val="Hyperlink"/>
            <w:sz w:val="16"/>
            <w:szCs w:val="16"/>
          </w:rPr>
          <w:t>https://www.ncbi.nlm.nih.gov/pmc/articles/PMC2892773/</w:t>
        </w:r>
      </w:hyperlink>
      <w:bookmarkEnd w:id="24"/>
      <w:r>
        <w:rPr>
          <w:sz w:val="16"/>
          <w:szCs w:val="16"/>
        </w:rPr>
        <w:t xml:space="preserve"> </w:t>
      </w:r>
    </w:p>
  </w:footnote>
  <w:footnote w:id="157">
    <w:p w14:paraId="4853F843" w14:textId="2C635B74" w:rsidR="00553DCD" w:rsidRDefault="00553DCD" w:rsidP="00036B19">
      <w:pPr>
        <w:pStyle w:val="FootnoteText"/>
      </w:pPr>
      <w:r>
        <w:rPr>
          <w:rStyle w:val="FootnoteReference"/>
        </w:rPr>
        <w:footnoteRef/>
      </w:r>
      <w:r>
        <w:t xml:space="preserve"> </w:t>
      </w:r>
      <w:r w:rsidRPr="00F6710E">
        <w:rPr>
          <w:sz w:val="16"/>
          <w:szCs w:val="16"/>
        </w:rPr>
        <w:t xml:space="preserve">Daniel I. Levin, CFA, ASA and Nicholas J. Janiga, ASA. </w:t>
      </w:r>
      <w:hyperlink r:id="rId171" w:history="1">
        <w:r w:rsidRPr="00877451">
          <w:rPr>
            <w:rStyle w:val="Hyperlink"/>
            <w:color w:val="auto"/>
            <w:sz w:val="16"/>
            <w:szCs w:val="16"/>
            <w:u w:val="none"/>
          </w:rPr>
          <w:t>2020 Outlook: Diagnostic Imaging Centers and Radiology Practices. Healthcare Appraisers.</w:t>
        </w:r>
      </w:hyperlink>
      <w:r w:rsidRPr="00877451">
        <w:rPr>
          <w:sz w:val="16"/>
          <w:szCs w:val="16"/>
        </w:rPr>
        <w:t xml:space="preserve"> </w:t>
      </w:r>
      <w:r w:rsidRPr="00F6710E">
        <w:rPr>
          <w:sz w:val="16"/>
          <w:szCs w:val="16"/>
        </w:rPr>
        <w:t xml:space="preserve">July 21, 2020, Business Valuation, Compensation Valuation. Online at: </w:t>
      </w:r>
      <w:hyperlink r:id="rId172" w:history="1">
        <w:r w:rsidRPr="00F6710E">
          <w:rPr>
            <w:rStyle w:val="Hyperlink"/>
            <w:sz w:val="16"/>
            <w:szCs w:val="16"/>
          </w:rPr>
          <w:t>https://healthcareappraisers.com/2020-outlook-diagnostic-imaging-and-radiology-practices/</w:t>
        </w:r>
      </w:hyperlink>
      <w:r w:rsidRPr="00F6710E">
        <w:rPr>
          <w:sz w:val="16"/>
          <w:szCs w:val="16"/>
        </w:rPr>
        <w:t xml:space="preserve"> </w:t>
      </w:r>
    </w:p>
  </w:footnote>
  <w:footnote w:id="158">
    <w:p w14:paraId="5867FD4D" w14:textId="62FEB602" w:rsidR="00553DCD" w:rsidRDefault="00553DCD" w:rsidP="00036B19">
      <w:pPr>
        <w:pStyle w:val="FootnoteText"/>
      </w:pPr>
      <w:r>
        <w:rPr>
          <w:rStyle w:val="FootnoteReference"/>
        </w:rPr>
        <w:footnoteRef/>
      </w:r>
      <w:r>
        <w:t xml:space="preserve"> </w:t>
      </w:r>
      <w:r w:rsidRPr="00FB455D">
        <w:rPr>
          <w:sz w:val="16"/>
          <w:szCs w:val="16"/>
        </w:rPr>
        <w:t xml:space="preserve">Saif MW, </w:t>
      </w:r>
      <w:proofErr w:type="spellStart"/>
      <w:r w:rsidRPr="00FB455D">
        <w:rPr>
          <w:sz w:val="16"/>
          <w:szCs w:val="16"/>
        </w:rPr>
        <w:t>Tzannou</w:t>
      </w:r>
      <w:proofErr w:type="spellEnd"/>
      <w:r w:rsidRPr="00FB455D">
        <w:rPr>
          <w:sz w:val="16"/>
          <w:szCs w:val="16"/>
        </w:rPr>
        <w:t xml:space="preserve"> I, </w:t>
      </w:r>
      <w:proofErr w:type="spellStart"/>
      <w:r w:rsidRPr="00FB455D">
        <w:rPr>
          <w:sz w:val="16"/>
          <w:szCs w:val="16"/>
        </w:rPr>
        <w:t>Makrilia</w:t>
      </w:r>
      <w:proofErr w:type="spellEnd"/>
      <w:r w:rsidRPr="00FB455D">
        <w:rPr>
          <w:sz w:val="16"/>
          <w:szCs w:val="16"/>
        </w:rPr>
        <w:t xml:space="preserve"> N, Syrigos K. </w:t>
      </w:r>
      <w:hyperlink r:id="rId173" w:history="1">
        <w:r w:rsidRPr="00877451">
          <w:rPr>
            <w:rStyle w:val="Hyperlink"/>
            <w:color w:val="auto"/>
            <w:sz w:val="16"/>
            <w:szCs w:val="16"/>
            <w:u w:val="none"/>
          </w:rPr>
          <w:t>Role and cost effectiveness of PET/CT in management of patients with cancer.</w:t>
        </w:r>
      </w:hyperlink>
      <w:r w:rsidRPr="00877451">
        <w:rPr>
          <w:sz w:val="16"/>
          <w:szCs w:val="16"/>
        </w:rPr>
        <w:t xml:space="preserve"> </w:t>
      </w:r>
      <w:r w:rsidRPr="00FB455D">
        <w:rPr>
          <w:sz w:val="16"/>
          <w:szCs w:val="16"/>
        </w:rPr>
        <w:t>Yale J Biol Med. 2010 Jun;83(2):53-65. PMID: 20589185; PMCID: PMC2892773.</w:t>
      </w:r>
      <w:r>
        <w:rPr>
          <w:sz w:val="16"/>
          <w:szCs w:val="16"/>
        </w:rPr>
        <w:t xml:space="preserve"> Available online at: </w:t>
      </w:r>
      <w:hyperlink r:id="rId174" w:history="1">
        <w:r w:rsidRPr="0048358C">
          <w:rPr>
            <w:rStyle w:val="Hyperlink"/>
            <w:sz w:val="16"/>
            <w:szCs w:val="16"/>
          </w:rPr>
          <w:t>https://www.ncbi.nlm.nih.gov/pmc/articles/PMC2892773/</w:t>
        </w:r>
      </w:hyperlink>
    </w:p>
  </w:footnote>
  <w:footnote w:id="159">
    <w:p w14:paraId="286D6072" w14:textId="77777777" w:rsidR="00553DCD" w:rsidRDefault="00553DCD" w:rsidP="00036B19">
      <w:pPr>
        <w:pStyle w:val="FootnoteText"/>
      </w:pPr>
      <w:r>
        <w:rPr>
          <w:rStyle w:val="FootnoteReference"/>
        </w:rPr>
        <w:footnoteRef/>
      </w:r>
      <w:r>
        <w:t xml:space="preserve"> </w:t>
      </w:r>
      <w:r w:rsidRPr="00820F54">
        <w:rPr>
          <w:i/>
          <w:iCs/>
          <w:sz w:val="16"/>
          <w:szCs w:val="16"/>
        </w:rPr>
        <w:t>Ibid</w:t>
      </w:r>
      <w:r>
        <w:t>.</w:t>
      </w:r>
    </w:p>
  </w:footnote>
  <w:footnote w:id="160">
    <w:p w14:paraId="0719B75B" w14:textId="7D1BF62C" w:rsidR="00553DCD" w:rsidRPr="008659F9" w:rsidRDefault="00553DCD" w:rsidP="00036B19">
      <w:pPr>
        <w:pStyle w:val="FootnoteText"/>
        <w:rPr>
          <w:sz w:val="16"/>
          <w:szCs w:val="16"/>
        </w:rPr>
      </w:pPr>
      <w:r>
        <w:rPr>
          <w:rStyle w:val="FootnoteReference"/>
        </w:rPr>
        <w:footnoteRef/>
      </w:r>
      <w:r>
        <w:t xml:space="preserve"> </w:t>
      </w:r>
      <w:r w:rsidRPr="008659F9">
        <w:rPr>
          <w:sz w:val="16"/>
          <w:szCs w:val="16"/>
        </w:rPr>
        <w:t xml:space="preserve">Robert S. Kaplan and Michael E. Porter. </w:t>
      </w:r>
      <w:hyperlink r:id="rId175" w:history="1">
        <w:r w:rsidRPr="000C303D">
          <w:rPr>
            <w:rStyle w:val="Hyperlink"/>
            <w:color w:val="auto"/>
            <w:sz w:val="16"/>
            <w:szCs w:val="16"/>
            <w:u w:val="none"/>
          </w:rPr>
          <w:t>The Big Idea: How to Solve the Cost Crisis in Health Care.</w:t>
        </w:r>
      </w:hyperlink>
      <w:r w:rsidRPr="000C303D">
        <w:rPr>
          <w:sz w:val="16"/>
          <w:szCs w:val="16"/>
        </w:rPr>
        <w:t xml:space="preserve"> </w:t>
      </w:r>
      <w:r w:rsidRPr="008659F9">
        <w:rPr>
          <w:sz w:val="16"/>
          <w:szCs w:val="16"/>
        </w:rPr>
        <w:t xml:space="preserve">Harvard Business Review Magazine. 2011. Available online at: </w:t>
      </w:r>
      <w:hyperlink r:id="rId176" w:history="1">
        <w:r w:rsidRPr="009A47CC">
          <w:rPr>
            <w:rStyle w:val="Hyperlink"/>
            <w:sz w:val="16"/>
            <w:szCs w:val="16"/>
          </w:rPr>
          <w:t>https://hbr.org/2011/09/how-to-solve-the-cost-crisis-in-health-care</w:t>
        </w:r>
      </w:hyperlink>
      <w:r>
        <w:rPr>
          <w:sz w:val="16"/>
          <w:szCs w:val="16"/>
        </w:rPr>
        <w:t xml:space="preserve"> </w:t>
      </w:r>
    </w:p>
  </w:footnote>
  <w:footnote w:id="161">
    <w:p w14:paraId="009BCB8B" w14:textId="00328451" w:rsidR="00553DCD" w:rsidRPr="00A7420A" w:rsidRDefault="00553DCD" w:rsidP="00036B19">
      <w:pPr>
        <w:pStyle w:val="FootnoteText"/>
        <w:rPr>
          <w:sz w:val="16"/>
          <w:szCs w:val="16"/>
        </w:rPr>
      </w:pPr>
      <w:r>
        <w:rPr>
          <w:rStyle w:val="FootnoteReference"/>
        </w:rPr>
        <w:footnoteRef/>
      </w:r>
      <w:r>
        <w:t xml:space="preserve"> </w:t>
      </w:r>
      <w:r w:rsidRPr="00A7420A">
        <w:rPr>
          <w:sz w:val="16"/>
          <w:szCs w:val="16"/>
        </w:rPr>
        <w:t xml:space="preserve">The Geriatric Emergency Department Guidelines Task Force, </w:t>
      </w:r>
      <w:hyperlink r:id="rId177" w:history="1">
        <w:r w:rsidRPr="006F7E65">
          <w:rPr>
            <w:rStyle w:val="Hyperlink"/>
            <w:color w:val="auto"/>
            <w:sz w:val="16"/>
            <w:szCs w:val="16"/>
            <w:u w:val="none"/>
          </w:rPr>
          <w:t>Geriatric Emergency Department Guidelines.</w:t>
        </w:r>
      </w:hyperlink>
      <w:r w:rsidRPr="00A7420A">
        <w:rPr>
          <w:sz w:val="16"/>
          <w:szCs w:val="16"/>
        </w:rPr>
        <w:t xml:space="preserve"> American College of Emergency Physicians, The American Geriatrics Society, Emergency Nurses Association, and the Society for Academic Emergency Medicine. Online at: </w:t>
      </w:r>
      <w:hyperlink r:id="rId178" w:history="1">
        <w:r w:rsidRPr="00727F68">
          <w:rPr>
            <w:rStyle w:val="Hyperlink"/>
            <w:sz w:val="16"/>
            <w:szCs w:val="16"/>
          </w:rPr>
          <w:t>https://www.acep.org/globalassets/uploads/uploaded-files/acep/clinical-and-practice-management/resources/geriatrics/geri_ed_guidelines_final.pdf</w:t>
        </w:r>
      </w:hyperlink>
      <w:r w:rsidRPr="00A7420A">
        <w:rPr>
          <w:sz w:val="16"/>
          <w:szCs w:val="16"/>
        </w:rPr>
        <w:t xml:space="preserve"> </w:t>
      </w:r>
    </w:p>
  </w:footnote>
  <w:footnote w:id="162">
    <w:p w14:paraId="73DC50C9" w14:textId="77777777" w:rsidR="00553DCD" w:rsidRPr="00F26519" w:rsidRDefault="00553DCD" w:rsidP="00036B19">
      <w:pPr>
        <w:pStyle w:val="FootnoteText"/>
        <w:rPr>
          <w:sz w:val="16"/>
          <w:szCs w:val="16"/>
        </w:rPr>
      </w:pPr>
      <w:r>
        <w:rPr>
          <w:rStyle w:val="FootnoteReference"/>
        </w:rPr>
        <w:footnoteRef/>
      </w:r>
      <w:r>
        <w:t xml:space="preserve"> </w:t>
      </w:r>
      <w:r>
        <w:rPr>
          <w:sz w:val="16"/>
          <w:szCs w:val="16"/>
        </w:rPr>
        <w:t xml:space="preserve">MWH is </w:t>
      </w:r>
      <w:r w:rsidRPr="00462D86">
        <w:rPr>
          <w:sz w:val="16"/>
          <w:szCs w:val="16"/>
        </w:rPr>
        <w:t>committed to improving the quality of healthcare we provide to our communities wherever we provide care for them. We dedicate resources to benefit our communities by working to:</w:t>
      </w:r>
      <w:r>
        <w:rPr>
          <w:sz w:val="16"/>
          <w:szCs w:val="16"/>
        </w:rPr>
        <w:t xml:space="preserve"> </w:t>
      </w:r>
      <w:r w:rsidRPr="00462D86">
        <w:rPr>
          <w:sz w:val="16"/>
          <w:szCs w:val="16"/>
        </w:rPr>
        <w:t>promote health to our communities and patients</w:t>
      </w:r>
      <w:r>
        <w:rPr>
          <w:sz w:val="16"/>
          <w:szCs w:val="16"/>
        </w:rPr>
        <w:t xml:space="preserve">; </w:t>
      </w:r>
      <w:r w:rsidRPr="00462D86">
        <w:rPr>
          <w:sz w:val="16"/>
          <w:szCs w:val="16"/>
        </w:rPr>
        <w:t>educate the community about health issues and prevention strategies</w:t>
      </w:r>
      <w:r>
        <w:rPr>
          <w:sz w:val="16"/>
          <w:szCs w:val="16"/>
        </w:rPr>
        <w:t xml:space="preserve">; </w:t>
      </w:r>
      <w:r w:rsidRPr="00462D86">
        <w:rPr>
          <w:sz w:val="16"/>
          <w:szCs w:val="16"/>
        </w:rPr>
        <w:t>identify and address health needs with community partners</w:t>
      </w:r>
      <w:r>
        <w:rPr>
          <w:sz w:val="16"/>
          <w:szCs w:val="16"/>
        </w:rPr>
        <w:t xml:space="preserve">; </w:t>
      </w:r>
      <w:r w:rsidRPr="00462D86">
        <w:rPr>
          <w:sz w:val="16"/>
          <w:szCs w:val="16"/>
        </w:rPr>
        <w:t>provide essential services</w:t>
      </w:r>
      <w:r>
        <w:rPr>
          <w:sz w:val="16"/>
          <w:szCs w:val="16"/>
        </w:rPr>
        <w:t xml:space="preserve">; and </w:t>
      </w:r>
      <w:r w:rsidRPr="00462D86">
        <w:rPr>
          <w:sz w:val="16"/>
          <w:szCs w:val="16"/>
        </w:rPr>
        <w:t>reduce health disparities</w:t>
      </w:r>
      <w:r>
        <w:rPr>
          <w:sz w:val="16"/>
          <w:szCs w:val="16"/>
        </w:rPr>
        <w:t>.</w:t>
      </w:r>
    </w:p>
  </w:footnote>
  <w:footnote w:id="163">
    <w:p w14:paraId="66141F30" w14:textId="77777777" w:rsidR="00553DCD" w:rsidRPr="003E3924" w:rsidRDefault="00553DCD" w:rsidP="00036B19">
      <w:pPr>
        <w:pStyle w:val="FootnoteText"/>
        <w:rPr>
          <w:sz w:val="16"/>
          <w:szCs w:val="16"/>
        </w:rPr>
      </w:pPr>
      <w:r>
        <w:rPr>
          <w:rStyle w:val="FootnoteReference"/>
        </w:rPr>
        <w:footnoteRef/>
      </w:r>
      <w:r>
        <w:t xml:space="preserve"> </w:t>
      </w:r>
      <w:r>
        <w:rPr>
          <w:sz w:val="16"/>
          <w:szCs w:val="16"/>
        </w:rPr>
        <w:t>MWH is</w:t>
      </w:r>
      <w:r w:rsidRPr="003E3924">
        <w:rPr>
          <w:sz w:val="16"/>
          <w:szCs w:val="16"/>
        </w:rPr>
        <w:t xml:space="preserve"> growing as a regional center of excellence, working collaboratively with Tufts Medical Center to bring more expert services to the community. </w:t>
      </w:r>
      <w:r>
        <w:rPr>
          <w:sz w:val="16"/>
          <w:szCs w:val="16"/>
        </w:rPr>
        <w:t xml:space="preserve">MWH is </w:t>
      </w:r>
      <w:r w:rsidRPr="003E3924">
        <w:rPr>
          <w:sz w:val="16"/>
          <w:szCs w:val="16"/>
        </w:rPr>
        <w:t>a teaching program for Tufts Medical Center fellowship students and many of our providers hold teaching appointments at Tufts University School of Medicine.</w:t>
      </w:r>
    </w:p>
  </w:footnote>
  <w:footnote w:id="164">
    <w:p w14:paraId="2CFD56AC" w14:textId="57992BB3" w:rsidR="00553DCD" w:rsidRPr="007B1DE2" w:rsidRDefault="00553DCD" w:rsidP="00036B19">
      <w:pPr>
        <w:pStyle w:val="FootnoteText"/>
        <w:rPr>
          <w:sz w:val="16"/>
          <w:szCs w:val="16"/>
        </w:rPr>
      </w:pPr>
      <w:r>
        <w:rPr>
          <w:rStyle w:val="FootnoteReference"/>
        </w:rPr>
        <w:footnoteRef/>
      </w:r>
      <w:r>
        <w:t xml:space="preserve"> </w:t>
      </w:r>
      <w:proofErr w:type="gramStart"/>
      <w:r w:rsidRPr="007B1DE2">
        <w:rPr>
          <w:sz w:val="16"/>
          <w:szCs w:val="16"/>
        </w:rPr>
        <w:t>Nelson  KM</w:t>
      </w:r>
      <w:proofErr w:type="gramEnd"/>
      <w:r w:rsidRPr="007B1DE2">
        <w:rPr>
          <w:sz w:val="16"/>
          <w:szCs w:val="16"/>
        </w:rPr>
        <w:t xml:space="preserve">, Helfrich  C, Sun  H,  et al.  </w:t>
      </w:r>
      <w:hyperlink r:id="rId179" w:history="1">
        <w:r w:rsidRPr="003D4888">
          <w:rPr>
            <w:rStyle w:val="Hyperlink"/>
            <w:color w:val="auto"/>
            <w:sz w:val="16"/>
            <w:szCs w:val="16"/>
            <w:u w:val="none"/>
          </w:rPr>
          <w:t>Implementation of the patient-centered medical home: associations with patient satisfaction, quality of care, staff burnout, and hospital and emergency department Use.</w:t>
        </w:r>
        <w:r w:rsidRPr="003D4888">
          <w:rPr>
            <w:rStyle w:val="Hyperlink"/>
            <w:color w:val="auto"/>
            <w:sz w:val="16"/>
            <w:szCs w:val="16"/>
          </w:rPr>
          <w:t xml:space="preserve"> </w:t>
        </w:r>
      </w:hyperlink>
      <w:r w:rsidRPr="003D4888">
        <w:rPr>
          <w:sz w:val="16"/>
          <w:szCs w:val="16"/>
        </w:rPr>
        <w:t xml:space="preserve"> </w:t>
      </w:r>
      <w:r w:rsidRPr="007B1DE2">
        <w:rPr>
          <w:sz w:val="16"/>
          <w:szCs w:val="16"/>
        </w:rPr>
        <w:t>JAMA Intern Med. 2014;174(8):1350–8.</w:t>
      </w:r>
      <w:r>
        <w:rPr>
          <w:sz w:val="16"/>
          <w:szCs w:val="16"/>
        </w:rPr>
        <w:t xml:space="preserve"> Available online at: </w:t>
      </w:r>
      <w:hyperlink r:id="rId180" w:history="1">
        <w:r w:rsidRPr="009A47CC">
          <w:rPr>
            <w:rStyle w:val="Hyperlink"/>
            <w:sz w:val="16"/>
            <w:szCs w:val="16"/>
          </w:rPr>
          <w:t>https://jamanetwork.com/journals/jamainternalmedicine/article-abstract/1881931</w:t>
        </w:r>
      </w:hyperlink>
      <w:r>
        <w:rPr>
          <w:sz w:val="16"/>
          <w:szCs w:val="16"/>
        </w:rPr>
        <w:t xml:space="preserve"> </w:t>
      </w:r>
    </w:p>
  </w:footnote>
  <w:footnote w:id="165">
    <w:p w14:paraId="6EE65135" w14:textId="77777777" w:rsidR="00553DCD" w:rsidRDefault="00553DCD" w:rsidP="00A24239">
      <w:pPr>
        <w:pStyle w:val="FootnoteText"/>
      </w:pPr>
      <w:r>
        <w:rPr>
          <w:rStyle w:val="FootnoteReference"/>
        </w:rPr>
        <w:footnoteRef/>
      </w:r>
      <w:r>
        <w:t xml:space="preserve"> </w:t>
      </w:r>
      <w:r w:rsidRPr="00122BAF">
        <w:rPr>
          <w:sz w:val="16"/>
          <w:szCs w:val="16"/>
        </w:rPr>
        <w:t xml:space="preserve">Please see </w:t>
      </w:r>
      <w:proofErr w:type="spellStart"/>
      <w:r w:rsidRPr="00122BAF">
        <w:rPr>
          <w:sz w:val="16"/>
          <w:szCs w:val="16"/>
        </w:rPr>
        <w:t>Veralon’s</w:t>
      </w:r>
      <w:proofErr w:type="spellEnd"/>
      <w:r w:rsidRPr="00122BAF">
        <w:rPr>
          <w:sz w:val="16"/>
          <w:szCs w:val="16"/>
        </w:rPr>
        <w:t xml:space="preserve"> Capital Expenditures findings in section III of the attached CPA report. </w:t>
      </w:r>
    </w:p>
  </w:footnote>
  <w:footnote w:id="166">
    <w:p w14:paraId="14C64A3B" w14:textId="77777777" w:rsidR="00553DCD" w:rsidRDefault="00553DCD" w:rsidP="00A24239">
      <w:pPr>
        <w:pStyle w:val="FootnoteText"/>
      </w:pPr>
      <w:r>
        <w:rPr>
          <w:rStyle w:val="FootnoteReference"/>
        </w:rPr>
        <w:footnoteRef/>
      </w:r>
      <w:r>
        <w:t xml:space="preserve"> </w:t>
      </w:r>
      <w:r w:rsidRPr="00122BAF">
        <w:rPr>
          <w:i/>
          <w:iCs/>
          <w:sz w:val="16"/>
          <w:szCs w:val="16"/>
        </w:rPr>
        <w:t>Ibid.</w:t>
      </w:r>
    </w:p>
  </w:footnote>
  <w:footnote w:id="167">
    <w:p w14:paraId="161A632C" w14:textId="77777777" w:rsidR="00553DCD" w:rsidRDefault="00553DCD" w:rsidP="00A24239">
      <w:pPr>
        <w:pStyle w:val="FootnoteText"/>
      </w:pPr>
      <w:r>
        <w:rPr>
          <w:rStyle w:val="FootnoteReference"/>
        </w:rPr>
        <w:footnoteRef/>
      </w:r>
      <w:r>
        <w:t xml:space="preserve"> </w:t>
      </w:r>
      <w:r>
        <w:rPr>
          <w:sz w:val="16"/>
          <w:szCs w:val="16"/>
        </w:rPr>
        <w:t>C</w:t>
      </w:r>
      <w:r w:rsidRPr="00E619A2">
        <w:rPr>
          <w:sz w:val="16"/>
          <w:szCs w:val="16"/>
        </w:rPr>
        <w:t xml:space="preserve">ompound </w:t>
      </w:r>
      <w:r>
        <w:rPr>
          <w:sz w:val="16"/>
          <w:szCs w:val="16"/>
        </w:rPr>
        <w:t>A</w:t>
      </w:r>
      <w:r w:rsidRPr="00E619A2">
        <w:rPr>
          <w:sz w:val="16"/>
          <w:szCs w:val="16"/>
        </w:rPr>
        <w:t xml:space="preserve">nnual </w:t>
      </w:r>
      <w:r>
        <w:rPr>
          <w:sz w:val="16"/>
          <w:szCs w:val="16"/>
        </w:rPr>
        <w:t>G</w:t>
      </w:r>
      <w:r w:rsidRPr="00E619A2">
        <w:rPr>
          <w:sz w:val="16"/>
          <w:szCs w:val="16"/>
        </w:rPr>
        <w:t xml:space="preserve">rowth </w:t>
      </w:r>
      <w:r>
        <w:rPr>
          <w:sz w:val="16"/>
          <w:szCs w:val="16"/>
        </w:rPr>
        <w:t>R</w:t>
      </w:r>
      <w:r w:rsidRPr="00E619A2">
        <w:rPr>
          <w:sz w:val="16"/>
          <w:szCs w:val="16"/>
        </w:rPr>
        <w:t>ate</w:t>
      </w:r>
      <w:r>
        <w:rPr>
          <w:sz w:val="16"/>
          <w:szCs w:val="16"/>
        </w:rPr>
        <w:t>.</w:t>
      </w:r>
    </w:p>
  </w:footnote>
  <w:footnote w:id="168">
    <w:p w14:paraId="0D5B4922" w14:textId="77777777" w:rsidR="00553DCD" w:rsidRDefault="00553DCD" w:rsidP="00A24239">
      <w:pPr>
        <w:pStyle w:val="FootnoteText"/>
      </w:pPr>
      <w:r>
        <w:rPr>
          <w:rStyle w:val="FootnoteReference"/>
        </w:rPr>
        <w:footnoteRef/>
      </w:r>
      <w:r>
        <w:t xml:space="preserve"> </w:t>
      </w:r>
      <w:r w:rsidRPr="00523E8C">
        <w:rPr>
          <w:sz w:val="16"/>
          <w:szCs w:val="16"/>
        </w:rPr>
        <w:t>The projected bad debt expenses that are notably higher in Year 1 account for Medicare and Medicaid services that are not anticipated to be reimbursable for the first month of operations of the Proposed Project until accreditation is obtained from the American College of Radiology (“ACR”).</w:t>
      </w:r>
    </w:p>
  </w:footnote>
  <w:footnote w:id="169">
    <w:p w14:paraId="02114F08" w14:textId="77777777" w:rsidR="00553DCD" w:rsidRDefault="00553DCD" w:rsidP="00A24239">
      <w:pPr>
        <w:pStyle w:val="FootnoteText"/>
      </w:pPr>
      <w:r>
        <w:rPr>
          <w:rStyle w:val="FootnoteReference"/>
        </w:rPr>
        <w:footnoteRef/>
      </w:r>
      <w:r>
        <w:t xml:space="preserve"> </w:t>
      </w:r>
      <w:r w:rsidRPr="00B0068A">
        <w:rPr>
          <w:sz w:val="16"/>
          <w:szCs w:val="16"/>
        </w:rPr>
        <w:t>For reference, the operating expenses for Year 1 are calculated to be $</w:t>
      </w:r>
      <w:r>
        <w:rPr>
          <w:sz w:val="16"/>
          <w:szCs w:val="16"/>
        </w:rPr>
        <w:t>108,193</w:t>
      </w:r>
      <w:r w:rsidRPr="00B0068A">
        <w:rPr>
          <w:sz w:val="16"/>
          <w:szCs w:val="16"/>
        </w:rPr>
        <w:t>.  Please see CPA analysis for further content.</w:t>
      </w:r>
      <w:r w:rsidRPr="000E31CE">
        <w:rPr>
          <w:sz w:val="16"/>
          <w:szCs w:val="16"/>
        </w:rPr>
        <w:t xml:space="preserve"> </w:t>
      </w:r>
    </w:p>
  </w:footnote>
  <w:footnote w:id="170">
    <w:p w14:paraId="4B8BFD26" w14:textId="4F466B42" w:rsidR="00AC15B1" w:rsidRPr="00DE7819" w:rsidRDefault="00AC15B1" w:rsidP="00AC15B1">
      <w:pPr>
        <w:pStyle w:val="FootnoteText"/>
        <w:rPr>
          <w:sz w:val="16"/>
          <w:szCs w:val="16"/>
        </w:rPr>
      </w:pPr>
      <w:r>
        <w:rPr>
          <w:rStyle w:val="FootnoteReference"/>
        </w:rPr>
        <w:footnoteRef/>
      </w:r>
      <w:r>
        <w:t xml:space="preserve"> </w:t>
      </w:r>
      <w:r w:rsidRPr="00DE7819">
        <w:rPr>
          <w:sz w:val="16"/>
          <w:szCs w:val="16"/>
        </w:rPr>
        <w:t xml:space="preserve">Institute of Medicine (US) Committee on Understanding and Eliminating Racial and Ethnic Disparities in Health Care. Smedley BD, Stith AY, Nelson AR, editors. </w:t>
      </w:r>
      <w:hyperlink r:id="rId181" w:anchor="2" w:history="1">
        <w:r w:rsidRPr="00DA5661">
          <w:rPr>
            <w:rStyle w:val="Hyperlink"/>
            <w:color w:val="auto"/>
            <w:sz w:val="16"/>
            <w:szCs w:val="16"/>
            <w:u w:val="none"/>
          </w:rPr>
          <w:t>Unequal treatment: confronting racial and ethnic disparities in health care.</w:t>
        </w:r>
      </w:hyperlink>
      <w:r w:rsidRPr="00DE7819">
        <w:rPr>
          <w:sz w:val="16"/>
          <w:szCs w:val="16"/>
        </w:rPr>
        <w:t xml:space="preserve"> Washington (DC): National Academies Press (US); 2002.</w:t>
      </w:r>
      <w:r>
        <w:rPr>
          <w:sz w:val="16"/>
          <w:szCs w:val="16"/>
        </w:rPr>
        <w:t xml:space="preserve"> Access to this study is referenced online at: </w:t>
      </w:r>
      <w:hyperlink r:id="rId182" w:anchor="2" w:history="1">
        <w:r w:rsidRPr="009A47CC">
          <w:rPr>
            <w:rStyle w:val="Hyperlink"/>
          </w:rPr>
          <w:t>https://wayback.archive-it.org/5774/20220414155345/https://www.healthypeople.gov/2020/topics-objectives/topic/social-determinants-health/interventions-resources/access-to-health#2</w:t>
        </w:r>
      </w:hyperlink>
      <w:r>
        <w:rPr>
          <w:sz w:val="16"/>
          <w:szCs w:val="16"/>
        </w:rPr>
        <w:t xml:space="preserve"> </w:t>
      </w:r>
    </w:p>
  </w:footnote>
  <w:footnote w:id="171">
    <w:p w14:paraId="547B7338" w14:textId="182F01C6" w:rsidR="00AC15B1" w:rsidRDefault="00AC15B1" w:rsidP="00AC15B1">
      <w:pPr>
        <w:pStyle w:val="FootnoteText"/>
      </w:pPr>
      <w:r>
        <w:rPr>
          <w:rStyle w:val="FootnoteReference"/>
        </w:rPr>
        <w:footnoteRef/>
      </w:r>
      <w:r>
        <w:t xml:space="preserve"> </w:t>
      </w:r>
      <w:r w:rsidRPr="00CA6D7D">
        <w:rPr>
          <w:sz w:val="16"/>
          <w:szCs w:val="16"/>
        </w:rPr>
        <w:t xml:space="preserve">Office of Disease Prevention and Health Promotion. </w:t>
      </w:r>
      <w:hyperlink r:id="rId183" w:anchor="2" w:history="1">
        <w:r w:rsidRPr="00FF7422">
          <w:rPr>
            <w:rStyle w:val="Hyperlink"/>
            <w:color w:val="auto"/>
            <w:sz w:val="16"/>
            <w:szCs w:val="16"/>
            <w:u w:val="none"/>
          </w:rPr>
          <w:t>Healthy People 2020. Access to Health Services</w:t>
        </w:r>
      </w:hyperlink>
      <w:r w:rsidRPr="00FF7422">
        <w:rPr>
          <w:sz w:val="16"/>
          <w:szCs w:val="16"/>
        </w:rPr>
        <w:t xml:space="preserve">. </w:t>
      </w:r>
      <w:r w:rsidRPr="00CA6D7D">
        <w:rPr>
          <w:sz w:val="16"/>
          <w:szCs w:val="16"/>
        </w:rPr>
        <w:t xml:space="preserve">Available online at: </w:t>
      </w:r>
      <w:hyperlink r:id="rId184" w:anchor="2" w:history="1">
        <w:r w:rsidRPr="00CA6D7D">
          <w:rPr>
            <w:rStyle w:val="Hyperlink"/>
          </w:rPr>
          <w:t>https://wayback.archive-it.org/5774/20220414155345/https://www.healthypeople.gov/2020/topics-objectives/topic/social-determinants-health/interventions-resources/access-to-health#2</w:t>
        </w:r>
      </w:hyperlink>
      <w:r w:rsidRPr="00CA6D7D">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07910" w14:textId="7AAC6F88" w:rsidR="00553DCD" w:rsidRDefault="00553DCD">
    <w:pPr>
      <w:pStyle w:val="Header"/>
    </w:pPr>
    <w:r>
      <w:t>Tufts Medicine: Shields PE</w:t>
    </w:r>
    <w:r w:rsidR="00DA5687">
      <w:t xml:space="preserve">T-CT DoN </w:t>
    </w:r>
    <w:r>
      <w:t>Narrative</w:t>
    </w:r>
    <w:r w:rsidR="00DA5687">
      <w:tab/>
    </w:r>
    <w:r w:rsidR="00B26015">
      <w:t xml:space="preserve">                                             </w:t>
    </w:r>
    <w:r w:rsidR="00DA5687">
      <w:t xml:space="preserve">Application </w:t>
    </w:r>
    <w:r w:rsidR="00B26015">
      <w:t>No.:</w:t>
    </w:r>
    <w:r>
      <w:t xml:space="preserve"> </w:t>
    </w:r>
    <w:r w:rsidR="005F43AF" w:rsidRPr="005F43AF">
      <w:t>NA-22091411-RE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696176"/>
    <w:multiLevelType w:val="hybridMultilevel"/>
    <w:tmpl w:val="5AC005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48C1966"/>
    <w:multiLevelType w:val="hybridMultilevel"/>
    <w:tmpl w:val="BF6C1420"/>
    <w:lvl w:ilvl="0" w:tplc="4AF62C6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CA3278"/>
    <w:multiLevelType w:val="hybridMultilevel"/>
    <w:tmpl w:val="5F6AC47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EA33C3"/>
    <w:multiLevelType w:val="hybridMultilevel"/>
    <w:tmpl w:val="19648FF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60835401"/>
    <w:multiLevelType w:val="hybridMultilevel"/>
    <w:tmpl w:val="1098F172"/>
    <w:lvl w:ilvl="0" w:tplc="04090015">
      <w:start w:val="1"/>
      <w:numFmt w:val="upperLetter"/>
      <w:lvlText w:val="%1."/>
      <w:lvlJc w:val="left"/>
      <w:pPr>
        <w:ind w:left="720" w:hanging="360"/>
      </w:pPr>
      <w:rPr>
        <w:rFonts w:hint="default"/>
      </w:rPr>
    </w:lvl>
    <w:lvl w:ilvl="1" w:tplc="62E2DDFA">
      <w:start w:val="1"/>
      <w:numFmt w:val="lowerRoman"/>
      <w:lvlText w:val="%2."/>
      <w:lvlJc w:val="right"/>
      <w:pPr>
        <w:ind w:left="1440" w:hanging="360"/>
      </w:pPr>
      <w:rPr>
        <w:b w:val="0"/>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42680E"/>
    <w:multiLevelType w:val="hybridMultilevel"/>
    <w:tmpl w:val="FF7E1F30"/>
    <w:lvl w:ilvl="0" w:tplc="C6E6EDBC">
      <w:start w:val="1"/>
      <w:numFmt w:val="upperLetter"/>
      <w:lvlText w:val="%1."/>
      <w:lvlJc w:val="left"/>
      <w:pPr>
        <w:ind w:left="720" w:hanging="360"/>
      </w:pPr>
      <w:rPr>
        <w:rFonts w:hint="default"/>
        <w:b/>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2226FD9"/>
    <w:multiLevelType w:val="hybridMultilevel"/>
    <w:tmpl w:val="CCFEB32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9C2BDB"/>
    <w:multiLevelType w:val="hybridMultilevel"/>
    <w:tmpl w:val="CA989DF4"/>
    <w:lvl w:ilvl="0" w:tplc="C59ECBD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3322245">
    <w:abstractNumId w:val="7"/>
  </w:num>
  <w:num w:numId="2" w16cid:durableId="137843464">
    <w:abstractNumId w:val="4"/>
  </w:num>
  <w:num w:numId="3" w16cid:durableId="1267077711">
    <w:abstractNumId w:val="1"/>
  </w:num>
  <w:num w:numId="4" w16cid:durableId="259677608">
    <w:abstractNumId w:val="2"/>
  </w:num>
  <w:num w:numId="5" w16cid:durableId="3561517">
    <w:abstractNumId w:val="5"/>
  </w:num>
  <w:num w:numId="6" w16cid:durableId="561792910">
    <w:abstractNumId w:val="3"/>
  </w:num>
  <w:num w:numId="7" w16cid:durableId="1991716144">
    <w:abstractNumId w:val="0"/>
  </w:num>
  <w:num w:numId="8" w16cid:durableId="9891671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409"/>
    <w:rsid w:val="00000763"/>
    <w:rsid w:val="00027F42"/>
    <w:rsid w:val="00036B19"/>
    <w:rsid w:val="00036EEE"/>
    <w:rsid w:val="00092336"/>
    <w:rsid w:val="000C303D"/>
    <w:rsid w:val="000E59CA"/>
    <w:rsid w:val="00114B3F"/>
    <w:rsid w:val="00136DC8"/>
    <w:rsid w:val="00147E8D"/>
    <w:rsid w:val="00160629"/>
    <w:rsid w:val="0016413B"/>
    <w:rsid w:val="00183621"/>
    <w:rsid w:val="0019754C"/>
    <w:rsid w:val="001C0768"/>
    <w:rsid w:val="001D3AEE"/>
    <w:rsid w:val="001D53DE"/>
    <w:rsid w:val="001E5E2F"/>
    <w:rsid w:val="001F49C6"/>
    <w:rsid w:val="002124B3"/>
    <w:rsid w:val="0022422B"/>
    <w:rsid w:val="00224EFF"/>
    <w:rsid w:val="00227B01"/>
    <w:rsid w:val="002330D4"/>
    <w:rsid w:val="002476C7"/>
    <w:rsid w:val="002522E0"/>
    <w:rsid w:val="002526B8"/>
    <w:rsid w:val="00286ED3"/>
    <w:rsid w:val="00287174"/>
    <w:rsid w:val="002976A4"/>
    <w:rsid w:val="002B78BC"/>
    <w:rsid w:val="002C422B"/>
    <w:rsid w:val="002C6FF3"/>
    <w:rsid w:val="002D2DEA"/>
    <w:rsid w:val="0030624A"/>
    <w:rsid w:val="00314909"/>
    <w:rsid w:val="00332245"/>
    <w:rsid w:val="0033480A"/>
    <w:rsid w:val="00341668"/>
    <w:rsid w:val="00344175"/>
    <w:rsid w:val="00346C54"/>
    <w:rsid w:val="00347D61"/>
    <w:rsid w:val="003632B9"/>
    <w:rsid w:val="00364000"/>
    <w:rsid w:val="00394497"/>
    <w:rsid w:val="003B470C"/>
    <w:rsid w:val="003B5CCB"/>
    <w:rsid w:val="003C017C"/>
    <w:rsid w:val="003C668D"/>
    <w:rsid w:val="003D4888"/>
    <w:rsid w:val="003E04FF"/>
    <w:rsid w:val="00405BA9"/>
    <w:rsid w:val="004078B2"/>
    <w:rsid w:val="004103B3"/>
    <w:rsid w:val="004B10E4"/>
    <w:rsid w:val="004B321C"/>
    <w:rsid w:val="004D04DE"/>
    <w:rsid w:val="005165DF"/>
    <w:rsid w:val="00517D23"/>
    <w:rsid w:val="00521312"/>
    <w:rsid w:val="005341DE"/>
    <w:rsid w:val="00546A1C"/>
    <w:rsid w:val="00546E20"/>
    <w:rsid w:val="00553DCD"/>
    <w:rsid w:val="00554807"/>
    <w:rsid w:val="00565056"/>
    <w:rsid w:val="0058636D"/>
    <w:rsid w:val="005A6056"/>
    <w:rsid w:val="005C7381"/>
    <w:rsid w:val="005F0E11"/>
    <w:rsid w:val="005F43AF"/>
    <w:rsid w:val="006071EA"/>
    <w:rsid w:val="0061607F"/>
    <w:rsid w:val="00623D79"/>
    <w:rsid w:val="00624552"/>
    <w:rsid w:val="0063618D"/>
    <w:rsid w:val="0067298C"/>
    <w:rsid w:val="006836F8"/>
    <w:rsid w:val="006B4E80"/>
    <w:rsid w:val="006C3B30"/>
    <w:rsid w:val="006C4A34"/>
    <w:rsid w:val="006D686A"/>
    <w:rsid w:val="006F4C46"/>
    <w:rsid w:val="006F7E65"/>
    <w:rsid w:val="0070034D"/>
    <w:rsid w:val="00701F1B"/>
    <w:rsid w:val="00712033"/>
    <w:rsid w:val="0071794F"/>
    <w:rsid w:val="00725D4C"/>
    <w:rsid w:val="00750552"/>
    <w:rsid w:val="00755171"/>
    <w:rsid w:val="00757E52"/>
    <w:rsid w:val="00762366"/>
    <w:rsid w:val="00767EEC"/>
    <w:rsid w:val="00772C7C"/>
    <w:rsid w:val="00785409"/>
    <w:rsid w:val="007E7914"/>
    <w:rsid w:val="007E7A78"/>
    <w:rsid w:val="00805962"/>
    <w:rsid w:val="008173ED"/>
    <w:rsid w:val="00845028"/>
    <w:rsid w:val="0086072C"/>
    <w:rsid w:val="0087720F"/>
    <w:rsid w:val="00877451"/>
    <w:rsid w:val="00894CE3"/>
    <w:rsid w:val="008A6A55"/>
    <w:rsid w:val="008B2061"/>
    <w:rsid w:val="008D0A05"/>
    <w:rsid w:val="008E6F7E"/>
    <w:rsid w:val="009135EC"/>
    <w:rsid w:val="009151B0"/>
    <w:rsid w:val="009607CE"/>
    <w:rsid w:val="009A7D44"/>
    <w:rsid w:val="009C1190"/>
    <w:rsid w:val="009E62E1"/>
    <w:rsid w:val="009F4FA5"/>
    <w:rsid w:val="00A10C4C"/>
    <w:rsid w:val="00A125E7"/>
    <w:rsid w:val="00A23EBF"/>
    <w:rsid w:val="00A24239"/>
    <w:rsid w:val="00A36A86"/>
    <w:rsid w:val="00A435E2"/>
    <w:rsid w:val="00A7267F"/>
    <w:rsid w:val="00A7641B"/>
    <w:rsid w:val="00AB2F5E"/>
    <w:rsid w:val="00AC15B1"/>
    <w:rsid w:val="00AD04C5"/>
    <w:rsid w:val="00AE6049"/>
    <w:rsid w:val="00AF054C"/>
    <w:rsid w:val="00B03156"/>
    <w:rsid w:val="00B06C20"/>
    <w:rsid w:val="00B117D0"/>
    <w:rsid w:val="00B13311"/>
    <w:rsid w:val="00B26015"/>
    <w:rsid w:val="00B30E0E"/>
    <w:rsid w:val="00B4443B"/>
    <w:rsid w:val="00B554AD"/>
    <w:rsid w:val="00B7763B"/>
    <w:rsid w:val="00B87B3D"/>
    <w:rsid w:val="00BA2FD6"/>
    <w:rsid w:val="00BB7A4A"/>
    <w:rsid w:val="00BC74F6"/>
    <w:rsid w:val="00BE5557"/>
    <w:rsid w:val="00C02A7E"/>
    <w:rsid w:val="00C05B77"/>
    <w:rsid w:val="00C32A47"/>
    <w:rsid w:val="00C46D46"/>
    <w:rsid w:val="00C80F81"/>
    <w:rsid w:val="00C81DBD"/>
    <w:rsid w:val="00C91BDF"/>
    <w:rsid w:val="00CA4FF3"/>
    <w:rsid w:val="00CB413D"/>
    <w:rsid w:val="00CB50CE"/>
    <w:rsid w:val="00CC5486"/>
    <w:rsid w:val="00CE5CD3"/>
    <w:rsid w:val="00D46808"/>
    <w:rsid w:val="00D92AD9"/>
    <w:rsid w:val="00DA5661"/>
    <w:rsid w:val="00DA5687"/>
    <w:rsid w:val="00DB7EAB"/>
    <w:rsid w:val="00DC449B"/>
    <w:rsid w:val="00E072E1"/>
    <w:rsid w:val="00E27304"/>
    <w:rsid w:val="00E326A8"/>
    <w:rsid w:val="00E572EA"/>
    <w:rsid w:val="00E62D78"/>
    <w:rsid w:val="00E804CE"/>
    <w:rsid w:val="00E85A5B"/>
    <w:rsid w:val="00E85CE9"/>
    <w:rsid w:val="00E86392"/>
    <w:rsid w:val="00EA3229"/>
    <w:rsid w:val="00EA36FA"/>
    <w:rsid w:val="00EA3C34"/>
    <w:rsid w:val="00EE5807"/>
    <w:rsid w:val="00EF69DA"/>
    <w:rsid w:val="00F05A91"/>
    <w:rsid w:val="00F064B0"/>
    <w:rsid w:val="00F06C35"/>
    <w:rsid w:val="00F24049"/>
    <w:rsid w:val="00F3616D"/>
    <w:rsid w:val="00F5096B"/>
    <w:rsid w:val="00F65CF6"/>
    <w:rsid w:val="00F71FF0"/>
    <w:rsid w:val="00F74984"/>
    <w:rsid w:val="00F9749E"/>
    <w:rsid w:val="00FA6414"/>
    <w:rsid w:val="00FC692A"/>
    <w:rsid w:val="00FD734A"/>
    <w:rsid w:val="00FF74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72736"/>
  <w15:chartTrackingRefBased/>
  <w15:docId w15:val="{B6C70E0D-E732-46DC-B95F-0E3DBBE22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8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4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409"/>
  </w:style>
  <w:style w:type="paragraph" w:styleId="Footer">
    <w:name w:val="footer"/>
    <w:basedOn w:val="Normal"/>
    <w:link w:val="FooterChar"/>
    <w:uiPriority w:val="99"/>
    <w:unhideWhenUsed/>
    <w:rsid w:val="007854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409"/>
  </w:style>
  <w:style w:type="character" w:styleId="CommentReference">
    <w:name w:val="annotation reference"/>
    <w:basedOn w:val="DefaultParagraphFont"/>
    <w:uiPriority w:val="99"/>
    <w:semiHidden/>
    <w:unhideWhenUsed/>
    <w:rsid w:val="0033480A"/>
    <w:rPr>
      <w:sz w:val="16"/>
      <w:szCs w:val="16"/>
    </w:rPr>
  </w:style>
  <w:style w:type="paragraph" w:styleId="CommentText">
    <w:name w:val="annotation text"/>
    <w:basedOn w:val="Normal"/>
    <w:link w:val="CommentTextChar"/>
    <w:uiPriority w:val="99"/>
    <w:unhideWhenUsed/>
    <w:rsid w:val="0033480A"/>
    <w:pPr>
      <w:spacing w:line="240" w:lineRule="auto"/>
    </w:pPr>
    <w:rPr>
      <w:sz w:val="20"/>
      <w:szCs w:val="20"/>
    </w:rPr>
  </w:style>
  <w:style w:type="character" w:customStyle="1" w:styleId="CommentTextChar">
    <w:name w:val="Comment Text Char"/>
    <w:basedOn w:val="DefaultParagraphFont"/>
    <w:link w:val="CommentText"/>
    <w:uiPriority w:val="99"/>
    <w:rsid w:val="0033480A"/>
    <w:rPr>
      <w:sz w:val="20"/>
      <w:szCs w:val="20"/>
    </w:rPr>
  </w:style>
  <w:style w:type="paragraph" w:styleId="ListParagraph">
    <w:name w:val="List Paragraph"/>
    <w:basedOn w:val="Normal"/>
    <w:uiPriority w:val="34"/>
    <w:qFormat/>
    <w:rsid w:val="0033480A"/>
    <w:pPr>
      <w:ind w:left="720"/>
      <w:contextualSpacing/>
    </w:pPr>
  </w:style>
  <w:style w:type="paragraph" w:styleId="FootnoteText">
    <w:name w:val="footnote text"/>
    <w:basedOn w:val="Normal"/>
    <w:link w:val="FootnoteTextChar"/>
    <w:uiPriority w:val="99"/>
    <w:unhideWhenUsed/>
    <w:rsid w:val="0033480A"/>
    <w:pPr>
      <w:spacing w:after="0" w:line="240" w:lineRule="auto"/>
    </w:pPr>
    <w:rPr>
      <w:sz w:val="20"/>
      <w:szCs w:val="20"/>
    </w:rPr>
  </w:style>
  <w:style w:type="character" w:customStyle="1" w:styleId="FootnoteTextChar">
    <w:name w:val="Footnote Text Char"/>
    <w:basedOn w:val="DefaultParagraphFont"/>
    <w:link w:val="FootnoteText"/>
    <w:uiPriority w:val="99"/>
    <w:rsid w:val="0033480A"/>
    <w:rPr>
      <w:sz w:val="20"/>
      <w:szCs w:val="20"/>
    </w:rPr>
  </w:style>
  <w:style w:type="character" w:styleId="FootnoteReference">
    <w:name w:val="footnote reference"/>
    <w:basedOn w:val="DefaultParagraphFont"/>
    <w:uiPriority w:val="99"/>
    <w:semiHidden/>
    <w:unhideWhenUsed/>
    <w:rsid w:val="0033480A"/>
    <w:rPr>
      <w:vertAlign w:val="superscript"/>
    </w:rPr>
  </w:style>
  <w:style w:type="table" w:styleId="TableGrid">
    <w:name w:val="Table Grid"/>
    <w:basedOn w:val="TableNormal"/>
    <w:uiPriority w:val="39"/>
    <w:rsid w:val="003348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3348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3480A"/>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5341DE"/>
    <w:rPr>
      <w:b/>
      <w:bCs/>
    </w:rPr>
  </w:style>
  <w:style w:type="character" w:customStyle="1" w:styleId="CommentSubjectChar">
    <w:name w:val="Comment Subject Char"/>
    <w:basedOn w:val="CommentTextChar"/>
    <w:link w:val="CommentSubject"/>
    <w:uiPriority w:val="99"/>
    <w:semiHidden/>
    <w:rsid w:val="005341DE"/>
    <w:rPr>
      <w:b/>
      <w:bCs/>
      <w:sz w:val="20"/>
      <w:szCs w:val="20"/>
    </w:rPr>
  </w:style>
  <w:style w:type="table" w:customStyle="1" w:styleId="TableGrid11">
    <w:name w:val="Table Grid11"/>
    <w:basedOn w:val="TableNormal"/>
    <w:next w:val="TableGrid"/>
    <w:uiPriority w:val="39"/>
    <w:rsid w:val="00F74984"/>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74984"/>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74984"/>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F74984"/>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405BA9"/>
  </w:style>
  <w:style w:type="paragraph" w:styleId="PlainText">
    <w:name w:val="Plain Text"/>
    <w:basedOn w:val="Normal"/>
    <w:link w:val="PlainTextChar"/>
    <w:uiPriority w:val="99"/>
    <w:semiHidden/>
    <w:unhideWhenUsed/>
    <w:rsid w:val="0019754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9754C"/>
    <w:rPr>
      <w:rFonts w:ascii="Consolas" w:hAnsi="Consolas"/>
      <w:sz w:val="21"/>
      <w:szCs w:val="21"/>
    </w:rPr>
  </w:style>
  <w:style w:type="paragraph" w:styleId="BalloonText">
    <w:name w:val="Balloon Text"/>
    <w:basedOn w:val="Normal"/>
    <w:link w:val="BalloonTextChar"/>
    <w:uiPriority w:val="99"/>
    <w:semiHidden/>
    <w:unhideWhenUsed/>
    <w:rsid w:val="00553D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3DCD"/>
    <w:rPr>
      <w:rFonts w:ascii="Segoe UI" w:hAnsi="Segoe UI" w:cs="Segoe UI"/>
      <w:sz w:val="18"/>
      <w:szCs w:val="18"/>
    </w:rPr>
  </w:style>
  <w:style w:type="paragraph" w:styleId="Revision">
    <w:name w:val="Revision"/>
    <w:hidden/>
    <w:uiPriority w:val="99"/>
    <w:semiHidden/>
    <w:rsid w:val="00AC15B1"/>
    <w:pPr>
      <w:spacing w:after="0" w:line="240" w:lineRule="auto"/>
    </w:pPr>
  </w:style>
  <w:style w:type="character" w:styleId="UnresolvedMention">
    <w:name w:val="Unresolved Mention"/>
    <w:basedOn w:val="DefaultParagraphFont"/>
    <w:uiPriority w:val="99"/>
    <w:semiHidden/>
    <w:unhideWhenUsed/>
    <w:rsid w:val="00E804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2778325">
      <w:bodyDiv w:val="1"/>
      <w:marLeft w:val="0"/>
      <w:marRight w:val="0"/>
      <w:marTop w:val="0"/>
      <w:marBottom w:val="0"/>
      <w:divBdr>
        <w:top w:val="none" w:sz="0" w:space="0" w:color="auto"/>
        <w:left w:val="none" w:sz="0" w:space="0" w:color="auto"/>
        <w:bottom w:val="none" w:sz="0" w:space="0" w:color="auto"/>
        <w:right w:val="none" w:sz="0" w:space="0" w:color="auto"/>
      </w:divBdr>
    </w:div>
    <w:div w:id="2081823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17" Type="http://schemas.openxmlformats.org/officeDocument/2006/relationships/hyperlink" Target="https://www.ncbi.nlm.nih.gov/pmc/articles/PMC4449487/" TargetMode="External"/><Relationship Id="rId21" Type="http://schemas.openxmlformats.org/officeDocument/2006/relationships/hyperlink" Target="https://www.hopkinsmedicine.org/health/treatment-tests-and-therapies/positron-emission-tomography-pet" TargetMode="External"/><Relationship Id="rId42" Type="http://schemas.openxmlformats.org/officeDocument/2006/relationships/hyperlink" Target="https://www.medicalnewstoday.com/articles/154877" TargetMode="External"/><Relationship Id="rId63" Type="http://schemas.openxmlformats.org/officeDocument/2006/relationships/hyperlink" Target="https://www.cdc.gov/nchs/pressroom/states/massachusetts/massachusetts.htm" TargetMode="External"/><Relationship Id="rId84" Type="http://schemas.openxmlformats.org/officeDocument/2006/relationships/hyperlink" Target="https://healthcareappraisers.com/2020-outlook-diagnostic-imaging-and-radiology-practices/" TargetMode="External"/><Relationship Id="rId138" Type="http://schemas.openxmlformats.org/officeDocument/2006/relationships/hyperlink" Target="https://www.ncbi.nlm.nih.gov/pmc/articles/PMC4332800/" TargetMode="External"/><Relationship Id="rId159" Type="http://schemas.openxmlformats.org/officeDocument/2006/relationships/hyperlink" Target="https://www.ncbi.nlm.nih.gov/pmc/articles/PMC5178808/" TargetMode="External"/><Relationship Id="rId170" Type="http://schemas.openxmlformats.org/officeDocument/2006/relationships/hyperlink" Target="https://www.ncbi.nlm.nih.gov/pmc/articles/PMC2892773/" TargetMode="External"/><Relationship Id="rId107" Type="http://schemas.openxmlformats.org/officeDocument/2006/relationships/hyperlink" Target="https://journals.lww.com/co-urology/Abstract/2020/09000/PET_imaging_in_urology__a_rapidly_growing.2.aspx" TargetMode="External"/><Relationship Id="rId11" Type="http://schemas.openxmlformats.org/officeDocument/2006/relationships/hyperlink" Target="https://www.melrosewakefield.org" TargetMode="External"/><Relationship Id="rId32" Type="http://schemas.openxmlformats.org/officeDocument/2006/relationships/hyperlink" Target="https://www.census.gov/quickfacts/fact/table/wakefieldcdpmassachusetts" TargetMode="External"/><Relationship Id="rId53" Type="http://schemas.openxmlformats.org/officeDocument/2006/relationships/hyperlink" Target="https://cancerstatisticscenter.cancer.org/" TargetMode="External"/><Relationship Id="rId74" Type="http://schemas.openxmlformats.org/officeDocument/2006/relationships/hyperlink" Target="https://www.scie.org.uk/dementia/symptoms/diagnosis/early-diagnosis.asp" TargetMode="External"/><Relationship Id="rId128" Type="http://schemas.openxmlformats.org/officeDocument/2006/relationships/hyperlink" Target="https://pubmed.ncbi.nlm.nih.gov/27157236/" TargetMode="External"/><Relationship Id="rId149" Type="http://schemas.openxmlformats.org/officeDocument/2006/relationships/hyperlink" Target="https://Images.philips.com/is/content/PhilipsConsumer/Campaigns/HC20140401_DG/Documents/PEX_in_Imaging_research_11Oct17_FINAL.pdf" TargetMode="External"/><Relationship Id="rId5" Type="http://schemas.openxmlformats.org/officeDocument/2006/relationships/hyperlink" Target="https://www.cdc.gov/aging/publications/chronic-diseases-brief.html" TargetMode="External"/><Relationship Id="rId95" Type="http://schemas.openxmlformats.org/officeDocument/2006/relationships/hyperlink" Target="http://dx.doi.org/10.15585/mmwr.mm6936a4" TargetMode="External"/><Relationship Id="rId160" Type="http://schemas.openxmlformats.org/officeDocument/2006/relationships/hyperlink" Target="https://www.ncbi.nlm.nih.gov/pmc/articles/PMC5178808/" TargetMode="External"/><Relationship Id="rId181" Type="http://schemas.openxmlformats.org/officeDocument/2006/relationships/hyperlink" Target="https://wayback.archive-it.org/5774/20220414155345/https:/www.healthypeople.gov/2020/topics-objectives/topic/social-determinants-health/interventions-resources/access-to-health" TargetMode="External"/><Relationship Id="rId22" Type="http://schemas.openxmlformats.org/officeDocument/2006/relationships/hyperlink" Target="https://www.census.gov/quickfacts/melrosecitymassachusetts" TargetMode="External"/><Relationship Id="rId43" Type="http://schemas.openxmlformats.org/officeDocument/2006/relationships/hyperlink" Target="https://www.medicalnewstoday.com/articles/154877" TargetMode="External"/><Relationship Id="rId64" Type="http://schemas.openxmlformats.org/officeDocument/2006/relationships/hyperlink" Target="https://newsroom.heart.org/news/heart-disease" TargetMode="External"/><Relationship Id="rId118" Type="http://schemas.openxmlformats.org/officeDocument/2006/relationships/hyperlink" Target="https://www.ncbi.nlm.nih.gov/pmc/articles/PMC4449487/" TargetMode="External"/><Relationship Id="rId139" Type="http://schemas.openxmlformats.org/officeDocument/2006/relationships/hyperlink" Target="https://www.ncbi.nlm.nih.gov/pmc/articles/PMC4332800/" TargetMode="External"/><Relationship Id="rId85" Type="http://schemas.openxmlformats.org/officeDocument/2006/relationships/hyperlink" Target="https://www.uhcprovider.com/content/dam/provider/docs/public/prior-auth/radiology/Site-Care-Outpatient-MRCT-Svcs-FAQ-Commercial.pdf" TargetMode="External"/><Relationship Id="rId150" Type="http://schemas.openxmlformats.org/officeDocument/2006/relationships/hyperlink" Target="https://pubmed.ncbi.nlm.nih.gov/21430827/" TargetMode="External"/><Relationship Id="rId171" Type="http://schemas.openxmlformats.org/officeDocument/2006/relationships/hyperlink" Target="https://healthcareappraisers.com/2020-outlook-diagnostic-imaging-and-radiology-practices/" TargetMode="External"/><Relationship Id="rId12" Type="http://schemas.openxmlformats.org/officeDocument/2006/relationships/hyperlink" Target="https://www.melrosewakefield.org/in-the-community/community-benefits/community-benefits-programs/" TargetMode="External"/><Relationship Id="rId33" Type="http://schemas.openxmlformats.org/officeDocument/2006/relationships/hyperlink" Target="https://www.census.gov/quickfacts/fact/table/wakefieldcdpmassachusetts" TargetMode="External"/><Relationship Id="rId108" Type="http://schemas.openxmlformats.org/officeDocument/2006/relationships/hyperlink" Target="https://journals.lww.com/co-urology/Abstract/2020/09000/PET_imaging_in_urology__a_rapidly_growing.2.aspx" TargetMode="External"/><Relationship Id="rId129" Type="http://schemas.openxmlformats.org/officeDocument/2006/relationships/hyperlink" Target="https://www.ncbi.nlm.nih.gov/pmc/articles/PMC4449487/" TargetMode="External"/><Relationship Id="rId54" Type="http://schemas.openxmlformats.org/officeDocument/2006/relationships/hyperlink" Target="https://doi.org/10.1002/cncr.34157" TargetMode="External"/><Relationship Id="rId75" Type="http://schemas.openxmlformats.org/officeDocument/2006/relationships/hyperlink" Target="https://www.who.int/news-room/detail/03-02-2017-early-cancer-diagnosis-saves-lives-cuts-treatment-costs" TargetMode="External"/><Relationship Id="rId96" Type="http://schemas.openxmlformats.org/officeDocument/2006/relationships/hyperlink" Target="http://dx.doi.org/10.15585/mmwr.mm6936a4" TargetMode="External"/><Relationship Id="rId140" Type="http://schemas.openxmlformats.org/officeDocument/2006/relationships/hyperlink" Target="https://www.ncbi.nlm.nih.gov/pmc/articles/PMC1955366/" TargetMode="External"/><Relationship Id="rId161" Type="http://schemas.openxmlformats.org/officeDocument/2006/relationships/hyperlink" Target="https://www.ncbi.nlm.nih.gov/pmc/articles/PMC4265215/" TargetMode="External"/><Relationship Id="rId182" Type="http://schemas.openxmlformats.org/officeDocument/2006/relationships/hyperlink" Target="https://wayback.archive-it.org/5774/20220414155345/https://www.healthypeople.gov/2020/topics-objectives/topic/social-determinants-health/interventions-resources/access-to-health" TargetMode="External"/><Relationship Id="rId6" Type="http://schemas.openxmlformats.org/officeDocument/2006/relationships/hyperlink" Target="https://www.ncbi.nlm.nih.gov/books/NBK338593/" TargetMode="External"/><Relationship Id="rId23" Type="http://schemas.openxmlformats.org/officeDocument/2006/relationships/hyperlink" Target="https://www.census.gov/quickfacts/melrosecitymassachusetts" TargetMode="External"/><Relationship Id="rId119" Type="http://schemas.openxmlformats.org/officeDocument/2006/relationships/hyperlink" Target="https://pubmed.ncbi.nlm.nih.gov/11105929/" TargetMode="External"/><Relationship Id="rId44" Type="http://schemas.openxmlformats.org/officeDocument/2006/relationships/hyperlink" Target="https://www.thelancet.com/journals/eclinm/article/PIIS2589-5370(21)00314-X/fulltext" TargetMode="External"/><Relationship Id="rId60" Type="http://schemas.openxmlformats.org/officeDocument/2006/relationships/hyperlink" Target="https://pubmed.ncbi.nlm.nih.gov/29184622/" TargetMode="External"/><Relationship Id="rId65" Type="http://schemas.openxmlformats.org/officeDocument/2006/relationships/hyperlink" Target="https://newsroom.heart.org/news/heart-disease" TargetMode="External"/><Relationship Id="rId81" Type="http://schemas.openxmlformats.org/officeDocument/2006/relationships/hyperlink" Target="http://www.who.int/healthsystems/service_delivery_techbrief1.pdf" TargetMode="External"/><Relationship Id="rId86" Type="http://schemas.openxmlformats.org/officeDocument/2006/relationships/hyperlink" Target="https://static.cigna.com/assets/chcp/pdf/coveragePolicies/medical/mm_0550_coveragepositioncriteria_SOC_HTR.pdf" TargetMode="External"/><Relationship Id="rId130" Type="http://schemas.openxmlformats.org/officeDocument/2006/relationships/hyperlink" Target="https://www.ncbi.nlm.nih.gov/pmc/articles/PMC4449487/" TargetMode="External"/><Relationship Id="rId135" Type="http://schemas.openxmlformats.org/officeDocument/2006/relationships/hyperlink" Target="https://pubmed.ncbi.nlm.nih.gov/28209905/" TargetMode="External"/><Relationship Id="rId151" Type="http://schemas.openxmlformats.org/officeDocument/2006/relationships/hyperlink" Target="https://pubmed.ncbi.nlm.nih.gov/21430827/" TargetMode="External"/><Relationship Id="rId156" Type="http://schemas.openxmlformats.org/officeDocument/2006/relationships/hyperlink" Target="https://www.kff.org/health-costs/issue-brief/americans-challenges-with-health-care-costs/" TargetMode="External"/><Relationship Id="rId177" Type="http://schemas.openxmlformats.org/officeDocument/2006/relationships/hyperlink" Target="https://www.acep.org/globalassets/uploads/uploaded-files/acep/clinical-and-practice-management/resources/geriatrics/geri_ed_guidelines_final.pdf" TargetMode="External"/><Relationship Id="rId172" Type="http://schemas.openxmlformats.org/officeDocument/2006/relationships/hyperlink" Target="https://healthcareappraisers.com/2020-outlook-diagnostic-imaging-and-radiology-practices/" TargetMode="External"/><Relationship Id="rId13" Type="http://schemas.openxmlformats.org/officeDocument/2006/relationships/hyperlink" Target="https://www.ncbi.nlm.nih.gov/pmc/articles/PMC5732407/" TargetMode="External"/><Relationship Id="rId18" Type="http://schemas.openxmlformats.org/officeDocument/2006/relationships/hyperlink" Target="https://www.radiologytoday.net/archive/rt1219p22.shtml" TargetMode="External"/><Relationship Id="rId39" Type="http://schemas.openxmlformats.org/officeDocument/2006/relationships/hyperlink" Target="https://www.ncbi.nlm.nih.gov/pmc/articles/PMC4034170/" TargetMode="External"/><Relationship Id="rId109" Type="http://schemas.openxmlformats.org/officeDocument/2006/relationships/hyperlink" Target="https://pubmed.ncbi.nlm.nih.gov/26247005/" TargetMode="External"/><Relationship Id="rId34" Type="http://schemas.openxmlformats.org/officeDocument/2006/relationships/hyperlink" Target="https://www.ncbi.nlm.nih.gov/pmc/articles/PMC3692287/" TargetMode="External"/><Relationship Id="rId50" Type="http://schemas.openxmlformats.org/officeDocument/2006/relationships/hyperlink" Target="https://pubmed.ncbi.nlm.nih.gov/18528470/" TargetMode="External"/><Relationship Id="rId55" Type="http://schemas.openxmlformats.org/officeDocument/2006/relationships/hyperlink" Target="https://doi.org/10.1002/cncr.34157" TargetMode="External"/><Relationship Id="rId76" Type="http://schemas.openxmlformats.org/officeDocument/2006/relationships/hyperlink" Target="https://www.who.int/news-room/detail/03-02-2017-early-cancer-diagnosis-saves-lives-cuts-treatment-costs" TargetMode="External"/><Relationship Id="rId97" Type="http://schemas.openxmlformats.org/officeDocument/2006/relationships/hyperlink" Target="http://dx.doi.org/10.15585/mmwr.mm6936a4" TargetMode="External"/><Relationship Id="rId104" Type="http://schemas.openxmlformats.org/officeDocument/2006/relationships/hyperlink" Target="https://stanfordhealthcare.org/medical-tests/p/pet-ct-scan/what-to-expect.html" TargetMode="External"/><Relationship Id="rId120" Type="http://schemas.openxmlformats.org/officeDocument/2006/relationships/hyperlink" Target="https://pubmed.ncbi.nlm.nih.gov/11105929/" TargetMode="External"/><Relationship Id="rId125" Type="http://schemas.openxmlformats.org/officeDocument/2006/relationships/hyperlink" Target="https://pubmed.ncbi.nlm.nih.gov/23154474/" TargetMode="External"/><Relationship Id="rId141" Type="http://schemas.openxmlformats.org/officeDocument/2006/relationships/hyperlink" Target="https://www.ncbi.nlm.nih.gov/pmc/articles/PMC1955366/" TargetMode="External"/><Relationship Id="rId146" Type="http://schemas.openxmlformats.org/officeDocument/2006/relationships/hyperlink" Target="https://stanfordhealthcare.org/medical-tests/p/pet-ct-scan/what-to-expect.html" TargetMode="External"/><Relationship Id="rId167" Type="http://schemas.openxmlformats.org/officeDocument/2006/relationships/hyperlink" Target="https://www.melrosewakefield.org/news/public-announcement-concerning-a-proposed-health-care-project/" TargetMode="External"/><Relationship Id="rId7" Type="http://schemas.openxmlformats.org/officeDocument/2006/relationships/hyperlink" Target="https://www.ncbi.nlm.nih.gov/books/NBK338593/" TargetMode="External"/><Relationship Id="rId71" Type="http://schemas.openxmlformats.org/officeDocument/2006/relationships/hyperlink" Target="https://www.alz.org/professionals/public-health/state-overview/massachusetts" TargetMode="External"/><Relationship Id="rId92" Type="http://schemas.openxmlformats.org/officeDocument/2006/relationships/hyperlink" Target="https://jnm.snmjournals.org/content/58/7/1058" TargetMode="External"/><Relationship Id="rId162" Type="http://schemas.openxmlformats.org/officeDocument/2006/relationships/hyperlink" Target="https://www.ncbi.nlm.nih.gov/pmc/articles/PMC4265215/" TargetMode="External"/><Relationship Id="rId183" Type="http://schemas.openxmlformats.org/officeDocument/2006/relationships/hyperlink" Target="https://wayback.archive-it.org/5774/20220414155345/https:/www.healthypeople.gov/2020/topics-objectives/topic/social-determinants-health/interventions-resources/access-to-health" TargetMode="External"/><Relationship Id="rId2" Type="http://schemas.openxmlformats.org/officeDocument/2006/relationships/hyperlink" Target="https://www.ncbi.nlm.nih.gov/pmc/articles/PMC5732407/" TargetMode="External"/><Relationship Id="rId29" Type="http://schemas.openxmlformats.org/officeDocument/2006/relationships/hyperlink" Target="https://www.census.gov/quickfacts/fact/table/wakefieldcdpmassachusetts" TargetMode="External"/><Relationship Id="rId24" Type="http://schemas.openxmlformats.org/officeDocument/2006/relationships/hyperlink" Target="https://censusreporter.org/profiles/16000US2540115-melrose-ma/" TargetMode="External"/><Relationship Id="rId40" Type="http://schemas.openxmlformats.org/officeDocument/2006/relationships/hyperlink" Target="http://pep.donahue-institute.org/downloads/2015/new/UMDI_LongTermPopulationProjectionsReport_2015%2004%20_29.pdf" TargetMode="External"/><Relationship Id="rId45" Type="http://schemas.openxmlformats.org/officeDocument/2006/relationships/hyperlink" Target="https://www.thelancet.com/journals/eclinm/article/PIIS2589-5370(21)00314-X/fulltext" TargetMode="External"/><Relationship Id="rId66" Type="http://schemas.openxmlformats.org/officeDocument/2006/relationships/hyperlink" Target="https://pubmed.ncbi.nlm.nih.gov/24791083/" TargetMode="External"/><Relationship Id="rId87" Type="http://schemas.openxmlformats.org/officeDocument/2006/relationships/hyperlink" Target="https://www.anthem.com/dam/medpolicies/abcbs/active/guidelines/gl_pw_c191757.html" TargetMode="External"/><Relationship Id="rId110" Type="http://schemas.openxmlformats.org/officeDocument/2006/relationships/hyperlink" Target="https://pubmed.ncbi.nlm.nih.gov/26247005/" TargetMode="External"/><Relationship Id="rId115" Type="http://schemas.openxmlformats.org/officeDocument/2006/relationships/hyperlink" Target="https://pubmed.ncbi.nlm.nih.gov/11286301/" TargetMode="External"/><Relationship Id="rId131" Type="http://schemas.openxmlformats.org/officeDocument/2006/relationships/hyperlink" Target="https://journals.sagepub.com/doi/full/10.1177/2514183X19868147" TargetMode="External"/><Relationship Id="rId136" Type="http://schemas.openxmlformats.org/officeDocument/2006/relationships/hyperlink" Target="https://pubmed.ncbi.nlm.nih.gov/28209905/" TargetMode="External"/><Relationship Id="rId157" Type="http://schemas.openxmlformats.org/officeDocument/2006/relationships/hyperlink" Target="https://www.kff.org/health-costs/issue-brief/americans-challenges-with-health-care-costs/" TargetMode="External"/><Relationship Id="rId178" Type="http://schemas.openxmlformats.org/officeDocument/2006/relationships/hyperlink" Target="https://www.acep.org/globalassets/uploads/uploaded-files/acep/clinical-and-practice-management/resources/geriatrics/geri_ed_guidelines_final.pdf" TargetMode="External"/><Relationship Id="rId61" Type="http://schemas.openxmlformats.org/officeDocument/2006/relationships/hyperlink" Target="https://pubmed.ncbi.nlm.nih.gov/29184622/" TargetMode="External"/><Relationship Id="rId82" Type="http://schemas.openxmlformats.org/officeDocument/2006/relationships/hyperlink" Target="http://www.who.int/healthsystems/service_delivery_techbrief1.pdf" TargetMode="External"/><Relationship Id="rId152" Type="http://schemas.openxmlformats.org/officeDocument/2006/relationships/hyperlink" Target="https://www.sciencedirect.com/science/article/pii/S2352914817301958" TargetMode="External"/><Relationship Id="rId173" Type="http://schemas.openxmlformats.org/officeDocument/2006/relationships/hyperlink" Target="https://www.ncbi.nlm.nih.gov/pmc/articles/PMC2892773/" TargetMode="External"/><Relationship Id="rId19" Type="http://schemas.openxmlformats.org/officeDocument/2006/relationships/hyperlink" Target="https://advis.com/services/independent-diagnostic-testing-facilities/?gclid=CjwKCAiAvaGRBhBlEiwAiY-yMHCMEtjEV0at0jsHbWkZwKZyWZI-ZUwUwvPraR98eltokq-f5V7OwhoCmWwQAvD_BwE" TargetMode="External"/><Relationship Id="rId14" Type="http://schemas.openxmlformats.org/officeDocument/2006/relationships/hyperlink" Target="https://www.ncbi.nlm.nih.gov/pmc/articles/PMC5732407/" TargetMode="External"/><Relationship Id="rId30" Type="http://schemas.openxmlformats.org/officeDocument/2006/relationships/hyperlink" Target="https://censusreporter.org/profiles/16000US2572250-wakefield-ma/" TargetMode="External"/><Relationship Id="rId35" Type="http://schemas.openxmlformats.org/officeDocument/2006/relationships/hyperlink" Target="https://www.ncbi.nlm.nih.gov/pmc/articles/PMC3692287/" TargetMode="External"/><Relationship Id="rId56" Type="http://schemas.openxmlformats.org/officeDocument/2006/relationships/hyperlink" Target="https://onlinelibrary.wiley.com/doi/10.1111/iju.13779" TargetMode="External"/><Relationship Id="rId77" Type="http://schemas.openxmlformats.org/officeDocument/2006/relationships/hyperlink" Target="https://www.rwjf.org/en/library/research/2013/03/how-can-early-treatment-of-serious-mental-illness-improve-lives-.html" TargetMode="External"/><Relationship Id="rId100" Type="http://schemas.openxmlformats.org/officeDocument/2006/relationships/hyperlink" Target="https://pubmed.ncbi.nlm.nih.gov/18528470/" TargetMode="External"/><Relationship Id="rId105" Type="http://schemas.openxmlformats.org/officeDocument/2006/relationships/hyperlink" Target="https://www.ncbi.nlm.nih.gov/pmc/articles/PMC1255942/" TargetMode="External"/><Relationship Id="rId126" Type="http://schemas.openxmlformats.org/officeDocument/2006/relationships/hyperlink" Target="https://pubmed.ncbi.nlm.nih.gov/23154474/" TargetMode="External"/><Relationship Id="rId147" Type="http://schemas.openxmlformats.org/officeDocument/2006/relationships/hyperlink" Target="https://www.ncbi.nlm.nih.gov/pmc/articles/PMC2892773/" TargetMode="External"/><Relationship Id="rId168" Type="http://schemas.openxmlformats.org/officeDocument/2006/relationships/hyperlink" Target="https://www.melrosewakefield.org/news/public-announcement-concerning-a-proposed-health-care-project/" TargetMode="External"/><Relationship Id="rId8" Type="http://schemas.openxmlformats.org/officeDocument/2006/relationships/hyperlink" Target="https://advis.com/services/independent-diagnostic-testing-facilities/?gclid=CjwKCAiAvaGRBhBlEiwAiY-yMHCMEtjEV0at0jsHbWkZwKZyWZI-ZUwUwvPraR98eltokq-f5V7OwhoCmWwQAvD_BwE" TargetMode="External"/><Relationship Id="rId51" Type="http://schemas.openxmlformats.org/officeDocument/2006/relationships/hyperlink" Target="https://pubmed.ncbi.nlm.nih.gov/18528470/" TargetMode="External"/><Relationship Id="rId72" Type="http://schemas.openxmlformats.org/officeDocument/2006/relationships/hyperlink" Target="https://www.alz.org/professionals/public-health/state-overview/massachusetts" TargetMode="External"/><Relationship Id="rId93" Type="http://schemas.openxmlformats.org/officeDocument/2006/relationships/hyperlink" Target="https://jnm.snmjournals.org/content/58/7/1058" TargetMode="External"/><Relationship Id="rId98" Type="http://schemas.openxmlformats.org/officeDocument/2006/relationships/hyperlink" Target="https://www.cancer.org/healthy/find-cancer-early/american-cancer-society-guidelines-for-the-early-detection-of-cancer.html" TargetMode="External"/><Relationship Id="rId121" Type="http://schemas.openxmlformats.org/officeDocument/2006/relationships/hyperlink" Target="https://www.ncbi.nlm.nih.gov/pmc/articles/PMC4449487/" TargetMode="External"/><Relationship Id="rId142" Type="http://schemas.openxmlformats.org/officeDocument/2006/relationships/hyperlink" Target="https://www.acr.org/Practice-Management-Quality-Informatics/Imaging-3/Case-Studies/Quality-and-Safety/Early-Action-Boosts-Patient-Satisfaction" TargetMode="External"/><Relationship Id="rId163" Type="http://schemas.openxmlformats.org/officeDocument/2006/relationships/hyperlink" Target="https://www.cdc.gov/socialdeterminants/index.htm" TargetMode="External"/><Relationship Id="rId184" Type="http://schemas.openxmlformats.org/officeDocument/2006/relationships/hyperlink" Target="https://wayback.archive-it.org/5774/20220414155345/https://www.healthypeople.gov/2020/topics-objectives/topic/social-determinants-health/interventions-resources/access-to-health" TargetMode="External"/><Relationship Id="rId3" Type="http://schemas.openxmlformats.org/officeDocument/2006/relationships/hyperlink" Target="https://www.ncbi.nlm.nih.gov/pmc/articles/PMC4921358/" TargetMode="External"/><Relationship Id="rId25" Type="http://schemas.openxmlformats.org/officeDocument/2006/relationships/hyperlink" Target="https://censusreporter.org/profiles/16000US2540115-melrose-ma/" TargetMode="External"/><Relationship Id="rId46" Type="http://schemas.openxmlformats.org/officeDocument/2006/relationships/hyperlink" Target="https://doi.org/10.1186/s13244-020-00941-z" TargetMode="External"/><Relationship Id="rId67" Type="http://schemas.openxmlformats.org/officeDocument/2006/relationships/hyperlink" Target="https://pubmed.ncbi.nlm.nih.gov/24791083/" TargetMode="External"/><Relationship Id="rId116" Type="http://schemas.openxmlformats.org/officeDocument/2006/relationships/hyperlink" Target="https://pubmed.ncbi.nlm.nih.gov/11286301/" TargetMode="External"/><Relationship Id="rId137" Type="http://schemas.openxmlformats.org/officeDocument/2006/relationships/hyperlink" Target="https://www.alz.org/professionals/public-health/state-overview/massachusetts" TargetMode="External"/><Relationship Id="rId158" Type="http://schemas.openxmlformats.org/officeDocument/2006/relationships/hyperlink" Target="https://advis.com/services/independent-diagnostic-testing-facilities/?gclid=CjwKCAiAvaGRBhBlEiwAiY-yMHCMEtjEV0at0jsHbWkZwKZyWZI-ZUwUwvPraR98eltokq-f5V7OwhoCmWwQAvD_BwE" TargetMode="External"/><Relationship Id="rId20" Type="http://schemas.openxmlformats.org/officeDocument/2006/relationships/hyperlink" Target="https://www.hopkinsmedicine.org/health/treatment-tests-and-therapies/positron-emission-tomography-pet" TargetMode="External"/><Relationship Id="rId41" Type="http://schemas.openxmlformats.org/officeDocument/2006/relationships/hyperlink" Target="https://www.mass.gov/files/documents/2016/07/wb/healthy-aging-data-report.pdf" TargetMode="External"/><Relationship Id="rId62" Type="http://schemas.openxmlformats.org/officeDocument/2006/relationships/hyperlink" Target="https://www.mass.gov/doc/a-profile-of-health-among-massachusetts-adults-2018/download" TargetMode="External"/><Relationship Id="rId83" Type="http://schemas.openxmlformats.org/officeDocument/2006/relationships/hyperlink" Target="https://healthcareappraisers.com/2020-outlook-diagnostic-imaging-and-radiology-practices/" TargetMode="External"/><Relationship Id="rId88" Type="http://schemas.openxmlformats.org/officeDocument/2006/relationships/hyperlink" Target="https://www.radiologyinfo.org/en/info/pet" TargetMode="External"/><Relationship Id="rId111" Type="http://schemas.openxmlformats.org/officeDocument/2006/relationships/hyperlink" Target="https://pubmed.ncbi.nlm.nih.gov/22108734/" TargetMode="External"/><Relationship Id="rId132" Type="http://schemas.openxmlformats.org/officeDocument/2006/relationships/hyperlink" Target="https://journals.sagepub.com/doi/full/10.1177/2514183X19868147" TargetMode="External"/><Relationship Id="rId153" Type="http://schemas.openxmlformats.org/officeDocument/2006/relationships/hyperlink" Target="https://www.sciencedirect.com/science/article/pii/S2352914817301958" TargetMode="External"/><Relationship Id="rId174" Type="http://schemas.openxmlformats.org/officeDocument/2006/relationships/hyperlink" Target="https://www.ncbi.nlm.nih.gov/pmc/articles/PMC2892773/" TargetMode="External"/><Relationship Id="rId179" Type="http://schemas.openxmlformats.org/officeDocument/2006/relationships/hyperlink" Target="https://jamanetwork.com/journals/jamainternalmedicine/article-abstract/1881931" TargetMode="External"/><Relationship Id="rId15" Type="http://schemas.openxmlformats.org/officeDocument/2006/relationships/hyperlink" Target="https://www.ncbi.nlm.nih.gov/pmc/articles/PMC4921358/" TargetMode="External"/><Relationship Id="rId36" Type="http://schemas.openxmlformats.org/officeDocument/2006/relationships/hyperlink" Target="https://www.ncbi.nlm.nih.gov/pmc/articles/PMC2828569/" TargetMode="External"/><Relationship Id="rId57" Type="http://schemas.openxmlformats.org/officeDocument/2006/relationships/hyperlink" Target="https://onlinelibrary.wiley.com/doi/10.1111/iju.13779" TargetMode="External"/><Relationship Id="rId106" Type="http://schemas.openxmlformats.org/officeDocument/2006/relationships/hyperlink" Target="https://www.ncbi.nlm.nih.gov/pmc/articles/PMC1255942/" TargetMode="External"/><Relationship Id="rId127" Type="http://schemas.openxmlformats.org/officeDocument/2006/relationships/hyperlink" Target="https://pubmed.ncbi.nlm.nih.gov/27157236/" TargetMode="External"/><Relationship Id="rId10" Type="http://schemas.openxmlformats.org/officeDocument/2006/relationships/hyperlink" Target="https://www.anixter.com/content/dam/anixter/resources/brochures/anixter-iaap-healthcare-best-practices-report-en.pdf" TargetMode="External"/><Relationship Id="rId31" Type="http://schemas.openxmlformats.org/officeDocument/2006/relationships/hyperlink" Target="https://censusreporter.org/profiles/16000US2572250-wakefield-ma/" TargetMode="External"/><Relationship Id="rId52" Type="http://schemas.openxmlformats.org/officeDocument/2006/relationships/hyperlink" Target="http://www.cancerinmass.org/uploads/1/1/9/4/119429235/macancer-report2018.pdf" TargetMode="External"/><Relationship Id="rId73" Type="http://schemas.openxmlformats.org/officeDocument/2006/relationships/hyperlink" Target="https://www.scie.org.uk/dementia/symptoms/diagnosis/early-diagnosis.asp" TargetMode="External"/><Relationship Id="rId78" Type="http://schemas.openxmlformats.org/officeDocument/2006/relationships/hyperlink" Target="https://www.rwjf.org/en/library/research/2013/03/how-can-early-treatment-of-serious-mental-illness-improve-lives-.html" TargetMode="External"/><Relationship Id="rId94" Type="http://schemas.openxmlformats.org/officeDocument/2006/relationships/hyperlink" Target="http://dx.doi.org/10.15585/mmwr.mm6936a4" TargetMode="External"/><Relationship Id="rId99" Type="http://schemas.openxmlformats.org/officeDocument/2006/relationships/hyperlink" Target="https://www.cdc.gov/cancer/dcpc/prevention/screening.htm" TargetMode="External"/><Relationship Id="rId101" Type="http://schemas.openxmlformats.org/officeDocument/2006/relationships/hyperlink" Target="https://pubmed.ncbi.nlm.nih.gov/18528470/" TargetMode="External"/><Relationship Id="rId122" Type="http://schemas.openxmlformats.org/officeDocument/2006/relationships/hyperlink" Target="https://www.ncbi.nlm.nih.gov/pmc/articles/PMC4449487/" TargetMode="External"/><Relationship Id="rId143" Type="http://schemas.openxmlformats.org/officeDocument/2006/relationships/hyperlink" Target="https://www.acr.org/Practice-Management-Quality-Informatics/Imaging-3/Case-Studies/Quality-and-Safety/Early-Action-Boosts-Patient-Satisfaction" TargetMode="External"/><Relationship Id="rId148" Type="http://schemas.openxmlformats.org/officeDocument/2006/relationships/hyperlink" Target="https://www.ncbi.nlm.nih.gov/pmc/articles/PMC2892773/" TargetMode="External"/><Relationship Id="rId164" Type="http://schemas.openxmlformats.org/officeDocument/2006/relationships/hyperlink" Target="https://www.cdc.gov/socialdeterminants/index.htm" TargetMode="External"/><Relationship Id="rId169" Type="http://schemas.openxmlformats.org/officeDocument/2006/relationships/hyperlink" Target="https://www.ncbi.nlm.nih.gov/pmc/articles/PMC2892773/" TargetMode="External"/><Relationship Id="rId4" Type="http://schemas.openxmlformats.org/officeDocument/2006/relationships/hyperlink" Target="https://www.ncbi.nlm.nih.gov/pmc/articles/PMC4921358/" TargetMode="External"/><Relationship Id="rId9" Type="http://schemas.openxmlformats.org/officeDocument/2006/relationships/hyperlink" Target="https://www.anixter.com/content/dam/anixter/resources/brochures/anixter-iaap-healthcare-best-practices-report-en.pdf" TargetMode="External"/><Relationship Id="rId180" Type="http://schemas.openxmlformats.org/officeDocument/2006/relationships/hyperlink" Target="https://jamanetwork.com/journals/jamainternalmedicine/article-abstract/1881931" TargetMode="External"/><Relationship Id="rId26" Type="http://schemas.openxmlformats.org/officeDocument/2006/relationships/hyperlink" Target="https://censusreporter.org/profiles/16000US2540115-melrose-ma/" TargetMode="External"/><Relationship Id="rId47" Type="http://schemas.openxmlformats.org/officeDocument/2006/relationships/hyperlink" Target="https://doi.org/10.1186/s13244-020-00941-z" TargetMode="External"/><Relationship Id="rId68" Type="http://schemas.openxmlformats.org/officeDocument/2006/relationships/hyperlink" Target="https://alz-journals.onlinelibrary.wiley.com/doi/10.1002/alz.12068" TargetMode="External"/><Relationship Id="rId89" Type="http://schemas.openxmlformats.org/officeDocument/2006/relationships/hyperlink" Target="https://www.radiologyinfo.org/en/info/pet" TargetMode="External"/><Relationship Id="rId112" Type="http://schemas.openxmlformats.org/officeDocument/2006/relationships/hyperlink" Target="https://pubmed.ncbi.nlm.nih.gov/22108734/" TargetMode="External"/><Relationship Id="rId133" Type="http://schemas.openxmlformats.org/officeDocument/2006/relationships/hyperlink" Target="https://www.ajronline.org/doi/pdfplus/10.2214/AJR.18.19822" TargetMode="External"/><Relationship Id="rId154" Type="http://schemas.openxmlformats.org/officeDocument/2006/relationships/hyperlink" Target="https://www.ncbi.nlm.nih.gov/pmc/articles/PMC2839331/" TargetMode="External"/><Relationship Id="rId175" Type="http://schemas.openxmlformats.org/officeDocument/2006/relationships/hyperlink" Target="https://hbr.org/2011/09/how-to-solve-the-cost-crisis-in-health-care" TargetMode="External"/><Relationship Id="rId16" Type="http://schemas.openxmlformats.org/officeDocument/2006/relationships/hyperlink" Target="https://www.ncbi.nlm.nih.gov/pmc/articles/PMC4921358/" TargetMode="External"/><Relationship Id="rId37" Type="http://schemas.openxmlformats.org/officeDocument/2006/relationships/hyperlink" Target="https://www.ncbi.nlm.nih.gov/pmc/articles/PMC2828569/" TargetMode="External"/><Relationship Id="rId58" Type="http://schemas.openxmlformats.org/officeDocument/2006/relationships/hyperlink" Target="https://www.mass.gov/lists/cancer-incidence-city-town-supplement" TargetMode="External"/><Relationship Id="rId79" Type="http://schemas.openxmlformats.org/officeDocument/2006/relationships/hyperlink" Target="https://pubmed.ncbi.nlm.nih.gov/26614881/" TargetMode="External"/><Relationship Id="rId102" Type="http://schemas.openxmlformats.org/officeDocument/2006/relationships/hyperlink" Target="https://www.carestream.com/blog/2017/12/26/diagnostic-imaging-and-early-detection-of-cancer/" TargetMode="External"/><Relationship Id="rId123" Type="http://schemas.openxmlformats.org/officeDocument/2006/relationships/hyperlink" Target="https://pubmed.ncbi.nlm.nih.gov/22785499/" TargetMode="External"/><Relationship Id="rId144" Type="http://schemas.openxmlformats.org/officeDocument/2006/relationships/hyperlink" Target="https://pubmed.ncbi.nlm.nih.gov/26554265/" TargetMode="External"/><Relationship Id="rId90" Type="http://schemas.openxmlformats.org/officeDocument/2006/relationships/hyperlink" Target="https://journals.sagepub.com/doi/full/10.1177/2514183X19868147" TargetMode="External"/><Relationship Id="rId165" Type="http://schemas.openxmlformats.org/officeDocument/2006/relationships/hyperlink" Target="https://shields.com/location/shields-petct-tufts-medical-center/" TargetMode="External"/><Relationship Id="rId27" Type="http://schemas.openxmlformats.org/officeDocument/2006/relationships/hyperlink" Target="https://censusreporter.org/profiles/16000US2540115-melrose-ma/" TargetMode="External"/><Relationship Id="rId48" Type="http://schemas.openxmlformats.org/officeDocument/2006/relationships/hyperlink" Target="https://www.sciencedirect.com/science/article/pii/S0749379713006429" TargetMode="External"/><Relationship Id="rId69" Type="http://schemas.openxmlformats.org/officeDocument/2006/relationships/hyperlink" Target="https://alz-journals.onlinelibrary.wiley.com/doi/10.1002/alz.12068" TargetMode="External"/><Relationship Id="rId113" Type="http://schemas.openxmlformats.org/officeDocument/2006/relationships/hyperlink" Target="https://www.ncbi.nlm.nih.gov/pmc/articles/PMC2828569/" TargetMode="External"/><Relationship Id="rId134" Type="http://schemas.openxmlformats.org/officeDocument/2006/relationships/hyperlink" Target="https://www.ajronline.org/doi/pdfplus/10.2214/AJR.18.19822" TargetMode="External"/><Relationship Id="rId80" Type="http://schemas.openxmlformats.org/officeDocument/2006/relationships/hyperlink" Target="https://pubmed.ncbi.nlm.nih.gov/26614881/" TargetMode="External"/><Relationship Id="rId155" Type="http://schemas.openxmlformats.org/officeDocument/2006/relationships/hyperlink" Target="https://www.ncbi.nlm.nih.gov/pmc/articles/PMC2839331/" TargetMode="External"/><Relationship Id="rId176" Type="http://schemas.openxmlformats.org/officeDocument/2006/relationships/hyperlink" Target="https://hbr.org/2011/09/how-to-solve-the-cost-crisis-in-health-care" TargetMode="External"/><Relationship Id="rId17" Type="http://schemas.openxmlformats.org/officeDocument/2006/relationships/hyperlink" Target="https://www.radiologytoday.net/archive/rt1219p22.shtml" TargetMode="External"/><Relationship Id="rId38" Type="http://schemas.openxmlformats.org/officeDocument/2006/relationships/hyperlink" Target="https://www.ncbi.nlm.nih.gov/pmc/articles/PMC4034170/" TargetMode="External"/><Relationship Id="rId59" Type="http://schemas.openxmlformats.org/officeDocument/2006/relationships/hyperlink" Target="https://www.mass.gov/doc/cancer-incidence-in-massachusetts-citytown-supplement-2011-2015" TargetMode="External"/><Relationship Id="rId103" Type="http://schemas.openxmlformats.org/officeDocument/2006/relationships/hyperlink" Target="https://www.carestream.com/blog/2017/12/26/diagnostic-imaging-and-early-detection-of-cancer/" TargetMode="External"/><Relationship Id="rId124" Type="http://schemas.openxmlformats.org/officeDocument/2006/relationships/hyperlink" Target="https://pubmed.ncbi.nlm.nih.gov/22785499/" TargetMode="External"/><Relationship Id="rId70" Type="http://schemas.openxmlformats.org/officeDocument/2006/relationships/hyperlink" Target="https://www.census.gov/library/stories/2019/12/by-2030-all-baby-boomers-will-be-age-65-or-older.html" TargetMode="External"/><Relationship Id="rId91" Type="http://schemas.openxmlformats.org/officeDocument/2006/relationships/hyperlink" Target="https://journals.sagepub.com/doi/full/10.1177/2514183X19868147" TargetMode="External"/><Relationship Id="rId145" Type="http://schemas.openxmlformats.org/officeDocument/2006/relationships/hyperlink" Target="https://pubmed.ncbi.nlm.nih.gov/26554265/" TargetMode="External"/><Relationship Id="rId166" Type="http://schemas.openxmlformats.org/officeDocument/2006/relationships/hyperlink" Target="https://shields.com/location/shields-petct-tufts-medical-center/" TargetMode="External"/><Relationship Id="rId1" Type="http://schemas.openxmlformats.org/officeDocument/2006/relationships/hyperlink" Target="https://www.ncbi.nlm.nih.gov/pmc/articles/PMC5732407/" TargetMode="External"/><Relationship Id="rId28" Type="http://schemas.openxmlformats.org/officeDocument/2006/relationships/hyperlink" Target="https://www.census.gov/quickfacts/fact/table/wakefieldcdpmassachusetts" TargetMode="External"/><Relationship Id="rId49" Type="http://schemas.openxmlformats.org/officeDocument/2006/relationships/hyperlink" Target="https://www.sciencedirect.com/science/article/pii/S0749379713006429" TargetMode="External"/><Relationship Id="rId114" Type="http://schemas.openxmlformats.org/officeDocument/2006/relationships/hyperlink" Target="https://www.ncbi.nlm.nih.gov/pmc/articles/PMC28285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CACC2FF7B408F4689910F3773D29BA5" ma:contentTypeVersion="9" ma:contentTypeDescription="Create a new document." ma:contentTypeScope="" ma:versionID="6d47f9fdbf8fc2740bbecc83bbb978bd">
  <xsd:schema xmlns:xsd="http://www.w3.org/2001/XMLSchema" xmlns:xs="http://www.w3.org/2001/XMLSchema" xmlns:p="http://schemas.microsoft.com/office/2006/metadata/properties" xmlns:ns3="9faf9ec9-1e89-427d-9aba-0982a7c55c29" targetNamespace="http://schemas.microsoft.com/office/2006/metadata/properties" ma:root="true" ma:fieldsID="ee0fdb27a6b4660be2ead8b327c271d9" ns3:_="">
    <xsd:import namespace="9faf9ec9-1e89-427d-9aba-0982a7c55c2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af9ec9-1e89-427d-9aba-0982a7c55c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4B626B-98EA-4E76-A337-274DD6BD759A}">
  <ds:schemaRefs>
    <ds:schemaRef ds:uri="http://schemas.openxmlformats.org/officeDocument/2006/bibliography"/>
  </ds:schemaRefs>
</ds:datastoreItem>
</file>

<file path=customXml/itemProps2.xml><?xml version="1.0" encoding="utf-8"?>
<ds:datastoreItem xmlns:ds="http://schemas.openxmlformats.org/officeDocument/2006/customXml" ds:itemID="{A3DFE572-88F6-4331-98BC-19DF3F926F3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0C88087-9D09-4992-BD5F-D11661FF376E}">
  <ds:schemaRefs>
    <ds:schemaRef ds:uri="http://schemas.microsoft.com/sharepoint/v3/contenttype/forms"/>
  </ds:schemaRefs>
</ds:datastoreItem>
</file>

<file path=customXml/itemProps4.xml><?xml version="1.0" encoding="utf-8"?>
<ds:datastoreItem xmlns:ds="http://schemas.openxmlformats.org/officeDocument/2006/customXml" ds:itemID="{308F7B80-D7B4-4E70-A4C3-A3B1675BF0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af9ec9-1e89-427d-9aba-0982a7c55c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37</Pages>
  <Words>12555</Words>
  <Characters>71565</Characters>
  <Application>Microsoft Office Word</Application>
  <DocSecurity>0</DocSecurity>
  <Lines>596</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Pasay Vaughan</dc:creator>
  <cp:keywords/>
  <dc:description/>
  <cp:lastModifiedBy>Marks, Brett (DPH)</cp:lastModifiedBy>
  <cp:revision>58</cp:revision>
  <dcterms:created xsi:type="dcterms:W3CDTF">2022-09-14T19:02:00Z</dcterms:created>
  <dcterms:modified xsi:type="dcterms:W3CDTF">2022-09-30T14:24:00Z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0x010100ACACC2FF7B408F4689910F3773D29BA5</vt:lpwstr>
  </property>
</Properties>
</file>