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F86C" w14:textId="59B69F09" w:rsidR="002F018D" w:rsidRPr="005D56E9" w:rsidRDefault="00C5676F" w:rsidP="005D56E9">
      <w:pPr>
        <w:spacing w:after="120"/>
        <w:jc w:val="both"/>
        <w:rPr>
          <w:rFonts w:ascii="Aptos" w:hAnsi="Aptos"/>
          <w:b/>
          <w:bCs/>
          <w:sz w:val="22"/>
          <w:szCs w:val="22"/>
          <w:u w:val="single"/>
        </w:rPr>
      </w:pPr>
      <w:r w:rsidRPr="005D56E9">
        <w:rPr>
          <w:rFonts w:ascii="Aptos" w:hAnsi="Aptos"/>
          <w:b/>
          <w:bCs/>
          <w:sz w:val="22"/>
          <w:szCs w:val="22"/>
          <w:u w:val="single"/>
        </w:rPr>
        <w:t>Project Description</w:t>
      </w:r>
    </w:p>
    <w:p w14:paraId="670447CA" w14:textId="2AC96FD5" w:rsidR="00FC47EE" w:rsidRPr="005D56E9" w:rsidRDefault="00C5676F" w:rsidP="005D56E9">
      <w:pPr>
        <w:spacing w:after="120"/>
        <w:jc w:val="both"/>
        <w:rPr>
          <w:rFonts w:ascii="Aptos" w:hAnsi="Aptos"/>
          <w:sz w:val="22"/>
          <w:szCs w:val="22"/>
        </w:rPr>
      </w:pPr>
      <w:r w:rsidRPr="005D56E9">
        <w:rPr>
          <w:rFonts w:ascii="Aptos" w:hAnsi="Aptos"/>
          <w:sz w:val="22"/>
          <w:szCs w:val="22"/>
        </w:rPr>
        <w:t>UMass Memorial Health Care, Inc. (the “Applicant” or “</w:t>
      </w:r>
      <w:bookmarkStart w:id="0" w:name="_Hlk189209957"/>
      <w:r w:rsidRPr="005D56E9">
        <w:rPr>
          <w:rFonts w:ascii="Aptos" w:hAnsi="Aptos"/>
          <w:sz w:val="22"/>
          <w:szCs w:val="22"/>
        </w:rPr>
        <w:t>UMass Memorial</w:t>
      </w:r>
      <w:bookmarkEnd w:id="0"/>
      <w:r w:rsidRPr="005D56E9">
        <w:rPr>
          <w:rFonts w:ascii="Aptos" w:hAnsi="Aptos"/>
          <w:sz w:val="22"/>
          <w:szCs w:val="22"/>
        </w:rPr>
        <w:t xml:space="preserve">”), with a principal place of business at One Biotech Park, 365 Plantation Street, Worcester, MA 01605, seeks a Determination of Need (DoN) from the Massachusetts Department of Public Health (DPH) </w:t>
      </w:r>
      <w:r w:rsidR="00B05608" w:rsidRPr="005D56E9">
        <w:rPr>
          <w:rFonts w:ascii="Aptos" w:hAnsi="Aptos"/>
          <w:sz w:val="22"/>
          <w:szCs w:val="22"/>
        </w:rPr>
        <w:t>for the acquisition of DoN-Required Equipment by</w:t>
      </w:r>
      <w:r w:rsidR="000D118D" w:rsidRPr="005D56E9">
        <w:rPr>
          <w:rFonts w:ascii="Aptos" w:hAnsi="Aptos"/>
          <w:sz w:val="22"/>
          <w:szCs w:val="22"/>
        </w:rPr>
        <w:t xml:space="preserve"> its </w:t>
      </w:r>
      <w:r w:rsidR="002F32D7" w:rsidRPr="005D56E9">
        <w:rPr>
          <w:rFonts w:ascii="Aptos" w:hAnsi="Aptos"/>
          <w:sz w:val="22"/>
          <w:szCs w:val="22"/>
        </w:rPr>
        <w:t xml:space="preserve">planned </w:t>
      </w:r>
      <w:r w:rsidR="000D118D" w:rsidRPr="005D56E9">
        <w:rPr>
          <w:rFonts w:ascii="Aptos" w:hAnsi="Aptos"/>
          <w:sz w:val="22"/>
          <w:szCs w:val="22"/>
        </w:rPr>
        <w:t>Satellite Emergency Facility (the “</w:t>
      </w:r>
      <w:r w:rsidR="002F32D7" w:rsidRPr="005D56E9">
        <w:rPr>
          <w:rFonts w:ascii="Aptos" w:hAnsi="Aptos"/>
          <w:sz w:val="22"/>
          <w:szCs w:val="22"/>
        </w:rPr>
        <w:t xml:space="preserve">Planned </w:t>
      </w:r>
      <w:r w:rsidR="000D118D" w:rsidRPr="005D56E9">
        <w:rPr>
          <w:rFonts w:ascii="Aptos" w:hAnsi="Aptos"/>
          <w:sz w:val="22"/>
          <w:szCs w:val="22"/>
        </w:rPr>
        <w:t>SEF”) to be located at 490 Main Street, Groton, MA 01450</w:t>
      </w:r>
      <w:r w:rsidR="00573B36" w:rsidRPr="005D56E9">
        <w:rPr>
          <w:rFonts w:ascii="Aptos" w:hAnsi="Aptos"/>
          <w:color w:val="FF0000"/>
          <w:sz w:val="22"/>
          <w:szCs w:val="22"/>
        </w:rPr>
        <w:t xml:space="preserve"> </w:t>
      </w:r>
      <w:r w:rsidR="00573B36" w:rsidRPr="005D56E9">
        <w:rPr>
          <w:rFonts w:ascii="Aptos" w:hAnsi="Aptos"/>
          <w:color w:val="000000" w:themeColor="text1"/>
          <w:sz w:val="22"/>
          <w:szCs w:val="22"/>
        </w:rPr>
        <w:t>(the “Proposed Project”)</w:t>
      </w:r>
      <w:r w:rsidR="00FC47EE" w:rsidRPr="005D56E9">
        <w:rPr>
          <w:rFonts w:ascii="Aptos" w:hAnsi="Aptos"/>
          <w:color w:val="000000" w:themeColor="text1"/>
          <w:sz w:val="22"/>
          <w:szCs w:val="22"/>
        </w:rPr>
        <w:t xml:space="preserve">. Following the approval of this Proposed Project, the SEF will operate as </w:t>
      </w:r>
      <w:r w:rsidR="00B05608" w:rsidRPr="005D56E9">
        <w:rPr>
          <w:rFonts w:ascii="Aptos" w:hAnsi="Aptos"/>
          <w:sz w:val="22"/>
          <w:szCs w:val="22"/>
        </w:rPr>
        <w:t>a licensed satellite of UMass Memorial Medical Center (“</w:t>
      </w:r>
      <w:r w:rsidR="002F32D7" w:rsidRPr="005D56E9">
        <w:rPr>
          <w:rFonts w:ascii="Aptos" w:hAnsi="Aptos"/>
          <w:sz w:val="22"/>
          <w:szCs w:val="22"/>
        </w:rPr>
        <w:t>the “Medical Center</w:t>
      </w:r>
      <w:r w:rsidR="00B05608" w:rsidRPr="005D56E9">
        <w:rPr>
          <w:rFonts w:ascii="Aptos" w:hAnsi="Aptos"/>
          <w:sz w:val="22"/>
          <w:szCs w:val="22"/>
        </w:rPr>
        <w:t xml:space="preserve">”). </w:t>
      </w:r>
    </w:p>
    <w:p w14:paraId="3A826E32" w14:textId="0CD3F741" w:rsidR="000D118D" w:rsidRPr="005D56E9" w:rsidRDefault="000D118D" w:rsidP="005D56E9">
      <w:pPr>
        <w:pStyle w:val="HBblj"/>
        <w:spacing w:after="120"/>
        <w:rPr>
          <w:rFonts w:ascii="Aptos" w:hAnsi="Aptos"/>
          <w:sz w:val="22"/>
          <w:szCs w:val="22"/>
        </w:rPr>
      </w:pPr>
      <w:r w:rsidRPr="005D56E9">
        <w:rPr>
          <w:rFonts w:ascii="Aptos" w:eastAsia="PMingLiU" w:hAnsi="Aptos"/>
          <w:sz w:val="22"/>
          <w:szCs w:val="22"/>
        </w:rPr>
        <w:t>UMass Memorial</w:t>
      </w:r>
      <w:r w:rsidRPr="005D56E9">
        <w:rPr>
          <w:rFonts w:ascii="Aptos" w:hAnsi="Aptos"/>
          <w:sz w:val="22"/>
          <w:szCs w:val="22"/>
        </w:rPr>
        <w:t xml:space="preserve"> is a Massachusetts nonprofit corporation that owns and operates an integrated health care system comprised of a network of hospitals, including one academic teaching hospital</w:t>
      </w:r>
      <w:r w:rsidR="00FC47EE" w:rsidRPr="005D56E9">
        <w:rPr>
          <w:rFonts w:ascii="Aptos" w:hAnsi="Aptos"/>
          <w:sz w:val="22"/>
          <w:szCs w:val="22"/>
        </w:rPr>
        <w:t xml:space="preserve">, </w:t>
      </w:r>
      <w:r w:rsidR="00674C42">
        <w:rPr>
          <w:rFonts w:ascii="Aptos" w:hAnsi="Aptos"/>
          <w:sz w:val="22"/>
          <w:szCs w:val="22"/>
        </w:rPr>
        <w:t>the Medical Center</w:t>
      </w:r>
      <w:r w:rsidRPr="005D56E9">
        <w:rPr>
          <w:rFonts w:ascii="Aptos" w:hAnsi="Aptos"/>
          <w:sz w:val="22"/>
          <w:szCs w:val="22"/>
        </w:rPr>
        <w:t>, and four community hospitals</w:t>
      </w:r>
      <w:r w:rsidRPr="005D56E9">
        <w:rPr>
          <w:rStyle w:val="FootnoteReference"/>
          <w:rFonts w:ascii="Aptos" w:hAnsi="Aptos"/>
          <w:sz w:val="22"/>
          <w:szCs w:val="22"/>
        </w:rPr>
        <w:footnoteReference w:id="1"/>
      </w:r>
      <w:r w:rsidRPr="005D56E9">
        <w:rPr>
          <w:rFonts w:ascii="Aptos" w:hAnsi="Aptos"/>
          <w:sz w:val="22"/>
          <w:szCs w:val="22"/>
        </w:rPr>
        <w:t>, as well as other health care providers that serve the residents of Central Massachusetts. UMass Memorial is the sole corporate member of UMass Memorial Community Entities, Inc. and certain other affiliates. UMass Memorial’s mission is to care for the diverse communities of Central Massachusetts, provide health care services to indigent patient populations, and serve as the clinical partner to UMass T.H. Chan Medical School, the only</w:t>
      </w:r>
      <w:r w:rsidR="00312C70">
        <w:rPr>
          <w:rFonts w:ascii="Aptos" w:hAnsi="Aptos"/>
          <w:sz w:val="22"/>
          <w:szCs w:val="22"/>
        </w:rPr>
        <w:t xml:space="preserve"> </w:t>
      </w:r>
      <w:r w:rsidRPr="005D56E9">
        <w:rPr>
          <w:rFonts w:ascii="Aptos" w:hAnsi="Aptos"/>
          <w:sz w:val="22"/>
          <w:szCs w:val="22"/>
        </w:rPr>
        <w:t xml:space="preserve">public medical school in Massachusetts. </w:t>
      </w:r>
    </w:p>
    <w:p w14:paraId="20C2B557" w14:textId="4F2F2306" w:rsidR="00110035" w:rsidRPr="005D56E9" w:rsidRDefault="002F32D7" w:rsidP="005D56E9">
      <w:pPr>
        <w:pStyle w:val="HBblj"/>
        <w:spacing w:after="120"/>
        <w:rPr>
          <w:rFonts w:ascii="Aptos" w:hAnsi="Aptos"/>
          <w:sz w:val="22"/>
          <w:szCs w:val="22"/>
        </w:rPr>
      </w:pPr>
      <w:r w:rsidRPr="005D56E9">
        <w:rPr>
          <w:rFonts w:ascii="Aptos" w:hAnsi="Aptos"/>
          <w:sz w:val="22"/>
          <w:szCs w:val="22"/>
        </w:rPr>
        <w:t xml:space="preserve">The Medical Center </w:t>
      </w:r>
      <w:r w:rsidR="00110035" w:rsidRPr="005D56E9">
        <w:rPr>
          <w:rFonts w:ascii="Aptos" w:hAnsi="Aptos"/>
          <w:sz w:val="22"/>
          <w:szCs w:val="22"/>
        </w:rPr>
        <w:t xml:space="preserve">is the Applicant’s teaching hospital and includes </w:t>
      </w:r>
      <w:r w:rsidRPr="005D56E9">
        <w:rPr>
          <w:rFonts w:ascii="Aptos" w:hAnsi="Aptos"/>
          <w:sz w:val="22"/>
          <w:szCs w:val="22"/>
        </w:rPr>
        <w:t xml:space="preserve">four </w:t>
      </w:r>
      <w:r w:rsidR="00110035" w:rsidRPr="005D56E9">
        <w:rPr>
          <w:rFonts w:ascii="Aptos" w:hAnsi="Aptos"/>
          <w:sz w:val="22"/>
          <w:szCs w:val="22"/>
        </w:rPr>
        <w:t xml:space="preserve">campuses: Hahnemann, Memorial, </w:t>
      </w:r>
      <w:r w:rsidRPr="005D56E9">
        <w:rPr>
          <w:rFonts w:ascii="Aptos" w:hAnsi="Aptos"/>
          <w:sz w:val="22"/>
          <w:szCs w:val="22"/>
        </w:rPr>
        <w:t xml:space="preserve">North Pavilion </w:t>
      </w:r>
      <w:r w:rsidR="00110035" w:rsidRPr="005D56E9">
        <w:rPr>
          <w:rFonts w:ascii="Aptos" w:hAnsi="Aptos"/>
          <w:sz w:val="22"/>
          <w:szCs w:val="22"/>
        </w:rPr>
        <w:t>and University</w:t>
      </w:r>
      <w:r w:rsidR="00DE0924">
        <w:rPr>
          <w:rStyle w:val="FootnoteReference"/>
          <w:rFonts w:ascii="Aptos" w:hAnsi="Aptos"/>
          <w:sz w:val="22"/>
          <w:szCs w:val="22"/>
        </w:rPr>
        <w:footnoteReference w:id="2"/>
      </w:r>
      <w:r w:rsidR="00110035" w:rsidRPr="005D56E9">
        <w:rPr>
          <w:rFonts w:ascii="Aptos" w:hAnsi="Aptos"/>
          <w:sz w:val="22"/>
          <w:szCs w:val="22"/>
        </w:rPr>
        <w:t>. The Memorial</w:t>
      </w:r>
      <w:r w:rsidRPr="005D56E9">
        <w:rPr>
          <w:rFonts w:ascii="Aptos" w:hAnsi="Aptos"/>
          <w:sz w:val="22"/>
          <w:szCs w:val="22"/>
        </w:rPr>
        <w:t xml:space="preserve">, </w:t>
      </w:r>
      <w:r w:rsidR="00674C42" w:rsidRPr="005D56E9">
        <w:rPr>
          <w:rFonts w:ascii="Aptos" w:hAnsi="Aptos"/>
          <w:sz w:val="22"/>
          <w:szCs w:val="22"/>
        </w:rPr>
        <w:t>North Pavilion, and University</w:t>
      </w:r>
      <w:r w:rsidR="00110035" w:rsidRPr="005D56E9">
        <w:rPr>
          <w:rFonts w:ascii="Aptos" w:hAnsi="Aptos"/>
          <w:sz w:val="22"/>
          <w:szCs w:val="22"/>
        </w:rPr>
        <w:t xml:space="preserve"> </w:t>
      </w:r>
      <w:r w:rsidR="00674C42" w:rsidRPr="005D56E9">
        <w:rPr>
          <w:rFonts w:ascii="Aptos" w:hAnsi="Aptos"/>
          <w:sz w:val="22"/>
          <w:szCs w:val="22"/>
        </w:rPr>
        <w:t>c</w:t>
      </w:r>
      <w:r w:rsidR="00110035" w:rsidRPr="005D56E9">
        <w:rPr>
          <w:rFonts w:ascii="Aptos" w:hAnsi="Aptos"/>
          <w:sz w:val="22"/>
          <w:szCs w:val="22"/>
        </w:rPr>
        <w:t xml:space="preserve">ampuses are licensed to operate a total of </w:t>
      </w:r>
      <w:r w:rsidR="004F43D1" w:rsidRPr="005D56E9">
        <w:rPr>
          <w:rFonts w:ascii="Aptos" w:hAnsi="Aptos"/>
          <w:sz w:val="22"/>
          <w:szCs w:val="22"/>
        </w:rPr>
        <w:t xml:space="preserve">826 </w:t>
      </w:r>
      <w:r w:rsidR="00110035" w:rsidRPr="005D56E9">
        <w:rPr>
          <w:rFonts w:ascii="Aptos" w:hAnsi="Aptos"/>
          <w:sz w:val="22"/>
          <w:szCs w:val="22"/>
        </w:rPr>
        <w:t xml:space="preserve">inpatient beds and provide the full spectrum of tertiary acute care. </w:t>
      </w:r>
      <w:r w:rsidR="00674C42" w:rsidRPr="005D56E9">
        <w:rPr>
          <w:rFonts w:ascii="Aptos" w:hAnsi="Aptos"/>
          <w:sz w:val="22"/>
          <w:szCs w:val="22"/>
        </w:rPr>
        <w:t xml:space="preserve">These </w:t>
      </w:r>
      <w:r w:rsidR="00110035" w:rsidRPr="005D56E9">
        <w:rPr>
          <w:rFonts w:ascii="Aptos" w:hAnsi="Aptos"/>
          <w:sz w:val="22"/>
          <w:szCs w:val="22"/>
        </w:rPr>
        <w:t xml:space="preserve">campuses offer </w:t>
      </w:r>
      <w:proofErr w:type="gramStart"/>
      <w:r w:rsidR="00110035" w:rsidRPr="005D56E9">
        <w:rPr>
          <w:rFonts w:ascii="Aptos" w:hAnsi="Aptos"/>
          <w:sz w:val="22"/>
          <w:szCs w:val="22"/>
        </w:rPr>
        <w:t>inpatient</w:t>
      </w:r>
      <w:proofErr w:type="gramEnd"/>
      <w:r w:rsidR="00110035" w:rsidRPr="005D56E9">
        <w:rPr>
          <w:rFonts w:ascii="Aptos" w:hAnsi="Aptos"/>
          <w:sz w:val="22"/>
          <w:szCs w:val="22"/>
        </w:rPr>
        <w:t xml:space="preserve"> and outpatient medical and surgical services, including cardiology, neurology, and radiology. In addition, </w:t>
      </w:r>
      <w:r w:rsidR="00674C42" w:rsidRPr="005D56E9">
        <w:rPr>
          <w:rFonts w:ascii="Aptos" w:hAnsi="Aptos"/>
          <w:sz w:val="22"/>
          <w:szCs w:val="22"/>
        </w:rPr>
        <w:t xml:space="preserve">the Medical Center has two emergency departments (ED) and Memorial Campus and University Campus, the </w:t>
      </w:r>
      <w:r w:rsidR="00110035" w:rsidRPr="005D56E9">
        <w:rPr>
          <w:rFonts w:ascii="Aptos" w:hAnsi="Aptos"/>
          <w:sz w:val="22"/>
          <w:szCs w:val="22"/>
        </w:rPr>
        <w:t xml:space="preserve">second largest </w:t>
      </w:r>
      <w:r w:rsidR="00674C42" w:rsidRPr="005D56E9">
        <w:rPr>
          <w:rFonts w:ascii="Aptos" w:hAnsi="Aptos"/>
          <w:sz w:val="22"/>
          <w:szCs w:val="22"/>
        </w:rPr>
        <w:t>ED</w:t>
      </w:r>
      <w:r w:rsidR="00110035" w:rsidRPr="005D56E9">
        <w:rPr>
          <w:rFonts w:ascii="Aptos" w:hAnsi="Aptos"/>
          <w:sz w:val="22"/>
          <w:szCs w:val="22"/>
        </w:rPr>
        <w:t xml:space="preserve"> in Massachusetts and is the only Level 1 trauma center in Central Massachusetts.</w:t>
      </w:r>
    </w:p>
    <w:p w14:paraId="63ACD366" w14:textId="5F2D0103" w:rsidR="00D73F10" w:rsidRPr="005D56E9" w:rsidRDefault="00AE2FF6" w:rsidP="005D56E9">
      <w:pPr>
        <w:spacing w:after="120"/>
        <w:jc w:val="both"/>
        <w:rPr>
          <w:rFonts w:ascii="Aptos" w:hAnsi="Aptos"/>
          <w:sz w:val="22"/>
          <w:szCs w:val="22"/>
        </w:rPr>
      </w:pPr>
      <w:r w:rsidRPr="005D56E9">
        <w:rPr>
          <w:rFonts w:ascii="Aptos" w:hAnsi="Aptos"/>
          <w:sz w:val="22"/>
          <w:szCs w:val="22"/>
        </w:rPr>
        <w:t>The Applicant</w:t>
      </w:r>
      <w:r w:rsidR="00106E4A" w:rsidRPr="005D56E9">
        <w:rPr>
          <w:rFonts w:ascii="Aptos" w:hAnsi="Aptos"/>
          <w:sz w:val="22"/>
          <w:szCs w:val="22"/>
        </w:rPr>
        <w:t xml:space="preserve"> proposed </w:t>
      </w:r>
      <w:r w:rsidRPr="005D56E9">
        <w:rPr>
          <w:rFonts w:ascii="Aptos" w:hAnsi="Aptos"/>
          <w:sz w:val="22"/>
          <w:szCs w:val="22"/>
        </w:rPr>
        <w:t xml:space="preserve">opening </w:t>
      </w:r>
      <w:r w:rsidR="00106E4A" w:rsidRPr="005D56E9">
        <w:rPr>
          <w:rFonts w:ascii="Aptos" w:hAnsi="Aptos"/>
          <w:sz w:val="22"/>
          <w:szCs w:val="22"/>
        </w:rPr>
        <w:t>the</w:t>
      </w:r>
      <w:r w:rsidR="002F32D7" w:rsidRPr="005D56E9">
        <w:rPr>
          <w:rFonts w:ascii="Aptos" w:hAnsi="Aptos"/>
          <w:sz w:val="22"/>
          <w:szCs w:val="22"/>
        </w:rPr>
        <w:t xml:space="preserve"> Planned</w:t>
      </w:r>
      <w:r w:rsidR="00106E4A" w:rsidRPr="005D56E9">
        <w:rPr>
          <w:rFonts w:ascii="Aptos" w:hAnsi="Aptos"/>
          <w:sz w:val="22"/>
          <w:szCs w:val="22"/>
        </w:rPr>
        <w:t xml:space="preserve"> </w:t>
      </w:r>
      <w:r w:rsidR="00D73F10" w:rsidRPr="005D56E9">
        <w:rPr>
          <w:rFonts w:ascii="Aptos" w:hAnsi="Aptos"/>
          <w:sz w:val="22"/>
          <w:szCs w:val="22"/>
        </w:rPr>
        <w:t>SEF in response to the urgent health</w:t>
      </w:r>
      <w:r w:rsidR="002C16D3" w:rsidRPr="005D56E9">
        <w:rPr>
          <w:rFonts w:ascii="Aptos" w:hAnsi="Aptos"/>
          <w:sz w:val="22"/>
          <w:szCs w:val="22"/>
        </w:rPr>
        <w:t xml:space="preserve"> </w:t>
      </w:r>
      <w:r w:rsidR="00D73F10" w:rsidRPr="005D56E9">
        <w:rPr>
          <w:rFonts w:ascii="Aptos" w:hAnsi="Aptos"/>
          <w:sz w:val="22"/>
          <w:szCs w:val="22"/>
        </w:rPr>
        <w:t xml:space="preserve">care access challenges facing the Nashoba Valley region following the closure of Nashoba Valley Medical Center (NVMC) in August 2024. This </w:t>
      </w:r>
      <w:r w:rsidRPr="005D56E9">
        <w:rPr>
          <w:rFonts w:ascii="Aptos" w:hAnsi="Aptos"/>
          <w:sz w:val="22"/>
          <w:szCs w:val="22"/>
        </w:rPr>
        <w:t xml:space="preserve">facility will </w:t>
      </w:r>
      <w:r w:rsidR="00D73F10" w:rsidRPr="005D56E9">
        <w:rPr>
          <w:rFonts w:ascii="Aptos" w:hAnsi="Aptos"/>
          <w:sz w:val="22"/>
          <w:szCs w:val="22"/>
        </w:rPr>
        <w:t>directly address the critical gap in emergency services left by NVMC’s closure and aligns with the recommendations of the Nashoba Valley Health Planning Working Group</w:t>
      </w:r>
      <w:r w:rsidR="00D067EB" w:rsidRPr="005D56E9">
        <w:rPr>
          <w:rFonts w:ascii="Aptos" w:hAnsi="Aptos"/>
          <w:sz w:val="22"/>
          <w:szCs w:val="22"/>
        </w:rPr>
        <w:t xml:space="preserve"> (the “Working Group”)</w:t>
      </w:r>
      <w:r w:rsidR="00D73F10" w:rsidRPr="005D56E9">
        <w:rPr>
          <w:rFonts w:ascii="Aptos" w:hAnsi="Aptos"/>
          <w:sz w:val="22"/>
          <w:szCs w:val="22"/>
        </w:rPr>
        <w:t xml:space="preserve"> and </w:t>
      </w:r>
      <w:r w:rsidRPr="005D56E9">
        <w:rPr>
          <w:rFonts w:ascii="Aptos" w:hAnsi="Aptos"/>
          <w:sz w:val="22"/>
          <w:szCs w:val="22"/>
        </w:rPr>
        <w:t xml:space="preserve">work done by </w:t>
      </w:r>
      <w:r w:rsidR="00D73F10" w:rsidRPr="005D56E9">
        <w:rPr>
          <w:rFonts w:ascii="Aptos" w:hAnsi="Aptos"/>
          <w:sz w:val="22"/>
          <w:szCs w:val="22"/>
        </w:rPr>
        <w:t xml:space="preserve">Health Care </w:t>
      </w:r>
      <w:proofErr w:type="gramStart"/>
      <w:r w:rsidR="00D73F10" w:rsidRPr="005D56E9">
        <w:rPr>
          <w:rFonts w:ascii="Aptos" w:hAnsi="Aptos"/>
          <w:sz w:val="22"/>
          <w:szCs w:val="22"/>
        </w:rPr>
        <w:t>For</w:t>
      </w:r>
      <w:proofErr w:type="gramEnd"/>
      <w:r w:rsidR="00D73F10" w:rsidRPr="005D56E9">
        <w:rPr>
          <w:rFonts w:ascii="Aptos" w:hAnsi="Aptos"/>
          <w:sz w:val="22"/>
          <w:szCs w:val="22"/>
        </w:rPr>
        <w:t xml:space="preserve"> All (HCFA), both of which identified restoration of emergency care, including diagnostic services such as CT imaging, as a top community priority.</w:t>
      </w:r>
    </w:p>
    <w:p w14:paraId="7836E3F7" w14:textId="0CBD3B3F" w:rsidR="00D73F10" w:rsidRPr="005D56E9" w:rsidRDefault="00D73F10" w:rsidP="005D56E9">
      <w:pPr>
        <w:spacing w:after="120"/>
        <w:jc w:val="both"/>
        <w:rPr>
          <w:rFonts w:ascii="Aptos" w:hAnsi="Aptos"/>
          <w:sz w:val="22"/>
          <w:szCs w:val="22"/>
        </w:rPr>
      </w:pPr>
      <w:r w:rsidRPr="005D56E9">
        <w:rPr>
          <w:rFonts w:ascii="Aptos" w:hAnsi="Aptos"/>
          <w:sz w:val="22"/>
          <w:szCs w:val="22"/>
        </w:rPr>
        <w:t xml:space="preserve">The </w:t>
      </w:r>
      <w:r w:rsidR="000F6DF8">
        <w:rPr>
          <w:rFonts w:ascii="Aptos" w:hAnsi="Aptos"/>
          <w:sz w:val="22"/>
          <w:szCs w:val="22"/>
        </w:rPr>
        <w:t>Planned</w:t>
      </w:r>
      <w:r w:rsidR="000F6DF8" w:rsidRPr="005D56E9">
        <w:rPr>
          <w:rFonts w:ascii="Aptos" w:hAnsi="Aptos"/>
          <w:sz w:val="22"/>
          <w:szCs w:val="22"/>
        </w:rPr>
        <w:t xml:space="preserve"> </w:t>
      </w:r>
      <w:r w:rsidRPr="005D56E9">
        <w:rPr>
          <w:rFonts w:ascii="Aptos" w:hAnsi="Aptos"/>
          <w:sz w:val="22"/>
          <w:szCs w:val="22"/>
        </w:rPr>
        <w:t xml:space="preserve">SEF will be a 24/7, DPH-licensed facility offering the same scope and level of emergency care as traditional hospital emergency departments. Central to its licensure and clinical effectiveness is the inclusion of a computed tomography (CT) unit, which is required under DPH regulations and essential for timely diagnosis and treatment of conditions such as stroke, trauma, and acute abdominal pain. Without on-site CT capabilities, the </w:t>
      </w:r>
      <w:r w:rsidR="000F6DF8">
        <w:rPr>
          <w:rFonts w:ascii="Aptos" w:hAnsi="Aptos"/>
          <w:sz w:val="22"/>
          <w:szCs w:val="22"/>
        </w:rPr>
        <w:t xml:space="preserve">Planned </w:t>
      </w:r>
      <w:r w:rsidRPr="005D56E9">
        <w:rPr>
          <w:rFonts w:ascii="Aptos" w:hAnsi="Aptos"/>
          <w:sz w:val="22"/>
          <w:szCs w:val="22"/>
        </w:rPr>
        <w:t xml:space="preserve">SEF </w:t>
      </w:r>
      <w:r w:rsidR="00106E4A" w:rsidRPr="005D56E9">
        <w:rPr>
          <w:rFonts w:ascii="Aptos" w:hAnsi="Aptos"/>
          <w:sz w:val="22"/>
          <w:szCs w:val="22"/>
        </w:rPr>
        <w:t xml:space="preserve">will </w:t>
      </w:r>
      <w:r w:rsidRPr="005D56E9">
        <w:rPr>
          <w:rFonts w:ascii="Aptos" w:hAnsi="Aptos"/>
          <w:sz w:val="22"/>
          <w:szCs w:val="22"/>
        </w:rPr>
        <w:t xml:space="preserve">be unable to meet regulatory standards or provide the level of care necessary for emergency patients, particularly given Groton’s geographic distance from the nearest </w:t>
      </w:r>
      <w:r w:rsidR="00106E4A" w:rsidRPr="005D56E9">
        <w:rPr>
          <w:rFonts w:ascii="Aptos" w:hAnsi="Aptos"/>
          <w:sz w:val="22"/>
          <w:szCs w:val="22"/>
        </w:rPr>
        <w:t>emergency care facilities</w:t>
      </w:r>
      <w:r w:rsidRPr="005D56E9">
        <w:rPr>
          <w:rFonts w:ascii="Aptos" w:hAnsi="Aptos"/>
          <w:sz w:val="22"/>
          <w:szCs w:val="22"/>
        </w:rPr>
        <w:t>.</w:t>
      </w:r>
    </w:p>
    <w:p w14:paraId="319D89D9" w14:textId="5FB6CA99" w:rsidR="00106E4A" w:rsidRPr="005D56E9" w:rsidRDefault="00D73F10" w:rsidP="005D56E9">
      <w:pPr>
        <w:spacing w:after="120"/>
        <w:jc w:val="both"/>
        <w:rPr>
          <w:rFonts w:ascii="Aptos" w:hAnsi="Aptos"/>
          <w:sz w:val="22"/>
          <w:szCs w:val="22"/>
        </w:rPr>
      </w:pPr>
      <w:r w:rsidRPr="005D56E9">
        <w:rPr>
          <w:rFonts w:ascii="Aptos" w:hAnsi="Aptos"/>
          <w:sz w:val="22"/>
          <w:szCs w:val="22"/>
        </w:rPr>
        <w:t>This Proposed Project, the installation of a CT unit at the SEF, will ensure</w:t>
      </w:r>
      <w:r w:rsidR="00585744">
        <w:rPr>
          <w:rFonts w:ascii="Aptos" w:hAnsi="Aptos"/>
          <w:sz w:val="22"/>
          <w:szCs w:val="22"/>
        </w:rPr>
        <w:t xml:space="preserve"> the Applicant’s</w:t>
      </w:r>
      <w:r w:rsidRPr="005D56E9">
        <w:rPr>
          <w:rFonts w:ascii="Aptos" w:hAnsi="Aptos"/>
          <w:sz w:val="22"/>
          <w:szCs w:val="22"/>
        </w:rPr>
        <w:t xml:space="preserve"> compliance with licensure requirements, support timely and accurate emergency care, and contribute meaningfully to the Commonwealth’s goals for cost containment, improved public health outcomes, and delivery system transformation. By reducing travel times, alleviating pressure on overcrowded emergency departments, and enabling rapid diagnosis and treatment, the </w:t>
      </w:r>
      <w:r w:rsidR="004E509A" w:rsidRPr="005D56E9">
        <w:rPr>
          <w:rFonts w:ascii="Aptos" w:hAnsi="Aptos"/>
          <w:sz w:val="22"/>
          <w:szCs w:val="22"/>
        </w:rPr>
        <w:t xml:space="preserve">Proposed Project </w:t>
      </w:r>
      <w:r w:rsidRPr="005D56E9">
        <w:rPr>
          <w:rFonts w:ascii="Aptos" w:hAnsi="Aptos"/>
          <w:sz w:val="22"/>
          <w:szCs w:val="22"/>
        </w:rPr>
        <w:t xml:space="preserve">will </w:t>
      </w:r>
      <w:r w:rsidRPr="005D56E9">
        <w:rPr>
          <w:rFonts w:ascii="Aptos" w:hAnsi="Aptos"/>
          <w:sz w:val="22"/>
          <w:szCs w:val="22"/>
        </w:rPr>
        <w:lastRenderedPageBreak/>
        <w:t>enhance care coordination, improve patient outcomes, and lower long-term health</w:t>
      </w:r>
      <w:r w:rsidR="002C16D3" w:rsidRPr="005D56E9">
        <w:rPr>
          <w:rFonts w:ascii="Aptos" w:hAnsi="Aptos"/>
          <w:sz w:val="22"/>
          <w:szCs w:val="22"/>
        </w:rPr>
        <w:t xml:space="preserve"> </w:t>
      </w:r>
      <w:r w:rsidRPr="005D56E9">
        <w:rPr>
          <w:rFonts w:ascii="Aptos" w:hAnsi="Aptos"/>
          <w:sz w:val="22"/>
          <w:szCs w:val="22"/>
        </w:rPr>
        <w:t>care costs. Furthermore, through robust community engagement and collaboration with the Nashoba SEF Committee</w:t>
      </w:r>
      <w:r w:rsidR="004E509A" w:rsidRPr="005D56E9">
        <w:rPr>
          <w:rFonts w:ascii="Aptos" w:hAnsi="Aptos"/>
          <w:sz w:val="22"/>
          <w:szCs w:val="22"/>
        </w:rPr>
        <w:t xml:space="preserve"> (the “Committee”)</w:t>
      </w:r>
      <w:r w:rsidR="00DA0B3B" w:rsidRPr="005D56E9">
        <w:rPr>
          <w:rFonts w:ascii="Aptos" w:hAnsi="Aptos"/>
          <w:sz w:val="22"/>
          <w:szCs w:val="22"/>
        </w:rPr>
        <w:t>, which included representatives from local health and safety organizations including fire department officials, physicians, veterans’ advocates, and community health leaders</w:t>
      </w:r>
      <w:r w:rsidRPr="005D56E9">
        <w:rPr>
          <w:rFonts w:ascii="Aptos" w:hAnsi="Aptos"/>
          <w:sz w:val="22"/>
          <w:szCs w:val="22"/>
        </w:rPr>
        <w:t xml:space="preserve">, the </w:t>
      </w:r>
      <w:r w:rsidR="004E509A" w:rsidRPr="005D56E9">
        <w:rPr>
          <w:rFonts w:ascii="Aptos" w:hAnsi="Aptos"/>
          <w:sz w:val="22"/>
          <w:szCs w:val="22"/>
        </w:rPr>
        <w:t xml:space="preserve">Proposed Project </w:t>
      </w:r>
      <w:r w:rsidRPr="005D56E9">
        <w:rPr>
          <w:rFonts w:ascii="Aptos" w:hAnsi="Aptos"/>
          <w:sz w:val="22"/>
          <w:szCs w:val="22"/>
        </w:rPr>
        <w:t>reflects a patient-centered approach that is responsive to the region’s unique needs.</w:t>
      </w:r>
    </w:p>
    <w:p w14:paraId="04DBF403" w14:textId="6E5BC905" w:rsidR="0045648D" w:rsidRDefault="0045648D">
      <w:pPr>
        <w:spacing w:after="120"/>
        <w:jc w:val="both"/>
        <w:rPr>
          <w:rFonts w:ascii="Aptos" w:hAnsi="Aptos"/>
          <w:b/>
          <w:bCs/>
          <w:sz w:val="22"/>
          <w:szCs w:val="22"/>
          <w:u w:val="single"/>
        </w:rPr>
      </w:pPr>
      <w:r w:rsidRPr="005D56E9">
        <w:rPr>
          <w:rFonts w:ascii="Aptos" w:hAnsi="Aptos"/>
          <w:b/>
          <w:bCs/>
          <w:sz w:val="22"/>
          <w:szCs w:val="22"/>
          <w:u w:val="single"/>
        </w:rPr>
        <w:t>Factor 1</w:t>
      </w:r>
      <w:r w:rsidR="00831784">
        <w:rPr>
          <w:rFonts w:ascii="Aptos" w:hAnsi="Aptos"/>
          <w:b/>
          <w:bCs/>
          <w:sz w:val="22"/>
          <w:szCs w:val="22"/>
          <w:u w:val="single"/>
        </w:rPr>
        <w:t xml:space="preserve">. </w:t>
      </w:r>
      <w:r w:rsidR="00831784" w:rsidRPr="00831784">
        <w:rPr>
          <w:rFonts w:ascii="Aptos" w:hAnsi="Aptos"/>
          <w:b/>
          <w:bCs/>
          <w:sz w:val="22"/>
          <w:szCs w:val="22"/>
          <w:u w:val="single"/>
        </w:rPr>
        <w:t>Applicant Patient Panel Need, Public Health Values and Operational Objectives</w:t>
      </w:r>
    </w:p>
    <w:p w14:paraId="763498C7" w14:textId="490A80E6" w:rsidR="006F12AA" w:rsidRPr="005D56E9" w:rsidRDefault="006F12AA" w:rsidP="000F6DF8">
      <w:pPr>
        <w:spacing w:after="120"/>
        <w:jc w:val="both"/>
        <w:rPr>
          <w:rFonts w:ascii="Aptos" w:hAnsi="Aptos"/>
          <w:sz w:val="22"/>
          <w:szCs w:val="22"/>
        </w:rPr>
      </w:pPr>
      <w:r w:rsidRPr="005D56E9">
        <w:rPr>
          <w:rFonts w:ascii="Aptos" w:hAnsi="Aptos"/>
          <w:sz w:val="22"/>
          <w:szCs w:val="22"/>
        </w:rPr>
        <w:t>In May 2024, Steward Health Care</w:t>
      </w:r>
      <w:r w:rsidR="004E509A" w:rsidRPr="005D56E9">
        <w:rPr>
          <w:rFonts w:ascii="Aptos" w:hAnsi="Aptos"/>
          <w:sz w:val="22"/>
          <w:szCs w:val="22"/>
        </w:rPr>
        <w:t xml:space="preserve"> System, LLC</w:t>
      </w:r>
      <w:r w:rsidR="00AE2FF6" w:rsidRPr="005D56E9">
        <w:rPr>
          <w:rFonts w:ascii="Aptos" w:hAnsi="Aptos"/>
          <w:sz w:val="22"/>
          <w:szCs w:val="22"/>
        </w:rPr>
        <w:t xml:space="preserve"> (Steward)</w:t>
      </w:r>
      <w:r w:rsidRPr="005D56E9">
        <w:rPr>
          <w:rFonts w:ascii="Aptos" w:hAnsi="Aptos"/>
          <w:sz w:val="22"/>
          <w:szCs w:val="22"/>
        </w:rPr>
        <w:t xml:space="preserve"> announced it filed for protection under Chapter 11 bankruptcy laws. </w:t>
      </w:r>
      <w:r w:rsidR="00AE2FF6" w:rsidRPr="005D56E9">
        <w:rPr>
          <w:rFonts w:ascii="Aptos" w:hAnsi="Aptos"/>
          <w:sz w:val="22"/>
          <w:szCs w:val="22"/>
        </w:rPr>
        <w:t xml:space="preserve">In August 2024, during the bankruptcy proceedings, Steward closed </w:t>
      </w:r>
      <w:r w:rsidRPr="005D56E9">
        <w:rPr>
          <w:rFonts w:ascii="Aptos" w:hAnsi="Aptos"/>
          <w:sz w:val="22"/>
          <w:szCs w:val="22"/>
        </w:rPr>
        <w:t>NVMC in Ayer</w:t>
      </w:r>
      <w:r w:rsidR="0006380A" w:rsidRPr="005D56E9">
        <w:rPr>
          <w:rFonts w:ascii="Aptos" w:hAnsi="Aptos"/>
          <w:sz w:val="22"/>
          <w:szCs w:val="22"/>
        </w:rPr>
        <w:t>, which</w:t>
      </w:r>
      <w:r w:rsidRPr="005D56E9">
        <w:rPr>
          <w:rFonts w:ascii="Aptos" w:hAnsi="Aptos"/>
          <w:sz w:val="22"/>
          <w:szCs w:val="22"/>
        </w:rPr>
        <w:t xml:space="preserve"> eliminated access to emergency care in the region, requiring residents to seek care farther away or delay care altogether</w:t>
      </w:r>
      <w:bookmarkStart w:id="1" w:name="_Hlk209169522"/>
      <w:r w:rsidRPr="005D56E9">
        <w:rPr>
          <w:rFonts w:ascii="Aptos" w:hAnsi="Aptos"/>
          <w:sz w:val="22"/>
          <w:szCs w:val="22"/>
        </w:rPr>
        <w:t xml:space="preserve">. Subsequently, Governor Healey announced the formation of the Working Group. </w:t>
      </w:r>
      <w:bookmarkEnd w:id="1"/>
      <w:r w:rsidRPr="005D56E9">
        <w:rPr>
          <w:rFonts w:ascii="Aptos" w:hAnsi="Aptos"/>
          <w:sz w:val="22"/>
          <w:szCs w:val="22"/>
        </w:rPr>
        <w:t>The Working Group began meeting in October</w:t>
      </w:r>
      <w:r w:rsidR="004E509A" w:rsidRPr="005D56E9">
        <w:rPr>
          <w:rFonts w:ascii="Aptos" w:hAnsi="Aptos"/>
          <w:sz w:val="22"/>
          <w:szCs w:val="22"/>
        </w:rPr>
        <w:t xml:space="preserve"> 2024</w:t>
      </w:r>
      <w:r w:rsidRPr="005D56E9">
        <w:rPr>
          <w:rFonts w:ascii="Aptos" w:hAnsi="Aptos"/>
          <w:sz w:val="22"/>
          <w:szCs w:val="22"/>
        </w:rPr>
        <w:t xml:space="preserve"> and, following a series of meetings, data analysis</w:t>
      </w:r>
      <w:r w:rsidR="004E509A" w:rsidRPr="005D56E9">
        <w:rPr>
          <w:rFonts w:ascii="Aptos" w:hAnsi="Aptos"/>
          <w:sz w:val="22"/>
          <w:szCs w:val="22"/>
        </w:rPr>
        <w:t>,</w:t>
      </w:r>
      <w:r w:rsidRPr="005D56E9">
        <w:rPr>
          <w:rFonts w:ascii="Aptos" w:hAnsi="Aptos"/>
          <w:sz w:val="22"/>
          <w:szCs w:val="22"/>
        </w:rPr>
        <w:t xml:space="preserve"> and stakeholder and community engagement, produced a final report detailing the Working Group’s findings and recommendations to address the </w:t>
      </w:r>
      <w:r w:rsidR="004E509A" w:rsidRPr="005D56E9">
        <w:rPr>
          <w:rFonts w:ascii="Aptos" w:hAnsi="Aptos"/>
          <w:sz w:val="22"/>
          <w:szCs w:val="22"/>
        </w:rPr>
        <w:t xml:space="preserve">health care access </w:t>
      </w:r>
      <w:r w:rsidRPr="005D56E9">
        <w:rPr>
          <w:rFonts w:ascii="Aptos" w:hAnsi="Aptos"/>
          <w:sz w:val="22"/>
          <w:szCs w:val="22"/>
        </w:rPr>
        <w:t xml:space="preserve">challenges </w:t>
      </w:r>
      <w:r w:rsidR="004E509A" w:rsidRPr="005D56E9">
        <w:rPr>
          <w:rFonts w:ascii="Aptos" w:hAnsi="Aptos"/>
          <w:sz w:val="22"/>
          <w:szCs w:val="22"/>
        </w:rPr>
        <w:t>resulting from Steward’s bankruptcy</w:t>
      </w:r>
      <w:r w:rsidRPr="005D56E9">
        <w:rPr>
          <w:rFonts w:ascii="Aptos" w:hAnsi="Aptos"/>
          <w:sz w:val="22"/>
          <w:szCs w:val="22"/>
        </w:rPr>
        <w:t>. In parallel to the work of the Working Group,</w:t>
      </w:r>
      <w:r w:rsidR="00A33B80" w:rsidRPr="005D56E9">
        <w:rPr>
          <w:rFonts w:ascii="Aptos" w:hAnsi="Aptos"/>
          <w:sz w:val="22"/>
          <w:szCs w:val="22"/>
        </w:rPr>
        <w:t xml:space="preserve"> DPH asked </w:t>
      </w:r>
      <w:r w:rsidRPr="005D56E9">
        <w:rPr>
          <w:rFonts w:ascii="Aptos" w:hAnsi="Aptos"/>
          <w:sz w:val="22"/>
          <w:szCs w:val="22"/>
        </w:rPr>
        <w:t xml:space="preserve">HCFA </w:t>
      </w:r>
      <w:r w:rsidR="00A33B80" w:rsidRPr="005D56E9">
        <w:rPr>
          <w:rFonts w:ascii="Aptos" w:hAnsi="Aptos"/>
          <w:sz w:val="22"/>
          <w:szCs w:val="22"/>
        </w:rPr>
        <w:t xml:space="preserve">to </w:t>
      </w:r>
      <w:r w:rsidRPr="005D56E9">
        <w:rPr>
          <w:rFonts w:ascii="Aptos" w:hAnsi="Aptos"/>
          <w:sz w:val="22"/>
          <w:szCs w:val="22"/>
        </w:rPr>
        <w:t>provide Nashoba Valley’s residents with information about accessing health care and to survey respondents about their experience and top health</w:t>
      </w:r>
      <w:r w:rsidR="002C16D3" w:rsidRPr="005D56E9">
        <w:rPr>
          <w:rFonts w:ascii="Aptos" w:hAnsi="Aptos"/>
          <w:sz w:val="22"/>
          <w:szCs w:val="22"/>
        </w:rPr>
        <w:t xml:space="preserve"> </w:t>
      </w:r>
      <w:r w:rsidRPr="005D56E9">
        <w:rPr>
          <w:rFonts w:ascii="Aptos" w:hAnsi="Aptos"/>
          <w:sz w:val="22"/>
          <w:szCs w:val="22"/>
        </w:rPr>
        <w:t xml:space="preserve">care concerns. </w:t>
      </w:r>
      <w:r w:rsidR="00AB7D58" w:rsidRPr="005D56E9">
        <w:rPr>
          <w:rFonts w:ascii="Aptos" w:hAnsi="Aptos"/>
          <w:sz w:val="22"/>
          <w:szCs w:val="22"/>
        </w:rPr>
        <w:t>Most</w:t>
      </w:r>
      <w:r w:rsidRPr="005D56E9">
        <w:rPr>
          <w:rFonts w:ascii="Aptos" w:hAnsi="Aptos"/>
          <w:sz w:val="22"/>
          <w:szCs w:val="22"/>
        </w:rPr>
        <w:t xml:space="preserve"> respondents cited emergency care as their top concern, leading HCFA to adopt “restoration of emergency care and diagnostic services, facilities for outpatient procedures” as a key recommendation. Similarly, the Working Group determined that short of a full hospital replacement, an emergency department, including critical ancillary services like laboratory, x-ray, and CT, should be included in the first tier of any effort to re-establish health care services in the region. </w:t>
      </w:r>
    </w:p>
    <w:p w14:paraId="5AD5FE6E" w14:textId="529684E7" w:rsidR="006F12AA" w:rsidRPr="005D56E9" w:rsidRDefault="006F12AA" w:rsidP="000F6DF8">
      <w:pPr>
        <w:spacing w:after="120"/>
        <w:jc w:val="both"/>
        <w:rPr>
          <w:rFonts w:ascii="Aptos" w:hAnsi="Aptos"/>
          <w:sz w:val="22"/>
          <w:szCs w:val="22"/>
        </w:rPr>
      </w:pPr>
      <w:r w:rsidRPr="005D56E9">
        <w:rPr>
          <w:rFonts w:ascii="Aptos" w:hAnsi="Aptos"/>
          <w:sz w:val="22"/>
          <w:szCs w:val="22"/>
        </w:rPr>
        <w:t>In response to the communities</w:t>
      </w:r>
      <w:r w:rsidR="000F6DF8">
        <w:rPr>
          <w:rFonts w:ascii="Aptos" w:hAnsi="Aptos"/>
          <w:sz w:val="22"/>
          <w:szCs w:val="22"/>
        </w:rPr>
        <w:t>’</w:t>
      </w:r>
      <w:r w:rsidR="00AB7D58" w:rsidRPr="005D56E9">
        <w:rPr>
          <w:rFonts w:ascii="Aptos" w:hAnsi="Aptos"/>
          <w:sz w:val="22"/>
          <w:szCs w:val="22"/>
        </w:rPr>
        <w:t xml:space="preserve"> </w:t>
      </w:r>
      <w:r w:rsidRPr="005D56E9">
        <w:rPr>
          <w:rFonts w:ascii="Aptos" w:hAnsi="Aptos"/>
          <w:sz w:val="22"/>
          <w:szCs w:val="22"/>
        </w:rPr>
        <w:t xml:space="preserve">needs, UMass Memorial announced in January 2025 that it </w:t>
      </w:r>
      <w:r w:rsidR="00A33B80" w:rsidRPr="005D56E9">
        <w:rPr>
          <w:rFonts w:ascii="Aptos" w:hAnsi="Aptos"/>
          <w:sz w:val="22"/>
          <w:szCs w:val="22"/>
        </w:rPr>
        <w:t xml:space="preserve">would </w:t>
      </w:r>
      <w:r w:rsidRPr="005D56E9">
        <w:rPr>
          <w:rFonts w:ascii="Aptos" w:hAnsi="Aptos"/>
          <w:sz w:val="22"/>
          <w:szCs w:val="22"/>
        </w:rPr>
        <w:t xml:space="preserve">open a SEF in Groton, one of the communities most impacted by </w:t>
      </w:r>
      <w:r w:rsidR="00A33B80" w:rsidRPr="005D56E9">
        <w:rPr>
          <w:rFonts w:ascii="Aptos" w:hAnsi="Aptos"/>
          <w:sz w:val="22"/>
          <w:szCs w:val="22"/>
        </w:rPr>
        <w:t xml:space="preserve">the </w:t>
      </w:r>
      <w:r w:rsidR="00AB7D58" w:rsidRPr="005D56E9">
        <w:rPr>
          <w:rFonts w:ascii="Aptos" w:hAnsi="Aptos"/>
          <w:sz w:val="22"/>
          <w:szCs w:val="22"/>
        </w:rPr>
        <w:t xml:space="preserve">loss of </w:t>
      </w:r>
      <w:r w:rsidRPr="005D56E9">
        <w:rPr>
          <w:rFonts w:ascii="Aptos" w:hAnsi="Aptos"/>
          <w:sz w:val="22"/>
          <w:szCs w:val="22"/>
        </w:rPr>
        <w:t>emergency services</w:t>
      </w:r>
      <w:r w:rsidR="00AB7D58" w:rsidRPr="005D56E9">
        <w:rPr>
          <w:rFonts w:ascii="Aptos" w:hAnsi="Aptos"/>
          <w:sz w:val="22"/>
          <w:szCs w:val="22"/>
        </w:rPr>
        <w:t>,</w:t>
      </w:r>
      <w:r w:rsidRPr="005D56E9">
        <w:rPr>
          <w:rFonts w:ascii="Aptos" w:hAnsi="Aptos"/>
          <w:sz w:val="22"/>
          <w:szCs w:val="22"/>
        </w:rPr>
        <w:t xml:space="preserve"> </w:t>
      </w:r>
      <w:r w:rsidR="00A33B80" w:rsidRPr="005D56E9">
        <w:rPr>
          <w:rFonts w:ascii="Aptos" w:hAnsi="Aptos"/>
          <w:sz w:val="22"/>
          <w:szCs w:val="22"/>
        </w:rPr>
        <w:t xml:space="preserve">resulting </w:t>
      </w:r>
      <w:r w:rsidR="00AB7D58" w:rsidRPr="005D56E9">
        <w:rPr>
          <w:rFonts w:ascii="Aptos" w:hAnsi="Aptos"/>
          <w:sz w:val="22"/>
          <w:szCs w:val="22"/>
        </w:rPr>
        <w:t xml:space="preserve">in </w:t>
      </w:r>
      <w:r w:rsidR="00A33B80" w:rsidRPr="005D56E9">
        <w:rPr>
          <w:rFonts w:ascii="Aptos" w:hAnsi="Aptos"/>
          <w:sz w:val="22"/>
          <w:szCs w:val="22"/>
        </w:rPr>
        <w:t xml:space="preserve">increased </w:t>
      </w:r>
      <w:r w:rsidRPr="005D56E9">
        <w:rPr>
          <w:rFonts w:ascii="Aptos" w:hAnsi="Aptos"/>
          <w:sz w:val="22"/>
          <w:szCs w:val="22"/>
        </w:rPr>
        <w:t>travel times</w:t>
      </w:r>
      <w:r w:rsidR="00A33B80" w:rsidRPr="005D56E9">
        <w:rPr>
          <w:rFonts w:ascii="Aptos" w:hAnsi="Aptos"/>
          <w:sz w:val="22"/>
          <w:szCs w:val="22"/>
        </w:rPr>
        <w:t xml:space="preserve"> for </w:t>
      </w:r>
      <w:r w:rsidR="00AB7D58" w:rsidRPr="005D56E9">
        <w:rPr>
          <w:rFonts w:ascii="Aptos" w:hAnsi="Aptos"/>
          <w:sz w:val="22"/>
          <w:szCs w:val="22"/>
        </w:rPr>
        <w:t xml:space="preserve">those </w:t>
      </w:r>
      <w:r w:rsidR="00A33B80" w:rsidRPr="005D56E9">
        <w:rPr>
          <w:rFonts w:ascii="Aptos" w:hAnsi="Aptos"/>
          <w:sz w:val="22"/>
          <w:szCs w:val="22"/>
        </w:rPr>
        <w:t>services</w:t>
      </w:r>
      <w:r w:rsidRPr="005D56E9">
        <w:rPr>
          <w:rFonts w:ascii="Aptos" w:hAnsi="Aptos"/>
          <w:sz w:val="22"/>
          <w:szCs w:val="22"/>
        </w:rPr>
        <w:t xml:space="preserve">. SEFs are DPH-licensed hospital satellites that are open 24/7 to provide the same scope and level of emergency care that traditional hospital emergency departments provide. </w:t>
      </w:r>
      <w:r w:rsidR="00E52F34" w:rsidRPr="005D56E9">
        <w:rPr>
          <w:rFonts w:ascii="Aptos" w:hAnsi="Aptos"/>
          <w:sz w:val="22"/>
          <w:szCs w:val="22"/>
        </w:rPr>
        <w:t>Additionally</w:t>
      </w:r>
      <w:r w:rsidR="00AB7D58" w:rsidRPr="005D56E9">
        <w:rPr>
          <w:rFonts w:ascii="Aptos" w:hAnsi="Aptos"/>
          <w:sz w:val="22"/>
          <w:szCs w:val="22"/>
        </w:rPr>
        <w:t xml:space="preserve">, </w:t>
      </w:r>
      <w:r w:rsidRPr="005D56E9">
        <w:rPr>
          <w:rFonts w:ascii="Aptos" w:hAnsi="Aptos"/>
          <w:sz w:val="22"/>
          <w:szCs w:val="22"/>
        </w:rPr>
        <w:t>SEFs, like the one to be opened by UMass</w:t>
      </w:r>
      <w:r w:rsidR="006C616D" w:rsidRPr="005D56E9">
        <w:rPr>
          <w:rFonts w:ascii="Aptos" w:hAnsi="Aptos"/>
          <w:sz w:val="22"/>
          <w:szCs w:val="22"/>
        </w:rPr>
        <w:t xml:space="preserve"> Memorial</w:t>
      </w:r>
      <w:r w:rsidRPr="005D56E9">
        <w:rPr>
          <w:rFonts w:ascii="Aptos" w:hAnsi="Aptos"/>
          <w:sz w:val="22"/>
          <w:szCs w:val="22"/>
        </w:rPr>
        <w:t xml:space="preserve">, provide local access to emergency care, including for trauma patients who can be triaged and stabilized by SEF staff before being transported (by helicopter or ambulance) to an appropriate hospital. </w:t>
      </w:r>
    </w:p>
    <w:p w14:paraId="5E8EB0C7" w14:textId="0015B7DA" w:rsidR="00585744" w:rsidRDefault="006F12AA" w:rsidP="00831784">
      <w:pPr>
        <w:spacing w:after="120"/>
        <w:jc w:val="both"/>
        <w:rPr>
          <w:rFonts w:ascii="Aptos" w:hAnsi="Aptos"/>
          <w:sz w:val="22"/>
          <w:szCs w:val="22"/>
        </w:rPr>
      </w:pPr>
      <w:r w:rsidRPr="005D56E9">
        <w:rPr>
          <w:rFonts w:ascii="Aptos" w:hAnsi="Aptos"/>
          <w:sz w:val="22"/>
          <w:szCs w:val="22"/>
        </w:rPr>
        <w:t xml:space="preserve">As required by the DPH </w:t>
      </w:r>
      <w:r w:rsidR="005725A5">
        <w:rPr>
          <w:rFonts w:ascii="Aptos" w:hAnsi="Aptos"/>
          <w:sz w:val="22"/>
          <w:szCs w:val="22"/>
        </w:rPr>
        <w:t>h</w:t>
      </w:r>
      <w:r w:rsidRPr="005D56E9">
        <w:rPr>
          <w:rFonts w:ascii="Aptos" w:hAnsi="Aptos"/>
          <w:sz w:val="22"/>
          <w:szCs w:val="22"/>
        </w:rPr>
        <w:t xml:space="preserve">ospital </w:t>
      </w:r>
      <w:r w:rsidR="005725A5">
        <w:rPr>
          <w:rFonts w:ascii="Aptos" w:hAnsi="Aptos"/>
          <w:sz w:val="22"/>
          <w:szCs w:val="22"/>
        </w:rPr>
        <w:t>l</w:t>
      </w:r>
      <w:r w:rsidRPr="005D56E9">
        <w:rPr>
          <w:rFonts w:ascii="Aptos" w:hAnsi="Aptos"/>
          <w:sz w:val="22"/>
          <w:szCs w:val="22"/>
        </w:rPr>
        <w:t xml:space="preserve">icensure </w:t>
      </w:r>
      <w:r w:rsidR="005725A5">
        <w:rPr>
          <w:rFonts w:ascii="Aptos" w:hAnsi="Aptos"/>
          <w:sz w:val="22"/>
          <w:szCs w:val="22"/>
        </w:rPr>
        <w:t>r</w:t>
      </w:r>
      <w:r w:rsidRPr="005D56E9">
        <w:rPr>
          <w:rFonts w:ascii="Aptos" w:hAnsi="Aptos"/>
          <w:sz w:val="22"/>
          <w:szCs w:val="22"/>
        </w:rPr>
        <w:t xml:space="preserve">egulations, SEFs </w:t>
      </w:r>
      <w:r w:rsidR="0083403C" w:rsidRPr="005D56E9">
        <w:rPr>
          <w:rFonts w:ascii="Aptos" w:hAnsi="Aptos"/>
          <w:sz w:val="22"/>
          <w:szCs w:val="22"/>
        </w:rPr>
        <w:t>must</w:t>
      </w:r>
      <w:r w:rsidRPr="005D56E9">
        <w:rPr>
          <w:rFonts w:ascii="Aptos" w:hAnsi="Aptos"/>
          <w:sz w:val="22"/>
          <w:szCs w:val="22"/>
        </w:rPr>
        <w:t xml:space="preserve"> provide 24/7 emergency services and “radiology services including CT scans and ultrasound with a clinically appropriate turnaround time from the ordering to the reporting of results” [105 CMR 130.834(D)]. </w:t>
      </w:r>
      <w:r w:rsidR="00AB7D58" w:rsidRPr="005D56E9">
        <w:rPr>
          <w:rFonts w:ascii="Aptos" w:hAnsi="Aptos"/>
          <w:sz w:val="22"/>
          <w:szCs w:val="22"/>
        </w:rPr>
        <w:t>SEFs may provide r</w:t>
      </w:r>
      <w:r w:rsidRPr="005D56E9">
        <w:rPr>
          <w:rFonts w:ascii="Aptos" w:hAnsi="Aptos"/>
          <w:sz w:val="22"/>
          <w:szCs w:val="22"/>
        </w:rPr>
        <w:t xml:space="preserve">adiology services at an alternative site with appropriate transfer protocols </w:t>
      </w:r>
      <w:r w:rsidR="00585744">
        <w:rPr>
          <w:rFonts w:ascii="Aptos" w:hAnsi="Aptos"/>
          <w:sz w:val="22"/>
          <w:szCs w:val="22"/>
        </w:rPr>
        <w:t xml:space="preserve">only if </w:t>
      </w:r>
      <w:r w:rsidR="00AB7D58" w:rsidRPr="005D56E9">
        <w:rPr>
          <w:rFonts w:ascii="Aptos" w:hAnsi="Aptos"/>
          <w:sz w:val="22"/>
          <w:szCs w:val="22"/>
        </w:rPr>
        <w:t>they</w:t>
      </w:r>
      <w:r w:rsidRPr="005D56E9">
        <w:rPr>
          <w:rFonts w:ascii="Aptos" w:hAnsi="Aptos"/>
          <w:sz w:val="22"/>
          <w:szCs w:val="22"/>
        </w:rPr>
        <w:t xml:space="preserve"> can ensure a clinically appropriate turnaround time. </w:t>
      </w:r>
      <w:r w:rsidR="005725A5">
        <w:rPr>
          <w:rFonts w:ascii="Aptos" w:hAnsi="Aptos"/>
          <w:sz w:val="22"/>
          <w:szCs w:val="22"/>
        </w:rPr>
        <w:t xml:space="preserve">If a SEF cannot provide that appropriate turnaround time, it </w:t>
      </w:r>
      <w:r w:rsidR="00585744">
        <w:rPr>
          <w:rFonts w:ascii="Aptos" w:hAnsi="Aptos"/>
          <w:sz w:val="22"/>
          <w:szCs w:val="22"/>
        </w:rPr>
        <w:t xml:space="preserve">must provide radiology services at its facility. </w:t>
      </w:r>
      <w:r w:rsidRPr="005D56E9">
        <w:rPr>
          <w:rFonts w:ascii="Aptos" w:hAnsi="Aptos"/>
          <w:sz w:val="22"/>
          <w:szCs w:val="22"/>
        </w:rPr>
        <w:t xml:space="preserve">In addition, beginning January 1, 2026, SEFs will be required to adhere to DPH’s time targets for stroke care, including access to CT within 25 minutes of arrival at the SEF.  </w:t>
      </w:r>
    </w:p>
    <w:p w14:paraId="2C6F1F43" w14:textId="77777777" w:rsidR="00585744" w:rsidRDefault="00585744">
      <w:pPr>
        <w:suppressAutoHyphens w:val="0"/>
        <w:spacing w:after="160" w:line="259" w:lineRule="auto"/>
        <w:rPr>
          <w:rFonts w:ascii="Aptos" w:hAnsi="Aptos"/>
          <w:sz w:val="22"/>
          <w:szCs w:val="22"/>
        </w:rPr>
      </w:pPr>
      <w:r>
        <w:rPr>
          <w:rFonts w:ascii="Aptos" w:hAnsi="Aptos"/>
          <w:sz w:val="22"/>
          <w:szCs w:val="22"/>
        </w:rPr>
        <w:br w:type="page"/>
      </w:r>
    </w:p>
    <w:p w14:paraId="5058AA22" w14:textId="68F3421A" w:rsidR="00831784" w:rsidRDefault="006F12AA" w:rsidP="00831784">
      <w:pPr>
        <w:spacing w:after="120"/>
        <w:jc w:val="both"/>
        <w:rPr>
          <w:rFonts w:ascii="Aptos" w:hAnsi="Aptos"/>
          <w:b/>
          <w:bCs/>
          <w:sz w:val="22"/>
          <w:szCs w:val="22"/>
          <w:u w:val="single"/>
        </w:rPr>
      </w:pPr>
      <w:r w:rsidRPr="005D56E9">
        <w:rPr>
          <w:rFonts w:ascii="Aptos" w:hAnsi="Aptos"/>
          <w:sz w:val="22"/>
          <w:szCs w:val="22"/>
        </w:rPr>
        <w:lastRenderedPageBreak/>
        <w:t xml:space="preserve">As noted earlier, the </w:t>
      </w:r>
      <w:r w:rsidR="00E52F34" w:rsidRPr="005D56E9">
        <w:rPr>
          <w:rFonts w:ascii="Aptos" w:hAnsi="Aptos"/>
          <w:sz w:val="22"/>
          <w:szCs w:val="22"/>
        </w:rPr>
        <w:t xml:space="preserve">Planned </w:t>
      </w:r>
      <w:r w:rsidRPr="005D56E9">
        <w:rPr>
          <w:rFonts w:ascii="Aptos" w:hAnsi="Aptos"/>
          <w:sz w:val="22"/>
          <w:szCs w:val="22"/>
        </w:rPr>
        <w:t xml:space="preserve">SEF will </w:t>
      </w:r>
      <w:proofErr w:type="gramStart"/>
      <w:r w:rsidRPr="005D56E9">
        <w:rPr>
          <w:rFonts w:ascii="Aptos" w:hAnsi="Aptos"/>
          <w:sz w:val="22"/>
          <w:szCs w:val="22"/>
        </w:rPr>
        <w:t>be located in</w:t>
      </w:r>
      <w:proofErr w:type="gramEnd"/>
      <w:r w:rsidRPr="005D56E9">
        <w:rPr>
          <w:rFonts w:ascii="Aptos" w:hAnsi="Aptos"/>
          <w:sz w:val="22"/>
          <w:szCs w:val="22"/>
        </w:rPr>
        <w:t xml:space="preserve"> Groton due to its central location within the region and its distance from other emergency services. From Groton Town Hall, the nearest </w:t>
      </w:r>
      <w:r w:rsidR="006C616D" w:rsidRPr="005D56E9">
        <w:rPr>
          <w:rFonts w:ascii="Aptos" w:hAnsi="Aptos"/>
          <w:sz w:val="22"/>
          <w:szCs w:val="22"/>
        </w:rPr>
        <w:t xml:space="preserve">Massachusetts </w:t>
      </w:r>
      <w:r w:rsidRPr="005D56E9">
        <w:rPr>
          <w:rFonts w:ascii="Aptos" w:hAnsi="Aptos"/>
          <w:sz w:val="22"/>
          <w:szCs w:val="22"/>
        </w:rPr>
        <w:t>hospitals are more than 16 miles and almost 30 minutes away.</w:t>
      </w:r>
      <w:r w:rsidR="00312C70">
        <w:rPr>
          <w:rStyle w:val="FootnoteReference"/>
          <w:rFonts w:ascii="Aptos" w:hAnsi="Aptos"/>
          <w:sz w:val="22"/>
          <w:szCs w:val="22"/>
        </w:rPr>
        <w:footnoteReference w:id="3"/>
      </w:r>
      <w:r w:rsidR="00312C70" w:rsidRPr="00312C70">
        <w:rPr>
          <w:rFonts w:ascii="Aptos" w:hAnsi="Aptos"/>
          <w:sz w:val="22"/>
          <w:szCs w:val="22"/>
        </w:rPr>
        <w:t xml:space="preserve"> </w:t>
      </w:r>
      <w:r w:rsidRPr="005D56E9">
        <w:rPr>
          <w:rFonts w:ascii="Aptos" w:hAnsi="Aptos"/>
          <w:sz w:val="22"/>
          <w:szCs w:val="22"/>
        </w:rPr>
        <w:t xml:space="preserve">These distances are significant for many </w:t>
      </w:r>
      <w:r w:rsidR="00E52F34" w:rsidRPr="005D56E9">
        <w:rPr>
          <w:rFonts w:ascii="Aptos" w:hAnsi="Aptos"/>
          <w:sz w:val="22"/>
          <w:szCs w:val="22"/>
        </w:rPr>
        <w:t xml:space="preserve">emergency </w:t>
      </w:r>
      <w:r w:rsidRPr="005D56E9">
        <w:rPr>
          <w:rFonts w:ascii="Aptos" w:hAnsi="Aptos"/>
          <w:sz w:val="22"/>
          <w:szCs w:val="22"/>
        </w:rPr>
        <w:t xml:space="preserve">patients, particularly trauma and stroke patients who could be triaged and stabilized at the </w:t>
      </w:r>
      <w:r w:rsidR="00E52F34" w:rsidRPr="005D56E9">
        <w:rPr>
          <w:rFonts w:ascii="Aptos" w:hAnsi="Aptos"/>
          <w:sz w:val="22"/>
          <w:szCs w:val="22"/>
        </w:rPr>
        <w:t xml:space="preserve">Planned </w:t>
      </w:r>
      <w:r w:rsidRPr="005D56E9">
        <w:rPr>
          <w:rFonts w:ascii="Aptos" w:hAnsi="Aptos"/>
          <w:sz w:val="22"/>
          <w:szCs w:val="22"/>
        </w:rPr>
        <w:t>SEF</w:t>
      </w:r>
      <w:r w:rsidR="00585744">
        <w:rPr>
          <w:rFonts w:ascii="Aptos" w:hAnsi="Aptos"/>
          <w:sz w:val="22"/>
          <w:szCs w:val="22"/>
        </w:rPr>
        <w:t>. W</w:t>
      </w:r>
      <w:r w:rsidR="00A33B80" w:rsidRPr="005D56E9">
        <w:rPr>
          <w:rFonts w:ascii="Aptos" w:hAnsi="Aptos"/>
          <w:sz w:val="22"/>
          <w:szCs w:val="22"/>
        </w:rPr>
        <w:t xml:space="preserve">ithout a CT at the </w:t>
      </w:r>
      <w:r w:rsidR="00E52F34" w:rsidRPr="005D56E9">
        <w:rPr>
          <w:rFonts w:ascii="Aptos" w:hAnsi="Aptos"/>
          <w:sz w:val="22"/>
          <w:szCs w:val="22"/>
        </w:rPr>
        <w:t xml:space="preserve">Planned </w:t>
      </w:r>
      <w:r w:rsidR="00A33B80" w:rsidRPr="005D56E9">
        <w:rPr>
          <w:rFonts w:ascii="Aptos" w:hAnsi="Aptos"/>
          <w:sz w:val="22"/>
          <w:szCs w:val="22"/>
        </w:rPr>
        <w:t xml:space="preserve">SEF, the </w:t>
      </w:r>
      <w:r w:rsidRPr="005D56E9">
        <w:rPr>
          <w:rFonts w:ascii="Aptos" w:hAnsi="Aptos"/>
          <w:sz w:val="22"/>
          <w:szCs w:val="22"/>
        </w:rPr>
        <w:t>delay</w:t>
      </w:r>
      <w:r w:rsidR="00A33B80" w:rsidRPr="005D56E9">
        <w:rPr>
          <w:rFonts w:ascii="Aptos" w:hAnsi="Aptos"/>
          <w:sz w:val="22"/>
          <w:szCs w:val="22"/>
        </w:rPr>
        <w:t xml:space="preserve"> in</w:t>
      </w:r>
      <w:r w:rsidRPr="005D56E9">
        <w:rPr>
          <w:rFonts w:ascii="Aptos" w:hAnsi="Aptos"/>
          <w:sz w:val="22"/>
          <w:szCs w:val="22"/>
        </w:rPr>
        <w:t xml:space="preserve"> receiving CT imaging </w:t>
      </w:r>
      <w:r w:rsidR="00A33B80" w:rsidRPr="005D56E9">
        <w:rPr>
          <w:rFonts w:ascii="Aptos" w:hAnsi="Aptos"/>
          <w:sz w:val="22"/>
          <w:szCs w:val="22"/>
        </w:rPr>
        <w:t xml:space="preserve">could </w:t>
      </w:r>
      <w:r w:rsidR="006C616D" w:rsidRPr="005D56E9">
        <w:rPr>
          <w:rFonts w:ascii="Aptos" w:hAnsi="Aptos"/>
          <w:sz w:val="22"/>
          <w:szCs w:val="22"/>
        </w:rPr>
        <w:t>adversely impact</w:t>
      </w:r>
      <w:r w:rsidRPr="005D56E9">
        <w:rPr>
          <w:rFonts w:ascii="Aptos" w:hAnsi="Aptos"/>
          <w:sz w:val="22"/>
          <w:szCs w:val="22"/>
        </w:rPr>
        <w:t xml:space="preserve"> their course of treatment. It would not be practical, cost-effective, or patient-centered to transport patients from the </w:t>
      </w:r>
      <w:r w:rsidR="00E52F34" w:rsidRPr="005D56E9">
        <w:rPr>
          <w:rFonts w:ascii="Aptos" w:hAnsi="Aptos"/>
          <w:sz w:val="22"/>
          <w:szCs w:val="22"/>
        </w:rPr>
        <w:t xml:space="preserve">Planned </w:t>
      </w:r>
      <w:r w:rsidRPr="005D56E9">
        <w:rPr>
          <w:rFonts w:ascii="Aptos" w:hAnsi="Aptos"/>
          <w:sz w:val="22"/>
          <w:szCs w:val="22"/>
        </w:rPr>
        <w:t xml:space="preserve">SEF to an alternative location for CT. As a result, licensure </w:t>
      </w:r>
      <w:r w:rsidR="00A33B80" w:rsidRPr="005D56E9">
        <w:rPr>
          <w:rFonts w:ascii="Aptos" w:hAnsi="Aptos"/>
          <w:sz w:val="22"/>
          <w:szCs w:val="22"/>
        </w:rPr>
        <w:t xml:space="preserve">of </w:t>
      </w:r>
      <w:r w:rsidRPr="005D56E9">
        <w:rPr>
          <w:rFonts w:ascii="Aptos" w:hAnsi="Aptos"/>
          <w:sz w:val="22"/>
          <w:szCs w:val="22"/>
        </w:rPr>
        <w:t xml:space="preserve">the </w:t>
      </w:r>
      <w:r w:rsidR="00E52F34" w:rsidRPr="005D56E9">
        <w:rPr>
          <w:rFonts w:ascii="Aptos" w:hAnsi="Aptos"/>
          <w:sz w:val="22"/>
          <w:szCs w:val="22"/>
        </w:rPr>
        <w:t xml:space="preserve">Planned </w:t>
      </w:r>
      <w:r w:rsidRPr="005D56E9">
        <w:rPr>
          <w:rFonts w:ascii="Aptos" w:hAnsi="Aptos"/>
          <w:sz w:val="22"/>
          <w:szCs w:val="22"/>
        </w:rPr>
        <w:t xml:space="preserve">SEF is contingent upon the availability of </w:t>
      </w:r>
      <w:r w:rsidR="00AB7D58" w:rsidRPr="005D56E9">
        <w:rPr>
          <w:rFonts w:ascii="Aptos" w:hAnsi="Aptos"/>
          <w:sz w:val="22"/>
          <w:szCs w:val="22"/>
        </w:rPr>
        <w:t>onsite-</w:t>
      </w:r>
      <w:r w:rsidRPr="005D56E9">
        <w:rPr>
          <w:rFonts w:ascii="Aptos" w:hAnsi="Aptos"/>
          <w:sz w:val="22"/>
          <w:szCs w:val="22"/>
        </w:rPr>
        <w:t>CT</w:t>
      </w:r>
      <w:r w:rsidR="00AB7D58" w:rsidRPr="005D56E9">
        <w:rPr>
          <w:rFonts w:ascii="Aptos" w:hAnsi="Aptos"/>
          <w:sz w:val="22"/>
          <w:szCs w:val="22"/>
        </w:rPr>
        <w:t xml:space="preserve"> services</w:t>
      </w:r>
      <w:r w:rsidRPr="005D56E9">
        <w:rPr>
          <w:rFonts w:ascii="Aptos" w:hAnsi="Aptos"/>
          <w:sz w:val="22"/>
          <w:szCs w:val="22"/>
        </w:rPr>
        <w:t xml:space="preserve">. Without the Proposed Project, the </w:t>
      </w:r>
      <w:r w:rsidR="00E52F34" w:rsidRPr="005D56E9">
        <w:rPr>
          <w:rFonts w:ascii="Aptos" w:hAnsi="Aptos"/>
          <w:sz w:val="22"/>
          <w:szCs w:val="22"/>
        </w:rPr>
        <w:t xml:space="preserve">Planned </w:t>
      </w:r>
      <w:r w:rsidRPr="005D56E9">
        <w:rPr>
          <w:rFonts w:ascii="Aptos" w:hAnsi="Aptos"/>
          <w:sz w:val="22"/>
          <w:szCs w:val="22"/>
        </w:rPr>
        <w:t>SEF will be unable to meet the minimum standards for emergency diagnostic services, rendering it ineligible for licensure and operation. To that end, the Proposed Project is necessary to support timely and accurate emergency care</w:t>
      </w:r>
      <w:r w:rsidR="00831784">
        <w:rPr>
          <w:rFonts w:ascii="Aptos" w:hAnsi="Aptos"/>
          <w:sz w:val="22"/>
          <w:szCs w:val="22"/>
        </w:rPr>
        <w:t xml:space="preserve"> and diagnostic services that are</w:t>
      </w:r>
      <w:r w:rsidR="00A33B80" w:rsidRPr="005D56E9">
        <w:rPr>
          <w:rFonts w:ascii="Aptos" w:hAnsi="Aptos"/>
          <w:sz w:val="22"/>
          <w:szCs w:val="22"/>
        </w:rPr>
        <w:t xml:space="preserve"> needed in the region.</w:t>
      </w:r>
    </w:p>
    <w:p w14:paraId="1203EE5F" w14:textId="2778621D" w:rsidR="0045648D" w:rsidRPr="005D56E9" w:rsidRDefault="0045648D" w:rsidP="005D56E9">
      <w:pPr>
        <w:spacing w:after="120"/>
        <w:jc w:val="both"/>
        <w:rPr>
          <w:rFonts w:ascii="Aptos" w:hAnsi="Aptos"/>
          <w:b/>
          <w:bCs/>
          <w:sz w:val="22"/>
          <w:szCs w:val="22"/>
          <w:u w:val="single"/>
        </w:rPr>
      </w:pPr>
      <w:r w:rsidRPr="005D56E9">
        <w:rPr>
          <w:rFonts w:ascii="Aptos" w:hAnsi="Aptos"/>
          <w:b/>
          <w:bCs/>
          <w:sz w:val="22"/>
          <w:szCs w:val="22"/>
          <w:u w:val="single"/>
        </w:rPr>
        <w:t>Factor 2</w:t>
      </w:r>
      <w:r w:rsidR="00831784">
        <w:rPr>
          <w:rFonts w:ascii="Aptos" w:hAnsi="Aptos"/>
          <w:b/>
          <w:bCs/>
          <w:sz w:val="22"/>
          <w:szCs w:val="22"/>
          <w:u w:val="single"/>
        </w:rPr>
        <w:t>. Health Priorities</w:t>
      </w:r>
    </w:p>
    <w:p w14:paraId="623BCBEC" w14:textId="5A556B11" w:rsidR="0083403C" w:rsidRPr="005D56E9" w:rsidRDefault="0083403C" w:rsidP="005D56E9">
      <w:pPr>
        <w:spacing w:after="120"/>
        <w:jc w:val="both"/>
        <w:rPr>
          <w:rFonts w:ascii="Aptos" w:hAnsi="Aptos"/>
          <w:sz w:val="22"/>
          <w:szCs w:val="22"/>
        </w:rPr>
      </w:pPr>
      <w:r w:rsidRPr="005D56E9">
        <w:rPr>
          <w:rFonts w:ascii="Aptos" w:hAnsi="Aptos"/>
          <w:sz w:val="22"/>
          <w:szCs w:val="22"/>
        </w:rPr>
        <w:t xml:space="preserve">The Proposed Project will establish on-site CT imaging services at the </w:t>
      </w:r>
      <w:r w:rsidR="00E52F34" w:rsidRPr="005D56E9">
        <w:rPr>
          <w:rFonts w:ascii="Aptos" w:hAnsi="Aptos"/>
          <w:sz w:val="22"/>
          <w:szCs w:val="22"/>
        </w:rPr>
        <w:t xml:space="preserve">Planned </w:t>
      </w:r>
      <w:r w:rsidRPr="005D56E9">
        <w:rPr>
          <w:rFonts w:ascii="Aptos" w:hAnsi="Aptos"/>
          <w:sz w:val="22"/>
          <w:szCs w:val="22"/>
        </w:rPr>
        <w:t>SEF, thereby addressing a critical gap in emergency care in the community. By expanding access to timely, high-quality diagnostic services in a geographically underserved area, the project will alleviate pressure on overcrowded emergency departments, reduce transportation-related barriers, and improve patient outcomes, particularly for time-sensitive conditions like stroke. In alignment with the Commonwealth’s goals for cost containment and delivery system transformation, the project integrates community input through the Committee and supports a patient-centered model of care that enhances coordination, reduces delays, and lowers long-term health</w:t>
      </w:r>
      <w:r w:rsidR="002C16D3" w:rsidRPr="005D56E9">
        <w:rPr>
          <w:rFonts w:ascii="Aptos" w:hAnsi="Aptos"/>
          <w:sz w:val="22"/>
          <w:szCs w:val="22"/>
        </w:rPr>
        <w:t xml:space="preserve"> </w:t>
      </w:r>
      <w:r w:rsidRPr="005D56E9">
        <w:rPr>
          <w:rFonts w:ascii="Aptos" w:hAnsi="Aptos"/>
          <w:sz w:val="22"/>
          <w:szCs w:val="22"/>
        </w:rPr>
        <w:t>care costs</w:t>
      </w:r>
      <w:r w:rsidR="00831784">
        <w:rPr>
          <w:rFonts w:ascii="Aptos" w:hAnsi="Aptos"/>
          <w:sz w:val="22"/>
          <w:szCs w:val="22"/>
        </w:rPr>
        <w:t>.</w:t>
      </w:r>
    </w:p>
    <w:p w14:paraId="48B970E5" w14:textId="425DCCBF" w:rsidR="00BF5913" w:rsidRPr="005D56E9" w:rsidRDefault="00BF5913" w:rsidP="005D56E9">
      <w:pPr>
        <w:pStyle w:val="ListParagraph"/>
        <w:numPr>
          <w:ilvl w:val="0"/>
          <w:numId w:val="5"/>
        </w:numPr>
        <w:spacing w:after="120"/>
        <w:contextualSpacing w:val="0"/>
        <w:jc w:val="both"/>
        <w:rPr>
          <w:rFonts w:ascii="Aptos" w:hAnsi="Aptos"/>
          <w:b/>
          <w:bCs/>
          <w:sz w:val="22"/>
          <w:szCs w:val="22"/>
          <w:u w:val="single"/>
        </w:rPr>
      </w:pPr>
      <w:r w:rsidRPr="005D56E9">
        <w:rPr>
          <w:rFonts w:ascii="Aptos" w:hAnsi="Aptos"/>
          <w:sz w:val="22"/>
          <w:szCs w:val="22"/>
          <w:u w:val="single"/>
        </w:rPr>
        <w:t>Creating Access to Clinically and Geographically Appropriate Medical Services</w:t>
      </w:r>
    </w:p>
    <w:p w14:paraId="0DBC3B95" w14:textId="17ABA97C" w:rsidR="00D73F10" w:rsidRPr="005D56E9" w:rsidRDefault="00BF5913" w:rsidP="005D56E9">
      <w:pPr>
        <w:spacing w:after="120"/>
        <w:jc w:val="both"/>
        <w:rPr>
          <w:rFonts w:ascii="Aptos" w:hAnsi="Aptos"/>
          <w:sz w:val="22"/>
          <w:szCs w:val="22"/>
        </w:rPr>
      </w:pPr>
      <w:r w:rsidRPr="005D56E9">
        <w:rPr>
          <w:rFonts w:ascii="Aptos" w:hAnsi="Aptos"/>
          <w:sz w:val="22"/>
          <w:szCs w:val="22"/>
        </w:rPr>
        <w:t>The Proposed Project will meaningfully advance the Commonwealth’s goals for cost containment by expanding access to high-quality CT imaging services for low-acuity patients in a clinically appropriate setting. Through the first quarter of 2025, Massachusetts EDs recorded 555,097 visits, up from 517,707 in 2023 and 544,949 in 2024, representing a 1.8% increase year-over-year.</w:t>
      </w:r>
      <w:r w:rsidRPr="005D56E9">
        <w:rPr>
          <w:rStyle w:val="FootnoteReference"/>
          <w:rFonts w:ascii="Aptos" w:hAnsi="Aptos"/>
          <w:sz w:val="22"/>
          <w:szCs w:val="22"/>
        </w:rPr>
        <w:footnoteReference w:id="4"/>
      </w:r>
      <w:r w:rsidRPr="005D56E9">
        <w:rPr>
          <w:rFonts w:ascii="Aptos" w:hAnsi="Aptos"/>
          <w:sz w:val="22"/>
          <w:szCs w:val="22"/>
        </w:rPr>
        <w:t xml:space="preserve"> This overall increase in the ED utilization rate places additional strain on EDs across the Commonwealth, many of which are already operating at or near capacity.</w:t>
      </w:r>
      <w:r w:rsidRPr="005D56E9">
        <w:rPr>
          <w:rStyle w:val="FootnoteReference"/>
          <w:rFonts w:ascii="Aptos" w:hAnsi="Aptos"/>
          <w:sz w:val="22"/>
          <w:szCs w:val="22"/>
        </w:rPr>
        <w:footnoteReference w:id="5"/>
      </w:r>
      <w:r w:rsidRPr="005D56E9">
        <w:rPr>
          <w:rFonts w:ascii="Aptos" w:hAnsi="Aptos"/>
          <w:sz w:val="22"/>
          <w:szCs w:val="22"/>
        </w:rPr>
        <w:t xml:space="preserve"> The Applicant’s </w:t>
      </w:r>
      <w:r w:rsidR="00312C70">
        <w:rPr>
          <w:rFonts w:ascii="Aptos" w:hAnsi="Aptos"/>
          <w:sz w:val="22"/>
          <w:szCs w:val="22"/>
        </w:rPr>
        <w:t>Planned</w:t>
      </w:r>
      <w:r w:rsidR="00312C70" w:rsidRPr="005D56E9">
        <w:rPr>
          <w:rFonts w:ascii="Aptos" w:hAnsi="Aptos"/>
          <w:sz w:val="22"/>
          <w:szCs w:val="22"/>
        </w:rPr>
        <w:t xml:space="preserve"> </w:t>
      </w:r>
      <w:r w:rsidRPr="005D56E9">
        <w:rPr>
          <w:rFonts w:ascii="Aptos" w:hAnsi="Aptos"/>
          <w:sz w:val="22"/>
          <w:szCs w:val="22"/>
        </w:rPr>
        <w:t xml:space="preserve">SEF and </w:t>
      </w:r>
      <w:r w:rsidR="00F57245" w:rsidRPr="005D56E9">
        <w:rPr>
          <w:rFonts w:ascii="Aptos" w:hAnsi="Aptos"/>
          <w:sz w:val="22"/>
          <w:szCs w:val="22"/>
        </w:rPr>
        <w:t xml:space="preserve">this </w:t>
      </w:r>
      <w:r w:rsidRPr="005D56E9">
        <w:rPr>
          <w:rFonts w:ascii="Aptos" w:hAnsi="Aptos"/>
          <w:sz w:val="22"/>
          <w:szCs w:val="22"/>
        </w:rPr>
        <w:t>Proposed Project will help alleviate this pressure by </w:t>
      </w:r>
      <w:r w:rsidR="00F57245" w:rsidRPr="005D56E9">
        <w:rPr>
          <w:rFonts w:ascii="Aptos" w:hAnsi="Aptos"/>
          <w:sz w:val="22"/>
          <w:szCs w:val="22"/>
        </w:rPr>
        <w:t xml:space="preserve">ensuring that patients in the surrounding communities can receive emergency care promptly and without additional transport times. </w:t>
      </w:r>
      <w:r w:rsidRPr="005D56E9">
        <w:rPr>
          <w:rFonts w:ascii="Aptos" w:hAnsi="Aptos"/>
          <w:sz w:val="22"/>
          <w:szCs w:val="22"/>
        </w:rPr>
        <w:t xml:space="preserve"> </w:t>
      </w:r>
    </w:p>
    <w:p w14:paraId="1090F298" w14:textId="71F2CECB" w:rsidR="00BF5913" w:rsidRPr="005D56E9" w:rsidRDefault="00BF5913" w:rsidP="005D56E9">
      <w:pPr>
        <w:spacing w:after="120"/>
        <w:jc w:val="both"/>
        <w:rPr>
          <w:rFonts w:ascii="Aptos" w:hAnsi="Aptos"/>
          <w:sz w:val="22"/>
          <w:szCs w:val="22"/>
        </w:rPr>
      </w:pPr>
      <w:r w:rsidRPr="005D56E9">
        <w:rPr>
          <w:rFonts w:ascii="Aptos" w:hAnsi="Aptos"/>
          <w:sz w:val="22"/>
          <w:szCs w:val="22"/>
        </w:rPr>
        <w:t>Additionally, the Proposed Project will benefit patients by ensuring timely access to medical services. Studies have found that delays in medical care contribute to increasing the length of patient stays and ED utilizations, as well as worsening patient outcomes.</w:t>
      </w:r>
      <w:r w:rsidRPr="005D56E9">
        <w:rPr>
          <w:rStyle w:val="FootnoteReference"/>
          <w:rFonts w:ascii="Aptos" w:hAnsi="Aptos"/>
          <w:sz w:val="22"/>
          <w:szCs w:val="22"/>
        </w:rPr>
        <w:footnoteReference w:id="6"/>
      </w:r>
      <w:r w:rsidRPr="005D56E9">
        <w:rPr>
          <w:rFonts w:ascii="Aptos" w:hAnsi="Aptos"/>
          <w:sz w:val="22"/>
          <w:szCs w:val="22"/>
        </w:rPr>
        <w:t xml:space="preserve"> Conversely, earlier access to CT imaging enables faster diagnosis and treatment, preventing illness progression, and reducing the need for more expensive interventions.</w:t>
      </w:r>
      <w:r w:rsidRPr="005D56E9">
        <w:rPr>
          <w:rStyle w:val="FootnoteReference"/>
          <w:rFonts w:ascii="Aptos" w:hAnsi="Aptos"/>
          <w:sz w:val="22"/>
          <w:szCs w:val="22"/>
        </w:rPr>
        <w:footnoteReference w:id="7"/>
      </w:r>
      <w:r w:rsidRPr="005D56E9">
        <w:rPr>
          <w:rFonts w:ascii="Aptos" w:hAnsi="Aptos"/>
          <w:sz w:val="22"/>
          <w:szCs w:val="22"/>
        </w:rPr>
        <w:t xml:space="preserve"> Thus, on-site CT services at the </w:t>
      </w:r>
      <w:r w:rsidR="00E52F34" w:rsidRPr="005D56E9">
        <w:rPr>
          <w:rFonts w:ascii="Aptos" w:hAnsi="Aptos"/>
          <w:sz w:val="22"/>
          <w:szCs w:val="22"/>
        </w:rPr>
        <w:t xml:space="preserve">Planned </w:t>
      </w:r>
      <w:r w:rsidRPr="005D56E9">
        <w:rPr>
          <w:rFonts w:ascii="Aptos" w:hAnsi="Aptos"/>
          <w:sz w:val="22"/>
          <w:szCs w:val="22"/>
        </w:rPr>
        <w:t>SEF will enhance care coordination, reduce wait times, and lower long-term health</w:t>
      </w:r>
      <w:r w:rsidR="002C16D3" w:rsidRPr="005D56E9">
        <w:rPr>
          <w:rFonts w:ascii="Aptos" w:hAnsi="Aptos"/>
          <w:sz w:val="22"/>
          <w:szCs w:val="22"/>
        </w:rPr>
        <w:t xml:space="preserve"> </w:t>
      </w:r>
      <w:r w:rsidRPr="005D56E9">
        <w:rPr>
          <w:rFonts w:ascii="Aptos" w:hAnsi="Aptos"/>
          <w:sz w:val="22"/>
          <w:szCs w:val="22"/>
        </w:rPr>
        <w:t xml:space="preserve">care costs for both patients and the Commonwealth. </w:t>
      </w:r>
    </w:p>
    <w:p w14:paraId="5FC1842C" w14:textId="4DEB7811" w:rsidR="00BF5913" w:rsidRPr="005D56E9" w:rsidRDefault="00BF5913" w:rsidP="005D56E9">
      <w:pPr>
        <w:spacing w:after="120"/>
        <w:jc w:val="both"/>
        <w:rPr>
          <w:rFonts w:ascii="Aptos" w:hAnsi="Aptos"/>
          <w:sz w:val="22"/>
          <w:szCs w:val="22"/>
        </w:rPr>
      </w:pPr>
      <w:r w:rsidRPr="005D56E9">
        <w:rPr>
          <w:rFonts w:ascii="Aptos" w:hAnsi="Aptos"/>
          <w:sz w:val="22"/>
          <w:szCs w:val="22"/>
        </w:rPr>
        <w:t>Moreover,</w:t>
      </w:r>
      <w:r w:rsidR="00857D1D" w:rsidRPr="005D56E9">
        <w:rPr>
          <w:rFonts w:ascii="Aptos" w:hAnsi="Aptos"/>
          <w:sz w:val="22"/>
          <w:szCs w:val="22"/>
        </w:rPr>
        <w:t xml:space="preserve"> </w:t>
      </w:r>
      <w:r w:rsidRPr="005D56E9">
        <w:rPr>
          <w:rFonts w:ascii="Aptos" w:hAnsi="Aptos"/>
          <w:sz w:val="22"/>
          <w:szCs w:val="22"/>
        </w:rPr>
        <w:t xml:space="preserve">the </w:t>
      </w:r>
      <w:r w:rsidR="00E52F34">
        <w:rPr>
          <w:rFonts w:ascii="Aptos" w:hAnsi="Aptos"/>
          <w:sz w:val="22"/>
          <w:szCs w:val="22"/>
        </w:rPr>
        <w:t xml:space="preserve">Planned </w:t>
      </w:r>
      <w:r w:rsidRPr="005D56E9">
        <w:rPr>
          <w:rFonts w:ascii="Aptos" w:hAnsi="Aptos"/>
          <w:sz w:val="22"/>
          <w:szCs w:val="22"/>
        </w:rPr>
        <w:t xml:space="preserve">SEF will </w:t>
      </w:r>
      <w:r w:rsidR="00857D1D" w:rsidRPr="005D56E9">
        <w:rPr>
          <w:rFonts w:ascii="Aptos" w:hAnsi="Aptos"/>
          <w:sz w:val="22"/>
          <w:szCs w:val="22"/>
        </w:rPr>
        <w:t xml:space="preserve">provide emergency </w:t>
      </w:r>
      <w:r w:rsidRPr="005D56E9">
        <w:rPr>
          <w:rFonts w:ascii="Aptos" w:hAnsi="Aptos"/>
          <w:sz w:val="22"/>
          <w:szCs w:val="22"/>
        </w:rPr>
        <w:t xml:space="preserve">CT services in </w:t>
      </w:r>
      <w:r w:rsidR="00857D1D" w:rsidRPr="005D56E9">
        <w:rPr>
          <w:rFonts w:ascii="Aptos" w:hAnsi="Aptos"/>
          <w:sz w:val="22"/>
          <w:szCs w:val="22"/>
        </w:rPr>
        <w:t xml:space="preserve">a </w:t>
      </w:r>
      <w:r w:rsidRPr="005D56E9">
        <w:rPr>
          <w:rFonts w:ascii="Aptos" w:hAnsi="Aptos"/>
          <w:sz w:val="22"/>
          <w:szCs w:val="22"/>
        </w:rPr>
        <w:t>community</w:t>
      </w:r>
      <w:r w:rsidR="00857D1D" w:rsidRPr="005D56E9">
        <w:rPr>
          <w:rFonts w:ascii="Aptos" w:hAnsi="Aptos"/>
          <w:sz w:val="22"/>
          <w:szCs w:val="22"/>
        </w:rPr>
        <w:t xml:space="preserve"> that is currently without any nearby emergency care</w:t>
      </w:r>
      <w:r w:rsidRPr="005D56E9">
        <w:rPr>
          <w:rFonts w:ascii="Aptos" w:hAnsi="Aptos"/>
          <w:sz w:val="22"/>
          <w:szCs w:val="22"/>
        </w:rPr>
        <w:t xml:space="preserve">, addressing a critical geographic gap. </w:t>
      </w:r>
      <w:r w:rsidR="00C55313" w:rsidRPr="005D56E9">
        <w:rPr>
          <w:rFonts w:ascii="Aptos" w:hAnsi="Aptos"/>
          <w:sz w:val="22"/>
          <w:szCs w:val="22"/>
        </w:rPr>
        <w:t>T</w:t>
      </w:r>
      <w:r w:rsidRPr="005D56E9">
        <w:rPr>
          <w:rFonts w:ascii="Aptos" w:hAnsi="Aptos"/>
          <w:sz w:val="22"/>
          <w:szCs w:val="22"/>
        </w:rPr>
        <w:t>he </w:t>
      </w:r>
      <w:r w:rsidR="00857D1D" w:rsidRPr="005D56E9">
        <w:rPr>
          <w:rFonts w:ascii="Aptos" w:hAnsi="Aptos"/>
          <w:sz w:val="22"/>
          <w:szCs w:val="22"/>
        </w:rPr>
        <w:t xml:space="preserve">closure of </w:t>
      </w:r>
      <w:r w:rsidRPr="005D56E9">
        <w:rPr>
          <w:rFonts w:ascii="Aptos" w:hAnsi="Aptos"/>
          <w:sz w:val="22"/>
          <w:szCs w:val="22"/>
        </w:rPr>
        <w:t xml:space="preserve">NVMC on August 31, 2024, left </w:t>
      </w:r>
      <w:r w:rsidR="00857D1D" w:rsidRPr="005D56E9">
        <w:rPr>
          <w:rFonts w:ascii="Aptos" w:hAnsi="Aptos"/>
          <w:sz w:val="22"/>
          <w:szCs w:val="22"/>
        </w:rPr>
        <w:t>the</w:t>
      </w:r>
      <w:r w:rsidR="00C55313" w:rsidRPr="005D56E9">
        <w:rPr>
          <w:rFonts w:ascii="Aptos" w:hAnsi="Aptos"/>
          <w:sz w:val="22"/>
          <w:szCs w:val="22"/>
        </w:rPr>
        <w:t xml:space="preserve"> </w:t>
      </w:r>
      <w:r w:rsidR="006D4882" w:rsidRPr="005D56E9">
        <w:rPr>
          <w:rFonts w:ascii="Aptos" w:hAnsi="Aptos"/>
          <w:sz w:val="22"/>
          <w:szCs w:val="22"/>
        </w:rPr>
        <w:t xml:space="preserve">surrounding </w:t>
      </w:r>
      <w:r w:rsidR="00C55313" w:rsidRPr="005D56E9">
        <w:rPr>
          <w:rFonts w:ascii="Aptos" w:hAnsi="Aptos"/>
          <w:sz w:val="22"/>
          <w:szCs w:val="22"/>
        </w:rPr>
        <w:t>area</w:t>
      </w:r>
      <w:r w:rsidRPr="005D56E9">
        <w:rPr>
          <w:rFonts w:ascii="Aptos" w:hAnsi="Aptos"/>
          <w:sz w:val="22"/>
          <w:szCs w:val="22"/>
        </w:rPr>
        <w:t xml:space="preserve"> without a local hospital</w:t>
      </w:r>
      <w:r w:rsidR="00C55313" w:rsidRPr="005D56E9">
        <w:rPr>
          <w:rFonts w:ascii="Aptos" w:hAnsi="Aptos"/>
          <w:sz w:val="22"/>
          <w:szCs w:val="22"/>
        </w:rPr>
        <w:t xml:space="preserve"> or ED</w:t>
      </w:r>
      <w:r w:rsidRPr="005D56E9">
        <w:rPr>
          <w:rFonts w:ascii="Aptos" w:hAnsi="Aptos"/>
          <w:sz w:val="22"/>
          <w:szCs w:val="22"/>
        </w:rPr>
        <w:t>, resulting in residents needing to travel further distance</w:t>
      </w:r>
      <w:r w:rsidR="00C55313" w:rsidRPr="005D56E9">
        <w:rPr>
          <w:rFonts w:ascii="Aptos" w:hAnsi="Aptos"/>
          <w:sz w:val="22"/>
          <w:szCs w:val="22"/>
        </w:rPr>
        <w:t>s</w:t>
      </w:r>
      <w:r w:rsidRPr="005D56E9">
        <w:rPr>
          <w:rFonts w:ascii="Aptos" w:hAnsi="Aptos"/>
          <w:sz w:val="22"/>
          <w:szCs w:val="22"/>
        </w:rPr>
        <w:t xml:space="preserve"> to receive emergency medical services. Currently, the nearest comprehensive </w:t>
      </w:r>
      <w:r w:rsidR="00B82AF9" w:rsidRPr="005D56E9">
        <w:rPr>
          <w:rFonts w:ascii="Aptos" w:hAnsi="Aptos"/>
          <w:sz w:val="22"/>
          <w:szCs w:val="22"/>
        </w:rPr>
        <w:t xml:space="preserve">Massachusetts </w:t>
      </w:r>
      <w:r w:rsidRPr="005D56E9">
        <w:rPr>
          <w:rFonts w:ascii="Aptos" w:hAnsi="Aptos"/>
          <w:sz w:val="22"/>
          <w:szCs w:val="22"/>
        </w:rPr>
        <w:t xml:space="preserve">emergency services </w:t>
      </w:r>
      <w:r w:rsidR="0083403C" w:rsidRPr="005D56E9">
        <w:rPr>
          <w:rFonts w:ascii="Aptos" w:hAnsi="Aptos"/>
          <w:sz w:val="22"/>
          <w:szCs w:val="22"/>
        </w:rPr>
        <w:t>are in</w:t>
      </w:r>
      <w:r w:rsidRPr="005D56E9">
        <w:rPr>
          <w:rFonts w:ascii="Aptos" w:hAnsi="Aptos"/>
          <w:sz w:val="22"/>
          <w:szCs w:val="22"/>
        </w:rPr>
        <w:t xml:space="preserve"> Concord</w:t>
      </w:r>
      <w:r w:rsidR="00DA0B3B" w:rsidRPr="005D56E9">
        <w:rPr>
          <w:rFonts w:ascii="Aptos" w:hAnsi="Aptos"/>
          <w:sz w:val="22"/>
          <w:szCs w:val="22"/>
        </w:rPr>
        <w:t>,</w:t>
      </w:r>
      <w:r w:rsidRPr="005D56E9">
        <w:rPr>
          <w:rFonts w:ascii="Aptos" w:hAnsi="Aptos"/>
          <w:sz w:val="22"/>
          <w:szCs w:val="22"/>
        </w:rPr>
        <w:t xml:space="preserve"> Leominster</w:t>
      </w:r>
      <w:r w:rsidR="00DA0B3B" w:rsidRPr="005D56E9">
        <w:rPr>
          <w:rFonts w:ascii="Aptos" w:hAnsi="Aptos"/>
          <w:sz w:val="22"/>
          <w:szCs w:val="22"/>
        </w:rPr>
        <w:t xml:space="preserve"> and Lowell</w:t>
      </w:r>
      <w:r w:rsidRPr="005D56E9">
        <w:rPr>
          <w:rFonts w:ascii="Aptos" w:hAnsi="Aptos"/>
          <w:sz w:val="22"/>
          <w:szCs w:val="22"/>
        </w:rPr>
        <w:t xml:space="preserve">, each </w:t>
      </w:r>
      <w:r w:rsidR="00DA0B3B" w:rsidRPr="005D56E9">
        <w:rPr>
          <w:rFonts w:ascii="Aptos" w:hAnsi="Aptos"/>
          <w:sz w:val="22"/>
          <w:szCs w:val="22"/>
        </w:rPr>
        <w:t>nearly 14 to 18</w:t>
      </w:r>
      <w:r w:rsidRPr="005D56E9">
        <w:rPr>
          <w:rFonts w:ascii="Aptos" w:hAnsi="Aptos"/>
          <w:sz w:val="22"/>
          <w:szCs w:val="22"/>
        </w:rPr>
        <w:t xml:space="preserve"> miles away, requiring 27–30 minutes of travel.</w:t>
      </w:r>
      <w:r w:rsidRPr="005D56E9">
        <w:rPr>
          <w:rStyle w:val="FootnoteReference"/>
          <w:rFonts w:ascii="Aptos" w:hAnsi="Aptos"/>
          <w:sz w:val="22"/>
          <w:szCs w:val="22"/>
        </w:rPr>
        <w:footnoteReference w:id="8"/>
      </w:r>
      <w:r w:rsidRPr="005D56E9">
        <w:rPr>
          <w:rFonts w:ascii="Aptos" w:hAnsi="Aptos"/>
          <w:sz w:val="22"/>
          <w:szCs w:val="22"/>
        </w:rPr>
        <w:t xml:space="preserve"> This distance </w:t>
      </w:r>
      <w:r w:rsidR="00857D1D" w:rsidRPr="005D56E9">
        <w:rPr>
          <w:rFonts w:ascii="Aptos" w:hAnsi="Aptos"/>
          <w:sz w:val="22"/>
          <w:szCs w:val="22"/>
        </w:rPr>
        <w:t xml:space="preserve">increases the strain on the </w:t>
      </w:r>
      <w:r w:rsidR="00443CF9" w:rsidRPr="005D56E9">
        <w:rPr>
          <w:rFonts w:ascii="Aptos" w:hAnsi="Aptos"/>
          <w:sz w:val="22"/>
          <w:szCs w:val="22"/>
        </w:rPr>
        <w:t xml:space="preserve">Commonwealth’s </w:t>
      </w:r>
      <w:r w:rsidR="00857D1D" w:rsidRPr="005D56E9">
        <w:rPr>
          <w:rFonts w:ascii="Aptos" w:hAnsi="Aptos"/>
          <w:sz w:val="22"/>
          <w:szCs w:val="22"/>
        </w:rPr>
        <w:t xml:space="preserve">emergency medical services system and </w:t>
      </w:r>
      <w:r w:rsidRPr="005D56E9">
        <w:rPr>
          <w:rFonts w:ascii="Aptos" w:hAnsi="Aptos"/>
          <w:sz w:val="22"/>
          <w:szCs w:val="22"/>
        </w:rPr>
        <w:t>poses a significant barrier, particularly for residents without reliable transportation. Studies demonstrate that improving transportation access to health</w:t>
      </w:r>
      <w:r w:rsidR="00443CF9" w:rsidRPr="005D56E9">
        <w:rPr>
          <w:rFonts w:ascii="Aptos" w:hAnsi="Aptos"/>
          <w:sz w:val="22"/>
          <w:szCs w:val="22"/>
        </w:rPr>
        <w:t xml:space="preserve"> </w:t>
      </w:r>
      <w:r w:rsidRPr="005D56E9">
        <w:rPr>
          <w:rFonts w:ascii="Aptos" w:hAnsi="Aptos"/>
          <w:sz w:val="22"/>
          <w:szCs w:val="22"/>
        </w:rPr>
        <w:t>care</w:t>
      </w:r>
      <w:r w:rsidR="0083403C" w:rsidRPr="005D56E9">
        <w:rPr>
          <w:rFonts w:ascii="Aptos" w:hAnsi="Aptos"/>
          <w:sz w:val="22"/>
          <w:szCs w:val="22"/>
        </w:rPr>
        <w:t xml:space="preserve"> services</w:t>
      </w:r>
      <w:r w:rsidRPr="005D56E9">
        <w:rPr>
          <w:rFonts w:ascii="Aptos" w:hAnsi="Aptos"/>
          <w:sz w:val="22"/>
          <w:szCs w:val="22"/>
        </w:rPr>
        <w:t xml:space="preserve"> not only enhances patient outcomes but also reduces avoidable costs.</w:t>
      </w:r>
      <w:r w:rsidRPr="005D56E9">
        <w:rPr>
          <w:rStyle w:val="FootnoteReference"/>
          <w:rFonts w:ascii="Aptos" w:hAnsi="Aptos"/>
          <w:sz w:val="22"/>
          <w:szCs w:val="22"/>
        </w:rPr>
        <w:footnoteReference w:id="9"/>
      </w:r>
      <w:r w:rsidRPr="005D56E9">
        <w:rPr>
          <w:rFonts w:ascii="Aptos" w:hAnsi="Aptos"/>
          <w:sz w:val="22"/>
          <w:szCs w:val="22"/>
        </w:rPr>
        <w:t xml:space="preserve"> </w:t>
      </w:r>
      <w:r w:rsidR="00C55313" w:rsidRPr="005D56E9">
        <w:rPr>
          <w:rFonts w:ascii="Aptos" w:hAnsi="Aptos"/>
          <w:sz w:val="22"/>
          <w:szCs w:val="22"/>
        </w:rPr>
        <w:t xml:space="preserve">The </w:t>
      </w:r>
      <w:r w:rsidR="00E52F34">
        <w:rPr>
          <w:rFonts w:ascii="Aptos" w:hAnsi="Aptos"/>
          <w:sz w:val="22"/>
          <w:szCs w:val="22"/>
        </w:rPr>
        <w:t xml:space="preserve">Planned </w:t>
      </w:r>
      <w:r w:rsidR="00C55313" w:rsidRPr="005D56E9">
        <w:rPr>
          <w:rFonts w:ascii="Aptos" w:hAnsi="Aptos"/>
          <w:sz w:val="22"/>
          <w:szCs w:val="22"/>
        </w:rPr>
        <w:t xml:space="preserve">SEF will </w:t>
      </w:r>
      <w:r w:rsidR="0083403C" w:rsidRPr="005D56E9">
        <w:rPr>
          <w:rFonts w:ascii="Aptos" w:hAnsi="Aptos"/>
          <w:sz w:val="22"/>
          <w:szCs w:val="22"/>
        </w:rPr>
        <w:t>be in</w:t>
      </w:r>
      <w:r w:rsidR="00C55313" w:rsidRPr="005D56E9">
        <w:rPr>
          <w:rFonts w:ascii="Aptos" w:hAnsi="Aptos"/>
          <w:sz w:val="22"/>
          <w:szCs w:val="22"/>
        </w:rPr>
        <w:t xml:space="preserve"> Groton, a location chosen in collaboration with the region’s fire and </w:t>
      </w:r>
      <w:r w:rsidR="0009103E" w:rsidRPr="005D56E9">
        <w:rPr>
          <w:rFonts w:ascii="Aptos" w:hAnsi="Aptos"/>
          <w:sz w:val="22"/>
          <w:szCs w:val="22"/>
        </w:rPr>
        <w:t>E</w:t>
      </w:r>
      <w:r w:rsidR="00C55313" w:rsidRPr="005D56E9">
        <w:rPr>
          <w:rFonts w:ascii="Aptos" w:hAnsi="Aptos"/>
          <w:sz w:val="22"/>
          <w:szCs w:val="22"/>
        </w:rPr>
        <w:t xml:space="preserve">MS chiefs and members of the </w:t>
      </w:r>
      <w:r w:rsidR="002A5F36" w:rsidRPr="005D56E9">
        <w:rPr>
          <w:rFonts w:ascii="Aptos" w:hAnsi="Aptos"/>
          <w:sz w:val="22"/>
          <w:szCs w:val="22"/>
        </w:rPr>
        <w:t>Committee</w:t>
      </w:r>
      <w:r w:rsidR="00C55313" w:rsidRPr="005D56E9">
        <w:rPr>
          <w:rFonts w:ascii="Aptos" w:hAnsi="Aptos"/>
          <w:sz w:val="22"/>
          <w:szCs w:val="22"/>
        </w:rPr>
        <w:t>. B</w:t>
      </w:r>
      <w:r w:rsidRPr="005D56E9">
        <w:rPr>
          <w:rFonts w:ascii="Aptos" w:hAnsi="Aptos"/>
          <w:sz w:val="22"/>
          <w:szCs w:val="22"/>
        </w:rPr>
        <w:t xml:space="preserve">y offering </w:t>
      </w:r>
      <w:r w:rsidR="00857D1D" w:rsidRPr="005D56E9">
        <w:rPr>
          <w:rFonts w:ascii="Aptos" w:hAnsi="Aptos"/>
          <w:sz w:val="22"/>
          <w:szCs w:val="22"/>
        </w:rPr>
        <w:t xml:space="preserve">emergency </w:t>
      </w:r>
      <w:r w:rsidRPr="005D56E9">
        <w:rPr>
          <w:rFonts w:ascii="Aptos" w:hAnsi="Aptos"/>
          <w:sz w:val="22"/>
          <w:szCs w:val="22"/>
        </w:rPr>
        <w:t>CT services</w:t>
      </w:r>
      <w:r w:rsidR="00C55313" w:rsidRPr="005D56E9">
        <w:rPr>
          <w:rFonts w:ascii="Aptos" w:hAnsi="Aptos"/>
          <w:sz w:val="22"/>
          <w:szCs w:val="22"/>
        </w:rPr>
        <w:t xml:space="preserve"> in Groton, including CT imaging</w:t>
      </w:r>
      <w:r w:rsidRPr="005D56E9">
        <w:rPr>
          <w:rFonts w:ascii="Aptos" w:hAnsi="Aptos"/>
          <w:sz w:val="22"/>
          <w:szCs w:val="22"/>
        </w:rPr>
        <w:t>, the Proposed Project will help eliminate transportation-related barriers that are known to contribute to delayed treatment and poorer health outcomes.</w:t>
      </w:r>
      <w:r w:rsidRPr="005D56E9">
        <w:rPr>
          <w:rStyle w:val="FootnoteReference"/>
          <w:rFonts w:ascii="Aptos" w:hAnsi="Aptos"/>
          <w:sz w:val="22"/>
          <w:szCs w:val="22"/>
        </w:rPr>
        <w:footnoteReference w:id="10"/>
      </w:r>
    </w:p>
    <w:p w14:paraId="7C532E2A" w14:textId="3A8620C9" w:rsidR="00BF5913" w:rsidRPr="005D56E9" w:rsidRDefault="00BF5913" w:rsidP="005D56E9">
      <w:pPr>
        <w:pStyle w:val="ListParagraph"/>
        <w:numPr>
          <w:ilvl w:val="0"/>
          <w:numId w:val="5"/>
        </w:numPr>
        <w:spacing w:after="120"/>
        <w:contextualSpacing w:val="0"/>
        <w:jc w:val="both"/>
        <w:rPr>
          <w:rFonts w:ascii="Aptos" w:hAnsi="Aptos"/>
          <w:sz w:val="22"/>
          <w:szCs w:val="22"/>
          <w:u w:val="single"/>
        </w:rPr>
      </w:pPr>
      <w:r w:rsidRPr="005D56E9">
        <w:rPr>
          <w:rFonts w:ascii="Aptos" w:hAnsi="Aptos"/>
          <w:sz w:val="22"/>
          <w:szCs w:val="22"/>
          <w:u w:val="single"/>
        </w:rPr>
        <w:t>Use of CT Units in Emergency Care</w:t>
      </w:r>
    </w:p>
    <w:p w14:paraId="25710A3C" w14:textId="350974FC" w:rsidR="00BF5913" w:rsidRPr="005D56E9" w:rsidRDefault="00BF5913" w:rsidP="005D56E9">
      <w:pPr>
        <w:spacing w:after="120"/>
        <w:jc w:val="both"/>
        <w:rPr>
          <w:rFonts w:ascii="Aptos" w:hAnsi="Aptos"/>
          <w:sz w:val="22"/>
          <w:szCs w:val="22"/>
        </w:rPr>
      </w:pPr>
      <w:r w:rsidRPr="005D56E9">
        <w:rPr>
          <w:rFonts w:ascii="Aptos" w:hAnsi="Aptos"/>
          <w:sz w:val="22"/>
          <w:szCs w:val="22"/>
        </w:rPr>
        <w:t>The Proposed Project will improve public health outcomes by expanding timely access to CT imaging for emergency care. CT imaging is a critical diagnostic tool in emergency medicine to identify a wide range of conditions including heart abnormalities, head injuries, pulmonary embolisms, stroke, and acute abdominal pain.</w:t>
      </w:r>
      <w:r w:rsidRPr="005D56E9">
        <w:rPr>
          <w:rStyle w:val="FootnoteReference"/>
          <w:rFonts w:ascii="Aptos" w:hAnsi="Aptos"/>
          <w:sz w:val="22"/>
          <w:szCs w:val="22"/>
        </w:rPr>
        <w:footnoteReference w:id="11"/>
      </w:r>
      <w:r w:rsidRPr="005D56E9">
        <w:rPr>
          <w:rFonts w:ascii="Aptos" w:hAnsi="Aptos"/>
          <w:sz w:val="22"/>
          <w:szCs w:val="22"/>
        </w:rPr>
        <w:t xml:space="preserve"> Many studies have shown that shorter CT turnaround times improve diagnostic accuracy and clinical outcomes, reducing both emergency department and inpatient length of stay, as well as overall hospitalization costs.</w:t>
      </w:r>
      <w:r w:rsidRPr="005D56E9">
        <w:rPr>
          <w:rStyle w:val="FootnoteReference"/>
          <w:rFonts w:ascii="Aptos" w:hAnsi="Aptos"/>
          <w:sz w:val="22"/>
          <w:szCs w:val="22"/>
        </w:rPr>
        <w:footnoteReference w:id="12"/>
      </w:r>
      <w:r w:rsidRPr="005D56E9">
        <w:rPr>
          <w:rFonts w:ascii="Aptos" w:hAnsi="Aptos"/>
          <w:sz w:val="22"/>
          <w:szCs w:val="22"/>
        </w:rPr>
        <w:t xml:space="preserve"> As a result, this Proposed Project will improve patient outcomes in emergency care situations, when timely intervention is of the utmost importance. </w:t>
      </w:r>
    </w:p>
    <w:p w14:paraId="7ED0E304" w14:textId="11E1D3CD" w:rsidR="00BF5913" w:rsidRPr="005D56E9" w:rsidRDefault="00BF5913" w:rsidP="005D56E9">
      <w:pPr>
        <w:spacing w:after="120"/>
        <w:jc w:val="both"/>
        <w:rPr>
          <w:rFonts w:ascii="Aptos" w:hAnsi="Aptos"/>
          <w:sz w:val="22"/>
          <w:szCs w:val="22"/>
        </w:rPr>
      </w:pPr>
      <w:r w:rsidRPr="005D56E9">
        <w:rPr>
          <w:rFonts w:ascii="Aptos" w:hAnsi="Aptos"/>
          <w:sz w:val="22"/>
          <w:szCs w:val="22"/>
        </w:rPr>
        <w:t xml:space="preserve">In accordance with Massachusetts hospital licensure regulations, the Applicant’s </w:t>
      </w:r>
      <w:r w:rsidR="00E52F34">
        <w:rPr>
          <w:rFonts w:ascii="Aptos" w:hAnsi="Aptos"/>
          <w:sz w:val="22"/>
          <w:szCs w:val="22"/>
        </w:rPr>
        <w:t xml:space="preserve">Planned </w:t>
      </w:r>
      <w:r w:rsidRPr="005D56E9">
        <w:rPr>
          <w:rFonts w:ascii="Aptos" w:hAnsi="Aptos"/>
          <w:sz w:val="22"/>
          <w:szCs w:val="22"/>
        </w:rPr>
        <w:t>SEF must possess the capabilities to provide emergency care for patients presenting with symptoms of stroke.</w:t>
      </w:r>
      <w:r w:rsidRPr="005D56E9">
        <w:rPr>
          <w:rStyle w:val="FootnoteReference"/>
          <w:rFonts w:ascii="Aptos" w:hAnsi="Aptos"/>
          <w:sz w:val="22"/>
          <w:szCs w:val="22"/>
        </w:rPr>
        <w:footnoteReference w:id="13"/>
      </w:r>
      <w:r w:rsidRPr="005D56E9">
        <w:rPr>
          <w:rFonts w:ascii="Aptos" w:hAnsi="Aptos"/>
          <w:sz w:val="22"/>
          <w:szCs w:val="22"/>
        </w:rPr>
        <w:t xml:space="preserve"> Timely access to CT imaging is essential in stroke management, as rapid diagnosis directly influences treatment outcomes.</w:t>
      </w:r>
      <w:r w:rsidRPr="005D56E9">
        <w:rPr>
          <w:rStyle w:val="FootnoteReference"/>
          <w:rFonts w:ascii="Aptos" w:hAnsi="Aptos"/>
          <w:sz w:val="22"/>
          <w:szCs w:val="22"/>
        </w:rPr>
        <w:footnoteReference w:id="14"/>
      </w:r>
      <w:r w:rsidRPr="005D56E9">
        <w:rPr>
          <w:rFonts w:ascii="Aptos" w:hAnsi="Aptos"/>
          <w:sz w:val="22"/>
          <w:szCs w:val="22"/>
        </w:rPr>
        <w:t xml:space="preserve"> The median time from stroke symptom onset to arrival at a health</w:t>
      </w:r>
      <w:r w:rsidR="00443CF9" w:rsidRPr="005D56E9">
        <w:rPr>
          <w:rFonts w:ascii="Aptos" w:hAnsi="Aptos"/>
          <w:sz w:val="22"/>
          <w:szCs w:val="22"/>
        </w:rPr>
        <w:t xml:space="preserve"> </w:t>
      </w:r>
      <w:r w:rsidRPr="005D56E9">
        <w:rPr>
          <w:rFonts w:ascii="Aptos" w:hAnsi="Aptos"/>
          <w:sz w:val="22"/>
          <w:szCs w:val="22"/>
        </w:rPr>
        <w:t>care facility is approximately 188 minutes.</w:t>
      </w:r>
      <w:r w:rsidRPr="005D56E9">
        <w:rPr>
          <w:rStyle w:val="FootnoteReference"/>
          <w:rFonts w:ascii="Aptos" w:hAnsi="Aptos"/>
          <w:sz w:val="22"/>
          <w:szCs w:val="22"/>
        </w:rPr>
        <w:footnoteReference w:id="15"/>
      </w:r>
      <w:r w:rsidRPr="005D56E9">
        <w:rPr>
          <w:rFonts w:ascii="Aptos" w:hAnsi="Aptos"/>
          <w:sz w:val="22"/>
          <w:szCs w:val="22"/>
        </w:rPr>
        <w:t xml:space="preserve"> Once a patient arrives, immediate neuroimaging is critical because studies show that each hour of delay in treatment can reduce life expectancy by up to 11 months, and even a 10-minute delay may shorten life expectancy by eight weeks. Neuroimaging plays a central role in stroke care, enabling clinicians to identify the cause of the stroke, guide treatment decisions, and predict patient outcomes. While advances in neuroradiology have contributed to reductions in stroke-related mortality and morbidity, long-term disability and complications remain common.</w:t>
      </w:r>
      <w:r w:rsidRPr="005D56E9">
        <w:rPr>
          <w:rStyle w:val="FootnoteReference"/>
          <w:rFonts w:ascii="Aptos" w:hAnsi="Aptos"/>
          <w:sz w:val="22"/>
          <w:szCs w:val="22"/>
        </w:rPr>
        <w:footnoteReference w:id="16"/>
      </w:r>
      <w:r w:rsidRPr="005D56E9">
        <w:rPr>
          <w:rFonts w:ascii="Aptos" w:hAnsi="Aptos"/>
          <w:sz w:val="22"/>
          <w:szCs w:val="22"/>
        </w:rPr>
        <w:t xml:space="preserve"> These outcomes carry a significant economic burden, with stroke-related health</w:t>
      </w:r>
      <w:r w:rsidR="002C16D3" w:rsidRPr="005D56E9">
        <w:rPr>
          <w:rFonts w:ascii="Aptos" w:hAnsi="Aptos"/>
          <w:sz w:val="22"/>
          <w:szCs w:val="22"/>
        </w:rPr>
        <w:t xml:space="preserve"> </w:t>
      </w:r>
      <w:r w:rsidRPr="005D56E9">
        <w:rPr>
          <w:rFonts w:ascii="Aptos" w:hAnsi="Aptos"/>
          <w:sz w:val="22"/>
          <w:szCs w:val="22"/>
        </w:rPr>
        <w:t>care costs exceeding $34 billion annually in the United States.</w:t>
      </w:r>
      <w:r w:rsidRPr="005D56E9">
        <w:rPr>
          <w:rStyle w:val="FootnoteReference"/>
          <w:rFonts w:ascii="Aptos" w:hAnsi="Aptos"/>
          <w:sz w:val="22"/>
          <w:szCs w:val="22"/>
        </w:rPr>
        <w:footnoteReference w:id="17"/>
      </w:r>
      <w:r w:rsidRPr="005D56E9">
        <w:rPr>
          <w:rFonts w:ascii="Aptos" w:hAnsi="Aptos"/>
          <w:sz w:val="22"/>
          <w:szCs w:val="22"/>
        </w:rPr>
        <w:t xml:space="preserve"> By offering CT services locally, the </w:t>
      </w:r>
      <w:r w:rsidR="00E52F34">
        <w:rPr>
          <w:rFonts w:ascii="Aptos" w:hAnsi="Aptos"/>
          <w:sz w:val="22"/>
          <w:szCs w:val="22"/>
        </w:rPr>
        <w:t xml:space="preserve">Planned </w:t>
      </w:r>
      <w:r w:rsidRPr="005D56E9">
        <w:rPr>
          <w:rFonts w:ascii="Aptos" w:hAnsi="Aptos"/>
          <w:sz w:val="22"/>
          <w:szCs w:val="22"/>
        </w:rPr>
        <w:t>SEF will enable prompt intervention, improve survival rates, and reduce long-term disability for patients in the region.</w:t>
      </w:r>
    </w:p>
    <w:p w14:paraId="2EA1FFB9" w14:textId="43198268" w:rsidR="00BF5913" w:rsidRPr="005D56E9" w:rsidRDefault="00BF5913" w:rsidP="005D56E9">
      <w:pPr>
        <w:pStyle w:val="ListParagraph"/>
        <w:numPr>
          <w:ilvl w:val="0"/>
          <w:numId w:val="5"/>
        </w:numPr>
        <w:spacing w:after="120"/>
        <w:contextualSpacing w:val="0"/>
        <w:jc w:val="both"/>
        <w:rPr>
          <w:rFonts w:ascii="Aptos" w:hAnsi="Aptos"/>
          <w:sz w:val="22"/>
          <w:szCs w:val="22"/>
          <w:u w:val="single"/>
        </w:rPr>
      </w:pPr>
      <w:r w:rsidRPr="005D56E9">
        <w:rPr>
          <w:rFonts w:ascii="Aptos" w:hAnsi="Aptos"/>
          <w:sz w:val="22"/>
          <w:szCs w:val="22"/>
          <w:u w:val="single"/>
        </w:rPr>
        <w:t>Delivery System Transformation</w:t>
      </w:r>
    </w:p>
    <w:p w14:paraId="79912CCD" w14:textId="38A71775" w:rsidR="00BF5913" w:rsidRPr="005D56E9" w:rsidRDefault="00BF5913" w:rsidP="005D56E9">
      <w:pPr>
        <w:spacing w:after="120"/>
        <w:jc w:val="both"/>
        <w:rPr>
          <w:rFonts w:ascii="Aptos" w:hAnsi="Aptos"/>
          <w:sz w:val="22"/>
          <w:szCs w:val="22"/>
        </w:rPr>
      </w:pPr>
      <w:r w:rsidRPr="005D56E9">
        <w:rPr>
          <w:rFonts w:ascii="Aptos" w:hAnsi="Aptos"/>
          <w:sz w:val="22"/>
          <w:szCs w:val="22"/>
        </w:rPr>
        <w:t>To support delivery system transformation and ensure the SEF reflects the needs of the community, the Applicant convened the </w:t>
      </w:r>
      <w:r w:rsidR="005725A5">
        <w:rPr>
          <w:rFonts w:ascii="Aptos" w:hAnsi="Aptos"/>
          <w:sz w:val="22"/>
          <w:szCs w:val="22"/>
        </w:rPr>
        <w:t xml:space="preserve">Nashoba SEF </w:t>
      </w:r>
      <w:r w:rsidRPr="005D56E9">
        <w:rPr>
          <w:rFonts w:ascii="Aptos" w:hAnsi="Aptos"/>
          <w:sz w:val="22"/>
          <w:szCs w:val="22"/>
        </w:rPr>
        <w:t xml:space="preserve">Committee, a dedicated committee </w:t>
      </w:r>
      <w:r w:rsidR="005725A5">
        <w:rPr>
          <w:rFonts w:ascii="Aptos" w:hAnsi="Aptos"/>
          <w:sz w:val="22"/>
          <w:szCs w:val="22"/>
        </w:rPr>
        <w:t xml:space="preserve">that includes </w:t>
      </w:r>
      <w:r w:rsidR="00C55313" w:rsidRPr="005D56E9">
        <w:rPr>
          <w:rFonts w:ascii="Aptos" w:hAnsi="Aptos"/>
          <w:sz w:val="22"/>
          <w:szCs w:val="22"/>
        </w:rPr>
        <w:t xml:space="preserve">members of the </w:t>
      </w:r>
      <w:r w:rsidR="005725A5">
        <w:rPr>
          <w:rFonts w:ascii="Aptos" w:hAnsi="Aptos"/>
          <w:sz w:val="22"/>
          <w:szCs w:val="22"/>
        </w:rPr>
        <w:t xml:space="preserve">Nashoba Valley </w:t>
      </w:r>
      <w:r w:rsidR="005725A5" w:rsidRPr="005D56E9">
        <w:rPr>
          <w:rFonts w:ascii="Aptos" w:hAnsi="Aptos"/>
          <w:sz w:val="22"/>
          <w:szCs w:val="22"/>
        </w:rPr>
        <w:t xml:space="preserve">Health Planning </w:t>
      </w:r>
      <w:r w:rsidR="00C55313" w:rsidRPr="005D56E9">
        <w:rPr>
          <w:rFonts w:ascii="Aptos" w:hAnsi="Aptos"/>
          <w:sz w:val="22"/>
          <w:szCs w:val="22"/>
        </w:rPr>
        <w:t xml:space="preserve">Working Group. The Committee </w:t>
      </w:r>
      <w:r w:rsidR="00F005C9" w:rsidRPr="005D56E9">
        <w:rPr>
          <w:rFonts w:ascii="Aptos" w:hAnsi="Aptos"/>
          <w:sz w:val="22"/>
          <w:szCs w:val="22"/>
        </w:rPr>
        <w:t>is</w:t>
      </w:r>
      <w:r w:rsidR="00C55313" w:rsidRPr="005D56E9">
        <w:rPr>
          <w:rFonts w:ascii="Aptos" w:hAnsi="Aptos"/>
          <w:sz w:val="22"/>
          <w:szCs w:val="22"/>
        </w:rPr>
        <w:t xml:space="preserve"> </w:t>
      </w:r>
      <w:r w:rsidRPr="005D56E9">
        <w:rPr>
          <w:rFonts w:ascii="Aptos" w:hAnsi="Aptos"/>
          <w:sz w:val="22"/>
          <w:szCs w:val="22"/>
        </w:rPr>
        <w:t>composed of representatives from local health and safety organizations</w:t>
      </w:r>
      <w:r w:rsidR="00F005C9" w:rsidRPr="005D56E9">
        <w:rPr>
          <w:rFonts w:ascii="Aptos" w:hAnsi="Aptos"/>
          <w:sz w:val="22"/>
          <w:szCs w:val="22"/>
        </w:rPr>
        <w:t xml:space="preserve"> including</w:t>
      </w:r>
      <w:r w:rsidR="002A5F36" w:rsidRPr="005D56E9">
        <w:rPr>
          <w:rFonts w:ascii="Aptos" w:hAnsi="Aptos"/>
          <w:sz w:val="22"/>
          <w:szCs w:val="22"/>
        </w:rPr>
        <w:t xml:space="preserve"> </w:t>
      </w:r>
      <w:r w:rsidRPr="005D56E9">
        <w:rPr>
          <w:rFonts w:ascii="Aptos" w:hAnsi="Aptos"/>
          <w:sz w:val="22"/>
          <w:szCs w:val="22"/>
        </w:rPr>
        <w:t xml:space="preserve">fire department officials, physicians, veterans’ advocates, and community health leaders, all tasked with guiding the development of a patient-centered care model that integrates both the physical and social needs of area residents. The Committee met </w:t>
      </w:r>
      <w:r w:rsidR="00C55313" w:rsidRPr="005D56E9">
        <w:rPr>
          <w:rFonts w:ascii="Aptos" w:hAnsi="Aptos"/>
          <w:sz w:val="22"/>
          <w:szCs w:val="22"/>
        </w:rPr>
        <w:t>several times in</w:t>
      </w:r>
      <w:r w:rsidRPr="005D56E9">
        <w:rPr>
          <w:rFonts w:ascii="Aptos" w:hAnsi="Aptos"/>
          <w:sz w:val="22"/>
          <w:szCs w:val="22"/>
        </w:rPr>
        <w:t xml:space="preserve"> </w:t>
      </w:r>
      <w:r w:rsidR="002A5F36" w:rsidRPr="005D56E9">
        <w:rPr>
          <w:rFonts w:ascii="Aptos" w:hAnsi="Aptos"/>
          <w:sz w:val="22"/>
          <w:szCs w:val="22"/>
        </w:rPr>
        <w:t>April and</w:t>
      </w:r>
      <w:r w:rsidRPr="005D56E9">
        <w:rPr>
          <w:rFonts w:ascii="Aptos" w:hAnsi="Aptos"/>
          <w:sz w:val="22"/>
          <w:szCs w:val="22"/>
        </w:rPr>
        <w:t xml:space="preserve"> May 2025, to advise </w:t>
      </w:r>
      <w:r w:rsidR="00C55313" w:rsidRPr="005D56E9">
        <w:rPr>
          <w:rFonts w:ascii="Aptos" w:hAnsi="Aptos"/>
          <w:sz w:val="22"/>
          <w:szCs w:val="22"/>
        </w:rPr>
        <w:t xml:space="preserve">the Applicant </w:t>
      </w:r>
      <w:r w:rsidRPr="005D56E9">
        <w:rPr>
          <w:rFonts w:ascii="Aptos" w:hAnsi="Aptos"/>
          <w:sz w:val="22"/>
          <w:szCs w:val="22"/>
        </w:rPr>
        <w:t xml:space="preserve">on emergency service coordination and public education efforts. The </w:t>
      </w:r>
      <w:r w:rsidR="00312C70">
        <w:rPr>
          <w:rFonts w:ascii="Aptos" w:hAnsi="Aptos"/>
          <w:sz w:val="22"/>
          <w:szCs w:val="22"/>
        </w:rPr>
        <w:t>Medical Center</w:t>
      </w:r>
      <w:r w:rsidR="00312C70" w:rsidRPr="005D56E9">
        <w:rPr>
          <w:rFonts w:ascii="Aptos" w:hAnsi="Aptos"/>
          <w:sz w:val="22"/>
          <w:szCs w:val="22"/>
        </w:rPr>
        <w:t xml:space="preserve"> </w:t>
      </w:r>
      <w:r w:rsidRPr="005D56E9">
        <w:rPr>
          <w:rFonts w:ascii="Aptos" w:hAnsi="Aptos"/>
          <w:sz w:val="22"/>
          <w:szCs w:val="22"/>
        </w:rPr>
        <w:t>continues to evaluate and expand committee membership to ensure broad representation from towns within the SEF’s service area.</w:t>
      </w:r>
    </w:p>
    <w:p w14:paraId="74910D5C" w14:textId="77777777" w:rsidR="00BF5913" w:rsidRPr="005D56E9" w:rsidRDefault="00BF5913" w:rsidP="005D56E9">
      <w:pPr>
        <w:spacing w:after="120"/>
        <w:jc w:val="both"/>
        <w:rPr>
          <w:rFonts w:ascii="Aptos" w:hAnsi="Aptos"/>
          <w:sz w:val="22"/>
          <w:szCs w:val="22"/>
        </w:rPr>
      </w:pPr>
      <w:r w:rsidRPr="005D56E9">
        <w:rPr>
          <w:rFonts w:ascii="Aptos" w:hAnsi="Aptos"/>
          <w:sz w:val="22"/>
          <w:szCs w:val="22"/>
        </w:rPr>
        <w:t>As part of its commitment to community engagement and public health improvement, the Applicant has launched a targeted public information campaign in accordance with 105 CMR 130.827. These efforts include:</w:t>
      </w:r>
    </w:p>
    <w:p w14:paraId="7BBA6AF2" w14:textId="77777777" w:rsidR="00BF5913" w:rsidRPr="005D56E9" w:rsidRDefault="00BF5913" w:rsidP="005D56E9">
      <w:pPr>
        <w:numPr>
          <w:ilvl w:val="0"/>
          <w:numId w:val="4"/>
        </w:numPr>
        <w:spacing w:after="120"/>
        <w:jc w:val="both"/>
        <w:rPr>
          <w:rFonts w:ascii="Aptos" w:hAnsi="Aptos"/>
          <w:sz w:val="22"/>
          <w:szCs w:val="22"/>
        </w:rPr>
      </w:pPr>
      <w:r w:rsidRPr="005D56E9">
        <w:rPr>
          <w:rFonts w:ascii="Aptos" w:hAnsi="Aptos"/>
          <w:sz w:val="22"/>
          <w:szCs w:val="22"/>
        </w:rPr>
        <w:t>Participation in local city and town events to raise awareness about emergency services and health safety.</w:t>
      </w:r>
    </w:p>
    <w:p w14:paraId="39A5AEBD" w14:textId="5F1E78CD" w:rsidR="00BF5913" w:rsidRPr="005D56E9" w:rsidRDefault="00BF5913" w:rsidP="005D56E9">
      <w:pPr>
        <w:numPr>
          <w:ilvl w:val="0"/>
          <w:numId w:val="4"/>
        </w:numPr>
        <w:spacing w:after="120"/>
        <w:jc w:val="both"/>
        <w:rPr>
          <w:rFonts w:ascii="Aptos" w:hAnsi="Aptos"/>
          <w:sz w:val="22"/>
          <w:szCs w:val="22"/>
        </w:rPr>
      </w:pPr>
      <w:r w:rsidRPr="005D56E9">
        <w:rPr>
          <w:rFonts w:ascii="Aptos" w:hAnsi="Aptos"/>
          <w:sz w:val="22"/>
          <w:szCs w:val="22"/>
        </w:rPr>
        <w:t>Hosting information tables at public meetings</w:t>
      </w:r>
      <w:r w:rsidR="00B82AF9" w:rsidRPr="005D56E9">
        <w:rPr>
          <w:rFonts w:ascii="Aptos" w:hAnsi="Aptos"/>
          <w:sz w:val="22"/>
          <w:szCs w:val="22"/>
        </w:rPr>
        <w:t xml:space="preserve"> and events</w:t>
      </w:r>
      <w:r w:rsidRPr="005D56E9">
        <w:rPr>
          <w:rFonts w:ascii="Aptos" w:hAnsi="Aptos"/>
          <w:sz w:val="22"/>
          <w:szCs w:val="22"/>
        </w:rPr>
        <w:t>, where residents receive clear, accessible materials outlining SEF services, alternative emergency care options, and the proposed opening date.</w:t>
      </w:r>
    </w:p>
    <w:p w14:paraId="242D66FF" w14:textId="77777777" w:rsidR="00BF5913" w:rsidRPr="005D56E9" w:rsidRDefault="00BF5913" w:rsidP="005D56E9">
      <w:pPr>
        <w:numPr>
          <w:ilvl w:val="0"/>
          <w:numId w:val="4"/>
        </w:numPr>
        <w:spacing w:after="120"/>
        <w:jc w:val="both"/>
        <w:rPr>
          <w:rFonts w:ascii="Aptos" w:hAnsi="Aptos"/>
          <w:sz w:val="22"/>
          <w:szCs w:val="22"/>
        </w:rPr>
      </w:pPr>
      <w:r w:rsidRPr="005D56E9">
        <w:rPr>
          <w:rFonts w:ascii="Aptos" w:hAnsi="Aptos"/>
          <w:sz w:val="22"/>
          <w:szCs w:val="22"/>
        </w:rPr>
        <w:t>Disseminating public safety and prevention education through print and online media channels.</w:t>
      </w:r>
    </w:p>
    <w:p w14:paraId="153034D1" w14:textId="1AA714B2" w:rsidR="00BF5913" w:rsidRPr="005D56E9" w:rsidRDefault="00BF5913" w:rsidP="005D56E9">
      <w:pPr>
        <w:numPr>
          <w:ilvl w:val="0"/>
          <w:numId w:val="4"/>
        </w:numPr>
        <w:spacing w:after="120"/>
        <w:jc w:val="both"/>
        <w:rPr>
          <w:rFonts w:ascii="Aptos" w:hAnsi="Aptos"/>
          <w:sz w:val="22"/>
          <w:szCs w:val="22"/>
        </w:rPr>
      </w:pPr>
      <w:r w:rsidRPr="005D56E9">
        <w:rPr>
          <w:rFonts w:ascii="Aptos" w:hAnsi="Aptos"/>
          <w:sz w:val="22"/>
          <w:szCs w:val="22"/>
        </w:rPr>
        <w:t>Ongoing collaboration with the Committee</w:t>
      </w:r>
      <w:r w:rsidR="00B82AF9" w:rsidRPr="005D56E9">
        <w:rPr>
          <w:rFonts w:ascii="Aptos" w:hAnsi="Aptos"/>
          <w:sz w:val="22"/>
          <w:szCs w:val="22"/>
        </w:rPr>
        <w:t xml:space="preserve"> and other community health-related coalitions</w:t>
      </w:r>
      <w:r w:rsidRPr="005D56E9">
        <w:rPr>
          <w:rFonts w:ascii="Aptos" w:hAnsi="Aptos"/>
          <w:sz w:val="22"/>
          <w:szCs w:val="22"/>
        </w:rPr>
        <w:t xml:space="preserve"> to ensure messaging is responsive to community needs.</w:t>
      </w:r>
    </w:p>
    <w:p w14:paraId="08B8A873" w14:textId="749DA796" w:rsidR="00BF5913" w:rsidRPr="005D56E9" w:rsidRDefault="00BF5913" w:rsidP="005D56E9">
      <w:pPr>
        <w:spacing w:after="120"/>
        <w:jc w:val="both"/>
        <w:rPr>
          <w:rFonts w:ascii="Aptos" w:hAnsi="Aptos"/>
          <w:sz w:val="22"/>
          <w:szCs w:val="22"/>
        </w:rPr>
      </w:pPr>
      <w:r w:rsidRPr="005D56E9">
        <w:rPr>
          <w:rFonts w:ascii="Aptos" w:hAnsi="Aptos"/>
          <w:sz w:val="22"/>
          <w:szCs w:val="22"/>
        </w:rPr>
        <w:t>These initiatives are designed to ensure that residents are informed, engaged, and empowered to access emergency care and preventive services. By integrating community voices into the planning and outreach process, the Applicant is advancing delivery system transformation in alignment with the Commonwealth’s goals for equitable, coordinated, and community-responsive care.</w:t>
      </w:r>
    </w:p>
    <w:p w14:paraId="4FA1E647" w14:textId="16D1AD22" w:rsidR="0009103E" w:rsidRPr="005D56E9" w:rsidRDefault="00BF5913" w:rsidP="000F6DF8">
      <w:pPr>
        <w:spacing w:after="120"/>
        <w:jc w:val="both"/>
        <w:rPr>
          <w:rFonts w:ascii="Aptos" w:hAnsi="Aptos"/>
          <w:b/>
          <w:bCs/>
          <w:sz w:val="22"/>
          <w:szCs w:val="22"/>
        </w:rPr>
      </w:pPr>
      <w:r w:rsidRPr="005D56E9">
        <w:rPr>
          <w:rFonts w:ascii="Aptos" w:hAnsi="Aptos"/>
          <w:sz w:val="22"/>
          <w:szCs w:val="22"/>
        </w:rPr>
        <w:t xml:space="preserve">The Proposed Project will expand access to timely, high-quality emergency care by offering on-site CT imaging at </w:t>
      </w:r>
      <w:r w:rsidR="002A5F36" w:rsidRPr="005D56E9">
        <w:rPr>
          <w:rFonts w:ascii="Aptos" w:hAnsi="Aptos"/>
          <w:sz w:val="22"/>
          <w:szCs w:val="22"/>
        </w:rPr>
        <w:t>the</w:t>
      </w:r>
      <w:r w:rsidRPr="005D56E9">
        <w:rPr>
          <w:rFonts w:ascii="Aptos" w:hAnsi="Aptos"/>
          <w:sz w:val="22"/>
          <w:szCs w:val="22"/>
        </w:rPr>
        <w:t xml:space="preserve"> </w:t>
      </w:r>
      <w:r w:rsidR="00312C70">
        <w:rPr>
          <w:rFonts w:ascii="Aptos" w:hAnsi="Aptos"/>
          <w:sz w:val="22"/>
          <w:szCs w:val="22"/>
        </w:rPr>
        <w:t xml:space="preserve">Planned </w:t>
      </w:r>
      <w:r w:rsidRPr="005D56E9">
        <w:rPr>
          <w:rFonts w:ascii="Aptos" w:hAnsi="Aptos"/>
          <w:sz w:val="22"/>
          <w:szCs w:val="22"/>
        </w:rPr>
        <w:t>SEF, reducing strain on overcrowded EDs and lowering health</w:t>
      </w:r>
      <w:r w:rsidR="002C16D3" w:rsidRPr="005D56E9">
        <w:rPr>
          <w:rFonts w:ascii="Aptos" w:hAnsi="Aptos"/>
          <w:sz w:val="22"/>
          <w:szCs w:val="22"/>
        </w:rPr>
        <w:t xml:space="preserve"> </w:t>
      </w:r>
      <w:r w:rsidRPr="005D56E9">
        <w:rPr>
          <w:rFonts w:ascii="Aptos" w:hAnsi="Aptos"/>
          <w:sz w:val="22"/>
          <w:szCs w:val="22"/>
        </w:rPr>
        <w:t xml:space="preserve">care costs. Further, the Proposed Project addresses a critical geographic gap in </w:t>
      </w:r>
      <w:r w:rsidR="00F005C9" w:rsidRPr="005D56E9">
        <w:rPr>
          <w:rFonts w:ascii="Aptos" w:hAnsi="Aptos"/>
          <w:sz w:val="22"/>
          <w:szCs w:val="22"/>
        </w:rPr>
        <w:t xml:space="preserve">the area </w:t>
      </w:r>
      <w:r w:rsidRPr="005D56E9">
        <w:rPr>
          <w:rFonts w:ascii="Aptos" w:hAnsi="Aptos"/>
          <w:sz w:val="22"/>
          <w:szCs w:val="22"/>
        </w:rPr>
        <w:t>following the closure of NVMC, ensuring residents can access emergency services locally. CT imaging is essential for diagnosing conditions like stroke, where rapid intervention improves outcomes and reduces long-term disability. Through community engagement and collaboration with the Committee, the Applicant is advancing a patient-centered, equitable care model aligned with the Commonwealth’s health</w:t>
      </w:r>
      <w:r w:rsidR="002C16D3" w:rsidRPr="005D56E9">
        <w:rPr>
          <w:rFonts w:ascii="Aptos" w:hAnsi="Aptos"/>
          <w:sz w:val="22"/>
          <w:szCs w:val="22"/>
        </w:rPr>
        <w:t xml:space="preserve"> </w:t>
      </w:r>
      <w:r w:rsidRPr="005D56E9">
        <w:rPr>
          <w:rFonts w:ascii="Aptos" w:hAnsi="Aptos"/>
          <w:sz w:val="22"/>
          <w:szCs w:val="22"/>
        </w:rPr>
        <w:t>care transformation goals.</w:t>
      </w:r>
    </w:p>
    <w:p w14:paraId="5CBD6C05" w14:textId="77777777" w:rsidR="00831784" w:rsidRDefault="00831784" w:rsidP="000F6DF8">
      <w:pPr>
        <w:spacing w:after="120"/>
        <w:jc w:val="both"/>
        <w:rPr>
          <w:rFonts w:ascii="Aptos" w:hAnsi="Aptos"/>
          <w:b/>
          <w:bCs/>
          <w:sz w:val="22"/>
          <w:szCs w:val="22"/>
          <w:u w:val="single"/>
        </w:rPr>
      </w:pPr>
    </w:p>
    <w:p w14:paraId="65D7C8AE" w14:textId="69EA4DF4" w:rsidR="0009103E" w:rsidRPr="005D56E9" w:rsidRDefault="0009103E" w:rsidP="000F6DF8">
      <w:pPr>
        <w:spacing w:after="120"/>
        <w:jc w:val="both"/>
        <w:rPr>
          <w:rFonts w:ascii="Aptos" w:hAnsi="Aptos"/>
          <w:b/>
          <w:bCs/>
          <w:sz w:val="22"/>
          <w:szCs w:val="22"/>
          <w:u w:val="single"/>
        </w:rPr>
      </w:pPr>
      <w:r w:rsidRPr="005D56E9">
        <w:rPr>
          <w:rFonts w:ascii="Aptos" w:hAnsi="Aptos"/>
          <w:b/>
          <w:bCs/>
          <w:sz w:val="22"/>
          <w:szCs w:val="22"/>
          <w:u w:val="single"/>
        </w:rPr>
        <w:t>Factor 4</w:t>
      </w:r>
      <w:r w:rsidR="005D56E9">
        <w:rPr>
          <w:rFonts w:ascii="Aptos" w:hAnsi="Aptos"/>
          <w:b/>
          <w:bCs/>
          <w:sz w:val="22"/>
          <w:szCs w:val="22"/>
          <w:u w:val="single"/>
        </w:rPr>
        <w:t xml:space="preserve">. Financial Feasibility </w:t>
      </w:r>
    </w:p>
    <w:p w14:paraId="582B1B96" w14:textId="063E801D" w:rsidR="000F6DF8" w:rsidRPr="005D56E9" w:rsidRDefault="0009103E" w:rsidP="000F6DF8">
      <w:pPr>
        <w:spacing w:after="120"/>
        <w:jc w:val="both"/>
        <w:rPr>
          <w:rFonts w:ascii="Aptos" w:hAnsi="Aptos"/>
          <w:i/>
          <w:iCs/>
          <w:sz w:val="22"/>
          <w:szCs w:val="22"/>
        </w:rPr>
      </w:pPr>
      <w:r w:rsidRPr="005D56E9">
        <w:rPr>
          <w:rFonts w:ascii="Aptos" w:hAnsi="Aptos"/>
          <w:i/>
          <w:iCs/>
          <w:sz w:val="22"/>
          <w:szCs w:val="22"/>
        </w:rPr>
        <w:t>DPH has waived factor 4.</w:t>
      </w:r>
    </w:p>
    <w:p w14:paraId="3D3308ED" w14:textId="77777777" w:rsidR="00831784" w:rsidRDefault="00831784" w:rsidP="005D56E9">
      <w:pPr>
        <w:spacing w:after="120"/>
        <w:jc w:val="both"/>
        <w:rPr>
          <w:rFonts w:ascii="Aptos" w:hAnsi="Aptos"/>
          <w:b/>
          <w:bCs/>
          <w:sz w:val="22"/>
          <w:szCs w:val="22"/>
          <w:u w:val="single"/>
        </w:rPr>
      </w:pPr>
    </w:p>
    <w:p w14:paraId="5C13F7C3" w14:textId="54EA57B1" w:rsidR="0045648D" w:rsidRPr="005D56E9" w:rsidRDefault="0045648D" w:rsidP="005D56E9">
      <w:pPr>
        <w:spacing w:after="120"/>
        <w:jc w:val="both"/>
        <w:rPr>
          <w:rFonts w:ascii="Aptos" w:hAnsi="Aptos"/>
          <w:b/>
          <w:bCs/>
          <w:sz w:val="22"/>
          <w:szCs w:val="22"/>
          <w:u w:val="single"/>
        </w:rPr>
      </w:pPr>
      <w:r w:rsidRPr="005D56E9">
        <w:rPr>
          <w:rFonts w:ascii="Aptos" w:hAnsi="Aptos"/>
          <w:b/>
          <w:bCs/>
          <w:sz w:val="22"/>
          <w:szCs w:val="22"/>
          <w:u w:val="single"/>
        </w:rPr>
        <w:t>Factor 5</w:t>
      </w:r>
      <w:r w:rsidR="005D56E9">
        <w:rPr>
          <w:rFonts w:ascii="Aptos" w:hAnsi="Aptos"/>
          <w:b/>
          <w:bCs/>
          <w:sz w:val="22"/>
          <w:szCs w:val="22"/>
          <w:u w:val="single"/>
        </w:rPr>
        <w:t xml:space="preserve">. Relative Merit </w:t>
      </w:r>
    </w:p>
    <w:p w14:paraId="5BDF8193" w14:textId="04EBBB3C" w:rsidR="0013742F" w:rsidRPr="005D56E9" w:rsidRDefault="006F12AA" w:rsidP="000F6DF8">
      <w:pPr>
        <w:spacing w:after="120"/>
        <w:jc w:val="both"/>
        <w:rPr>
          <w:rFonts w:ascii="Aptos" w:hAnsi="Aptos"/>
          <w:sz w:val="22"/>
          <w:szCs w:val="22"/>
        </w:rPr>
      </w:pPr>
      <w:r w:rsidRPr="005D56E9">
        <w:rPr>
          <w:rFonts w:ascii="Aptos" w:hAnsi="Aptos"/>
          <w:sz w:val="22"/>
          <w:szCs w:val="22"/>
        </w:rPr>
        <w:t xml:space="preserve">As previously noted, DPH regulations require the provision of CT by all SEFs. </w:t>
      </w:r>
      <w:r w:rsidR="0009103E" w:rsidRPr="005D56E9">
        <w:rPr>
          <w:rFonts w:ascii="Aptos" w:hAnsi="Aptos"/>
          <w:sz w:val="22"/>
          <w:szCs w:val="22"/>
        </w:rPr>
        <w:t xml:space="preserve">There </w:t>
      </w:r>
      <w:proofErr w:type="gramStart"/>
      <w:r w:rsidR="0009103E" w:rsidRPr="005D56E9">
        <w:rPr>
          <w:rFonts w:ascii="Aptos" w:hAnsi="Aptos"/>
          <w:sz w:val="22"/>
          <w:szCs w:val="22"/>
        </w:rPr>
        <w:t>are</w:t>
      </w:r>
      <w:proofErr w:type="gramEnd"/>
      <w:r w:rsidR="0009103E" w:rsidRPr="005D56E9">
        <w:rPr>
          <w:rFonts w:ascii="Aptos" w:hAnsi="Aptos"/>
          <w:sz w:val="22"/>
          <w:szCs w:val="22"/>
        </w:rPr>
        <w:t xml:space="preserve"> no CT units close enough to the </w:t>
      </w:r>
      <w:r w:rsidR="00312C70">
        <w:rPr>
          <w:rFonts w:ascii="Aptos" w:hAnsi="Aptos"/>
          <w:sz w:val="22"/>
          <w:szCs w:val="22"/>
        </w:rPr>
        <w:t>Planned</w:t>
      </w:r>
      <w:r w:rsidR="0009103E" w:rsidRPr="005D56E9">
        <w:rPr>
          <w:rFonts w:ascii="Aptos" w:hAnsi="Aptos"/>
          <w:sz w:val="22"/>
          <w:szCs w:val="22"/>
        </w:rPr>
        <w:t xml:space="preserve"> SEF to provide CT imaging within a clinically appropriate turnaround time. Therefore, </w:t>
      </w:r>
      <w:r w:rsidRPr="005D56E9">
        <w:rPr>
          <w:rFonts w:ascii="Aptos" w:hAnsi="Aptos"/>
          <w:sz w:val="22"/>
          <w:szCs w:val="22"/>
        </w:rPr>
        <w:t xml:space="preserve">the </w:t>
      </w:r>
      <w:r w:rsidR="00312C70">
        <w:rPr>
          <w:rFonts w:ascii="Aptos" w:hAnsi="Aptos"/>
          <w:sz w:val="22"/>
          <w:szCs w:val="22"/>
        </w:rPr>
        <w:t xml:space="preserve">Planned </w:t>
      </w:r>
      <w:r w:rsidRPr="005D56E9">
        <w:rPr>
          <w:rFonts w:ascii="Aptos" w:hAnsi="Aptos"/>
          <w:sz w:val="22"/>
          <w:szCs w:val="22"/>
        </w:rPr>
        <w:t xml:space="preserve">SEF must have its own CT on site to provide care </w:t>
      </w:r>
      <w:proofErr w:type="gramStart"/>
      <w:r w:rsidRPr="005D56E9">
        <w:rPr>
          <w:rFonts w:ascii="Aptos" w:hAnsi="Aptos"/>
          <w:sz w:val="22"/>
          <w:szCs w:val="22"/>
        </w:rPr>
        <w:t>to</w:t>
      </w:r>
      <w:proofErr w:type="gramEnd"/>
      <w:r w:rsidRPr="005D56E9">
        <w:rPr>
          <w:rFonts w:ascii="Aptos" w:hAnsi="Aptos"/>
          <w:sz w:val="22"/>
          <w:szCs w:val="22"/>
        </w:rPr>
        <w:t xml:space="preserve"> patients</w:t>
      </w:r>
      <w:r w:rsidR="0009103E" w:rsidRPr="005D56E9">
        <w:rPr>
          <w:rFonts w:ascii="Aptos" w:hAnsi="Aptos"/>
          <w:sz w:val="22"/>
          <w:szCs w:val="22"/>
        </w:rPr>
        <w:t xml:space="preserve"> and there is no alternative option available</w:t>
      </w:r>
      <w:r w:rsidRPr="005D56E9">
        <w:rPr>
          <w:rFonts w:ascii="Aptos" w:hAnsi="Aptos"/>
          <w:sz w:val="22"/>
          <w:szCs w:val="22"/>
        </w:rPr>
        <w:t xml:space="preserve">. </w:t>
      </w:r>
    </w:p>
    <w:p w14:paraId="20396527" w14:textId="77777777" w:rsidR="00831784" w:rsidRDefault="00831784" w:rsidP="00831784">
      <w:pPr>
        <w:spacing w:after="120"/>
        <w:jc w:val="both"/>
        <w:rPr>
          <w:rFonts w:ascii="Aptos" w:hAnsi="Aptos"/>
          <w:b/>
          <w:bCs/>
          <w:sz w:val="22"/>
          <w:szCs w:val="22"/>
          <w:u w:val="single"/>
        </w:rPr>
      </w:pPr>
    </w:p>
    <w:p w14:paraId="4556EFA6" w14:textId="0453DC5C" w:rsidR="004F43D1" w:rsidRDefault="0045648D" w:rsidP="00831784">
      <w:pPr>
        <w:spacing w:after="120"/>
        <w:jc w:val="both"/>
        <w:rPr>
          <w:rFonts w:ascii="Aptos" w:hAnsi="Aptos"/>
          <w:b/>
          <w:bCs/>
          <w:sz w:val="22"/>
          <w:szCs w:val="22"/>
          <w:u w:val="single"/>
        </w:rPr>
      </w:pPr>
      <w:r w:rsidRPr="005D56E9">
        <w:rPr>
          <w:rFonts w:ascii="Aptos" w:hAnsi="Aptos"/>
          <w:b/>
          <w:bCs/>
          <w:sz w:val="22"/>
          <w:szCs w:val="22"/>
          <w:u w:val="single"/>
        </w:rPr>
        <w:t>Factor 6</w:t>
      </w:r>
      <w:r w:rsidR="005D56E9">
        <w:rPr>
          <w:rFonts w:ascii="Aptos" w:hAnsi="Aptos"/>
          <w:b/>
          <w:bCs/>
          <w:sz w:val="22"/>
          <w:szCs w:val="22"/>
          <w:u w:val="single"/>
        </w:rPr>
        <w:t xml:space="preserve">. Community Health Initiative Narrative </w:t>
      </w:r>
    </w:p>
    <w:p w14:paraId="156B775D" w14:textId="26D043E1" w:rsidR="00BB6324" w:rsidRDefault="00BB6324" w:rsidP="00BB6324">
      <w:pPr>
        <w:spacing w:after="120"/>
        <w:jc w:val="both"/>
        <w:rPr>
          <w:rFonts w:ascii="Aptos" w:hAnsi="Aptos"/>
          <w:i/>
          <w:iCs/>
          <w:sz w:val="22"/>
          <w:szCs w:val="22"/>
        </w:rPr>
      </w:pPr>
      <w:r>
        <w:rPr>
          <w:rFonts w:ascii="Aptos" w:hAnsi="Aptos"/>
          <w:i/>
          <w:iCs/>
          <w:sz w:val="22"/>
          <w:szCs w:val="22"/>
        </w:rPr>
        <w:t xml:space="preserve">Please note that after consulting with the DPH CHI Team, the Applicant is requesting to carryout a local CHI, rather than contributing to the Statewide Fund as suggested by the DoN Director (see Appendix 3). </w:t>
      </w:r>
    </w:p>
    <w:p w14:paraId="7D4E7DE1" w14:textId="006D1B81" w:rsidR="007B7A43" w:rsidRPr="00BB6324" w:rsidRDefault="007B7A43" w:rsidP="00BB6324">
      <w:pPr>
        <w:pStyle w:val="ListParagraph"/>
        <w:numPr>
          <w:ilvl w:val="0"/>
          <w:numId w:val="14"/>
        </w:numPr>
        <w:spacing w:after="120"/>
        <w:jc w:val="both"/>
        <w:rPr>
          <w:rFonts w:ascii="Aptos" w:hAnsi="Aptos"/>
          <w:i/>
          <w:iCs/>
          <w:sz w:val="22"/>
          <w:szCs w:val="22"/>
        </w:rPr>
      </w:pPr>
      <w:r w:rsidRPr="00BB6324">
        <w:rPr>
          <w:rFonts w:ascii="Aptos" w:hAnsi="Aptos"/>
          <w:i/>
          <w:iCs/>
          <w:sz w:val="22"/>
          <w:szCs w:val="22"/>
        </w:rPr>
        <w:t xml:space="preserve">Justification for Local Community Health Initiative </w:t>
      </w:r>
    </w:p>
    <w:p w14:paraId="47400944" w14:textId="1662B71C" w:rsidR="007B7A43" w:rsidRPr="005D56E9" w:rsidRDefault="007B7A43" w:rsidP="005D56E9">
      <w:pPr>
        <w:pStyle w:val="HBblj"/>
        <w:spacing w:after="120"/>
        <w:rPr>
          <w:rFonts w:ascii="Aptos" w:hAnsi="Aptos"/>
          <w:sz w:val="22"/>
          <w:szCs w:val="22"/>
        </w:rPr>
      </w:pPr>
      <w:proofErr w:type="gramStart"/>
      <w:r w:rsidRPr="005D56E9">
        <w:rPr>
          <w:rFonts w:ascii="Aptos" w:hAnsi="Aptos"/>
          <w:sz w:val="22"/>
          <w:szCs w:val="22"/>
        </w:rPr>
        <w:t>At this time</w:t>
      </w:r>
      <w:proofErr w:type="gramEnd"/>
      <w:r w:rsidRPr="005D56E9">
        <w:rPr>
          <w:rFonts w:ascii="Aptos" w:hAnsi="Aptos"/>
          <w:sz w:val="22"/>
          <w:szCs w:val="22"/>
        </w:rPr>
        <w:t xml:space="preserve">, UMass </w:t>
      </w:r>
      <w:r w:rsidR="00B82AF9" w:rsidRPr="005D56E9">
        <w:rPr>
          <w:rFonts w:ascii="Aptos" w:hAnsi="Aptos"/>
          <w:sz w:val="22"/>
          <w:szCs w:val="22"/>
        </w:rPr>
        <w:t xml:space="preserve">Memorial </w:t>
      </w:r>
      <w:r w:rsidRPr="005D56E9">
        <w:rPr>
          <w:rFonts w:ascii="Aptos" w:hAnsi="Aptos"/>
          <w:sz w:val="22"/>
          <w:szCs w:val="22"/>
        </w:rPr>
        <w:t xml:space="preserve">does not have a Community Health Needs Assessment (CHNA) that covers the service area of the </w:t>
      </w:r>
      <w:r w:rsidR="00674C42">
        <w:rPr>
          <w:rFonts w:ascii="Aptos" w:hAnsi="Aptos"/>
          <w:sz w:val="22"/>
          <w:szCs w:val="22"/>
        </w:rPr>
        <w:t>Planned</w:t>
      </w:r>
      <w:r w:rsidR="00674C42" w:rsidRPr="005D56E9">
        <w:rPr>
          <w:rFonts w:ascii="Aptos" w:hAnsi="Aptos"/>
          <w:sz w:val="22"/>
          <w:szCs w:val="22"/>
        </w:rPr>
        <w:t xml:space="preserve"> </w:t>
      </w:r>
      <w:r w:rsidRPr="005D56E9">
        <w:rPr>
          <w:rFonts w:ascii="Aptos" w:hAnsi="Aptos"/>
          <w:sz w:val="22"/>
          <w:szCs w:val="22"/>
        </w:rPr>
        <w:t xml:space="preserve">SEF. However, as </w:t>
      </w:r>
      <w:r w:rsidR="00201A7A" w:rsidRPr="005D56E9">
        <w:rPr>
          <w:rFonts w:ascii="Aptos" w:hAnsi="Aptos"/>
          <w:sz w:val="22"/>
          <w:szCs w:val="22"/>
        </w:rPr>
        <w:t xml:space="preserve">is evident in </w:t>
      </w:r>
      <w:r w:rsidRPr="005D56E9">
        <w:rPr>
          <w:rFonts w:ascii="Aptos" w:hAnsi="Aptos"/>
          <w:sz w:val="22"/>
          <w:szCs w:val="22"/>
        </w:rPr>
        <w:t>UMass</w:t>
      </w:r>
      <w:r w:rsidR="00B82AF9" w:rsidRPr="005D56E9">
        <w:rPr>
          <w:rFonts w:ascii="Aptos" w:hAnsi="Aptos"/>
          <w:sz w:val="22"/>
          <w:szCs w:val="22"/>
        </w:rPr>
        <w:t xml:space="preserve"> Memorial</w:t>
      </w:r>
      <w:r w:rsidRPr="005D56E9">
        <w:rPr>
          <w:rFonts w:ascii="Aptos" w:hAnsi="Aptos"/>
          <w:sz w:val="22"/>
          <w:szCs w:val="22"/>
        </w:rPr>
        <w:t xml:space="preserve">’s decision to operate the </w:t>
      </w:r>
      <w:r w:rsidR="00312C70">
        <w:rPr>
          <w:rFonts w:ascii="Aptos" w:hAnsi="Aptos"/>
          <w:sz w:val="22"/>
          <w:szCs w:val="22"/>
        </w:rPr>
        <w:t>Planned</w:t>
      </w:r>
      <w:r w:rsidR="00312C70" w:rsidRPr="005D56E9">
        <w:rPr>
          <w:rFonts w:ascii="Aptos" w:hAnsi="Aptos"/>
          <w:sz w:val="22"/>
          <w:szCs w:val="22"/>
        </w:rPr>
        <w:t xml:space="preserve"> </w:t>
      </w:r>
      <w:r w:rsidRPr="005D56E9">
        <w:rPr>
          <w:rFonts w:ascii="Aptos" w:hAnsi="Aptos"/>
          <w:sz w:val="22"/>
          <w:szCs w:val="22"/>
        </w:rPr>
        <w:t xml:space="preserve">SEF, UMass </w:t>
      </w:r>
      <w:r w:rsidR="00B82AF9" w:rsidRPr="005D56E9">
        <w:rPr>
          <w:rFonts w:ascii="Aptos" w:hAnsi="Aptos"/>
          <w:sz w:val="22"/>
          <w:szCs w:val="22"/>
        </w:rPr>
        <w:t xml:space="preserve">Memorial </w:t>
      </w:r>
      <w:r w:rsidRPr="005D56E9">
        <w:rPr>
          <w:rFonts w:ascii="Aptos" w:hAnsi="Aptos"/>
          <w:sz w:val="22"/>
          <w:szCs w:val="22"/>
        </w:rPr>
        <w:t xml:space="preserve">is committed to the health and wellbeing of the region and </w:t>
      </w:r>
      <w:r w:rsidR="00201A7A" w:rsidRPr="005D56E9">
        <w:rPr>
          <w:rFonts w:ascii="Aptos" w:hAnsi="Aptos"/>
          <w:sz w:val="22"/>
          <w:szCs w:val="22"/>
        </w:rPr>
        <w:t xml:space="preserve">will further that commitment by </w:t>
      </w:r>
      <w:r w:rsidRPr="005D56E9">
        <w:rPr>
          <w:rFonts w:ascii="Aptos" w:hAnsi="Aptos"/>
          <w:sz w:val="22"/>
          <w:szCs w:val="22"/>
        </w:rPr>
        <w:t>carrying out a local community health initiative (CHI).</w:t>
      </w:r>
      <w:r w:rsidR="00201A7A" w:rsidRPr="005D56E9">
        <w:rPr>
          <w:rFonts w:ascii="Aptos" w:hAnsi="Aptos"/>
          <w:sz w:val="22"/>
          <w:szCs w:val="22"/>
        </w:rPr>
        <w:t xml:space="preserve"> In addition</w:t>
      </w:r>
      <w:r w:rsidR="00E70061" w:rsidRPr="005D56E9">
        <w:rPr>
          <w:rFonts w:ascii="Aptos" w:hAnsi="Aptos"/>
          <w:sz w:val="22"/>
          <w:szCs w:val="22"/>
        </w:rPr>
        <w:t xml:space="preserve">, the Applicant proposes directing the CHI solely within the Nashoba Valley region due to the location of the Proposed Project and because there have been no opportunities for CHIs in this region.  Given the size of this CHI, focusing on one region will also allow these funds to be distributed with the most impact. </w:t>
      </w:r>
    </w:p>
    <w:p w14:paraId="7EB04F17" w14:textId="77777777" w:rsidR="007B7A43" w:rsidRPr="005D56E9" w:rsidRDefault="007B7A43" w:rsidP="005D56E9">
      <w:pPr>
        <w:pStyle w:val="HBblj"/>
        <w:numPr>
          <w:ilvl w:val="0"/>
          <w:numId w:val="6"/>
        </w:numPr>
        <w:spacing w:after="120"/>
        <w:rPr>
          <w:rFonts w:ascii="Aptos" w:hAnsi="Aptos"/>
          <w:i/>
          <w:iCs/>
          <w:sz w:val="22"/>
          <w:szCs w:val="22"/>
        </w:rPr>
      </w:pPr>
      <w:r w:rsidRPr="005D56E9">
        <w:rPr>
          <w:rFonts w:ascii="Aptos" w:hAnsi="Aptos"/>
          <w:i/>
          <w:iCs/>
          <w:sz w:val="22"/>
          <w:szCs w:val="22"/>
        </w:rPr>
        <w:t xml:space="preserve">Community Health Needs Assessment </w:t>
      </w:r>
    </w:p>
    <w:p w14:paraId="4CD719F2" w14:textId="2ACCD61A" w:rsidR="007B7A43" w:rsidRPr="005D56E9" w:rsidRDefault="007B7A43" w:rsidP="005D56E9">
      <w:pPr>
        <w:pStyle w:val="HBblj"/>
        <w:spacing w:after="120"/>
        <w:rPr>
          <w:rFonts w:ascii="Aptos" w:hAnsi="Aptos"/>
          <w:sz w:val="22"/>
          <w:szCs w:val="22"/>
        </w:rPr>
      </w:pPr>
      <w:r w:rsidRPr="005D56E9">
        <w:rPr>
          <w:rFonts w:ascii="Aptos" w:hAnsi="Aptos"/>
          <w:sz w:val="22"/>
          <w:szCs w:val="22"/>
        </w:rPr>
        <w:t xml:space="preserve">In lieu of a CHNA conducted by a UMass </w:t>
      </w:r>
      <w:r w:rsidR="00B82AF9" w:rsidRPr="005D56E9">
        <w:rPr>
          <w:rFonts w:ascii="Aptos" w:hAnsi="Aptos"/>
          <w:sz w:val="22"/>
          <w:szCs w:val="22"/>
        </w:rPr>
        <w:t xml:space="preserve">Memorial </w:t>
      </w:r>
      <w:r w:rsidRPr="005D56E9">
        <w:rPr>
          <w:rFonts w:ascii="Aptos" w:hAnsi="Aptos"/>
          <w:sz w:val="22"/>
          <w:szCs w:val="22"/>
        </w:rPr>
        <w:t xml:space="preserve">community hospital member, UMass </w:t>
      </w:r>
      <w:r w:rsidR="00B82AF9" w:rsidRPr="005D56E9">
        <w:rPr>
          <w:rFonts w:ascii="Aptos" w:hAnsi="Aptos"/>
          <w:sz w:val="22"/>
          <w:szCs w:val="22"/>
        </w:rPr>
        <w:t xml:space="preserve">Memorial </w:t>
      </w:r>
      <w:r w:rsidRPr="005D56E9">
        <w:rPr>
          <w:rFonts w:ascii="Aptos" w:hAnsi="Aptos"/>
          <w:sz w:val="22"/>
          <w:szCs w:val="22"/>
        </w:rPr>
        <w:t xml:space="preserve">seeks to use the CHNA currently being prepared by the Nashoba </w:t>
      </w:r>
      <w:r w:rsidR="006D4882" w:rsidRPr="005D56E9">
        <w:rPr>
          <w:rFonts w:ascii="Aptos" w:hAnsi="Aptos"/>
          <w:sz w:val="22"/>
          <w:szCs w:val="22"/>
        </w:rPr>
        <w:t xml:space="preserve">Associated </w:t>
      </w:r>
      <w:r w:rsidRPr="005D56E9">
        <w:rPr>
          <w:rFonts w:ascii="Aptos" w:hAnsi="Aptos"/>
          <w:sz w:val="22"/>
          <w:szCs w:val="22"/>
        </w:rPr>
        <w:t>Boards of Health</w:t>
      </w:r>
      <w:r w:rsidR="006D4882" w:rsidRPr="005D56E9">
        <w:rPr>
          <w:rFonts w:ascii="Aptos" w:hAnsi="Aptos"/>
          <w:sz w:val="22"/>
          <w:szCs w:val="22"/>
        </w:rPr>
        <w:t xml:space="preserve"> (NABH)</w:t>
      </w:r>
      <w:r w:rsidRPr="005D56E9">
        <w:rPr>
          <w:rFonts w:ascii="Aptos" w:hAnsi="Aptos"/>
          <w:sz w:val="22"/>
          <w:szCs w:val="22"/>
        </w:rPr>
        <w:t xml:space="preserve">.  This CHNA will be completed in </w:t>
      </w:r>
      <w:proofErr w:type="gramStart"/>
      <w:r w:rsidRPr="005D56E9">
        <w:rPr>
          <w:rFonts w:ascii="Aptos" w:hAnsi="Aptos"/>
          <w:sz w:val="22"/>
          <w:szCs w:val="22"/>
        </w:rPr>
        <w:t>December,</w:t>
      </w:r>
      <w:proofErr w:type="gramEnd"/>
      <w:r w:rsidRPr="005D56E9">
        <w:rPr>
          <w:rFonts w:ascii="Aptos" w:hAnsi="Aptos"/>
          <w:sz w:val="22"/>
          <w:szCs w:val="22"/>
        </w:rPr>
        <w:t xml:space="preserve"> 2025. </w:t>
      </w:r>
      <w:r w:rsidR="0096204E" w:rsidRPr="00072DB7">
        <w:rPr>
          <w:rFonts w:ascii="Aptos" w:hAnsi="Aptos"/>
          <w:sz w:val="22"/>
          <w:szCs w:val="22"/>
        </w:rPr>
        <w:t>The Applicant proposes using this CHNA</w:t>
      </w:r>
      <w:r w:rsidR="0096204E">
        <w:rPr>
          <w:rFonts w:ascii="Aptos" w:hAnsi="Aptos"/>
          <w:sz w:val="22"/>
          <w:szCs w:val="22"/>
        </w:rPr>
        <w:t xml:space="preserve"> for the following reasons: </w:t>
      </w:r>
    </w:p>
    <w:p w14:paraId="730B24AA" w14:textId="17D9C9D3" w:rsidR="007B7A43" w:rsidRPr="005D56E9" w:rsidRDefault="00E70061" w:rsidP="005D56E9">
      <w:pPr>
        <w:pStyle w:val="HBblj"/>
        <w:numPr>
          <w:ilvl w:val="0"/>
          <w:numId w:val="7"/>
        </w:numPr>
        <w:spacing w:after="120"/>
        <w:rPr>
          <w:rFonts w:ascii="Aptos" w:hAnsi="Aptos"/>
          <w:sz w:val="22"/>
          <w:szCs w:val="22"/>
        </w:rPr>
      </w:pPr>
      <w:r w:rsidRPr="005D56E9">
        <w:rPr>
          <w:rFonts w:ascii="Aptos" w:hAnsi="Aptos"/>
          <w:sz w:val="22"/>
          <w:szCs w:val="22"/>
        </w:rPr>
        <w:t>The</w:t>
      </w:r>
      <w:r w:rsidR="00312C70">
        <w:rPr>
          <w:rFonts w:ascii="Aptos" w:hAnsi="Aptos"/>
          <w:sz w:val="22"/>
          <w:szCs w:val="22"/>
        </w:rPr>
        <w:t xml:space="preserve"> </w:t>
      </w:r>
      <w:r w:rsidR="0096204E">
        <w:rPr>
          <w:rFonts w:ascii="Aptos" w:hAnsi="Aptos"/>
          <w:sz w:val="22"/>
          <w:szCs w:val="22"/>
        </w:rPr>
        <w:t xml:space="preserve">NABH </w:t>
      </w:r>
      <w:r w:rsidRPr="005D56E9">
        <w:rPr>
          <w:rFonts w:ascii="Aptos" w:hAnsi="Aptos"/>
          <w:sz w:val="22"/>
          <w:szCs w:val="22"/>
        </w:rPr>
        <w:t xml:space="preserve">CHNA is </w:t>
      </w:r>
      <w:r w:rsidR="0096204E">
        <w:rPr>
          <w:rFonts w:ascii="Aptos" w:hAnsi="Aptos"/>
          <w:sz w:val="22"/>
          <w:szCs w:val="22"/>
        </w:rPr>
        <w:t xml:space="preserve">being </w:t>
      </w:r>
      <w:r w:rsidR="007B7A43" w:rsidRPr="005D56E9">
        <w:rPr>
          <w:rFonts w:ascii="Aptos" w:hAnsi="Aptos"/>
          <w:sz w:val="22"/>
          <w:szCs w:val="22"/>
        </w:rPr>
        <w:t>conduct</w:t>
      </w:r>
      <w:r w:rsidR="0096204E">
        <w:rPr>
          <w:rFonts w:ascii="Aptos" w:hAnsi="Aptos"/>
          <w:sz w:val="22"/>
          <w:szCs w:val="22"/>
        </w:rPr>
        <w:t>ed using</w:t>
      </w:r>
      <w:r w:rsidR="007B7A43" w:rsidRPr="005D56E9">
        <w:rPr>
          <w:rFonts w:ascii="Aptos" w:hAnsi="Aptos"/>
          <w:sz w:val="22"/>
          <w:szCs w:val="22"/>
        </w:rPr>
        <w:t xml:space="preserve"> an identical mixed-methods approach with secondary data collection and analysis, primary data collection through interviews and focus groups and a survey. </w:t>
      </w:r>
    </w:p>
    <w:p w14:paraId="0D8A801A" w14:textId="65E61217" w:rsidR="007B7A43" w:rsidRPr="005D56E9" w:rsidRDefault="00E70061" w:rsidP="005D56E9">
      <w:pPr>
        <w:pStyle w:val="HBblj"/>
        <w:numPr>
          <w:ilvl w:val="0"/>
          <w:numId w:val="8"/>
        </w:numPr>
        <w:spacing w:after="120"/>
        <w:rPr>
          <w:rFonts w:ascii="Aptos" w:hAnsi="Aptos"/>
          <w:sz w:val="22"/>
          <w:szCs w:val="22"/>
        </w:rPr>
      </w:pPr>
      <w:r w:rsidRPr="005D56E9">
        <w:rPr>
          <w:rFonts w:ascii="Aptos" w:hAnsi="Aptos"/>
          <w:sz w:val="22"/>
          <w:szCs w:val="22"/>
        </w:rPr>
        <w:t>The</w:t>
      </w:r>
      <w:r w:rsidR="007B7A43" w:rsidRPr="005D56E9">
        <w:rPr>
          <w:rFonts w:ascii="Aptos" w:hAnsi="Aptos"/>
          <w:sz w:val="22"/>
          <w:szCs w:val="22"/>
        </w:rPr>
        <w:t xml:space="preserve"> secondary data list includes measures on demographics, built environment, education, employment, housing, social environment (</w:t>
      </w:r>
      <w:r w:rsidR="00B82AF9" w:rsidRPr="005D56E9">
        <w:rPr>
          <w:rFonts w:ascii="Aptos" w:hAnsi="Aptos"/>
          <w:sz w:val="22"/>
          <w:szCs w:val="22"/>
        </w:rPr>
        <w:t>mental health</w:t>
      </w:r>
      <w:r w:rsidR="007B7A43" w:rsidRPr="005D56E9">
        <w:rPr>
          <w:rFonts w:ascii="Aptos" w:hAnsi="Aptos"/>
          <w:sz w:val="22"/>
          <w:szCs w:val="22"/>
        </w:rPr>
        <w:t xml:space="preserve">, </w:t>
      </w:r>
      <w:r w:rsidR="00B82AF9" w:rsidRPr="005D56E9">
        <w:rPr>
          <w:rFonts w:ascii="Aptos" w:hAnsi="Aptos"/>
          <w:sz w:val="22"/>
          <w:szCs w:val="22"/>
        </w:rPr>
        <w:t>substance use disorder</w:t>
      </w:r>
      <w:r w:rsidR="007B7A43" w:rsidRPr="005D56E9">
        <w:rPr>
          <w:rFonts w:ascii="Aptos" w:hAnsi="Aptos"/>
          <w:sz w:val="22"/>
          <w:szCs w:val="22"/>
        </w:rPr>
        <w:t>, nutrition access), domestic violence (where data is available) and chronic disease. </w:t>
      </w:r>
    </w:p>
    <w:p w14:paraId="1561201E" w14:textId="192073D4" w:rsidR="007B7A43" w:rsidRPr="005D56E9" w:rsidRDefault="00E70061" w:rsidP="005D56E9">
      <w:pPr>
        <w:pStyle w:val="HBblj"/>
        <w:numPr>
          <w:ilvl w:val="0"/>
          <w:numId w:val="9"/>
        </w:numPr>
        <w:spacing w:after="120"/>
        <w:rPr>
          <w:rFonts w:ascii="Aptos" w:hAnsi="Aptos"/>
          <w:sz w:val="22"/>
          <w:szCs w:val="22"/>
        </w:rPr>
      </w:pPr>
      <w:r w:rsidRPr="005D56E9">
        <w:rPr>
          <w:rFonts w:ascii="Aptos" w:hAnsi="Aptos"/>
          <w:sz w:val="22"/>
          <w:szCs w:val="22"/>
        </w:rPr>
        <w:t>The s</w:t>
      </w:r>
      <w:r w:rsidR="007B7A43" w:rsidRPr="005D56E9">
        <w:rPr>
          <w:rFonts w:ascii="Aptos" w:hAnsi="Aptos"/>
          <w:sz w:val="22"/>
          <w:szCs w:val="22"/>
        </w:rPr>
        <w:t>ervice area is defined as the municipalities w</w:t>
      </w:r>
      <w:r w:rsidRPr="005D56E9">
        <w:rPr>
          <w:rFonts w:ascii="Aptos" w:hAnsi="Aptos"/>
          <w:sz w:val="22"/>
          <w:szCs w:val="22"/>
        </w:rPr>
        <w:t>ith</w:t>
      </w:r>
      <w:r w:rsidR="007B7A43" w:rsidRPr="005D56E9">
        <w:rPr>
          <w:rFonts w:ascii="Aptos" w:hAnsi="Aptos"/>
          <w:sz w:val="22"/>
          <w:szCs w:val="22"/>
        </w:rPr>
        <w:t>in the NABH footprint</w:t>
      </w:r>
      <w:r w:rsidR="0096204E">
        <w:rPr>
          <w:rFonts w:ascii="Aptos" w:hAnsi="Aptos"/>
          <w:sz w:val="22"/>
          <w:szCs w:val="22"/>
        </w:rPr>
        <w:t>.</w:t>
      </w:r>
    </w:p>
    <w:p w14:paraId="63604838" w14:textId="48E041E7" w:rsidR="000F6DF8" w:rsidRDefault="00E70061" w:rsidP="005D56E9">
      <w:pPr>
        <w:pStyle w:val="HBblj"/>
        <w:numPr>
          <w:ilvl w:val="0"/>
          <w:numId w:val="10"/>
        </w:numPr>
        <w:spacing w:after="120"/>
        <w:rPr>
          <w:rFonts w:ascii="Aptos" w:hAnsi="Aptos"/>
          <w:sz w:val="22"/>
          <w:szCs w:val="22"/>
        </w:rPr>
      </w:pPr>
      <w:r w:rsidRPr="005D56E9">
        <w:rPr>
          <w:rFonts w:ascii="Aptos" w:hAnsi="Aptos"/>
          <w:sz w:val="22"/>
          <w:szCs w:val="22"/>
        </w:rPr>
        <w:t>The NABH</w:t>
      </w:r>
      <w:r w:rsidR="00201A7A" w:rsidRPr="005D56E9">
        <w:rPr>
          <w:rFonts w:ascii="Aptos" w:hAnsi="Aptos"/>
          <w:sz w:val="22"/>
          <w:szCs w:val="22"/>
        </w:rPr>
        <w:t xml:space="preserve"> </w:t>
      </w:r>
      <w:r w:rsidRPr="005D56E9">
        <w:rPr>
          <w:rFonts w:ascii="Aptos" w:hAnsi="Aptos"/>
          <w:sz w:val="22"/>
          <w:szCs w:val="22"/>
        </w:rPr>
        <w:t>has</w:t>
      </w:r>
      <w:r w:rsidR="007B7A43" w:rsidRPr="005D56E9">
        <w:rPr>
          <w:rFonts w:ascii="Aptos" w:hAnsi="Aptos"/>
          <w:sz w:val="22"/>
          <w:szCs w:val="22"/>
        </w:rPr>
        <w:t xml:space="preserve"> equity champions who are engaged to help shape the process so that it is responsive to and reflective of some of NABH's most underserved communities. </w:t>
      </w:r>
    </w:p>
    <w:p w14:paraId="64041462" w14:textId="21767EF2" w:rsidR="00E70061" w:rsidRPr="005D56E9" w:rsidRDefault="0096204E" w:rsidP="005D56E9">
      <w:pPr>
        <w:pStyle w:val="Heading1"/>
        <w:spacing w:after="120"/>
        <w:jc w:val="both"/>
        <w:rPr>
          <w:rFonts w:ascii="Aptos" w:hAnsi="Aptos"/>
          <w:sz w:val="22"/>
          <w:szCs w:val="22"/>
        </w:rPr>
      </w:pPr>
      <w:r>
        <w:rPr>
          <w:rFonts w:ascii="Aptos" w:hAnsi="Aptos"/>
          <w:sz w:val="22"/>
          <w:szCs w:val="22"/>
        </w:rPr>
        <w:t>Additionally, the NABH CHNA</w:t>
      </w:r>
      <w:r w:rsidR="000F6DF8" w:rsidRPr="00072DB7">
        <w:rPr>
          <w:rFonts w:ascii="Aptos" w:hAnsi="Aptos"/>
          <w:sz w:val="22"/>
          <w:szCs w:val="22"/>
        </w:rPr>
        <w:t xml:space="preserve"> covers the appropriate regional area and focuses on the social determinants of health needs of the community as well as the medical care needs. The Applicant considered available or upcoming CHNAs for local communities.  Several did not cover the full community to be served by the SEF, while other available sources of information, such as the work of the Working Group, while of great value, do not have the same focus as </w:t>
      </w:r>
      <w:proofErr w:type="gramStart"/>
      <w:r w:rsidR="000F6DF8" w:rsidRPr="00072DB7">
        <w:rPr>
          <w:rFonts w:ascii="Aptos" w:hAnsi="Aptos"/>
          <w:sz w:val="22"/>
          <w:szCs w:val="22"/>
        </w:rPr>
        <w:t>a traditional</w:t>
      </w:r>
      <w:proofErr w:type="gramEnd"/>
      <w:r w:rsidR="000F6DF8" w:rsidRPr="00072DB7">
        <w:rPr>
          <w:rFonts w:ascii="Aptos" w:hAnsi="Aptos"/>
          <w:sz w:val="22"/>
          <w:szCs w:val="22"/>
        </w:rPr>
        <w:t xml:space="preserve"> CHNA. The NABH CHNA will help the Applicant and the </w:t>
      </w:r>
      <w:r w:rsidR="000F6DF8">
        <w:rPr>
          <w:rFonts w:ascii="Aptos" w:hAnsi="Aptos"/>
          <w:sz w:val="22"/>
          <w:szCs w:val="22"/>
        </w:rPr>
        <w:t xml:space="preserve">Groton </w:t>
      </w:r>
      <w:r w:rsidR="000F6DF8" w:rsidRPr="00072DB7">
        <w:rPr>
          <w:rFonts w:ascii="Aptos" w:hAnsi="Aptos"/>
          <w:sz w:val="22"/>
          <w:szCs w:val="22"/>
        </w:rPr>
        <w:t xml:space="preserve">Community Advisory Board (CAB) </w:t>
      </w:r>
      <w:r w:rsidR="000F6DF8">
        <w:rPr>
          <w:rFonts w:ascii="Aptos" w:hAnsi="Aptos"/>
          <w:sz w:val="22"/>
          <w:szCs w:val="22"/>
        </w:rPr>
        <w:t xml:space="preserve">it will form for this CHI to </w:t>
      </w:r>
      <w:r w:rsidR="000F6DF8" w:rsidRPr="00072DB7">
        <w:rPr>
          <w:rFonts w:ascii="Aptos" w:hAnsi="Aptos"/>
          <w:color w:val="242424"/>
          <w:sz w:val="22"/>
          <w:szCs w:val="22"/>
        </w:rPr>
        <w:t xml:space="preserve">better understand the needs of the region, will help identify major challenges faced by vulnerable communities, including families, caregivers, and service providers, and will aid in finding root causes and potential solutions.  </w:t>
      </w:r>
    </w:p>
    <w:p w14:paraId="098450D9" w14:textId="17068ABD" w:rsidR="00E607E2" w:rsidRPr="005D56E9" w:rsidRDefault="00E607E2" w:rsidP="005D56E9">
      <w:pPr>
        <w:pStyle w:val="Heading1"/>
        <w:numPr>
          <w:ilvl w:val="0"/>
          <w:numId w:val="6"/>
        </w:numPr>
        <w:spacing w:after="120"/>
        <w:jc w:val="both"/>
        <w:rPr>
          <w:rFonts w:ascii="Aptos" w:hAnsi="Aptos"/>
          <w:i/>
          <w:iCs/>
          <w:sz w:val="22"/>
          <w:szCs w:val="22"/>
        </w:rPr>
      </w:pPr>
      <w:r w:rsidRPr="005D56E9">
        <w:rPr>
          <w:rFonts w:ascii="Aptos" w:hAnsi="Aptos"/>
          <w:i/>
          <w:iCs/>
          <w:sz w:val="22"/>
          <w:szCs w:val="22"/>
        </w:rPr>
        <w:t>Timeline for Partner Assessments Submission</w:t>
      </w:r>
    </w:p>
    <w:p w14:paraId="2D8778A8" w14:textId="07C4FAA3" w:rsidR="00C5676F" w:rsidRPr="005D56E9" w:rsidRDefault="00E607E2" w:rsidP="005D56E9">
      <w:pPr>
        <w:spacing w:after="120"/>
        <w:jc w:val="both"/>
        <w:rPr>
          <w:rFonts w:ascii="Aptos" w:hAnsi="Aptos"/>
          <w:sz w:val="22"/>
          <w:szCs w:val="22"/>
        </w:rPr>
      </w:pPr>
      <w:r w:rsidRPr="005D56E9">
        <w:rPr>
          <w:rFonts w:ascii="Aptos" w:hAnsi="Aptos"/>
          <w:sz w:val="22"/>
          <w:szCs w:val="22"/>
        </w:rPr>
        <w:t xml:space="preserve">Within three months from </w:t>
      </w:r>
      <w:r w:rsidR="000F6DF8">
        <w:rPr>
          <w:rFonts w:ascii="Aptos" w:hAnsi="Aptos"/>
          <w:sz w:val="22"/>
          <w:szCs w:val="22"/>
        </w:rPr>
        <w:t>forming</w:t>
      </w:r>
      <w:r w:rsidRPr="005D56E9">
        <w:rPr>
          <w:rFonts w:ascii="Aptos" w:hAnsi="Aptos"/>
          <w:sz w:val="22"/>
          <w:szCs w:val="22"/>
        </w:rPr>
        <w:t xml:space="preserve"> the </w:t>
      </w:r>
      <w:r w:rsidR="000F6DF8">
        <w:rPr>
          <w:rFonts w:ascii="Aptos" w:hAnsi="Aptos"/>
          <w:sz w:val="22"/>
          <w:szCs w:val="22"/>
        </w:rPr>
        <w:t>Groton CAB</w:t>
      </w:r>
      <w:r w:rsidR="00922CB9" w:rsidRPr="005D56E9">
        <w:rPr>
          <w:rFonts w:ascii="Aptos" w:hAnsi="Aptos"/>
          <w:sz w:val="22"/>
          <w:szCs w:val="22"/>
        </w:rPr>
        <w:t xml:space="preserve">, the Applicant will work with </w:t>
      </w:r>
      <w:r w:rsidR="00831784">
        <w:rPr>
          <w:rFonts w:ascii="Aptos" w:hAnsi="Aptos"/>
          <w:sz w:val="22"/>
          <w:szCs w:val="22"/>
        </w:rPr>
        <w:t xml:space="preserve">the CAB </w:t>
      </w:r>
      <w:r w:rsidR="000F6DF8">
        <w:rPr>
          <w:rFonts w:ascii="Aptos" w:hAnsi="Aptos"/>
          <w:sz w:val="22"/>
          <w:szCs w:val="22"/>
        </w:rPr>
        <w:t>members</w:t>
      </w:r>
      <w:r w:rsidR="00922CB9" w:rsidRPr="005D56E9">
        <w:rPr>
          <w:rFonts w:ascii="Aptos" w:hAnsi="Aptos"/>
          <w:sz w:val="22"/>
          <w:szCs w:val="22"/>
        </w:rPr>
        <w:t xml:space="preserve"> to complete and submit </w:t>
      </w:r>
      <w:r w:rsidR="00831784">
        <w:rPr>
          <w:rFonts w:ascii="Aptos" w:hAnsi="Aptos"/>
          <w:sz w:val="22"/>
          <w:szCs w:val="22"/>
        </w:rPr>
        <w:t xml:space="preserve">individual </w:t>
      </w:r>
      <w:r w:rsidR="00922CB9" w:rsidRPr="005D56E9">
        <w:rPr>
          <w:rFonts w:ascii="Aptos" w:hAnsi="Aptos"/>
          <w:sz w:val="22"/>
          <w:szCs w:val="22"/>
        </w:rPr>
        <w:t xml:space="preserve">Partner Assessments to DPH.  </w:t>
      </w:r>
    </w:p>
    <w:sectPr w:rsidR="00C5676F" w:rsidRPr="005D56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2820" w14:textId="77777777" w:rsidR="00C5676F" w:rsidRDefault="00C5676F" w:rsidP="00C5676F">
      <w:r>
        <w:separator/>
      </w:r>
    </w:p>
  </w:endnote>
  <w:endnote w:type="continuationSeparator" w:id="0">
    <w:p w14:paraId="3125B8EB" w14:textId="77777777" w:rsidR="00C5676F" w:rsidRDefault="00C5676F" w:rsidP="00C5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B387" w14:textId="4707FA9E" w:rsidR="000D5FEB" w:rsidRDefault="000D5FEB" w:rsidP="004E509A">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17B3" w14:textId="77777777" w:rsidR="009F6E4E" w:rsidRDefault="009F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F6F8" w14:textId="1826660E" w:rsidR="000D5FEB" w:rsidRDefault="000D5FEB" w:rsidP="004E509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1738" w14:textId="77777777" w:rsidR="00C5676F" w:rsidRDefault="00C5676F" w:rsidP="00C5676F">
      <w:r>
        <w:separator/>
      </w:r>
    </w:p>
  </w:footnote>
  <w:footnote w:type="continuationSeparator" w:id="0">
    <w:p w14:paraId="14A468BB" w14:textId="77777777" w:rsidR="00C5676F" w:rsidRDefault="00C5676F" w:rsidP="00C5676F">
      <w:r>
        <w:continuationSeparator/>
      </w:r>
    </w:p>
  </w:footnote>
  <w:footnote w:id="1">
    <w:p w14:paraId="38CA51C0" w14:textId="77777777" w:rsidR="000D118D" w:rsidRPr="004C195F" w:rsidRDefault="000D118D" w:rsidP="000D118D">
      <w:pPr>
        <w:pStyle w:val="FootnoteText"/>
        <w:rPr>
          <w:sz w:val="16"/>
          <w:szCs w:val="16"/>
        </w:rPr>
      </w:pPr>
      <w:r w:rsidRPr="004C195F">
        <w:rPr>
          <w:rStyle w:val="FootnoteReference"/>
          <w:sz w:val="16"/>
          <w:szCs w:val="16"/>
        </w:rPr>
        <w:footnoteRef/>
      </w:r>
      <w:r w:rsidRPr="004C195F">
        <w:rPr>
          <w:sz w:val="16"/>
          <w:szCs w:val="16"/>
        </w:rPr>
        <w:t xml:space="preserve"> UMass Memorial Health -</w:t>
      </w:r>
      <w:r>
        <w:rPr>
          <w:sz w:val="16"/>
          <w:szCs w:val="16"/>
        </w:rPr>
        <w:t xml:space="preserve"> </w:t>
      </w:r>
      <w:r w:rsidRPr="004C195F">
        <w:rPr>
          <w:sz w:val="16"/>
          <w:szCs w:val="16"/>
        </w:rPr>
        <w:t xml:space="preserve">Harrington Hospital, UMass Memorial HealthAlliance - Clinton Hospital, Marlborough Hospital, UMass Memorial Health-Milford Regional Medical Center. </w:t>
      </w:r>
    </w:p>
  </w:footnote>
  <w:footnote w:id="2">
    <w:p w14:paraId="5E5F6A34" w14:textId="092938D8" w:rsidR="00DE0924" w:rsidRDefault="00DE0924">
      <w:pPr>
        <w:pStyle w:val="FootnoteText"/>
      </w:pPr>
      <w:r>
        <w:rPr>
          <w:rStyle w:val="FootnoteReference"/>
        </w:rPr>
        <w:footnoteRef/>
      </w:r>
      <w:r>
        <w:t xml:space="preserve"> </w:t>
      </w:r>
      <w:r w:rsidRPr="00DE0924">
        <w:rPr>
          <w:sz w:val="16"/>
          <w:szCs w:val="16"/>
        </w:rPr>
        <w:t xml:space="preserve">Effective 1/1/2026, Marlborough Hospital will become a campus of the Medical Center. </w:t>
      </w:r>
    </w:p>
  </w:footnote>
  <w:footnote w:id="3">
    <w:p w14:paraId="46DF7B2A" w14:textId="31818C7A" w:rsidR="00312C70" w:rsidRDefault="00312C70">
      <w:pPr>
        <w:pStyle w:val="FootnoteText"/>
      </w:pPr>
      <w:r>
        <w:rPr>
          <w:rStyle w:val="FootnoteReference"/>
        </w:rPr>
        <w:footnoteRef/>
      </w:r>
      <w:r>
        <w:t xml:space="preserve"> </w:t>
      </w:r>
    </w:p>
    <w:tbl>
      <w:tblPr>
        <w:tblW w:w="0" w:type="auto"/>
        <w:tblCellMar>
          <w:left w:w="0" w:type="dxa"/>
          <w:right w:w="0" w:type="dxa"/>
        </w:tblCellMar>
        <w:tblLook w:val="04A0" w:firstRow="1" w:lastRow="0" w:firstColumn="1" w:lastColumn="0" w:noHBand="0" w:noVBand="1"/>
      </w:tblPr>
      <w:tblGrid>
        <w:gridCol w:w="3325"/>
        <w:gridCol w:w="1890"/>
        <w:gridCol w:w="2515"/>
      </w:tblGrid>
      <w:tr w:rsidR="000F6DF8" w:rsidRPr="000F6DF8" w14:paraId="7E3F0461" w14:textId="77777777" w:rsidTr="00867FC5">
        <w:trPr>
          <w:cantSplit/>
          <w:tblHeader/>
        </w:trPr>
        <w:tc>
          <w:tcPr>
            <w:tcW w:w="3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95DF1" w14:textId="73F72400" w:rsidR="000F6DF8" w:rsidRPr="005D56E9" w:rsidRDefault="000F6DF8" w:rsidP="000F6DF8">
            <w:pPr>
              <w:pStyle w:val="FootnoteText"/>
              <w:rPr>
                <w:b/>
                <w:bCs/>
                <w:sz w:val="16"/>
                <w:szCs w:val="16"/>
              </w:rPr>
            </w:pPr>
            <w:r w:rsidRPr="005D56E9">
              <w:rPr>
                <w:b/>
                <w:bCs/>
                <w:sz w:val="16"/>
                <w:szCs w:val="16"/>
              </w:rPr>
              <w:t>From Groton Town Hall to:</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95B202" w14:textId="77777777" w:rsidR="000F6DF8" w:rsidRPr="005D56E9" w:rsidRDefault="000F6DF8" w:rsidP="000F6DF8">
            <w:pPr>
              <w:pStyle w:val="FootnoteText"/>
              <w:rPr>
                <w:b/>
                <w:bCs/>
                <w:sz w:val="16"/>
                <w:szCs w:val="16"/>
              </w:rPr>
            </w:pPr>
            <w:r w:rsidRPr="005D56E9">
              <w:rPr>
                <w:b/>
                <w:bCs/>
                <w:sz w:val="16"/>
                <w:szCs w:val="16"/>
              </w:rPr>
              <w:t>Mileage</w:t>
            </w:r>
          </w:p>
        </w:tc>
        <w:tc>
          <w:tcPr>
            <w:tcW w:w="2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AA6D5" w14:textId="2A34BA72" w:rsidR="000F6DF8" w:rsidRPr="005D56E9" w:rsidRDefault="000F6DF8" w:rsidP="000F6DF8">
            <w:pPr>
              <w:pStyle w:val="FootnoteText"/>
              <w:rPr>
                <w:b/>
                <w:bCs/>
                <w:sz w:val="16"/>
                <w:szCs w:val="16"/>
              </w:rPr>
            </w:pPr>
            <w:r w:rsidRPr="005D56E9">
              <w:rPr>
                <w:b/>
                <w:bCs/>
                <w:sz w:val="16"/>
                <w:szCs w:val="16"/>
              </w:rPr>
              <w:t>Travel Time (Minutes)</w:t>
            </w:r>
          </w:p>
        </w:tc>
      </w:tr>
      <w:tr w:rsidR="000F6DF8" w:rsidRPr="000F6DF8" w14:paraId="3527F45B" w14:textId="77777777" w:rsidTr="00867FC5">
        <w:trPr>
          <w:cantSplit/>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7F69F" w14:textId="77777777" w:rsidR="000F6DF8" w:rsidRPr="005D56E9" w:rsidRDefault="000F6DF8" w:rsidP="000F6DF8">
            <w:pPr>
              <w:pStyle w:val="FootnoteText"/>
              <w:rPr>
                <w:sz w:val="16"/>
                <w:szCs w:val="16"/>
              </w:rPr>
            </w:pPr>
            <w:r w:rsidRPr="005D56E9">
              <w:rPr>
                <w:sz w:val="16"/>
                <w:szCs w:val="16"/>
              </w:rPr>
              <w:t>HealthAlliance-Leominster</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ADD157E" w14:textId="77777777" w:rsidR="000F6DF8" w:rsidRPr="005D56E9" w:rsidRDefault="000F6DF8" w:rsidP="000F6DF8">
            <w:pPr>
              <w:pStyle w:val="FootnoteText"/>
              <w:rPr>
                <w:sz w:val="16"/>
                <w:szCs w:val="16"/>
              </w:rPr>
            </w:pPr>
            <w:r w:rsidRPr="005D56E9">
              <w:rPr>
                <w:sz w:val="16"/>
                <w:szCs w:val="16"/>
              </w:rPr>
              <w:t>16.7</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E8E538B" w14:textId="77777777" w:rsidR="000F6DF8" w:rsidRPr="005D56E9" w:rsidRDefault="000F6DF8" w:rsidP="000F6DF8">
            <w:pPr>
              <w:pStyle w:val="FootnoteText"/>
              <w:rPr>
                <w:sz w:val="16"/>
                <w:szCs w:val="16"/>
              </w:rPr>
            </w:pPr>
            <w:r w:rsidRPr="005D56E9">
              <w:rPr>
                <w:sz w:val="16"/>
                <w:szCs w:val="16"/>
              </w:rPr>
              <w:t>27</w:t>
            </w:r>
          </w:p>
        </w:tc>
      </w:tr>
      <w:tr w:rsidR="000F6DF8" w:rsidRPr="000F6DF8" w14:paraId="2DD7AEE1" w14:textId="77777777" w:rsidTr="00867FC5">
        <w:trPr>
          <w:cantSplit/>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2072" w14:textId="77777777" w:rsidR="000F6DF8" w:rsidRPr="005D56E9" w:rsidRDefault="000F6DF8" w:rsidP="000F6DF8">
            <w:pPr>
              <w:pStyle w:val="FootnoteText"/>
              <w:rPr>
                <w:sz w:val="16"/>
                <w:szCs w:val="16"/>
              </w:rPr>
            </w:pPr>
            <w:r w:rsidRPr="005D56E9">
              <w:rPr>
                <w:sz w:val="16"/>
                <w:szCs w:val="16"/>
              </w:rPr>
              <w:t>Emerson Hospital</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9A7AA01" w14:textId="77777777" w:rsidR="000F6DF8" w:rsidRPr="005D56E9" w:rsidRDefault="000F6DF8" w:rsidP="000F6DF8">
            <w:pPr>
              <w:pStyle w:val="FootnoteText"/>
              <w:rPr>
                <w:sz w:val="16"/>
                <w:szCs w:val="16"/>
              </w:rPr>
            </w:pPr>
            <w:r w:rsidRPr="005D56E9">
              <w:rPr>
                <w:sz w:val="16"/>
                <w:szCs w:val="16"/>
              </w:rPr>
              <w:t>18.2</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2031B41E" w14:textId="77777777" w:rsidR="000F6DF8" w:rsidRPr="005D56E9" w:rsidRDefault="000F6DF8" w:rsidP="000F6DF8">
            <w:pPr>
              <w:pStyle w:val="FootnoteText"/>
              <w:rPr>
                <w:sz w:val="16"/>
                <w:szCs w:val="16"/>
              </w:rPr>
            </w:pPr>
            <w:r w:rsidRPr="005D56E9">
              <w:rPr>
                <w:sz w:val="16"/>
                <w:szCs w:val="16"/>
              </w:rPr>
              <w:t>28</w:t>
            </w:r>
          </w:p>
        </w:tc>
      </w:tr>
      <w:tr w:rsidR="000F6DF8" w:rsidRPr="000F6DF8" w14:paraId="3E49CCCF" w14:textId="77777777" w:rsidTr="00867FC5">
        <w:trPr>
          <w:cantSplit/>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CA842" w14:textId="77777777" w:rsidR="000F6DF8" w:rsidRPr="005D56E9" w:rsidRDefault="000F6DF8" w:rsidP="000F6DF8">
            <w:pPr>
              <w:pStyle w:val="FootnoteText"/>
              <w:rPr>
                <w:sz w:val="16"/>
                <w:szCs w:val="16"/>
              </w:rPr>
            </w:pPr>
            <w:r w:rsidRPr="005D56E9">
              <w:rPr>
                <w:sz w:val="16"/>
                <w:szCs w:val="16"/>
              </w:rPr>
              <w:t>Lowell General Hospital</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BAFC07E" w14:textId="77777777" w:rsidR="000F6DF8" w:rsidRPr="005D56E9" w:rsidRDefault="000F6DF8" w:rsidP="000F6DF8">
            <w:pPr>
              <w:pStyle w:val="FootnoteText"/>
              <w:rPr>
                <w:sz w:val="16"/>
                <w:szCs w:val="16"/>
              </w:rPr>
            </w:pPr>
            <w:r w:rsidRPr="005D56E9">
              <w:rPr>
                <w:sz w:val="16"/>
                <w:szCs w:val="16"/>
              </w:rPr>
              <w:t>13.9</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50789DC7" w14:textId="77777777" w:rsidR="000F6DF8" w:rsidRPr="005D56E9" w:rsidRDefault="000F6DF8" w:rsidP="000F6DF8">
            <w:pPr>
              <w:pStyle w:val="FootnoteText"/>
              <w:rPr>
                <w:sz w:val="16"/>
                <w:szCs w:val="16"/>
              </w:rPr>
            </w:pPr>
            <w:r w:rsidRPr="005D56E9">
              <w:rPr>
                <w:sz w:val="16"/>
                <w:szCs w:val="16"/>
              </w:rPr>
              <w:t>30</w:t>
            </w:r>
          </w:p>
        </w:tc>
      </w:tr>
    </w:tbl>
    <w:p w14:paraId="12DD25D4" w14:textId="77777777" w:rsidR="00312C70" w:rsidRDefault="00312C70">
      <w:pPr>
        <w:pStyle w:val="FootnoteText"/>
      </w:pPr>
    </w:p>
  </w:footnote>
  <w:footnote w:id="4">
    <w:p w14:paraId="09B89336" w14:textId="35DF5392" w:rsidR="00BF5913" w:rsidRPr="005D56E9" w:rsidRDefault="00BF5913" w:rsidP="00BF5913">
      <w:pPr>
        <w:pStyle w:val="FootnoteText"/>
        <w:rPr>
          <w:rFonts w:asciiTheme="minorHAnsi" w:hAnsiTheme="minorHAnsi"/>
          <w:sz w:val="16"/>
          <w:szCs w:val="16"/>
        </w:rPr>
      </w:pPr>
      <w:r w:rsidRPr="005D56E9">
        <w:rPr>
          <w:rStyle w:val="FootnoteReference"/>
          <w:rFonts w:asciiTheme="minorHAnsi" w:hAnsiTheme="minorHAnsi"/>
          <w:sz w:val="16"/>
          <w:szCs w:val="16"/>
        </w:rPr>
        <w:footnoteRef/>
      </w:r>
      <w:r w:rsidRPr="005D56E9">
        <w:rPr>
          <w:rFonts w:asciiTheme="minorHAnsi" w:hAnsiTheme="minorHAnsi"/>
          <w:sz w:val="16"/>
          <w:szCs w:val="16"/>
        </w:rPr>
        <w:t xml:space="preserve"> </w:t>
      </w:r>
      <w:hyperlink r:id="rId1" w:history="1">
        <w:r w:rsidR="0011708B" w:rsidRPr="00867FC5">
          <w:rPr>
            <w:rStyle w:val="Hyperlink"/>
            <w:rFonts w:asciiTheme="minorHAnsi" w:hAnsiTheme="minorHAnsi" w:cs="Arial"/>
            <w:i/>
            <w:iCs/>
            <w:color w:val="000000" w:themeColor="text1"/>
            <w:sz w:val="16"/>
            <w:szCs w:val="16"/>
            <w:u w:val="none"/>
          </w:rPr>
          <w:t>Emergency Department Database Reporting</w:t>
        </w:r>
      </w:hyperlink>
      <w:r w:rsidR="0011708B" w:rsidRPr="00867FC5">
        <w:rPr>
          <w:rFonts w:asciiTheme="minorHAnsi" w:hAnsiTheme="minorHAnsi" w:cs="Arial"/>
          <w:color w:val="000000" w:themeColor="text1"/>
          <w:sz w:val="16"/>
          <w:szCs w:val="16"/>
        </w:rPr>
        <w:t xml:space="preserve">, </w:t>
      </w:r>
      <w:r w:rsidR="0011708B" w:rsidRPr="005D56E9">
        <w:rPr>
          <w:rFonts w:asciiTheme="minorHAnsi" w:hAnsiTheme="minorHAnsi" w:cs="Arial"/>
          <w:sz w:val="16"/>
          <w:szCs w:val="16"/>
        </w:rPr>
        <w:t xml:space="preserve">CHIA, </w:t>
      </w:r>
      <w:hyperlink r:id="rId2" w:history="1">
        <w:r w:rsidR="0011708B" w:rsidRPr="005D56E9">
          <w:rPr>
            <w:rStyle w:val="Hyperlink"/>
            <w:rFonts w:asciiTheme="minorHAnsi" w:hAnsiTheme="minorHAnsi" w:cs="Arial"/>
            <w:sz w:val="16"/>
            <w:szCs w:val="16"/>
          </w:rPr>
          <w:t>https://www.chiamass.gov/emergency-department-database-edd-reporting/</w:t>
        </w:r>
      </w:hyperlink>
      <w:r w:rsidR="0011708B" w:rsidRPr="005D56E9">
        <w:rPr>
          <w:rFonts w:asciiTheme="minorHAnsi" w:hAnsiTheme="minorHAnsi" w:cs="Arial"/>
          <w:sz w:val="16"/>
          <w:szCs w:val="16"/>
        </w:rPr>
        <w:t xml:space="preserve"> (last visited September 24, 2025).</w:t>
      </w:r>
    </w:p>
  </w:footnote>
  <w:footnote w:id="5">
    <w:p w14:paraId="08F43DC9" w14:textId="1549F2BE" w:rsidR="00BF5913" w:rsidRPr="005D56E9" w:rsidRDefault="00BF5913" w:rsidP="00BF5913">
      <w:pPr>
        <w:pStyle w:val="FootnoteText"/>
        <w:rPr>
          <w:rFonts w:asciiTheme="minorHAnsi" w:hAnsiTheme="minorHAnsi"/>
          <w:sz w:val="16"/>
          <w:szCs w:val="16"/>
        </w:rPr>
      </w:pPr>
      <w:r w:rsidRPr="005D56E9">
        <w:rPr>
          <w:rStyle w:val="FootnoteReference"/>
          <w:rFonts w:asciiTheme="minorHAnsi" w:hAnsiTheme="minorHAnsi"/>
          <w:sz w:val="16"/>
          <w:szCs w:val="16"/>
        </w:rPr>
        <w:footnoteRef/>
      </w:r>
      <w:r w:rsidRPr="005D56E9">
        <w:rPr>
          <w:rFonts w:asciiTheme="minorHAnsi" w:hAnsiTheme="minorHAnsi"/>
          <w:sz w:val="16"/>
          <w:szCs w:val="16"/>
        </w:rPr>
        <w:t xml:space="preserve"> </w:t>
      </w:r>
      <w:hyperlink r:id="rId3" w:history="1">
        <w:r w:rsidR="0011708B" w:rsidRPr="00867FC5">
          <w:rPr>
            <w:rStyle w:val="Hyperlink"/>
            <w:rFonts w:asciiTheme="minorHAnsi" w:hAnsiTheme="minorHAnsi"/>
            <w:i/>
            <w:iCs/>
            <w:color w:val="000000" w:themeColor="text1"/>
            <w:sz w:val="16"/>
            <w:szCs w:val="16"/>
            <w:u w:val="none"/>
          </w:rPr>
          <w:t xml:space="preserve">ED </w:t>
        </w:r>
        <w:r w:rsidR="0011708B" w:rsidRPr="00867FC5">
          <w:rPr>
            <w:rStyle w:val="Hyperlink"/>
            <w:rFonts w:asciiTheme="minorHAnsi" w:hAnsiTheme="minorHAnsi" w:cs="Arial"/>
            <w:i/>
            <w:iCs/>
            <w:color w:val="000000" w:themeColor="text1"/>
            <w:sz w:val="16"/>
            <w:szCs w:val="16"/>
            <w:u w:val="none"/>
          </w:rPr>
          <w:t>Capacity Issues Nearing Boiling Point</w:t>
        </w:r>
      </w:hyperlink>
      <w:r w:rsidR="0011708B" w:rsidRPr="00867FC5">
        <w:rPr>
          <w:rFonts w:asciiTheme="minorHAnsi" w:hAnsiTheme="minorHAnsi" w:cs="Arial"/>
          <w:color w:val="000000" w:themeColor="text1"/>
          <w:sz w:val="16"/>
          <w:szCs w:val="16"/>
        </w:rPr>
        <w:t xml:space="preserve">, </w:t>
      </w:r>
      <w:r w:rsidR="0011708B" w:rsidRPr="005D56E9">
        <w:rPr>
          <w:rFonts w:asciiTheme="minorHAnsi" w:hAnsiTheme="minorHAnsi" w:cs="Arial"/>
          <w:sz w:val="16"/>
          <w:szCs w:val="16"/>
        </w:rPr>
        <w:t xml:space="preserve">BECKER’S HOSPITAL REVIEW, </w:t>
      </w:r>
      <w:hyperlink r:id="rId4" w:history="1">
        <w:r w:rsidR="0011708B" w:rsidRPr="005D56E9">
          <w:rPr>
            <w:rStyle w:val="Hyperlink"/>
            <w:rFonts w:asciiTheme="minorHAnsi" w:hAnsiTheme="minorHAnsi" w:cs="Arial"/>
            <w:sz w:val="16"/>
            <w:szCs w:val="16"/>
          </w:rPr>
          <w:t>https://www.beckershospitalreview.com/care-coordination/ed-capacity-issues-nearing-boiling-point/</w:t>
        </w:r>
      </w:hyperlink>
      <w:r w:rsidR="0011708B" w:rsidRPr="005D56E9">
        <w:rPr>
          <w:rFonts w:asciiTheme="minorHAnsi" w:hAnsiTheme="minorHAnsi" w:cs="Arial"/>
          <w:sz w:val="16"/>
          <w:szCs w:val="16"/>
        </w:rPr>
        <w:t xml:space="preserve"> (last visited September 24, 2025).</w:t>
      </w:r>
    </w:p>
  </w:footnote>
  <w:footnote w:id="6">
    <w:p w14:paraId="315C20AA" w14:textId="2011F082" w:rsidR="00BF5913" w:rsidRPr="005D56E9" w:rsidRDefault="00BF5913" w:rsidP="00BF5913">
      <w:pPr>
        <w:pStyle w:val="FootnoteText"/>
        <w:rPr>
          <w:rFonts w:asciiTheme="minorHAnsi" w:hAnsiTheme="minorHAnsi"/>
          <w:sz w:val="16"/>
          <w:szCs w:val="16"/>
        </w:rPr>
      </w:pPr>
      <w:r w:rsidRPr="005D56E9">
        <w:rPr>
          <w:rStyle w:val="FootnoteReference"/>
          <w:rFonts w:asciiTheme="minorHAnsi" w:hAnsiTheme="minorHAnsi"/>
          <w:sz w:val="16"/>
          <w:szCs w:val="16"/>
        </w:rPr>
        <w:footnoteRef/>
      </w:r>
      <w:r w:rsidRPr="005D56E9">
        <w:rPr>
          <w:rFonts w:asciiTheme="minorHAnsi" w:hAnsiTheme="minorHAnsi"/>
          <w:sz w:val="16"/>
          <w:szCs w:val="16"/>
        </w:rPr>
        <w:t xml:space="preserve"> </w:t>
      </w:r>
      <w:r w:rsidR="0011708B" w:rsidRPr="005D56E9">
        <w:rPr>
          <w:rFonts w:asciiTheme="minorHAnsi" w:hAnsiTheme="minorHAnsi" w:cs="Arial"/>
          <w:sz w:val="16"/>
          <w:szCs w:val="16"/>
        </w:rPr>
        <w:t xml:space="preserve">Kendra L </w:t>
      </w:r>
      <w:proofErr w:type="spellStart"/>
      <w:r w:rsidR="0011708B" w:rsidRPr="005D56E9">
        <w:rPr>
          <w:rFonts w:asciiTheme="minorHAnsi" w:hAnsiTheme="minorHAnsi" w:cs="Arial"/>
          <w:sz w:val="16"/>
          <w:szCs w:val="16"/>
        </w:rPr>
        <w:t>Ratnapradipa</w:t>
      </w:r>
      <w:proofErr w:type="spellEnd"/>
      <w:r w:rsidR="0011708B" w:rsidRPr="005D56E9">
        <w:rPr>
          <w:rFonts w:asciiTheme="minorHAnsi" w:hAnsiTheme="minorHAnsi" w:cs="Arial"/>
          <w:sz w:val="16"/>
          <w:szCs w:val="16"/>
        </w:rPr>
        <w:t xml:space="preserve"> et al, </w:t>
      </w:r>
      <w:hyperlink r:id="rId5" w:history="1">
        <w:r w:rsidR="0011708B" w:rsidRPr="00867FC5">
          <w:rPr>
            <w:rStyle w:val="Hyperlink"/>
            <w:rFonts w:asciiTheme="minorHAnsi" w:hAnsiTheme="minorHAnsi" w:cs="Arial"/>
            <w:i/>
            <w:iCs/>
            <w:color w:val="000000" w:themeColor="text1"/>
            <w:sz w:val="16"/>
            <w:szCs w:val="16"/>
            <w:u w:val="none"/>
          </w:rPr>
          <w:t>Factors Associated With Delaying Medical Care: Cross-Sectional Study of Nebraska Adults</w:t>
        </w:r>
      </w:hyperlink>
      <w:r w:rsidR="0011708B" w:rsidRPr="00867FC5">
        <w:rPr>
          <w:rFonts w:asciiTheme="minorHAnsi" w:hAnsiTheme="minorHAnsi" w:cs="Arial"/>
          <w:color w:val="000000" w:themeColor="text1"/>
          <w:sz w:val="16"/>
          <w:szCs w:val="16"/>
        </w:rPr>
        <w:t xml:space="preserve">, BMC HEALTH SERV RES (2023), available at </w:t>
      </w:r>
      <w:hyperlink r:id="rId6" w:history="1">
        <w:r w:rsidR="00867FC5" w:rsidRPr="00867FC5">
          <w:rPr>
            <w:rStyle w:val="Hyperlink"/>
            <w:rFonts w:asciiTheme="minorHAnsi" w:hAnsiTheme="minorHAnsi" w:cs="Arial"/>
            <w:color w:val="000000" w:themeColor="text1"/>
            <w:sz w:val="16"/>
            <w:szCs w:val="16"/>
            <w:u w:val="none"/>
          </w:rPr>
          <w:t>https://pmc.ncbi.nlm.nih.gov/articles/PMC9899134/</w:t>
        </w:r>
      </w:hyperlink>
      <w:r w:rsidR="00867FC5" w:rsidRPr="00867FC5">
        <w:rPr>
          <w:rFonts w:asciiTheme="minorHAnsi" w:hAnsiTheme="minorHAnsi" w:cs="Arial"/>
          <w:color w:val="000000" w:themeColor="text1"/>
          <w:sz w:val="16"/>
          <w:szCs w:val="16"/>
        </w:rPr>
        <w:t xml:space="preserve"> </w:t>
      </w:r>
      <w:r w:rsidR="00D73482" w:rsidRPr="00867FC5">
        <w:rPr>
          <w:rFonts w:asciiTheme="minorHAnsi" w:hAnsiTheme="minorHAnsi" w:cs="Arial"/>
          <w:color w:val="000000" w:themeColor="text1"/>
          <w:sz w:val="16"/>
          <w:szCs w:val="16"/>
        </w:rPr>
        <w:t>.</w:t>
      </w:r>
    </w:p>
  </w:footnote>
  <w:footnote w:id="7">
    <w:p w14:paraId="365DD5B4" w14:textId="63E04B86" w:rsidR="00BF5913" w:rsidRPr="00CB007F" w:rsidRDefault="00BF5913" w:rsidP="00BF5913">
      <w:pPr>
        <w:pStyle w:val="FootnoteText"/>
        <w:rPr>
          <w:color w:val="000000" w:themeColor="text1"/>
        </w:rPr>
      </w:pPr>
      <w:r w:rsidRPr="005D56E9">
        <w:rPr>
          <w:rStyle w:val="FootnoteReference"/>
          <w:rFonts w:asciiTheme="minorHAnsi" w:hAnsiTheme="minorHAnsi"/>
          <w:sz w:val="16"/>
          <w:szCs w:val="16"/>
        </w:rPr>
        <w:footnoteRef/>
      </w:r>
      <w:r w:rsidRPr="005D56E9">
        <w:rPr>
          <w:rFonts w:asciiTheme="minorHAnsi" w:hAnsiTheme="minorHAnsi"/>
          <w:sz w:val="16"/>
          <w:szCs w:val="16"/>
        </w:rPr>
        <w:t xml:space="preserve"> </w:t>
      </w:r>
      <w:r w:rsidR="0011708B" w:rsidRPr="005D56E9">
        <w:rPr>
          <w:rFonts w:asciiTheme="minorHAnsi" w:hAnsiTheme="minorHAnsi" w:cs="Arial"/>
          <w:sz w:val="16"/>
          <w:szCs w:val="16"/>
        </w:rPr>
        <w:t xml:space="preserve">Clinton Lam et al, </w:t>
      </w:r>
      <w:hyperlink r:id="rId7" w:history="1">
        <w:r w:rsidR="0011708B" w:rsidRPr="00CB007F">
          <w:rPr>
            <w:rStyle w:val="Hyperlink"/>
            <w:rFonts w:asciiTheme="minorHAnsi" w:hAnsiTheme="minorHAnsi" w:cs="Arial"/>
            <w:i/>
            <w:iCs/>
            <w:color w:val="000000" w:themeColor="text1"/>
            <w:sz w:val="16"/>
            <w:szCs w:val="16"/>
            <w:u w:val="none"/>
          </w:rPr>
          <w:t>Impact of Radiology Turnaround Time on ED Operations: Literature &amp; Strategies Review</w:t>
        </w:r>
      </w:hyperlink>
      <w:r w:rsidR="0011708B" w:rsidRPr="00CB007F">
        <w:rPr>
          <w:rFonts w:asciiTheme="minorHAnsi" w:hAnsiTheme="minorHAnsi" w:cs="Arial"/>
          <w:color w:val="000000" w:themeColor="text1"/>
          <w:sz w:val="16"/>
          <w:szCs w:val="16"/>
        </w:rPr>
        <w:t xml:space="preserve">, EM RESIDENT (2021), available at </w:t>
      </w:r>
      <w:hyperlink r:id="rId8" w:history="1">
        <w:r w:rsidR="00CB007F" w:rsidRPr="00CB007F">
          <w:rPr>
            <w:rStyle w:val="Hyperlink"/>
            <w:rFonts w:asciiTheme="minorHAnsi" w:hAnsiTheme="minorHAnsi" w:cs="Arial"/>
            <w:color w:val="000000" w:themeColor="text1"/>
            <w:sz w:val="16"/>
            <w:szCs w:val="16"/>
            <w:u w:val="none"/>
          </w:rPr>
          <w:t>https://www.emra.org/emresident/article/lit-review-radiology-times/</w:t>
        </w:r>
      </w:hyperlink>
      <w:r w:rsidR="00CB007F" w:rsidRPr="00CB007F">
        <w:rPr>
          <w:rFonts w:asciiTheme="minorHAnsi" w:hAnsiTheme="minorHAnsi" w:cs="Arial"/>
          <w:color w:val="000000" w:themeColor="text1"/>
          <w:sz w:val="16"/>
          <w:szCs w:val="16"/>
        </w:rPr>
        <w:t xml:space="preserve"> </w:t>
      </w:r>
      <w:r w:rsidR="00D73482" w:rsidRPr="00CB007F">
        <w:rPr>
          <w:rFonts w:asciiTheme="minorHAnsi" w:hAnsiTheme="minorHAnsi" w:cs="Arial"/>
          <w:color w:val="000000" w:themeColor="text1"/>
          <w:sz w:val="16"/>
          <w:szCs w:val="16"/>
        </w:rPr>
        <w:t>.</w:t>
      </w:r>
    </w:p>
  </w:footnote>
  <w:footnote w:id="8">
    <w:p w14:paraId="48DC19DB" w14:textId="658986BF" w:rsidR="00BF5913" w:rsidRPr="00CB007F" w:rsidRDefault="00BF5913" w:rsidP="00BF5913">
      <w:pPr>
        <w:pStyle w:val="FootnoteText"/>
        <w:rPr>
          <w:rFonts w:asciiTheme="minorHAnsi" w:hAnsiTheme="minorHAnsi"/>
          <w:color w:val="000000" w:themeColor="text1"/>
          <w:sz w:val="18"/>
          <w:szCs w:val="18"/>
        </w:rPr>
      </w:pPr>
      <w:r w:rsidRPr="00CB007F">
        <w:rPr>
          <w:rStyle w:val="FootnoteReference"/>
          <w:rFonts w:asciiTheme="minorHAnsi" w:hAnsiTheme="minorHAnsi"/>
          <w:color w:val="000000" w:themeColor="text1"/>
          <w:sz w:val="18"/>
          <w:szCs w:val="18"/>
        </w:rPr>
        <w:footnoteRef/>
      </w:r>
      <w:r w:rsidRPr="00CB007F">
        <w:rPr>
          <w:rFonts w:asciiTheme="minorHAnsi" w:hAnsiTheme="minorHAnsi"/>
          <w:color w:val="000000" w:themeColor="text1"/>
          <w:sz w:val="18"/>
          <w:szCs w:val="18"/>
        </w:rPr>
        <w:t xml:space="preserve"> </w:t>
      </w:r>
      <w:hyperlink r:id="rId9" w:history="1">
        <w:r w:rsidR="00D73482" w:rsidRPr="00CB007F">
          <w:rPr>
            <w:rStyle w:val="Hyperlink"/>
            <w:rFonts w:asciiTheme="minorHAnsi" w:hAnsiTheme="minorHAnsi" w:cs="Arial"/>
            <w:i/>
            <w:iCs/>
            <w:color w:val="000000" w:themeColor="text1"/>
            <w:sz w:val="18"/>
            <w:szCs w:val="18"/>
            <w:u w:val="none"/>
          </w:rPr>
          <w:t>Notice of Transition and Closure Plan</w:t>
        </w:r>
      </w:hyperlink>
      <w:r w:rsidR="00D73482" w:rsidRPr="00CB007F">
        <w:rPr>
          <w:rFonts w:asciiTheme="minorHAnsi" w:hAnsiTheme="minorHAnsi" w:cs="Arial"/>
          <w:color w:val="000000" w:themeColor="text1"/>
          <w:sz w:val="18"/>
          <w:szCs w:val="18"/>
        </w:rPr>
        <w:t xml:space="preserve">, Steward Nashoba Valley Medical Center, Inc., available at </w:t>
      </w:r>
      <w:hyperlink r:id="rId10" w:history="1">
        <w:r w:rsidR="00CB007F" w:rsidRPr="00CB007F">
          <w:rPr>
            <w:rStyle w:val="Hyperlink"/>
            <w:rFonts w:asciiTheme="minorHAnsi" w:hAnsiTheme="minorHAnsi" w:cs="Arial"/>
            <w:color w:val="000000" w:themeColor="text1"/>
            <w:sz w:val="18"/>
            <w:szCs w:val="18"/>
            <w:u w:val="none"/>
          </w:rPr>
          <w:t>https://www.mass.gov/doc/nashoba-valley-closure-plan-pdf/download</w:t>
        </w:r>
      </w:hyperlink>
      <w:r w:rsidR="00CB007F" w:rsidRPr="00CB007F">
        <w:rPr>
          <w:rFonts w:asciiTheme="minorHAnsi" w:hAnsiTheme="minorHAnsi" w:cs="Arial"/>
          <w:color w:val="000000" w:themeColor="text1"/>
          <w:sz w:val="18"/>
          <w:szCs w:val="18"/>
        </w:rPr>
        <w:t xml:space="preserve"> </w:t>
      </w:r>
      <w:r w:rsidR="00D73482" w:rsidRPr="00CB007F">
        <w:rPr>
          <w:rFonts w:asciiTheme="minorHAnsi" w:hAnsiTheme="minorHAnsi" w:cs="Arial"/>
          <w:color w:val="000000" w:themeColor="text1"/>
          <w:sz w:val="18"/>
          <w:szCs w:val="18"/>
        </w:rPr>
        <w:t>.</w:t>
      </w:r>
    </w:p>
  </w:footnote>
  <w:footnote w:id="9">
    <w:p w14:paraId="3ED8BAA1" w14:textId="10C8B7BA" w:rsidR="00BF5913" w:rsidRPr="005D56E9" w:rsidRDefault="00BF5913" w:rsidP="00BF5913">
      <w:pPr>
        <w:pStyle w:val="FootnoteText"/>
        <w:rPr>
          <w:rFonts w:asciiTheme="minorHAnsi" w:hAnsiTheme="minorHAnsi"/>
          <w:sz w:val="18"/>
          <w:szCs w:val="18"/>
        </w:rPr>
      </w:pPr>
      <w:r w:rsidRPr="00CB007F">
        <w:rPr>
          <w:rStyle w:val="FootnoteReference"/>
          <w:rFonts w:asciiTheme="minorHAnsi" w:hAnsiTheme="minorHAnsi"/>
          <w:color w:val="000000" w:themeColor="text1"/>
          <w:sz w:val="18"/>
          <w:szCs w:val="18"/>
        </w:rPr>
        <w:footnoteRef/>
      </w:r>
      <w:r w:rsidRPr="00CB007F">
        <w:rPr>
          <w:rFonts w:asciiTheme="minorHAnsi" w:hAnsiTheme="minorHAnsi"/>
          <w:color w:val="000000" w:themeColor="text1"/>
          <w:sz w:val="18"/>
          <w:szCs w:val="18"/>
        </w:rPr>
        <w:t xml:space="preserve"> </w:t>
      </w:r>
      <w:r w:rsidR="00D73482" w:rsidRPr="00CB007F">
        <w:rPr>
          <w:rFonts w:asciiTheme="minorHAnsi" w:hAnsiTheme="minorHAnsi" w:cs="Arial"/>
          <w:color w:val="000000" w:themeColor="text1"/>
          <w:sz w:val="18"/>
          <w:szCs w:val="18"/>
        </w:rPr>
        <w:t xml:space="preserve">Abigail L. Cochran et al, </w:t>
      </w:r>
      <w:hyperlink r:id="rId11" w:history="1">
        <w:r w:rsidR="00D73482" w:rsidRPr="00CB007F">
          <w:rPr>
            <w:rStyle w:val="Hyperlink"/>
            <w:rFonts w:asciiTheme="minorHAnsi" w:hAnsiTheme="minorHAnsi" w:cs="Arial"/>
            <w:i/>
            <w:iCs/>
            <w:color w:val="000000" w:themeColor="text1"/>
            <w:sz w:val="18"/>
            <w:szCs w:val="18"/>
            <w:u w:val="none"/>
          </w:rPr>
          <w:t>Transportation Barriers to Care Among Frequent Health Care Users During the COVID Pandemic</w:t>
        </w:r>
      </w:hyperlink>
      <w:r w:rsidR="00D73482" w:rsidRPr="00CB007F">
        <w:rPr>
          <w:rFonts w:asciiTheme="minorHAnsi" w:hAnsiTheme="minorHAnsi" w:cs="Arial"/>
          <w:color w:val="000000" w:themeColor="text1"/>
          <w:sz w:val="18"/>
          <w:szCs w:val="18"/>
        </w:rPr>
        <w:t xml:space="preserve">, BMC PUBLIC HEALTH (2022), available at </w:t>
      </w:r>
      <w:hyperlink r:id="rId12" w:history="1">
        <w:r w:rsidR="00CB007F" w:rsidRPr="00CB007F">
          <w:rPr>
            <w:rStyle w:val="Hyperlink"/>
            <w:rFonts w:asciiTheme="minorHAnsi" w:hAnsiTheme="minorHAnsi" w:cs="Arial"/>
            <w:color w:val="000000" w:themeColor="text1"/>
            <w:sz w:val="18"/>
            <w:szCs w:val="18"/>
            <w:u w:val="none"/>
          </w:rPr>
          <w:t>https://bmcpublichealth.biomedcentral.com/articles/10.1186/s12889-022-14149-x</w:t>
        </w:r>
      </w:hyperlink>
      <w:r w:rsidR="00CB007F" w:rsidRPr="00CB007F">
        <w:rPr>
          <w:rFonts w:asciiTheme="minorHAnsi" w:hAnsiTheme="minorHAnsi" w:cs="Arial"/>
          <w:color w:val="000000" w:themeColor="text1"/>
          <w:sz w:val="18"/>
          <w:szCs w:val="18"/>
        </w:rPr>
        <w:t xml:space="preserve"> </w:t>
      </w:r>
      <w:r w:rsidR="00D73482" w:rsidRPr="00CB007F">
        <w:rPr>
          <w:rFonts w:asciiTheme="minorHAnsi" w:hAnsiTheme="minorHAnsi" w:cs="Arial"/>
          <w:color w:val="000000" w:themeColor="text1"/>
          <w:sz w:val="18"/>
          <w:szCs w:val="18"/>
        </w:rPr>
        <w:t>.</w:t>
      </w:r>
    </w:p>
  </w:footnote>
  <w:footnote w:id="10">
    <w:p w14:paraId="1B7C84B0" w14:textId="6E9829B1" w:rsidR="00BF5913" w:rsidRPr="005D56E9" w:rsidRDefault="00BF5913" w:rsidP="00BF5913">
      <w:pPr>
        <w:pStyle w:val="FootnoteText"/>
        <w:rPr>
          <w:rFonts w:asciiTheme="minorHAnsi" w:hAnsiTheme="minorHAnsi"/>
          <w:sz w:val="18"/>
          <w:szCs w:val="18"/>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r w:rsidR="00D73482" w:rsidRPr="005D56E9">
        <w:rPr>
          <w:rFonts w:asciiTheme="minorHAnsi" w:hAnsiTheme="minorHAnsi" w:cs="Arial"/>
          <w:i/>
          <w:iCs/>
          <w:sz w:val="18"/>
          <w:szCs w:val="18"/>
        </w:rPr>
        <w:t xml:space="preserve">Transportation Barriers to </w:t>
      </w:r>
      <w:r w:rsidR="00D73482" w:rsidRPr="005D56E9">
        <w:rPr>
          <w:rFonts w:asciiTheme="minorHAnsi" w:hAnsiTheme="minorHAnsi" w:cs="Arial"/>
          <w:sz w:val="18"/>
          <w:szCs w:val="18"/>
        </w:rPr>
        <w:t xml:space="preserve">Care, </w:t>
      </w:r>
      <w:r w:rsidR="00D73482" w:rsidRPr="005D56E9">
        <w:rPr>
          <w:rFonts w:asciiTheme="minorHAnsi" w:hAnsiTheme="minorHAnsi" w:cs="Arial"/>
          <w:i/>
          <w:iCs/>
          <w:sz w:val="18"/>
          <w:szCs w:val="18"/>
        </w:rPr>
        <w:t xml:space="preserve">supra </w:t>
      </w:r>
      <w:r w:rsidR="00D73482" w:rsidRPr="005D56E9">
        <w:rPr>
          <w:rFonts w:asciiTheme="minorHAnsi" w:hAnsiTheme="minorHAnsi" w:cs="Arial"/>
          <w:sz w:val="18"/>
          <w:szCs w:val="18"/>
        </w:rPr>
        <w:t xml:space="preserve">note 8. </w:t>
      </w:r>
    </w:p>
  </w:footnote>
  <w:footnote w:id="11">
    <w:p w14:paraId="12FB1162" w14:textId="005DA35A" w:rsidR="00BF5913" w:rsidRPr="005D56E9" w:rsidRDefault="00BF5913" w:rsidP="00BF5913">
      <w:pPr>
        <w:pStyle w:val="FootnoteText"/>
        <w:rPr>
          <w:rFonts w:asciiTheme="minorHAnsi" w:hAnsiTheme="minorHAnsi"/>
          <w:sz w:val="18"/>
          <w:szCs w:val="18"/>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hyperlink r:id="rId13" w:history="1">
        <w:r w:rsidR="00D73482" w:rsidRPr="00CB007F">
          <w:rPr>
            <w:rStyle w:val="Hyperlink"/>
            <w:rFonts w:asciiTheme="minorHAnsi" w:hAnsiTheme="minorHAnsi" w:cs="Arial"/>
            <w:i/>
            <w:iCs/>
            <w:color w:val="000000" w:themeColor="text1"/>
            <w:sz w:val="18"/>
            <w:szCs w:val="18"/>
            <w:u w:val="none"/>
          </w:rPr>
          <w:t>Computed Tomography (CT)</w:t>
        </w:r>
        <w:r w:rsidR="00D73482" w:rsidRPr="00CB007F">
          <w:rPr>
            <w:rStyle w:val="Hyperlink"/>
            <w:rFonts w:asciiTheme="minorHAnsi" w:hAnsiTheme="minorHAnsi" w:cs="Arial"/>
            <w:color w:val="000000" w:themeColor="text1"/>
            <w:sz w:val="18"/>
            <w:szCs w:val="18"/>
            <w:u w:val="none"/>
          </w:rPr>
          <w:t>,</w:t>
        </w:r>
      </w:hyperlink>
      <w:r w:rsidR="00D73482" w:rsidRPr="00CB007F">
        <w:rPr>
          <w:rFonts w:asciiTheme="minorHAnsi" w:hAnsiTheme="minorHAnsi" w:cs="Arial"/>
          <w:color w:val="000000" w:themeColor="text1"/>
          <w:sz w:val="18"/>
          <w:szCs w:val="18"/>
        </w:rPr>
        <w:t xml:space="preserve"> </w:t>
      </w:r>
      <w:r w:rsidR="00D73482" w:rsidRPr="005D56E9">
        <w:rPr>
          <w:rFonts w:asciiTheme="minorHAnsi" w:hAnsiTheme="minorHAnsi" w:cs="Arial"/>
          <w:sz w:val="18"/>
          <w:szCs w:val="18"/>
        </w:rPr>
        <w:t xml:space="preserve">NATIONAL INSTITUTE OF BIOMEDICAL IMAGING AND BIOENGINEERING, </w:t>
      </w:r>
      <w:hyperlink r:id="rId14" w:history="1">
        <w:r w:rsidR="00D73482" w:rsidRPr="005D56E9">
          <w:rPr>
            <w:rStyle w:val="Hyperlink"/>
            <w:rFonts w:asciiTheme="minorHAnsi" w:hAnsiTheme="minorHAnsi" w:cs="Arial"/>
            <w:sz w:val="18"/>
            <w:szCs w:val="18"/>
          </w:rPr>
          <w:t>https://www.nibib.nih.gov/science-education/science-topics/computed-tomography-ct</w:t>
        </w:r>
      </w:hyperlink>
      <w:r w:rsidR="00D73482" w:rsidRPr="005D56E9">
        <w:rPr>
          <w:rFonts w:asciiTheme="minorHAnsi" w:hAnsiTheme="minorHAnsi" w:cs="Arial"/>
          <w:sz w:val="18"/>
          <w:szCs w:val="18"/>
        </w:rPr>
        <w:t xml:space="preserve"> (last visited September 24, 2025).</w:t>
      </w:r>
    </w:p>
  </w:footnote>
  <w:footnote w:id="12">
    <w:p w14:paraId="44D68DFB" w14:textId="1BCBA6B6" w:rsidR="00BF5913" w:rsidRPr="005D56E9" w:rsidRDefault="00BF5913" w:rsidP="00BF5913">
      <w:pPr>
        <w:pStyle w:val="FootnoteText"/>
        <w:rPr>
          <w:rFonts w:asciiTheme="minorHAnsi" w:hAnsiTheme="minorHAnsi"/>
          <w:sz w:val="18"/>
          <w:szCs w:val="18"/>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r w:rsidR="00D73482" w:rsidRPr="005D56E9">
        <w:rPr>
          <w:rFonts w:asciiTheme="minorHAnsi" w:hAnsiTheme="minorHAnsi" w:cs="Arial"/>
          <w:sz w:val="18"/>
          <w:szCs w:val="18"/>
        </w:rPr>
        <w:t xml:space="preserve">Hui Guo et al, </w:t>
      </w:r>
      <w:hyperlink r:id="rId15" w:history="1">
        <w:r w:rsidR="00D73482" w:rsidRPr="00D2323B">
          <w:rPr>
            <w:rStyle w:val="Hyperlink"/>
            <w:rFonts w:asciiTheme="minorHAnsi" w:hAnsiTheme="minorHAnsi" w:cs="Arial"/>
            <w:i/>
            <w:iCs/>
            <w:color w:val="000000" w:themeColor="text1"/>
            <w:sz w:val="18"/>
            <w:szCs w:val="18"/>
            <w:u w:val="none"/>
          </w:rPr>
          <w:t>Impact of CT Turnaround Time on Diagnostic and Clinical Outcomes in Acute Abdominal Pain: A Retrospective Cohort Study</w:t>
        </w:r>
      </w:hyperlink>
      <w:r w:rsidR="00D73482" w:rsidRPr="00D2323B">
        <w:rPr>
          <w:rFonts w:asciiTheme="minorHAnsi" w:hAnsiTheme="minorHAnsi" w:cs="Arial"/>
          <w:color w:val="000000" w:themeColor="text1"/>
          <w:sz w:val="18"/>
          <w:szCs w:val="18"/>
        </w:rPr>
        <w:t xml:space="preserve">, </w:t>
      </w:r>
      <w:r w:rsidR="00D73482" w:rsidRPr="005D56E9">
        <w:rPr>
          <w:rFonts w:asciiTheme="minorHAnsi" w:hAnsiTheme="minorHAnsi" w:cs="Arial"/>
          <w:sz w:val="18"/>
          <w:szCs w:val="18"/>
        </w:rPr>
        <w:t xml:space="preserve">AMERICAN JOURNAL OF EMERGENCY MEDICINE (2025), available at </w:t>
      </w:r>
      <w:hyperlink r:id="rId16" w:history="1">
        <w:r w:rsidR="00D2323B" w:rsidRPr="00E1090C">
          <w:rPr>
            <w:rStyle w:val="Hyperlink"/>
            <w:rFonts w:asciiTheme="minorHAnsi" w:hAnsiTheme="minorHAnsi" w:cs="Arial"/>
            <w:sz w:val="18"/>
            <w:szCs w:val="18"/>
          </w:rPr>
          <w:t>https://www.sciencedirect.com/science/article/abs/pii/S0735675725006230?dgcid=rss_sd_all</w:t>
        </w:r>
      </w:hyperlink>
      <w:r w:rsidR="00D2323B">
        <w:rPr>
          <w:rFonts w:asciiTheme="minorHAnsi" w:hAnsiTheme="minorHAnsi" w:cs="Arial"/>
          <w:sz w:val="18"/>
          <w:szCs w:val="18"/>
        </w:rPr>
        <w:t xml:space="preserve"> </w:t>
      </w:r>
      <w:r w:rsidR="00D73482" w:rsidRPr="005D56E9">
        <w:rPr>
          <w:rFonts w:asciiTheme="minorHAnsi" w:hAnsiTheme="minorHAnsi" w:cs="Arial"/>
          <w:sz w:val="18"/>
          <w:szCs w:val="18"/>
        </w:rPr>
        <w:t>.</w:t>
      </w:r>
    </w:p>
  </w:footnote>
  <w:footnote w:id="13">
    <w:p w14:paraId="7611A48E" w14:textId="2DD59749" w:rsidR="00BF5913" w:rsidRPr="005D56E9" w:rsidRDefault="00BF5913" w:rsidP="00BF5913">
      <w:pPr>
        <w:pStyle w:val="FootnoteText"/>
        <w:rPr>
          <w:rFonts w:asciiTheme="minorHAnsi" w:hAnsiTheme="minorHAnsi"/>
          <w:sz w:val="18"/>
          <w:szCs w:val="18"/>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hyperlink r:id="rId17" w:history="1">
        <w:r w:rsidR="00D73482" w:rsidRPr="00D2323B">
          <w:rPr>
            <w:rStyle w:val="Hyperlink"/>
            <w:rFonts w:asciiTheme="minorHAnsi" w:hAnsiTheme="minorHAnsi" w:cs="Arial"/>
            <w:color w:val="000000" w:themeColor="text1"/>
            <w:sz w:val="18"/>
            <w:szCs w:val="18"/>
            <w:u w:val="none"/>
          </w:rPr>
          <w:t>105 CMR 130:00 Hospital Licensure</w:t>
        </w:r>
      </w:hyperlink>
      <w:r w:rsidR="00D73482" w:rsidRPr="00D2323B">
        <w:rPr>
          <w:rFonts w:asciiTheme="minorHAnsi" w:hAnsiTheme="minorHAnsi" w:cs="Arial"/>
          <w:color w:val="000000" w:themeColor="text1"/>
          <w:sz w:val="18"/>
          <w:szCs w:val="18"/>
        </w:rPr>
        <w:t xml:space="preserve">, </w:t>
      </w:r>
      <w:r w:rsidR="00D73482" w:rsidRPr="005D56E9">
        <w:rPr>
          <w:rFonts w:asciiTheme="minorHAnsi" w:hAnsiTheme="minorHAnsi" w:cs="Arial"/>
          <w:sz w:val="18"/>
          <w:szCs w:val="18"/>
        </w:rPr>
        <w:t xml:space="preserve">MASS.GOV, </w:t>
      </w:r>
      <w:hyperlink r:id="rId18" w:history="1">
        <w:r w:rsidR="00D73482" w:rsidRPr="005D56E9">
          <w:rPr>
            <w:rStyle w:val="Hyperlink"/>
            <w:rFonts w:asciiTheme="minorHAnsi" w:hAnsiTheme="minorHAnsi" w:cs="Arial"/>
            <w:sz w:val="18"/>
            <w:szCs w:val="18"/>
          </w:rPr>
          <w:t>https://www.mass.gov/regulations/105-CMR-13000-hospital-licensure</w:t>
        </w:r>
      </w:hyperlink>
      <w:r w:rsidR="00D73482" w:rsidRPr="005D56E9">
        <w:rPr>
          <w:rFonts w:asciiTheme="minorHAnsi" w:hAnsiTheme="minorHAnsi" w:cs="Arial"/>
          <w:sz w:val="18"/>
          <w:szCs w:val="18"/>
        </w:rPr>
        <w:t xml:space="preserve"> (last visited September 24, 2025).</w:t>
      </w:r>
    </w:p>
  </w:footnote>
  <w:footnote w:id="14">
    <w:p w14:paraId="1DE2DBA4" w14:textId="1265032D" w:rsidR="00BF5913" w:rsidRPr="005D56E9" w:rsidRDefault="00BF5913" w:rsidP="00BF5913">
      <w:pPr>
        <w:pStyle w:val="FootnoteText"/>
        <w:rPr>
          <w:rFonts w:asciiTheme="minorHAnsi" w:hAnsiTheme="minorHAnsi"/>
          <w:sz w:val="18"/>
          <w:szCs w:val="18"/>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hyperlink r:id="rId19" w:history="1">
        <w:r w:rsidR="00D73482" w:rsidRPr="00D2323B">
          <w:rPr>
            <w:rStyle w:val="Hyperlink"/>
            <w:rFonts w:asciiTheme="minorHAnsi" w:hAnsiTheme="minorHAnsi" w:cs="Arial"/>
            <w:i/>
            <w:iCs/>
            <w:color w:val="000000" w:themeColor="text1"/>
            <w:sz w:val="18"/>
            <w:szCs w:val="18"/>
            <w:u w:val="none"/>
          </w:rPr>
          <w:t>Even Short Delays in ER May Reduce the Lifespan of Stroke Survivors</w:t>
        </w:r>
      </w:hyperlink>
      <w:r w:rsidR="00D73482" w:rsidRPr="00D2323B">
        <w:rPr>
          <w:rFonts w:asciiTheme="minorHAnsi" w:hAnsiTheme="minorHAnsi" w:cs="Arial"/>
          <w:color w:val="000000" w:themeColor="text1"/>
          <w:sz w:val="18"/>
          <w:szCs w:val="18"/>
        </w:rPr>
        <w:t xml:space="preserve">, </w:t>
      </w:r>
      <w:r w:rsidR="00D73482" w:rsidRPr="005D56E9">
        <w:rPr>
          <w:rFonts w:asciiTheme="minorHAnsi" w:hAnsiTheme="minorHAnsi" w:cs="Arial"/>
          <w:sz w:val="18"/>
          <w:szCs w:val="18"/>
        </w:rPr>
        <w:t xml:space="preserve">AMERICAN STROKE ASSOCIATION, </w:t>
      </w:r>
      <w:hyperlink r:id="rId20" w:history="1">
        <w:r w:rsidR="00D73482" w:rsidRPr="005D56E9">
          <w:rPr>
            <w:rStyle w:val="Hyperlink"/>
            <w:rFonts w:asciiTheme="minorHAnsi" w:hAnsiTheme="minorHAnsi" w:cs="Arial"/>
            <w:sz w:val="18"/>
            <w:szCs w:val="18"/>
          </w:rPr>
          <w:t>https://newsroom.heart.org/news/even-short-delays-in-the-er-may-reduce-the-lifespan-of-stroke-survivors</w:t>
        </w:r>
      </w:hyperlink>
      <w:r w:rsidR="00D73482" w:rsidRPr="005D56E9">
        <w:rPr>
          <w:rFonts w:asciiTheme="minorHAnsi" w:hAnsiTheme="minorHAnsi" w:cs="Arial"/>
          <w:sz w:val="18"/>
          <w:szCs w:val="18"/>
        </w:rPr>
        <w:t xml:space="preserve"> (last visited September 24, 2025).</w:t>
      </w:r>
    </w:p>
  </w:footnote>
  <w:footnote w:id="15">
    <w:p w14:paraId="2310E664" w14:textId="6BCACF3D" w:rsidR="00BF5913" w:rsidRPr="005D56E9" w:rsidRDefault="00BF5913" w:rsidP="00BF5913">
      <w:pPr>
        <w:pStyle w:val="FootnoteText"/>
        <w:rPr>
          <w:sz w:val="16"/>
          <w:szCs w:val="16"/>
        </w:rPr>
      </w:pPr>
      <w:r w:rsidRPr="005D56E9">
        <w:rPr>
          <w:rStyle w:val="FootnoteReference"/>
          <w:rFonts w:asciiTheme="minorHAnsi" w:hAnsiTheme="minorHAnsi"/>
          <w:sz w:val="18"/>
          <w:szCs w:val="18"/>
        </w:rPr>
        <w:footnoteRef/>
      </w:r>
      <w:r w:rsidRPr="005D56E9">
        <w:rPr>
          <w:rFonts w:asciiTheme="minorHAnsi" w:hAnsiTheme="minorHAnsi"/>
          <w:sz w:val="18"/>
          <w:szCs w:val="18"/>
        </w:rPr>
        <w:t xml:space="preserve"> </w:t>
      </w:r>
      <w:r w:rsidR="00D73482" w:rsidRPr="005D56E9">
        <w:rPr>
          <w:rFonts w:asciiTheme="minorHAnsi" w:hAnsiTheme="minorHAnsi"/>
          <w:sz w:val="18"/>
          <w:szCs w:val="18"/>
        </w:rPr>
        <w:t xml:space="preserve"> </w:t>
      </w:r>
      <w:r w:rsidR="00D73482" w:rsidRPr="005D56E9">
        <w:rPr>
          <w:rFonts w:asciiTheme="minorHAnsi" w:hAnsiTheme="minorHAnsi" w:cs="Arial"/>
          <w:i/>
          <w:iCs/>
          <w:sz w:val="18"/>
          <w:szCs w:val="18"/>
        </w:rPr>
        <w:t>Even Short Delays in ER</w:t>
      </w:r>
      <w:r w:rsidR="00D73482" w:rsidRPr="005D56E9">
        <w:rPr>
          <w:rFonts w:asciiTheme="minorHAnsi" w:hAnsiTheme="minorHAnsi" w:cs="Arial"/>
          <w:sz w:val="18"/>
          <w:szCs w:val="18"/>
        </w:rPr>
        <w:t xml:space="preserve">, </w:t>
      </w:r>
      <w:r w:rsidR="00D73482" w:rsidRPr="005D56E9">
        <w:rPr>
          <w:rFonts w:asciiTheme="minorHAnsi" w:hAnsiTheme="minorHAnsi" w:cs="Arial"/>
          <w:i/>
          <w:iCs/>
          <w:sz w:val="18"/>
          <w:szCs w:val="18"/>
        </w:rPr>
        <w:t xml:space="preserve">supra </w:t>
      </w:r>
      <w:r w:rsidR="00D73482" w:rsidRPr="005D56E9">
        <w:rPr>
          <w:rFonts w:asciiTheme="minorHAnsi" w:hAnsiTheme="minorHAnsi" w:cs="Arial"/>
          <w:sz w:val="18"/>
          <w:szCs w:val="18"/>
        </w:rPr>
        <w:t>note 13.</w:t>
      </w:r>
    </w:p>
  </w:footnote>
  <w:footnote w:id="16">
    <w:p w14:paraId="5A634C90" w14:textId="6CD1350C" w:rsidR="00BF5913" w:rsidRPr="005D56E9" w:rsidRDefault="00BF5913" w:rsidP="00BF5913">
      <w:pPr>
        <w:pStyle w:val="FootnoteText"/>
        <w:rPr>
          <w:sz w:val="18"/>
          <w:szCs w:val="18"/>
        </w:rPr>
      </w:pPr>
      <w:r w:rsidRPr="005D56E9">
        <w:rPr>
          <w:rStyle w:val="FootnoteReference"/>
          <w:sz w:val="18"/>
          <w:szCs w:val="18"/>
        </w:rPr>
        <w:footnoteRef/>
      </w:r>
      <w:r w:rsidRPr="005D56E9">
        <w:rPr>
          <w:sz w:val="18"/>
          <w:szCs w:val="18"/>
        </w:rPr>
        <w:t xml:space="preserve"> </w:t>
      </w:r>
      <w:r w:rsidR="00D73482" w:rsidRPr="005D56E9">
        <w:rPr>
          <w:rFonts w:cs="Arial"/>
          <w:sz w:val="18"/>
          <w:szCs w:val="18"/>
        </w:rPr>
        <w:t xml:space="preserve">Omid Shafaat and Houman Sotoudeh, </w:t>
      </w:r>
      <w:hyperlink r:id="rId21" w:history="1">
        <w:r w:rsidR="00D73482" w:rsidRPr="00A45B42">
          <w:rPr>
            <w:rStyle w:val="Hyperlink"/>
            <w:rFonts w:cs="Arial"/>
            <w:i/>
            <w:iCs/>
            <w:color w:val="000000" w:themeColor="text1"/>
            <w:sz w:val="18"/>
            <w:szCs w:val="18"/>
            <w:u w:val="none"/>
          </w:rPr>
          <w:t>Stroke Imaging</w:t>
        </w:r>
      </w:hyperlink>
      <w:r w:rsidR="00D73482" w:rsidRPr="00A45B42">
        <w:rPr>
          <w:rFonts w:cs="Arial"/>
          <w:color w:val="000000" w:themeColor="text1"/>
          <w:sz w:val="18"/>
          <w:szCs w:val="18"/>
        </w:rPr>
        <w:t xml:space="preserve">, NATIONAL LIBRARY OF MEDICINE (2023), available at </w:t>
      </w:r>
      <w:hyperlink r:id="rId22" w:history="1">
        <w:r w:rsidR="00A45B42" w:rsidRPr="00A45B42">
          <w:rPr>
            <w:rStyle w:val="Hyperlink"/>
            <w:rFonts w:cs="Arial"/>
            <w:color w:val="000000" w:themeColor="text1"/>
            <w:sz w:val="18"/>
            <w:szCs w:val="18"/>
            <w:u w:val="none"/>
          </w:rPr>
          <w:t>https://www.ncbi.nlm.nih.gov/books/NBK546635/</w:t>
        </w:r>
      </w:hyperlink>
      <w:r w:rsidR="00A45B42">
        <w:rPr>
          <w:rFonts w:cs="Arial"/>
          <w:sz w:val="18"/>
          <w:szCs w:val="18"/>
        </w:rPr>
        <w:t xml:space="preserve"> </w:t>
      </w:r>
      <w:r w:rsidR="00D73482" w:rsidRPr="005D56E9">
        <w:rPr>
          <w:rFonts w:cs="Arial"/>
          <w:sz w:val="18"/>
          <w:szCs w:val="18"/>
        </w:rPr>
        <w:t>.</w:t>
      </w:r>
    </w:p>
  </w:footnote>
  <w:footnote w:id="17">
    <w:p w14:paraId="2E7D2008" w14:textId="6E286460" w:rsidR="00BF5913" w:rsidRPr="00D73482" w:rsidRDefault="00BF5913" w:rsidP="00BF5913">
      <w:pPr>
        <w:pStyle w:val="FootnoteText"/>
      </w:pPr>
      <w:r w:rsidRPr="005D56E9">
        <w:rPr>
          <w:rStyle w:val="FootnoteReference"/>
          <w:sz w:val="18"/>
          <w:szCs w:val="18"/>
        </w:rPr>
        <w:footnoteRef/>
      </w:r>
      <w:r w:rsidRPr="005D56E9">
        <w:rPr>
          <w:sz w:val="18"/>
          <w:szCs w:val="18"/>
        </w:rPr>
        <w:t xml:space="preserve"> </w:t>
      </w:r>
      <w:r w:rsidR="00D73482" w:rsidRPr="005D56E9">
        <w:rPr>
          <w:rFonts w:cs="Arial"/>
          <w:i/>
          <w:iCs/>
          <w:sz w:val="18"/>
          <w:szCs w:val="18"/>
        </w:rPr>
        <w:t>Stroke Imaging</w:t>
      </w:r>
      <w:r w:rsidR="00D73482" w:rsidRPr="005D56E9">
        <w:rPr>
          <w:rFonts w:cs="Arial"/>
          <w:sz w:val="18"/>
          <w:szCs w:val="18"/>
        </w:rPr>
        <w:t xml:space="preserve">, </w:t>
      </w:r>
      <w:r w:rsidR="00D73482" w:rsidRPr="005D56E9">
        <w:rPr>
          <w:rFonts w:cs="Arial"/>
          <w:i/>
          <w:iCs/>
          <w:sz w:val="18"/>
          <w:szCs w:val="18"/>
        </w:rPr>
        <w:t xml:space="preserve">supra </w:t>
      </w:r>
      <w:r w:rsidR="00D73482" w:rsidRPr="005D56E9">
        <w:rPr>
          <w:rFonts w:cs="Arial"/>
          <w:sz w:val="18"/>
          <w:szCs w:val="18"/>
        </w:rPr>
        <w:t>note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A342" w14:textId="77777777" w:rsidR="009F6E4E" w:rsidRDefault="009F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9193" w14:textId="77777777" w:rsidR="009F6E4E" w:rsidRDefault="009F6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9801" w14:textId="77777777" w:rsidR="009F6E4E" w:rsidRDefault="009F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51C"/>
    <w:multiLevelType w:val="hybridMultilevel"/>
    <w:tmpl w:val="A6DCEE40"/>
    <w:lvl w:ilvl="0" w:tplc="48E62B68">
      <w:start w:val="1"/>
      <w:numFmt w:val="upperLetter"/>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78A5CC2"/>
    <w:multiLevelType w:val="multilevel"/>
    <w:tmpl w:val="7CE84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F4B96"/>
    <w:multiLevelType w:val="multilevel"/>
    <w:tmpl w:val="166CA4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9311DB"/>
    <w:multiLevelType w:val="multilevel"/>
    <w:tmpl w:val="8034D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02577"/>
    <w:multiLevelType w:val="multilevel"/>
    <w:tmpl w:val="09B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C6EBD"/>
    <w:multiLevelType w:val="multilevel"/>
    <w:tmpl w:val="141004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012487"/>
    <w:multiLevelType w:val="hybridMultilevel"/>
    <w:tmpl w:val="54467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053C5"/>
    <w:multiLevelType w:val="multilevel"/>
    <w:tmpl w:val="0A6069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442C7D"/>
    <w:multiLevelType w:val="hybridMultilevel"/>
    <w:tmpl w:val="2774D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0C2D4B"/>
    <w:multiLevelType w:val="hybridMultilevel"/>
    <w:tmpl w:val="62F266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D82209"/>
    <w:multiLevelType w:val="hybridMultilevel"/>
    <w:tmpl w:val="2BC465D2"/>
    <w:lvl w:ilvl="0" w:tplc="B1B2AC9A">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768DC"/>
    <w:multiLevelType w:val="hybridMultilevel"/>
    <w:tmpl w:val="EE18B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15425">
    <w:abstractNumId w:val="5"/>
  </w:num>
  <w:num w:numId="2" w16cid:durableId="1552228290">
    <w:abstractNumId w:val="2"/>
  </w:num>
  <w:num w:numId="3" w16cid:durableId="479923162">
    <w:abstractNumId w:val="8"/>
  </w:num>
  <w:num w:numId="4" w16cid:durableId="1940675499">
    <w:abstractNumId w:val="6"/>
  </w:num>
  <w:num w:numId="5" w16cid:durableId="1212234107">
    <w:abstractNumId w:val="11"/>
  </w:num>
  <w:num w:numId="6" w16cid:durableId="542140202">
    <w:abstractNumId w:val="13"/>
  </w:num>
  <w:num w:numId="7" w16cid:durableId="442387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0776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0723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505920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7084032">
    <w:abstractNumId w:val="0"/>
  </w:num>
  <w:num w:numId="12" w16cid:durableId="2096509665">
    <w:abstractNumId w:val="1"/>
  </w:num>
  <w:num w:numId="13" w16cid:durableId="1073624703">
    <w:abstractNumId w:val="12"/>
  </w:num>
  <w:num w:numId="14" w16cid:durableId="1597130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6F"/>
    <w:rsid w:val="00016916"/>
    <w:rsid w:val="0006380A"/>
    <w:rsid w:val="0009103E"/>
    <w:rsid w:val="00093586"/>
    <w:rsid w:val="000D118D"/>
    <w:rsid w:val="000D5FEB"/>
    <w:rsid w:val="000F6DF8"/>
    <w:rsid w:val="00106E4A"/>
    <w:rsid w:val="00110035"/>
    <w:rsid w:val="0011708B"/>
    <w:rsid w:val="00133843"/>
    <w:rsid w:val="0013742F"/>
    <w:rsid w:val="001B490C"/>
    <w:rsid w:val="001C2220"/>
    <w:rsid w:val="00201A7A"/>
    <w:rsid w:val="00230665"/>
    <w:rsid w:val="00236633"/>
    <w:rsid w:val="00271BA4"/>
    <w:rsid w:val="002A5F36"/>
    <w:rsid w:val="002B08A8"/>
    <w:rsid w:val="002C0039"/>
    <w:rsid w:val="002C16D3"/>
    <w:rsid w:val="002C6280"/>
    <w:rsid w:val="002F018D"/>
    <w:rsid w:val="002F32D7"/>
    <w:rsid w:val="00312C70"/>
    <w:rsid w:val="00363D24"/>
    <w:rsid w:val="003C2FE5"/>
    <w:rsid w:val="003E577E"/>
    <w:rsid w:val="00434C65"/>
    <w:rsid w:val="00443CF9"/>
    <w:rsid w:val="00451961"/>
    <w:rsid w:val="0045648D"/>
    <w:rsid w:val="00463BAA"/>
    <w:rsid w:val="004E509A"/>
    <w:rsid w:val="004F43D1"/>
    <w:rsid w:val="0051778F"/>
    <w:rsid w:val="00542F9C"/>
    <w:rsid w:val="00544FD6"/>
    <w:rsid w:val="005725A5"/>
    <w:rsid w:val="00573B36"/>
    <w:rsid w:val="00585744"/>
    <w:rsid w:val="005C0667"/>
    <w:rsid w:val="005D56E9"/>
    <w:rsid w:val="005E490B"/>
    <w:rsid w:val="006668EE"/>
    <w:rsid w:val="00666DD6"/>
    <w:rsid w:val="00674C42"/>
    <w:rsid w:val="006C616D"/>
    <w:rsid w:val="006C74BF"/>
    <w:rsid w:val="006D4882"/>
    <w:rsid w:val="006F12AA"/>
    <w:rsid w:val="00722ED5"/>
    <w:rsid w:val="007B7A43"/>
    <w:rsid w:val="00831784"/>
    <w:rsid w:val="0083403C"/>
    <w:rsid w:val="00857D1D"/>
    <w:rsid w:val="00867FC5"/>
    <w:rsid w:val="008E439F"/>
    <w:rsid w:val="00922CB9"/>
    <w:rsid w:val="0096204E"/>
    <w:rsid w:val="009B115F"/>
    <w:rsid w:val="009C1F8F"/>
    <w:rsid w:val="009F6E4E"/>
    <w:rsid w:val="00A33B80"/>
    <w:rsid w:val="00A45B42"/>
    <w:rsid w:val="00A6355A"/>
    <w:rsid w:val="00A7443E"/>
    <w:rsid w:val="00AB2186"/>
    <w:rsid w:val="00AB7D58"/>
    <w:rsid w:val="00AE0208"/>
    <w:rsid w:val="00AE2FF6"/>
    <w:rsid w:val="00B05608"/>
    <w:rsid w:val="00B256F0"/>
    <w:rsid w:val="00B3148D"/>
    <w:rsid w:val="00B82AF9"/>
    <w:rsid w:val="00B91229"/>
    <w:rsid w:val="00BB6324"/>
    <w:rsid w:val="00BE6124"/>
    <w:rsid w:val="00BF3D8B"/>
    <w:rsid w:val="00BF5913"/>
    <w:rsid w:val="00BF677E"/>
    <w:rsid w:val="00C21F61"/>
    <w:rsid w:val="00C31B08"/>
    <w:rsid w:val="00C4542A"/>
    <w:rsid w:val="00C548F8"/>
    <w:rsid w:val="00C55313"/>
    <w:rsid w:val="00C5676F"/>
    <w:rsid w:val="00CB007F"/>
    <w:rsid w:val="00CD535A"/>
    <w:rsid w:val="00D067EB"/>
    <w:rsid w:val="00D125B3"/>
    <w:rsid w:val="00D22AF1"/>
    <w:rsid w:val="00D2323B"/>
    <w:rsid w:val="00D32ED1"/>
    <w:rsid w:val="00D46184"/>
    <w:rsid w:val="00D73482"/>
    <w:rsid w:val="00D73F10"/>
    <w:rsid w:val="00DA0B3B"/>
    <w:rsid w:val="00DC7A3B"/>
    <w:rsid w:val="00DE0924"/>
    <w:rsid w:val="00E2699B"/>
    <w:rsid w:val="00E446A9"/>
    <w:rsid w:val="00E52F34"/>
    <w:rsid w:val="00E532AA"/>
    <w:rsid w:val="00E607E2"/>
    <w:rsid w:val="00E70061"/>
    <w:rsid w:val="00E77665"/>
    <w:rsid w:val="00E86977"/>
    <w:rsid w:val="00F005C9"/>
    <w:rsid w:val="00F552D6"/>
    <w:rsid w:val="00F57245"/>
    <w:rsid w:val="00F57949"/>
    <w:rsid w:val="00F64F3D"/>
    <w:rsid w:val="00F72A8E"/>
    <w:rsid w:val="00F9413E"/>
    <w:rsid w:val="00F945E8"/>
    <w:rsid w:val="00F950DF"/>
    <w:rsid w:val="00FB1559"/>
    <w:rsid w:val="00FB2A29"/>
    <w:rsid w:val="00FC47EE"/>
    <w:rsid w:val="05FDA579"/>
    <w:rsid w:val="1BEF2CDA"/>
    <w:rsid w:val="1E404EF7"/>
    <w:rsid w:val="1FA3C420"/>
    <w:rsid w:val="4141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9D31"/>
  <w15:chartTrackingRefBased/>
  <w15:docId w15:val="{881836C7-AF46-420D-88CB-7CBC052A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C567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676F"/>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C5676F"/>
    <w:pPr>
      <w:ind w:left="720"/>
      <w:contextualSpacing/>
    </w:pPr>
  </w:style>
  <w:style w:type="character" w:styleId="IntenseEmphasis">
    <w:name w:val="Intense Emphasis"/>
    <w:basedOn w:val="DefaultParagraphFont"/>
    <w:uiPriority w:val="21"/>
    <w:qFormat/>
    <w:rsid w:val="00C5676F"/>
    <w:rPr>
      <w:i/>
      <w:iCs/>
      <w:color w:val="0F4761" w:themeColor="accent1" w:themeShade="BF"/>
    </w:rPr>
  </w:style>
  <w:style w:type="paragraph" w:styleId="IntenseQuote">
    <w:name w:val="Intense Quote"/>
    <w:basedOn w:val="Normal"/>
    <w:next w:val="Normal"/>
    <w:link w:val="IntenseQuoteChar"/>
    <w:uiPriority w:val="30"/>
    <w:qFormat/>
    <w:rsid w:val="00C5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6F"/>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C5676F"/>
    <w:rPr>
      <w:b/>
      <w:bCs/>
      <w:smallCaps/>
      <w:color w:val="0F4761" w:themeColor="accent1" w:themeShade="BF"/>
      <w:spacing w:val="5"/>
    </w:rPr>
  </w:style>
  <w:style w:type="paragraph" w:styleId="FootnoteText">
    <w:name w:val="footnote text"/>
    <w:basedOn w:val="Normal"/>
    <w:link w:val="FootnoteTextChar"/>
    <w:uiPriority w:val="99"/>
    <w:semiHidden/>
    <w:unhideWhenUsed/>
    <w:rsid w:val="00C5676F"/>
    <w:rPr>
      <w:rFonts w:ascii="Aptos" w:hAnsi="Aptos"/>
      <w:kern w:val="0"/>
      <w:sz w:val="20"/>
      <w:szCs w:val="20"/>
      <w14:ligatures w14:val="none"/>
    </w:rPr>
  </w:style>
  <w:style w:type="character" w:customStyle="1" w:styleId="FootnoteTextChar">
    <w:name w:val="Footnote Text Char"/>
    <w:basedOn w:val="DefaultParagraphFont"/>
    <w:link w:val="FootnoteText"/>
    <w:uiPriority w:val="99"/>
    <w:semiHidden/>
    <w:rsid w:val="00C5676F"/>
    <w:rPr>
      <w:rFonts w:ascii="Aptos" w:hAnsi="Aptos" w:cs="Times New Roman"/>
      <w:kern w:val="0"/>
      <w:sz w:val="20"/>
      <w:szCs w:val="20"/>
      <w14:ligatures w14:val="none"/>
    </w:rPr>
  </w:style>
  <w:style w:type="character" w:styleId="FootnoteReference">
    <w:name w:val="footnote reference"/>
    <w:basedOn w:val="DefaultParagraphFont"/>
    <w:uiPriority w:val="99"/>
    <w:semiHidden/>
    <w:unhideWhenUsed/>
    <w:rsid w:val="00C5676F"/>
    <w:rPr>
      <w:vertAlign w:val="superscript"/>
    </w:rPr>
  </w:style>
  <w:style w:type="paragraph" w:styleId="Header">
    <w:name w:val="header"/>
    <w:basedOn w:val="Normal"/>
    <w:link w:val="HeaderChar"/>
    <w:uiPriority w:val="99"/>
    <w:unhideWhenUsed/>
    <w:rsid w:val="000D5FEB"/>
    <w:pPr>
      <w:tabs>
        <w:tab w:val="center" w:pos="4680"/>
        <w:tab w:val="right" w:pos="9360"/>
      </w:tabs>
    </w:pPr>
  </w:style>
  <w:style w:type="character" w:customStyle="1" w:styleId="HeaderChar">
    <w:name w:val="Header Char"/>
    <w:basedOn w:val="DefaultParagraphFont"/>
    <w:link w:val="Header"/>
    <w:uiPriority w:val="99"/>
    <w:rsid w:val="000D5FEB"/>
    <w:rPr>
      <w:rFonts w:ascii="Times New Roman" w:hAnsi="Times New Roman" w:cs="Times New Roman"/>
      <w:sz w:val="24"/>
      <w:szCs w:val="24"/>
    </w:rPr>
  </w:style>
  <w:style w:type="paragraph" w:styleId="Footer">
    <w:name w:val="footer"/>
    <w:basedOn w:val="Normal"/>
    <w:link w:val="FooterChar"/>
    <w:uiPriority w:val="99"/>
    <w:unhideWhenUsed/>
    <w:rsid w:val="000D5FEB"/>
    <w:pPr>
      <w:tabs>
        <w:tab w:val="center" w:pos="4680"/>
        <w:tab w:val="right" w:pos="9360"/>
      </w:tabs>
    </w:pPr>
  </w:style>
  <w:style w:type="character" w:customStyle="1" w:styleId="FooterChar">
    <w:name w:val="Footer Char"/>
    <w:basedOn w:val="DefaultParagraphFont"/>
    <w:link w:val="Footer"/>
    <w:uiPriority w:val="99"/>
    <w:rsid w:val="000D5FEB"/>
    <w:rPr>
      <w:rFonts w:ascii="Times New Roman" w:hAnsi="Times New Roman" w:cs="Times New Roman"/>
      <w:sz w:val="24"/>
      <w:szCs w:val="24"/>
    </w:rPr>
  </w:style>
  <w:style w:type="paragraph" w:customStyle="1" w:styleId="DocID">
    <w:name w:val="DocID"/>
    <w:basedOn w:val="Normal"/>
    <w:qFormat/>
    <w:rsid w:val="000D5FEB"/>
    <w:rPr>
      <w:kern w:val="0"/>
      <w:sz w:val="16"/>
      <w:szCs w:val="16"/>
      <w14:ligatures w14:val="none"/>
    </w:rPr>
  </w:style>
  <w:style w:type="table" w:styleId="TableGrid">
    <w:name w:val="Table Grid"/>
    <w:basedOn w:val="TableNormal"/>
    <w:uiPriority w:val="39"/>
    <w:rsid w:val="004564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559"/>
    <w:rPr>
      <w:sz w:val="16"/>
      <w:szCs w:val="16"/>
    </w:rPr>
  </w:style>
  <w:style w:type="paragraph" w:styleId="CommentText">
    <w:name w:val="annotation text"/>
    <w:basedOn w:val="Normal"/>
    <w:link w:val="CommentTextChar"/>
    <w:uiPriority w:val="99"/>
    <w:unhideWhenUsed/>
    <w:rsid w:val="00FB1559"/>
    <w:rPr>
      <w:sz w:val="20"/>
      <w:szCs w:val="20"/>
    </w:rPr>
  </w:style>
  <w:style w:type="character" w:customStyle="1" w:styleId="CommentTextChar">
    <w:name w:val="Comment Text Char"/>
    <w:basedOn w:val="DefaultParagraphFont"/>
    <w:link w:val="CommentText"/>
    <w:uiPriority w:val="99"/>
    <w:rsid w:val="00FB155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1559"/>
    <w:rPr>
      <w:b/>
      <w:bCs/>
    </w:rPr>
  </w:style>
  <w:style w:type="character" w:customStyle="1" w:styleId="CommentSubjectChar">
    <w:name w:val="Comment Subject Char"/>
    <w:basedOn w:val="CommentTextChar"/>
    <w:link w:val="CommentSubject"/>
    <w:uiPriority w:val="99"/>
    <w:semiHidden/>
    <w:rsid w:val="00FB1559"/>
    <w:rPr>
      <w:rFonts w:ascii="Times New Roman" w:hAnsi="Times New Roman" w:cs="Times New Roman"/>
      <w:b/>
      <w:bCs/>
      <w:sz w:val="20"/>
      <w:szCs w:val="20"/>
    </w:rPr>
  </w:style>
  <w:style w:type="paragraph" w:styleId="Revision">
    <w:name w:val="Revision"/>
    <w:hidden/>
    <w:uiPriority w:val="99"/>
    <w:semiHidden/>
    <w:rsid w:val="00F57245"/>
    <w:pPr>
      <w:spacing w:after="0" w:line="240" w:lineRule="auto"/>
    </w:pPr>
    <w:rPr>
      <w:rFonts w:ascii="Times New Roman" w:hAnsi="Times New Roman" w:cs="Times New Roman"/>
      <w:sz w:val="24"/>
      <w:szCs w:val="24"/>
    </w:rPr>
  </w:style>
  <w:style w:type="table" w:styleId="GridTable3-Accent1">
    <w:name w:val="Grid Table 3 Accent 1"/>
    <w:basedOn w:val="TableNormal"/>
    <w:uiPriority w:val="48"/>
    <w:rsid w:val="001170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4">
    <w:name w:val="Grid Table 4 Accent 4"/>
    <w:basedOn w:val="TableNormal"/>
    <w:uiPriority w:val="49"/>
    <w:rsid w:val="001170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11708B"/>
    <w:rPr>
      <w:color w:val="467886" w:themeColor="hyperlink"/>
      <w:u w:val="single"/>
    </w:rPr>
  </w:style>
  <w:style w:type="character" w:styleId="UnresolvedMention">
    <w:name w:val="Unresolved Mention"/>
    <w:basedOn w:val="DefaultParagraphFont"/>
    <w:uiPriority w:val="99"/>
    <w:semiHidden/>
    <w:unhideWhenUsed/>
    <w:rsid w:val="0011708B"/>
    <w:rPr>
      <w:color w:val="605E5C"/>
      <w:shd w:val="clear" w:color="auto" w:fill="E1DFDD"/>
    </w:rPr>
  </w:style>
  <w:style w:type="paragraph" w:customStyle="1" w:styleId="xmsolistparagraph">
    <w:name w:val="x_msolistparagraph"/>
    <w:basedOn w:val="Normal"/>
    <w:rsid w:val="00E607E2"/>
    <w:pPr>
      <w:suppressAutoHyphens w:val="0"/>
      <w:ind w:left="720"/>
    </w:pPr>
    <w:rPr>
      <w:rFonts w:ascii="Aptos" w:eastAsiaTheme="minorHAns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713">
      <w:bodyDiv w:val="1"/>
      <w:marLeft w:val="0"/>
      <w:marRight w:val="0"/>
      <w:marTop w:val="0"/>
      <w:marBottom w:val="0"/>
      <w:divBdr>
        <w:top w:val="none" w:sz="0" w:space="0" w:color="auto"/>
        <w:left w:val="none" w:sz="0" w:space="0" w:color="auto"/>
        <w:bottom w:val="none" w:sz="0" w:space="0" w:color="auto"/>
        <w:right w:val="none" w:sz="0" w:space="0" w:color="auto"/>
      </w:divBdr>
    </w:div>
    <w:div w:id="12460619">
      <w:bodyDiv w:val="1"/>
      <w:marLeft w:val="0"/>
      <w:marRight w:val="0"/>
      <w:marTop w:val="0"/>
      <w:marBottom w:val="0"/>
      <w:divBdr>
        <w:top w:val="none" w:sz="0" w:space="0" w:color="auto"/>
        <w:left w:val="none" w:sz="0" w:space="0" w:color="auto"/>
        <w:bottom w:val="none" w:sz="0" w:space="0" w:color="auto"/>
        <w:right w:val="none" w:sz="0" w:space="0" w:color="auto"/>
      </w:divBdr>
    </w:div>
    <w:div w:id="46027754">
      <w:bodyDiv w:val="1"/>
      <w:marLeft w:val="0"/>
      <w:marRight w:val="0"/>
      <w:marTop w:val="0"/>
      <w:marBottom w:val="0"/>
      <w:divBdr>
        <w:top w:val="none" w:sz="0" w:space="0" w:color="auto"/>
        <w:left w:val="none" w:sz="0" w:space="0" w:color="auto"/>
        <w:bottom w:val="none" w:sz="0" w:space="0" w:color="auto"/>
        <w:right w:val="none" w:sz="0" w:space="0" w:color="auto"/>
      </w:divBdr>
    </w:div>
    <w:div w:id="237718680">
      <w:bodyDiv w:val="1"/>
      <w:marLeft w:val="0"/>
      <w:marRight w:val="0"/>
      <w:marTop w:val="0"/>
      <w:marBottom w:val="0"/>
      <w:divBdr>
        <w:top w:val="none" w:sz="0" w:space="0" w:color="auto"/>
        <w:left w:val="none" w:sz="0" w:space="0" w:color="auto"/>
        <w:bottom w:val="none" w:sz="0" w:space="0" w:color="auto"/>
        <w:right w:val="none" w:sz="0" w:space="0" w:color="auto"/>
      </w:divBdr>
    </w:div>
    <w:div w:id="339431324">
      <w:bodyDiv w:val="1"/>
      <w:marLeft w:val="0"/>
      <w:marRight w:val="0"/>
      <w:marTop w:val="0"/>
      <w:marBottom w:val="0"/>
      <w:divBdr>
        <w:top w:val="none" w:sz="0" w:space="0" w:color="auto"/>
        <w:left w:val="none" w:sz="0" w:space="0" w:color="auto"/>
        <w:bottom w:val="none" w:sz="0" w:space="0" w:color="auto"/>
        <w:right w:val="none" w:sz="0" w:space="0" w:color="auto"/>
      </w:divBdr>
    </w:div>
    <w:div w:id="418409855">
      <w:bodyDiv w:val="1"/>
      <w:marLeft w:val="0"/>
      <w:marRight w:val="0"/>
      <w:marTop w:val="0"/>
      <w:marBottom w:val="0"/>
      <w:divBdr>
        <w:top w:val="none" w:sz="0" w:space="0" w:color="auto"/>
        <w:left w:val="none" w:sz="0" w:space="0" w:color="auto"/>
        <w:bottom w:val="none" w:sz="0" w:space="0" w:color="auto"/>
        <w:right w:val="none" w:sz="0" w:space="0" w:color="auto"/>
      </w:divBdr>
    </w:div>
    <w:div w:id="455677912">
      <w:bodyDiv w:val="1"/>
      <w:marLeft w:val="0"/>
      <w:marRight w:val="0"/>
      <w:marTop w:val="0"/>
      <w:marBottom w:val="0"/>
      <w:divBdr>
        <w:top w:val="none" w:sz="0" w:space="0" w:color="auto"/>
        <w:left w:val="none" w:sz="0" w:space="0" w:color="auto"/>
        <w:bottom w:val="none" w:sz="0" w:space="0" w:color="auto"/>
        <w:right w:val="none" w:sz="0" w:space="0" w:color="auto"/>
      </w:divBdr>
    </w:div>
    <w:div w:id="561063422">
      <w:bodyDiv w:val="1"/>
      <w:marLeft w:val="0"/>
      <w:marRight w:val="0"/>
      <w:marTop w:val="0"/>
      <w:marBottom w:val="0"/>
      <w:divBdr>
        <w:top w:val="none" w:sz="0" w:space="0" w:color="auto"/>
        <w:left w:val="none" w:sz="0" w:space="0" w:color="auto"/>
        <w:bottom w:val="none" w:sz="0" w:space="0" w:color="auto"/>
        <w:right w:val="none" w:sz="0" w:space="0" w:color="auto"/>
      </w:divBdr>
    </w:div>
    <w:div w:id="634601155">
      <w:bodyDiv w:val="1"/>
      <w:marLeft w:val="0"/>
      <w:marRight w:val="0"/>
      <w:marTop w:val="0"/>
      <w:marBottom w:val="0"/>
      <w:divBdr>
        <w:top w:val="none" w:sz="0" w:space="0" w:color="auto"/>
        <w:left w:val="none" w:sz="0" w:space="0" w:color="auto"/>
        <w:bottom w:val="none" w:sz="0" w:space="0" w:color="auto"/>
        <w:right w:val="none" w:sz="0" w:space="0" w:color="auto"/>
      </w:divBdr>
    </w:div>
    <w:div w:id="821967810">
      <w:bodyDiv w:val="1"/>
      <w:marLeft w:val="0"/>
      <w:marRight w:val="0"/>
      <w:marTop w:val="0"/>
      <w:marBottom w:val="0"/>
      <w:divBdr>
        <w:top w:val="none" w:sz="0" w:space="0" w:color="auto"/>
        <w:left w:val="none" w:sz="0" w:space="0" w:color="auto"/>
        <w:bottom w:val="none" w:sz="0" w:space="0" w:color="auto"/>
        <w:right w:val="none" w:sz="0" w:space="0" w:color="auto"/>
      </w:divBdr>
    </w:div>
    <w:div w:id="1028797883">
      <w:bodyDiv w:val="1"/>
      <w:marLeft w:val="0"/>
      <w:marRight w:val="0"/>
      <w:marTop w:val="0"/>
      <w:marBottom w:val="0"/>
      <w:divBdr>
        <w:top w:val="none" w:sz="0" w:space="0" w:color="auto"/>
        <w:left w:val="none" w:sz="0" w:space="0" w:color="auto"/>
        <w:bottom w:val="none" w:sz="0" w:space="0" w:color="auto"/>
        <w:right w:val="none" w:sz="0" w:space="0" w:color="auto"/>
      </w:divBdr>
    </w:div>
    <w:div w:id="1111435604">
      <w:bodyDiv w:val="1"/>
      <w:marLeft w:val="0"/>
      <w:marRight w:val="0"/>
      <w:marTop w:val="0"/>
      <w:marBottom w:val="0"/>
      <w:divBdr>
        <w:top w:val="none" w:sz="0" w:space="0" w:color="auto"/>
        <w:left w:val="none" w:sz="0" w:space="0" w:color="auto"/>
        <w:bottom w:val="none" w:sz="0" w:space="0" w:color="auto"/>
        <w:right w:val="none" w:sz="0" w:space="0" w:color="auto"/>
      </w:divBdr>
    </w:div>
    <w:div w:id="1224833537">
      <w:bodyDiv w:val="1"/>
      <w:marLeft w:val="0"/>
      <w:marRight w:val="0"/>
      <w:marTop w:val="0"/>
      <w:marBottom w:val="0"/>
      <w:divBdr>
        <w:top w:val="none" w:sz="0" w:space="0" w:color="auto"/>
        <w:left w:val="none" w:sz="0" w:space="0" w:color="auto"/>
        <w:bottom w:val="none" w:sz="0" w:space="0" w:color="auto"/>
        <w:right w:val="none" w:sz="0" w:space="0" w:color="auto"/>
      </w:divBdr>
    </w:div>
    <w:div w:id="1237475202">
      <w:bodyDiv w:val="1"/>
      <w:marLeft w:val="0"/>
      <w:marRight w:val="0"/>
      <w:marTop w:val="0"/>
      <w:marBottom w:val="0"/>
      <w:divBdr>
        <w:top w:val="none" w:sz="0" w:space="0" w:color="auto"/>
        <w:left w:val="none" w:sz="0" w:space="0" w:color="auto"/>
        <w:bottom w:val="none" w:sz="0" w:space="0" w:color="auto"/>
        <w:right w:val="none" w:sz="0" w:space="0" w:color="auto"/>
      </w:divBdr>
    </w:div>
    <w:div w:id="1307394536">
      <w:bodyDiv w:val="1"/>
      <w:marLeft w:val="0"/>
      <w:marRight w:val="0"/>
      <w:marTop w:val="0"/>
      <w:marBottom w:val="0"/>
      <w:divBdr>
        <w:top w:val="none" w:sz="0" w:space="0" w:color="auto"/>
        <w:left w:val="none" w:sz="0" w:space="0" w:color="auto"/>
        <w:bottom w:val="none" w:sz="0" w:space="0" w:color="auto"/>
        <w:right w:val="none" w:sz="0" w:space="0" w:color="auto"/>
      </w:divBdr>
    </w:div>
    <w:div w:id="1358581645">
      <w:bodyDiv w:val="1"/>
      <w:marLeft w:val="0"/>
      <w:marRight w:val="0"/>
      <w:marTop w:val="0"/>
      <w:marBottom w:val="0"/>
      <w:divBdr>
        <w:top w:val="none" w:sz="0" w:space="0" w:color="auto"/>
        <w:left w:val="none" w:sz="0" w:space="0" w:color="auto"/>
        <w:bottom w:val="none" w:sz="0" w:space="0" w:color="auto"/>
        <w:right w:val="none" w:sz="0" w:space="0" w:color="auto"/>
      </w:divBdr>
    </w:div>
    <w:div w:id="1378621425">
      <w:bodyDiv w:val="1"/>
      <w:marLeft w:val="0"/>
      <w:marRight w:val="0"/>
      <w:marTop w:val="0"/>
      <w:marBottom w:val="0"/>
      <w:divBdr>
        <w:top w:val="none" w:sz="0" w:space="0" w:color="auto"/>
        <w:left w:val="none" w:sz="0" w:space="0" w:color="auto"/>
        <w:bottom w:val="none" w:sz="0" w:space="0" w:color="auto"/>
        <w:right w:val="none" w:sz="0" w:space="0" w:color="auto"/>
      </w:divBdr>
    </w:div>
    <w:div w:id="1482430794">
      <w:bodyDiv w:val="1"/>
      <w:marLeft w:val="0"/>
      <w:marRight w:val="0"/>
      <w:marTop w:val="0"/>
      <w:marBottom w:val="0"/>
      <w:divBdr>
        <w:top w:val="none" w:sz="0" w:space="0" w:color="auto"/>
        <w:left w:val="none" w:sz="0" w:space="0" w:color="auto"/>
        <w:bottom w:val="none" w:sz="0" w:space="0" w:color="auto"/>
        <w:right w:val="none" w:sz="0" w:space="0" w:color="auto"/>
      </w:divBdr>
    </w:div>
    <w:div w:id="1743332867">
      <w:bodyDiv w:val="1"/>
      <w:marLeft w:val="0"/>
      <w:marRight w:val="0"/>
      <w:marTop w:val="0"/>
      <w:marBottom w:val="0"/>
      <w:divBdr>
        <w:top w:val="none" w:sz="0" w:space="0" w:color="auto"/>
        <w:left w:val="none" w:sz="0" w:space="0" w:color="auto"/>
        <w:bottom w:val="none" w:sz="0" w:space="0" w:color="auto"/>
        <w:right w:val="none" w:sz="0" w:space="0" w:color="auto"/>
      </w:divBdr>
    </w:div>
    <w:div w:id="1908999248">
      <w:bodyDiv w:val="1"/>
      <w:marLeft w:val="0"/>
      <w:marRight w:val="0"/>
      <w:marTop w:val="0"/>
      <w:marBottom w:val="0"/>
      <w:divBdr>
        <w:top w:val="none" w:sz="0" w:space="0" w:color="auto"/>
        <w:left w:val="none" w:sz="0" w:space="0" w:color="auto"/>
        <w:bottom w:val="none" w:sz="0" w:space="0" w:color="auto"/>
        <w:right w:val="none" w:sz="0" w:space="0" w:color="auto"/>
      </w:divBdr>
    </w:div>
    <w:div w:id="19229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mra.org/emresident/article/lit-review-radiology-times/" TargetMode="External"/><Relationship Id="rId13" Type="http://schemas.openxmlformats.org/officeDocument/2006/relationships/hyperlink" Target="https://www.nibib.nih.gov/science-education/science-topics/computed-tomography-ct" TargetMode="External"/><Relationship Id="rId18" Type="http://schemas.openxmlformats.org/officeDocument/2006/relationships/hyperlink" Target="https://www.mass.gov/regulations/105-CMR-13000-hospital-licensure" TargetMode="External"/><Relationship Id="rId3" Type="http://schemas.openxmlformats.org/officeDocument/2006/relationships/hyperlink" Target="https://www.beckershospitalreview.com/care-coordination/ed-capacity-issues-nearing-boiling-point/" TargetMode="External"/><Relationship Id="rId21" Type="http://schemas.openxmlformats.org/officeDocument/2006/relationships/hyperlink" Target="https://www.ncbi.nlm.nih.gov/books/NBK546635/" TargetMode="External"/><Relationship Id="rId7" Type="http://schemas.openxmlformats.org/officeDocument/2006/relationships/hyperlink" Target="https://www.emra.org/emresident/article/lit-review-radiology-times/" TargetMode="External"/><Relationship Id="rId12" Type="http://schemas.openxmlformats.org/officeDocument/2006/relationships/hyperlink" Target="https://bmcpublichealth.biomedcentral.com/articles/10.1186/s12889-022-14149-x" TargetMode="External"/><Relationship Id="rId17" Type="http://schemas.openxmlformats.org/officeDocument/2006/relationships/hyperlink" Target="https://www.mass.gov/regulations/105-CMR-13000-hospital-licensure" TargetMode="External"/><Relationship Id="rId2" Type="http://schemas.openxmlformats.org/officeDocument/2006/relationships/hyperlink" Target="https://www.chiamass.gov/emergency-department-database-edd-reporting/" TargetMode="External"/><Relationship Id="rId16" Type="http://schemas.openxmlformats.org/officeDocument/2006/relationships/hyperlink" Target="https://www.sciencedirect.com/science/article/abs/pii/S0735675725006230?dgcid=rss_sd_all" TargetMode="External"/><Relationship Id="rId20" Type="http://schemas.openxmlformats.org/officeDocument/2006/relationships/hyperlink" Target="https://newsroom.heart.org/news/even-short-delays-in-the-er-may-reduce-the-lifespan-of-stroke-survivors" TargetMode="External"/><Relationship Id="rId1" Type="http://schemas.openxmlformats.org/officeDocument/2006/relationships/hyperlink" Target="https://www.chiamass.gov/emergency-department-database-edd-reporting/" TargetMode="External"/><Relationship Id="rId6" Type="http://schemas.openxmlformats.org/officeDocument/2006/relationships/hyperlink" Target="https://pmc.ncbi.nlm.nih.gov/articles/PMC9899134/" TargetMode="External"/><Relationship Id="rId11" Type="http://schemas.openxmlformats.org/officeDocument/2006/relationships/hyperlink" Target="https://bmcpublichealth.biomedcentral.com/articles/10.1186/s12889-022-14149-x" TargetMode="External"/><Relationship Id="rId5" Type="http://schemas.openxmlformats.org/officeDocument/2006/relationships/hyperlink" Target="https://pmc.ncbi.nlm.nih.gov/articles/PMC9899134/" TargetMode="External"/><Relationship Id="rId15" Type="http://schemas.openxmlformats.org/officeDocument/2006/relationships/hyperlink" Target="https://www.sciencedirect.com/science/article/abs/pii/S0735675725006230?dgcid=rss_sd_all" TargetMode="External"/><Relationship Id="rId10" Type="http://schemas.openxmlformats.org/officeDocument/2006/relationships/hyperlink" Target="https://www.mass.gov/doc/nashoba-valley-closure-plan-pdf/download" TargetMode="External"/><Relationship Id="rId19" Type="http://schemas.openxmlformats.org/officeDocument/2006/relationships/hyperlink" Target="https://newsroom.heart.org/news/even-short-delays-in-the-er-may-reduce-the-lifespan-of-stroke-survivors" TargetMode="External"/><Relationship Id="rId4" Type="http://schemas.openxmlformats.org/officeDocument/2006/relationships/hyperlink" Target="https://www.beckershospitalreview.com/care-coordination/ed-capacity-issues-nearing-boiling-point/" TargetMode="External"/><Relationship Id="rId9" Type="http://schemas.openxmlformats.org/officeDocument/2006/relationships/hyperlink" Target="https://www.mass.gov/doc/nashoba-valley-closure-plan-pdf/download" TargetMode="External"/><Relationship Id="rId14" Type="http://schemas.openxmlformats.org/officeDocument/2006/relationships/hyperlink" Target="https://www.nibib.nih.gov/science-education/science-topics/computed-tomography-ct" TargetMode="External"/><Relationship Id="rId22" Type="http://schemas.openxmlformats.org/officeDocument/2006/relationships/hyperlink" Target="https://www.ncbi.nlm.nih.gov/books/NBK546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DAAB-05B6-49A3-9D74-C1324B70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Precourt, Justin</dc:creator>
  <cp:lastModifiedBy>Marks, Brett (DPH)</cp:lastModifiedBy>
  <cp:revision>6</cp:revision>
  <dcterms:created xsi:type="dcterms:W3CDTF">2025-10-02T13:53:00Z</dcterms:created>
  <dcterms:modified xsi:type="dcterms:W3CDTF">2025-10-22T12:59:00Z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4920-4129-1587.8</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4901-7934-8847</vt:lpwstr>
  </property>
</Properties>
</file>