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AAE2" w14:textId="77777777" w:rsidR="00227915" w:rsidRPr="009D5DBE" w:rsidRDefault="00227915" w:rsidP="00907AE0">
      <w:pPr>
        <w:pStyle w:val="HBsl"/>
        <w:spacing w:after="120"/>
        <w:rPr>
          <w:b/>
          <w:bCs/>
          <w:szCs w:val="21"/>
        </w:rPr>
      </w:pPr>
      <w:r w:rsidRPr="009D5DBE">
        <w:rPr>
          <w:b/>
          <w:bCs/>
          <w:szCs w:val="21"/>
        </w:rPr>
        <w:t>Project Description</w:t>
      </w:r>
    </w:p>
    <w:p w14:paraId="61153EE4" w14:textId="02B5D71A" w:rsidR="0061017B" w:rsidRPr="009D5DBE" w:rsidRDefault="0061017B" w:rsidP="00281B5C">
      <w:pPr>
        <w:pStyle w:val="Heading2"/>
        <w:jc w:val="both"/>
      </w:pPr>
      <w:r w:rsidRPr="009D5DBE">
        <w:t>UMass Memorial Health Care, Inc. (the “Applicant” or “</w:t>
      </w:r>
      <w:bookmarkStart w:id="0" w:name="_Hlk189209957"/>
      <w:r w:rsidR="00104191" w:rsidRPr="009D5DBE">
        <w:t>UMass Memorial</w:t>
      </w:r>
      <w:bookmarkEnd w:id="0"/>
      <w:r w:rsidRPr="009D5DBE">
        <w:t xml:space="preserve">”), with a principal place of business at One Biotech Park, 365 Plantation Street, Worcester, MA 01605, </w:t>
      </w:r>
      <w:r w:rsidR="00231FC7">
        <w:t>seeks a</w:t>
      </w:r>
      <w:r w:rsidRPr="009D5DBE">
        <w:t xml:space="preserve"> Determination of Need (DoN) </w:t>
      </w:r>
      <w:r w:rsidR="00231FC7">
        <w:t>from</w:t>
      </w:r>
      <w:r w:rsidRPr="009D5DBE">
        <w:t xml:space="preserve"> the Massachusetts Department of Public Health</w:t>
      </w:r>
      <w:r w:rsidR="00292AFD" w:rsidRPr="009D5DBE">
        <w:t xml:space="preserve"> (DPH)</w:t>
      </w:r>
      <w:r w:rsidRPr="009D5DBE">
        <w:t xml:space="preserve"> for the </w:t>
      </w:r>
      <w:r w:rsidR="00576FA0" w:rsidRPr="009D5DBE">
        <w:t>t</w:t>
      </w:r>
      <w:r w:rsidRPr="009D5DBE">
        <w:t xml:space="preserve">ransfer of </w:t>
      </w:r>
      <w:r w:rsidR="00576FA0" w:rsidRPr="009D5DBE">
        <w:t>o</w:t>
      </w:r>
      <w:r w:rsidRPr="009D5DBE">
        <w:t>wnership of Marlborough Hospital</w:t>
      </w:r>
      <w:r w:rsidR="00690A53">
        <w:t xml:space="preserve"> (MH)</w:t>
      </w:r>
      <w:r w:rsidRPr="009D5DBE">
        <w:t>, located at 157 Union Street, Marlborough, MA 01752</w:t>
      </w:r>
      <w:r w:rsidR="00576FA0" w:rsidRPr="009D5DBE">
        <w:t>.</w:t>
      </w:r>
      <w:r w:rsidRPr="009D5DBE">
        <w:t xml:space="preserve"> </w:t>
      </w:r>
      <w:r w:rsidR="00576FA0" w:rsidRPr="009D5DBE">
        <w:t xml:space="preserve">The transfer will be effectuated by a corporate merger of </w:t>
      </w:r>
      <w:r w:rsidRPr="009D5DBE">
        <w:t>UMass Memorial Medical Center, Inc,</w:t>
      </w:r>
      <w:r w:rsidR="00690A53">
        <w:t xml:space="preserve"> the operator of</w:t>
      </w:r>
      <w:r w:rsidRPr="009D5DBE">
        <w:t xml:space="preserve"> a licensed hospital</w:t>
      </w:r>
      <w:r w:rsidR="00231FC7">
        <w:t>,</w:t>
      </w:r>
      <w:r w:rsidRPr="009D5DBE">
        <w:t xml:space="preserve"> </w:t>
      </w:r>
      <w:r w:rsidR="00576FA0" w:rsidRPr="009D5DBE">
        <w:t xml:space="preserve">and Marlborough Hospital </w:t>
      </w:r>
      <w:r w:rsidRPr="009D5DBE">
        <w:t xml:space="preserve">(the “Proposed </w:t>
      </w:r>
      <w:r w:rsidR="00576FA0" w:rsidRPr="009D5DBE">
        <w:t>Merger</w:t>
      </w:r>
      <w:r w:rsidRPr="009D5DBE">
        <w:t>”).</w:t>
      </w:r>
      <w:r w:rsidR="00576FA0" w:rsidRPr="009D5DBE">
        <w:t xml:space="preserve"> </w:t>
      </w:r>
      <w:r w:rsidRPr="009D5DBE">
        <w:t xml:space="preserve">Following the Proposed </w:t>
      </w:r>
      <w:r w:rsidR="00576FA0" w:rsidRPr="009D5DBE">
        <w:t>Merger</w:t>
      </w:r>
      <w:r w:rsidRPr="009D5DBE">
        <w:t xml:space="preserve">, </w:t>
      </w:r>
      <w:r w:rsidR="00690A53">
        <w:t>MH</w:t>
      </w:r>
      <w:r w:rsidRPr="009D5DBE">
        <w:t xml:space="preserve"> will become a licensed campus of UMass Memorial Medical Center</w:t>
      </w:r>
      <w:r w:rsidR="00104191" w:rsidRPr="009D5DBE">
        <w:t xml:space="preserve"> (UMMMC)</w:t>
      </w:r>
      <w:r w:rsidRPr="009D5DBE">
        <w:t xml:space="preserve">. </w:t>
      </w:r>
    </w:p>
    <w:p w14:paraId="34155BD4" w14:textId="72CCF785" w:rsidR="0061017B" w:rsidRPr="009D5DBE" w:rsidRDefault="005214E6" w:rsidP="00231FC7">
      <w:pPr>
        <w:pStyle w:val="HBblj"/>
      </w:pPr>
      <w:r w:rsidRPr="009D5DBE">
        <w:rPr>
          <w:rFonts w:eastAsia="PMingLiU"/>
        </w:rPr>
        <w:t>UMass Memorial</w:t>
      </w:r>
      <w:r w:rsidR="0061017B" w:rsidRPr="009D5DBE">
        <w:t xml:space="preserve"> </w:t>
      </w:r>
      <w:r w:rsidR="00227915" w:rsidRPr="009D5DBE">
        <w:t>is a Massachusetts nonprofit corporation that owns and operates an integrated health care system comprised of a network of hospitals, including one academic teaching hospital</w:t>
      </w:r>
      <w:r w:rsidR="00576FA0" w:rsidRPr="009D5DBE">
        <w:t xml:space="preserve"> - </w:t>
      </w:r>
      <w:r w:rsidR="0061017B" w:rsidRPr="009D5DBE">
        <w:t xml:space="preserve">UMMMC, </w:t>
      </w:r>
      <w:r w:rsidR="00227915" w:rsidRPr="009D5DBE">
        <w:t xml:space="preserve">and </w:t>
      </w:r>
      <w:r w:rsidR="0061017B" w:rsidRPr="009D5DBE">
        <w:t xml:space="preserve">four </w:t>
      </w:r>
      <w:r w:rsidR="00227915" w:rsidRPr="009D5DBE">
        <w:t>community hospitals</w:t>
      </w:r>
      <w:r w:rsidR="00973C0F" w:rsidRPr="009D5DBE">
        <w:rPr>
          <w:rStyle w:val="FootnoteReference"/>
          <w:szCs w:val="21"/>
        </w:rPr>
        <w:footnoteReference w:id="1"/>
      </w:r>
      <w:r w:rsidR="0061017B" w:rsidRPr="009D5DBE">
        <w:t xml:space="preserve">, including </w:t>
      </w:r>
      <w:r w:rsidR="00690A53">
        <w:t>MH</w:t>
      </w:r>
      <w:r w:rsidR="00227915" w:rsidRPr="009D5DBE">
        <w:t xml:space="preserve">, as well as other health care providers that serve the residents of Central Massachusetts. </w:t>
      </w:r>
      <w:r w:rsidR="00104191" w:rsidRPr="009D5DBE">
        <w:t>UMass Memorial</w:t>
      </w:r>
      <w:r w:rsidR="00227915" w:rsidRPr="009D5DBE">
        <w:t xml:space="preserve"> is the sole corporate member of UMass Memorial Community </w:t>
      </w:r>
      <w:r w:rsidR="00BE4378" w:rsidRPr="009D5DBE">
        <w:t>Entities</w:t>
      </w:r>
      <w:r w:rsidR="00227915" w:rsidRPr="009D5DBE">
        <w:t xml:space="preserve">, Inc. and certain other affiliates. </w:t>
      </w:r>
      <w:r w:rsidR="00104191" w:rsidRPr="009D5DBE">
        <w:t>UMass Memorial</w:t>
      </w:r>
      <w:r w:rsidR="00227915" w:rsidRPr="009D5DBE">
        <w:t xml:space="preserve">’s mission is to care for the diverse communities of Central Massachusetts, provide health care services to indigent patient populations, and serve as the clinical partner to UMass </w:t>
      </w:r>
      <w:r w:rsidR="002E53B4">
        <w:t xml:space="preserve">T.H. </w:t>
      </w:r>
      <w:r w:rsidR="00227915" w:rsidRPr="009D5DBE">
        <w:t xml:space="preserve">Chan Medical School, the only public medical school in </w:t>
      </w:r>
      <w:r w:rsidR="00690A53">
        <w:t>Massachusetts</w:t>
      </w:r>
      <w:r w:rsidR="00227915" w:rsidRPr="009D5DBE">
        <w:t xml:space="preserve">. </w:t>
      </w:r>
    </w:p>
    <w:p w14:paraId="6D918589" w14:textId="4DA423AF" w:rsidR="00907AE0" w:rsidRPr="009D5DBE" w:rsidRDefault="0061017B" w:rsidP="00231FC7">
      <w:pPr>
        <w:pStyle w:val="HBblj"/>
        <w:rPr>
          <w:snapToGrid w:val="0"/>
        </w:rPr>
      </w:pPr>
      <w:r w:rsidRPr="009D5DBE">
        <w:rPr>
          <w:snapToGrid w:val="0"/>
        </w:rPr>
        <w:t xml:space="preserve">MH is a small, </w:t>
      </w:r>
      <w:r w:rsidR="00576FA0" w:rsidRPr="009D5DBE">
        <w:rPr>
          <w:snapToGrid w:val="0"/>
        </w:rPr>
        <w:t>79</w:t>
      </w:r>
      <w:r w:rsidRPr="009D5DBE">
        <w:rPr>
          <w:snapToGrid w:val="0"/>
        </w:rPr>
        <w:t xml:space="preserve">-bed community hospital located in Central Massachusetts along Interstate 495. It joined the </w:t>
      </w:r>
      <w:r w:rsidR="00235373" w:rsidRPr="009D5DBE">
        <w:t>predecessor</w:t>
      </w:r>
      <w:r w:rsidRPr="009D5DBE">
        <w:rPr>
          <w:snapToGrid w:val="0"/>
        </w:rPr>
        <w:t xml:space="preserve"> system</w:t>
      </w:r>
      <w:r w:rsidR="00235373" w:rsidRPr="009D5DBE">
        <w:rPr>
          <w:snapToGrid w:val="0"/>
        </w:rPr>
        <w:t xml:space="preserve"> to UMass Memorial</w:t>
      </w:r>
      <w:r w:rsidRPr="009D5DBE">
        <w:rPr>
          <w:snapToGrid w:val="0"/>
        </w:rPr>
        <w:t xml:space="preserve"> in 1995</w:t>
      </w:r>
      <w:r w:rsidR="00272729" w:rsidRPr="009D5DBE">
        <w:rPr>
          <w:snapToGrid w:val="0"/>
        </w:rPr>
        <w:t xml:space="preserve">, continuing its mission to provide high-quality, comprehensive care in the community. Since 2014, MH </w:t>
      </w:r>
      <w:r w:rsidR="00576FA0" w:rsidRPr="009D5DBE">
        <w:rPr>
          <w:snapToGrid w:val="0"/>
        </w:rPr>
        <w:t>is also the site of</w:t>
      </w:r>
      <w:r w:rsidR="00272729" w:rsidRPr="009D5DBE">
        <w:rPr>
          <w:snapToGrid w:val="0"/>
        </w:rPr>
        <w:t xml:space="preserve"> the UMass Memorial Cancer Center, a satellite of UMMMC. In recent years, MH has been significantly challenged by physician shortages, driv</w:t>
      </w:r>
      <w:r w:rsidR="00062BD2" w:rsidRPr="009D5DBE">
        <w:rPr>
          <w:snapToGrid w:val="0"/>
        </w:rPr>
        <w:t>en</w:t>
      </w:r>
      <w:r w:rsidR="00272729" w:rsidRPr="009D5DBE">
        <w:rPr>
          <w:snapToGrid w:val="0"/>
        </w:rPr>
        <w:t xml:space="preserve"> primarily by retiring special</w:t>
      </w:r>
      <w:r w:rsidR="00563FE2" w:rsidRPr="009D5DBE">
        <w:rPr>
          <w:snapToGrid w:val="0"/>
        </w:rPr>
        <w:t>ty providers</w:t>
      </w:r>
      <w:r w:rsidR="00272729" w:rsidRPr="009D5DBE">
        <w:rPr>
          <w:snapToGrid w:val="0"/>
        </w:rPr>
        <w:t xml:space="preserve"> who once made up a </w:t>
      </w:r>
      <w:r w:rsidR="00235373" w:rsidRPr="009D5DBE">
        <w:rPr>
          <w:snapToGrid w:val="0"/>
        </w:rPr>
        <w:t>sizable share of</w:t>
      </w:r>
      <w:r w:rsidR="00272729" w:rsidRPr="009D5DBE">
        <w:rPr>
          <w:snapToGrid w:val="0"/>
        </w:rPr>
        <w:t xml:space="preserve"> MH’s hospitalists and on-call physicians</w:t>
      </w:r>
      <w:r w:rsidR="00576FA0" w:rsidRPr="009D5DBE">
        <w:rPr>
          <w:snapToGrid w:val="0"/>
        </w:rPr>
        <w:t>. The Proposed Merger will allow the Applicant to</w:t>
      </w:r>
      <w:r w:rsidR="00844E12" w:rsidRPr="009D5DBE">
        <w:rPr>
          <w:snapToGrid w:val="0"/>
        </w:rPr>
        <w:t xml:space="preserve"> ensure continued access to specialty care not only at MH, </w:t>
      </w:r>
      <w:r w:rsidR="003430E5" w:rsidRPr="009D5DBE">
        <w:rPr>
          <w:snapToGrid w:val="0"/>
        </w:rPr>
        <w:t xml:space="preserve">but to also improve timely access to </w:t>
      </w:r>
      <w:r w:rsidR="00821AC3" w:rsidRPr="009D5DBE">
        <w:rPr>
          <w:snapToGrid w:val="0"/>
        </w:rPr>
        <w:t xml:space="preserve">specialty consults affording patients the ability to remain </w:t>
      </w:r>
      <w:r w:rsidR="00BE4378" w:rsidRPr="009D5DBE">
        <w:rPr>
          <w:snapToGrid w:val="0"/>
        </w:rPr>
        <w:t>on the Marlborough campus</w:t>
      </w:r>
      <w:r w:rsidR="00821AC3" w:rsidRPr="009D5DBE">
        <w:rPr>
          <w:snapToGrid w:val="0"/>
        </w:rPr>
        <w:t xml:space="preserve"> for their care.</w:t>
      </w:r>
    </w:p>
    <w:p w14:paraId="6AFBA675" w14:textId="38785481" w:rsidR="00907AE0" w:rsidRPr="009D5DBE" w:rsidRDefault="00907AE0" w:rsidP="00231FC7">
      <w:pPr>
        <w:pStyle w:val="HBblj"/>
        <w:rPr>
          <w:rFonts w:cstheme="minorHAnsi"/>
        </w:rPr>
      </w:pPr>
      <w:r w:rsidRPr="009D5DBE">
        <w:rPr>
          <w:snapToGrid w:val="0"/>
        </w:rPr>
        <w:t xml:space="preserve">Moreover, the Proposed </w:t>
      </w:r>
      <w:r w:rsidR="000E2C21" w:rsidRPr="009D5DBE">
        <w:rPr>
          <w:snapToGrid w:val="0"/>
        </w:rPr>
        <w:t>Merger</w:t>
      </w:r>
      <w:r w:rsidRPr="009D5DBE">
        <w:rPr>
          <w:snapToGrid w:val="0"/>
        </w:rPr>
        <w:t xml:space="preserve"> represents a more effective use of resources to better manage patient care, improve health outcomes, and drive quality improvement initiatives. The Proposed </w:t>
      </w:r>
      <w:r w:rsidR="000E2C21" w:rsidRPr="009D5DBE">
        <w:rPr>
          <w:snapToGrid w:val="0"/>
        </w:rPr>
        <w:t>Merger</w:t>
      </w:r>
      <w:r w:rsidRPr="009D5DBE">
        <w:rPr>
          <w:snapToGrid w:val="0"/>
        </w:rPr>
        <w:t xml:space="preserve"> will eliminate costs </w:t>
      </w:r>
      <w:r w:rsidRPr="009D5DBE">
        <w:rPr>
          <w:rFonts w:cstheme="minorHAnsi"/>
        </w:rPr>
        <w:t>required to maintain a separate hospital license and corporate entity, as well as separate governing bodies, leadership structures and medical staff infrastructure</w:t>
      </w:r>
      <w:r w:rsidR="00BE4378" w:rsidRPr="009D5DBE">
        <w:rPr>
          <w:rFonts w:cstheme="minorHAnsi"/>
        </w:rPr>
        <w:t>s</w:t>
      </w:r>
      <w:r w:rsidRPr="009D5DBE">
        <w:rPr>
          <w:rFonts w:cstheme="minorHAnsi"/>
        </w:rPr>
        <w:t xml:space="preserve">.  Furthermore, </w:t>
      </w:r>
      <w:r w:rsidR="00231FC7">
        <w:rPr>
          <w:rFonts w:cstheme="minorHAnsi"/>
        </w:rPr>
        <w:t>the Marlborough campus</w:t>
      </w:r>
      <w:r w:rsidR="00231FC7" w:rsidRPr="009D5DBE">
        <w:rPr>
          <w:rFonts w:cstheme="minorHAnsi"/>
        </w:rPr>
        <w:t xml:space="preserve"> </w:t>
      </w:r>
      <w:r w:rsidRPr="009D5DBE">
        <w:rPr>
          <w:rFonts w:cstheme="minorHAnsi"/>
        </w:rPr>
        <w:t xml:space="preserve">will be fully integrated into the UMMMC quality, patient safety and regulatory oversight functions, allowing </w:t>
      </w:r>
      <w:r w:rsidR="00231FC7">
        <w:rPr>
          <w:rFonts w:cstheme="minorHAnsi"/>
        </w:rPr>
        <w:t>the Marlborough campus</w:t>
      </w:r>
      <w:r w:rsidRPr="009D5DBE">
        <w:rPr>
          <w:rFonts w:cstheme="minorHAnsi"/>
        </w:rPr>
        <w:t xml:space="preserve"> to participate in UMMMC’s long-term planning around quality</w:t>
      </w:r>
      <w:r w:rsidR="00BE4378" w:rsidRPr="009D5DBE">
        <w:rPr>
          <w:rFonts w:cstheme="minorHAnsi"/>
        </w:rPr>
        <w:t>, safety</w:t>
      </w:r>
      <w:r w:rsidRPr="009D5DBE">
        <w:rPr>
          <w:rFonts w:cstheme="minorHAnsi"/>
        </w:rPr>
        <w:t xml:space="preserve"> and outcomes.  With these</w:t>
      </w:r>
      <w:r w:rsidR="00821AC3" w:rsidRPr="009D5DBE">
        <w:rPr>
          <w:rFonts w:cstheme="minorHAnsi"/>
        </w:rPr>
        <w:t xml:space="preserve"> potential</w:t>
      </w:r>
      <w:r w:rsidRPr="009D5DBE">
        <w:rPr>
          <w:rFonts w:cstheme="minorHAnsi"/>
        </w:rPr>
        <w:t xml:space="preserve"> savings</w:t>
      </w:r>
      <w:r w:rsidR="00BE4378" w:rsidRPr="009D5DBE">
        <w:rPr>
          <w:rFonts w:cstheme="minorHAnsi"/>
        </w:rPr>
        <w:t xml:space="preserve"> and opportunities</w:t>
      </w:r>
      <w:r w:rsidRPr="009D5DBE">
        <w:rPr>
          <w:rFonts w:cstheme="minorHAnsi"/>
        </w:rPr>
        <w:t>, UMMMC will be able to explore additional ways to reduce operational costs and maximize services across campuses th</w:t>
      </w:r>
      <w:r w:rsidR="00B73410" w:rsidRPr="009D5DBE">
        <w:rPr>
          <w:rFonts w:cstheme="minorHAnsi"/>
        </w:rPr>
        <w:t>r</w:t>
      </w:r>
      <w:r w:rsidRPr="009D5DBE">
        <w:rPr>
          <w:rFonts w:cstheme="minorHAnsi"/>
        </w:rPr>
        <w:t>ough investments in the most needed services</w:t>
      </w:r>
      <w:r w:rsidR="00576FA0" w:rsidRPr="009D5DBE">
        <w:rPr>
          <w:rFonts w:cstheme="minorHAnsi"/>
        </w:rPr>
        <w:t xml:space="preserve"> at MH</w:t>
      </w:r>
      <w:r w:rsidRPr="009D5DBE">
        <w:rPr>
          <w:rFonts w:cstheme="minorHAnsi"/>
        </w:rPr>
        <w:t>.</w:t>
      </w:r>
    </w:p>
    <w:p w14:paraId="6391DB50" w14:textId="7C010223" w:rsidR="009E7B34" w:rsidRPr="009D5DBE" w:rsidRDefault="00907AE0" w:rsidP="00231FC7">
      <w:pPr>
        <w:pStyle w:val="HBblj"/>
        <w:rPr>
          <w:snapToGrid w:val="0"/>
        </w:rPr>
      </w:pPr>
      <w:r w:rsidRPr="009D5DBE">
        <w:rPr>
          <w:snapToGrid w:val="0"/>
        </w:rPr>
        <w:t xml:space="preserve">To that end, the Proposed </w:t>
      </w:r>
      <w:r w:rsidR="00576FA0" w:rsidRPr="009D5DBE">
        <w:rPr>
          <w:snapToGrid w:val="0"/>
        </w:rPr>
        <w:t>Merger</w:t>
      </w:r>
      <w:r w:rsidRPr="009D5DBE">
        <w:rPr>
          <w:snapToGrid w:val="0"/>
        </w:rPr>
        <w:t xml:space="preserve"> will </w:t>
      </w:r>
      <w:r w:rsidR="002B6B62" w:rsidRPr="009D5DBE">
        <w:rPr>
          <w:snapToGrid w:val="0"/>
        </w:rPr>
        <w:t>improve how the Applicant serves its Patient Panel through improved access</w:t>
      </w:r>
      <w:r w:rsidR="00576FA0" w:rsidRPr="009D5DBE">
        <w:rPr>
          <w:snapToGrid w:val="0"/>
        </w:rPr>
        <w:t xml:space="preserve"> and </w:t>
      </w:r>
      <w:r w:rsidR="002B6B62" w:rsidRPr="009D5DBE">
        <w:rPr>
          <w:snapToGrid w:val="0"/>
        </w:rPr>
        <w:t>health outcomes</w:t>
      </w:r>
      <w:r w:rsidR="00576FA0" w:rsidRPr="009D5DBE">
        <w:rPr>
          <w:snapToGrid w:val="0"/>
        </w:rPr>
        <w:t xml:space="preserve"> </w:t>
      </w:r>
      <w:r w:rsidR="002B6B62" w:rsidRPr="009D5DBE">
        <w:rPr>
          <w:snapToGrid w:val="0"/>
        </w:rPr>
        <w:t xml:space="preserve">by re-investing cost savings to further improve access to care in the communities served by MH. </w:t>
      </w:r>
      <w:r w:rsidR="009E7B34" w:rsidRPr="009D5DBE">
        <w:rPr>
          <w:snapToGrid w:val="0"/>
        </w:rPr>
        <w:t>Further, t</w:t>
      </w:r>
      <w:r w:rsidR="00062BD2" w:rsidRPr="009D5DBE">
        <w:rPr>
          <w:snapToGrid w:val="0"/>
        </w:rPr>
        <w:t xml:space="preserve">he Proposed </w:t>
      </w:r>
      <w:r w:rsidR="000E2C21" w:rsidRPr="009D5DBE">
        <w:rPr>
          <w:snapToGrid w:val="0"/>
        </w:rPr>
        <w:t>Merger</w:t>
      </w:r>
      <w:r w:rsidR="00062BD2" w:rsidRPr="009D5DBE">
        <w:rPr>
          <w:snapToGrid w:val="0"/>
        </w:rPr>
        <w:t xml:space="preserve"> will maximize the resources currently available at both MH and UMMMC to ensure the long-term viability of hospital services in Marlborough and access to tertiary care at UMMMC for MH patients. In sum, the Proposed </w:t>
      </w:r>
      <w:r w:rsidR="000E2C21" w:rsidRPr="009D5DBE">
        <w:rPr>
          <w:snapToGrid w:val="0"/>
        </w:rPr>
        <w:t>Merger</w:t>
      </w:r>
      <w:r w:rsidR="00062BD2" w:rsidRPr="009D5DBE">
        <w:rPr>
          <w:snapToGrid w:val="0"/>
        </w:rPr>
        <w:t xml:space="preserve"> </w:t>
      </w:r>
      <w:r w:rsidR="009E7B34" w:rsidRPr="009D5DBE">
        <w:rPr>
          <w:snapToGrid w:val="0"/>
        </w:rPr>
        <w:t xml:space="preserve">meets the factors for determining need and should therefore be approved. </w:t>
      </w:r>
    </w:p>
    <w:p w14:paraId="3371368F" w14:textId="77777777" w:rsidR="00231FC7" w:rsidRDefault="00231FC7">
      <w:pPr>
        <w:pStyle w:val="HBh"/>
        <w:rPr>
          <w:snapToGrid w:val="0"/>
        </w:rPr>
      </w:pPr>
    </w:p>
    <w:p w14:paraId="54C165ED" w14:textId="77777777" w:rsidR="00231FC7" w:rsidRDefault="00231FC7">
      <w:pPr>
        <w:pStyle w:val="HBh"/>
        <w:rPr>
          <w:snapToGrid w:val="0"/>
        </w:rPr>
      </w:pPr>
    </w:p>
    <w:p w14:paraId="1829AFAB" w14:textId="77777777" w:rsidR="00231FC7" w:rsidRDefault="00231FC7">
      <w:pPr>
        <w:pStyle w:val="HBh"/>
        <w:rPr>
          <w:snapToGrid w:val="0"/>
        </w:rPr>
      </w:pPr>
    </w:p>
    <w:p w14:paraId="7697F5BD" w14:textId="77777777" w:rsidR="00231FC7" w:rsidRPr="009D5DBE" w:rsidRDefault="00231FC7" w:rsidP="00231FC7">
      <w:pPr>
        <w:pStyle w:val="HBh"/>
        <w:rPr>
          <w:snapToGrid w:val="0"/>
        </w:rPr>
      </w:pPr>
    </w:p>
    <w:p w14:paraId="7426E007" w14:textId="16750631" w:rsidR="00227915" w:rsidRPr="009D5DBE" w:rsidRDefault="00227915" w:rsidP="00231FC7">
      <w:pPr>
        <w:pStyle w:val="HBh"/>
        <w:rPr>
          <w:i/>
          <w:iCs/>
        </w:rPr>
      </w:pPr>
      <w:r w:rsidRPr="009D5DBE">
        <w:t xml:space="preserve">F1.a.i </w:t>
      </w:r>
      <w:r w:rsidRPr="009D5DBE">
        <w:rPr>
          <w:i/>
          <w:iCs/>
        </w:rPr>
        <w:tab/>
      </w:r>
      <w:r w:rsidRPr="00231FC7">
        <w:rPr>
          <w:b/>
          <w:bCs/>
        </w:rPr>
        <w:t>Patient Panel</w:t>
      </w:r>
    </w:p>
    <w:p w14:paraId="126D6A20" w14:textId="77777777" w:rsidR="00227915" w:rsidRPr="009D5DBE" w:rsidRDefault="00227915" w:rsidP="00231FC7">
      <w:pPr>
        <w:pStyle w:val="HBbl1j"/>
        <w:rPr>
          <w:rFonts w:eastAsia="PMingLiU"/>
        </w:rPr>
      </w:pPr>
      <w:r w:rsidRPr="009D5DBE">
        <w:rPr>
          <w:rFonts w:eastAsia="PMingLiU"/>
        </w:rPr>
        <w:t>Describe your existing Patient Panel, including incidence or prevalence of disease or behavioral risk factors, acuity mix, noted health disparities, geographic breakdown expressed in zip codes or other appropriate measures, demographics including age, gender and sexual identity, race, ethnicity, socioeconomic status and other priority populations relevant to the Applicant’s existing patient panel and payer mix.</w:t>
      </w:r>
    </w:p>
    <w:p w14:paraId="0A8D1197" w14:textId="48C4CA75" w:rsidR="00227915" w:rsidRPr="009D5DBE" w:rsidRDefault="00227915" w:rsidP="00231FC7">
      <w:pPr>
        <w:pStyle w:val="HBsl"/>
        <w:rPr>
          <w:rFonts w:eastAsia="PMingLiU"/>
        </w:rPr>
      </w:pPr>
      <w:r w:rsidRPr="009D5DBE">
        <w:rPr>
          <w:rFonts w:eastAsia="PMingLiU"/>
        </w:rPr>
        <w:t xml:space="preserve">UMass Memorial Health Care </w:t>
      </w:r>
    </w:p>
    <w:p w14:paraId="60E877AA" w14:textId="647D9663" w:rsidR="00227915" w:rsidRPr="009D5DBE" w:rsidRDefault="00104191" w:rsidP="00231FC7">
      <w:pPr>
        <w:pStyle w:val="HBblj"/>
        <w:rPr>
          <w:rFonts w:eastAsia="PMingLiU"/>
        </w:rPr>
      </w:pPr>
      <w:r w:rsidRPr="009D5DBE">
        <w:rPr>
          <w:rFonts w:eastAsia="PMingLiU"/>
        </w:rPr>
        <w:t>UMass Memorial</w:t>
      </w:r>
      <w:r w:rsidR="00227915" w:rsidRPr="009D5DBE">
        <w:rPr>
          <w:rFonts w:eastAsia="PMingLiU"/>
        </w:rPr>
        <w:t xml:space="preserve"> owns and operates the largest integrated health care system in Central Massachusetts comprised of a network of hospitals, including one academic teaching hospital and </w:t>
      </w:r>
      <w:r w:rsidR="00EA432E" w:rsidRPr="009D5DBE">
        <w:rPr>
          <w:rFonts w:eastAsia="PMingLiU"/>
        </w:rPr>
        <w:t>four</w:t>
      </w:r>
      <w:r w:rsidR="00227915" w:rsidRPr="009D5DBE">
        <w:rPr>
          <w:rFonts w:eastAsia="PMingLiU"/>
        </w:rPr>
        <w:t xml:space="preserve"> community hospitals, as well as other health care providers that serve the residents of Central Massachusetts. </w:t>
      </w:r>
      <w:r w:rsidRPr="009D5DBE">
        <w:rPr>
          <w:rFonts w:eastAsia="PMingLiU"/>
        </w:rPr>
        <w:t>UMass Memorial</w:t>
      </w:r>
      <w:r w:rsidR="00227915" w:rsidRPr="009D5DBE">
        <w:rPr>
          <w:rFonts w:eastAsia="PMingLiU"/>
        </w:rPr>
        <w:t xml:space="preserve">’s mission is to care for the diverse communities of Central Massachusetts, provide health care services to </w:t>
      </w:r>
      <w:r w:rsidR="00576FA0" w:rsidRPr="009D5DBE">
        <w:rPr>
          <w:rFonts w:eastAsia="PMingLiU"/>
        </w:rPr>
        <w:t>underserved</w:t>
      </w:r>
      <w:r w:rsidR="00227915" w:rsidRPr="009D5DBE">
        <w:rPr>
          <w:rFonts w:eastAsia="PMingLiU"/>
        </w:rPr>
        <w:t xml:space="preserve"> patient populations, and serve as the clinical partner to UMass </w:t>
      </w:r>
      <w:r w:rsidR="003908BA" w:rsidRPr="009D5DBE">
        <w:rPr>
          <w:rFonts w:eastAsia="PMingLiU"/>
        </w:rPr>
        <w:t xml:space="preserve">T.H. </w:t>
      </w:r>
      <w:r w:rsidR="00227915" w:rsidRPr="009D5DBE">
        <w:rPr>
          <w:rFonts w:eastAsia="PMingLiU"/>
        </w:rPr>
        <w:t>Chan Medical School, the only public medical school in the state.</w:t>
      </w:r>
      <w:r w:rsidR="00BE4378" w:rsidRPr="009D5DBE">
        <w:rPr>
          <w:rFonts w:eastAsia="PMingLiU"/>
        </w:rPr>
        <w:t xml:space="preserve">  UMass Memorial and each of its provider subsidiaries is a non-profit, tax-exempt organization.  </w:t>
      </w:r>
    </w:p>
    <w:p w14:paraId="71A2B49D" w14:textId="0407F42B" w:rsidR="00227915" w:rsidRPr="009D5DBE" w:rsidRDefault="00227915" w:rsidP="00231FC7">
      <w:pPr>
        <w:pStyle w:val="HBblj"/>
        <w:rPr>
          <w:rFonts w:eastAsia="PMingLiU"/>
          <w:kern w:val="0"/>
          <w:szCs w:val="21"/>
          <w:u w:val="single"/>
          <w14:ligatures w14:val="none"/>
        </w:rPr>
      </w:pPr>
      <w:r w:rsidRPr="009D5DBE">
        <w:rPr>
          <w:rFonts w:eastAsia="PMingLiU"/>
        </w:rPr>
        <w:t xml:space="preserve">The </w:t>
      </w:r>
      <w:r w:rsidR="00104191" w:rsidRPr="009D5DBE">
        <w:rPr>
          <w:rFonts w:eastAsia="PMingLiU"/>
        </w:rPr>
        <w:t>UMass Memorial</w:t>
      </w:r>
      <w:r w:rsidRPr="009D5DBE">
        <w:rPr>
          <w:rFonts w:eastAsia="PMingLiU"/>
        </w:rPr>
        <w:t xml:space="preserve"> patient mix during FY22 through FY24 was approximately 56% female and 44% male each year. Age demographics show that the majority (approximately 58%) of the patients were </w:t>
      </w:r>
      <w:r w:rsidR="00576FA0" w:rsidRPr="009D5DBE">
        <w:rPr>
          <w:rFonts w:eastAsia="PMingLiU"/>
        </w:rPr>
        <w:t>ages</w:t>
      </w:r>
      <w:r w:rsidRPr="009D5DBE">
        <w:rPr>
          <w:rFonts w:eastAsia="PMingLiU"/>
        </w:rPr>
        <w:t xml:space="preserve"> 18-64; however, patients aged 65 and older </w:t>
      </w:r>
      <w:r w:rsidR="00BE4378" w:rsidRPr="009D5DBE">
        <w:rPr>
          <w:rFonts w:eastAsia="PMingLiU"/>
        </w:rPr>
        <w:t xml:space="preserve">steadily </w:t>
      </w:r>
      <w:r w:rsidRPr="009D5DBE">
        <w:rPr>
          <w:rFonts w:eastAsia="PMingLiU"/>
        </w:rPr>
        <w:t xml:space="preserve">increased from 23% in FY22 to 24.2% in FY23 and </w:t>
      </w:r>
      <w:r w:rsidR="00576FA0" w:rsidRPr="009D5DBE">
        <w:rPr>
          <w:rFonts w:eastAsia="PMingLiU"/>
        </w:rPr>
        <w:t xml:space="preserve">to </w:t>
      </w:r>
      <w:r w:rsidRPr="009D5DBE">
        <w:rPr>
          <w:rFonts w:eastAsia="PMingLiU"/>
        </w:rPr>
        <w:t xml:space="preserve">25.2% in FY24. Approximately 17% of </w:t>
      </w:r>
      <w:r w:rsidR="00104191" w:rsidRPr="009D5DBE">
        <w:rPr>
          <w:rFonts w:eastAsia="PMingLiU"/>
        </w:rPr>
        <w:t>UMass Memorial</w:t>
      </w:r>
      <w:r w:rsidRPr="009D5DBE">
        <w:rPr>
          <w:rFonts w:eastAsia="PMingLiU"/>
        </w:rPr>
        <w:t xml:space="preserve">’s patients are aged 0-17. In terms of racial make-up, </w:t>
      </w:r>
      <w:r w:rsidR="00B8365D" w:rsidRPr="009D5DBE">
        <w:rPr>
          <w:rFonts w:eastAsia="PMingLiU"/>
        </w:rPr>
        <w:t>most patients self-identified as</w:t>
      </w:r>
      <w:r w:rsidRPr="009D5DBE">
        <w:rPr>
          <w:rFonts w:eastAsia="PMingLiU"/>
        </w:rPr>
        <w:t xml:space="preserve"> Whit</w:t>
      </w:r>
      <w:r w:rsidR="00B8365D" w:rsidRPr="009D5DBE">
        <w:rPr>
          <w:rFonts w:eastAsia="PMingLiU"/>
        </w:rPr>
        <w:t>e (73%)</w:t>
      </w:r>
      <w:r w:rsidRPr="009D5DBE">
        <w:rPr>
          <w:rFonts w:eastAsia="PMingLiU"/>
        </w:rPr>
        <w:t xml:space="preserve">. </w:t>
      </w:r>
      <w:r w:rsidR="002B5CB3" w:rsidRPr="009D5DBE">
        <w:rPr>
          <w:rFonts w:eastAsia="PMingLiU"/>
        </w:rPr>
        <w:t xml:space="preserve">The patient panel also consists of the following races: </w:t>
      </w:r>
      <w:r w:rsidRPr="009D5DBE">
        <w:rPr>
          <w:rFonts w:eastAsia="PMingLiU"/>
        </w:rPr>
        <w:t>Black or African American</w:t>
      </w:r>
      <w:r w:rsidR="002B5CB3" w:rsidRPr="009D5DBE">
        <w:rPr>
          <w:rFonts w:eastAsia="PMingLiU"/>
        </w:rPr>
        <w:t xml:space="preserve">, </w:t>
      </w:r>
      <w:r w:rsidRPr="009D5DBE">
        <w:rPr>
          <w:rFonts w:eastAsia="PMingLiU"/>
        </w:rPr>
        <w:t>Asian</w:t>
      </w:r>
      <w:r w:rsidR="002B5CB3" w:rsidRPr="009D5DBE">
        <w:rPr>
          <w:rFonts w:eastAsia="PMingLiU"/>
        </w:rPr>
        <w:t xml:space="preserve">, </w:t>
      </w:r>
      <w:r w:rsidRPr="009D5DBE">
        <w:rPr>
          <w:rFonts w:eastAsia="PMingLiU"/>
        </w:rPr>
        <w:t>Hispanic</w:t>
      </w:r>
      <w:r w:rsidR="002B5CB3" w:rsidRPr="009D5DBE">
        <w:rPr>
          <w:rFonts w:eastAsia="PMingLiU"/>
        </w:rPr>
        <w:t xml:space="preserve">, </w:t>
      </w:r>
      <w:r w:rsidRPr="009D5DBE">
        <w:rPr>
          <w:rFonts w:eastAsia="PMingLiU"/>
        </w:rPr>
        <w:t>and American Indian or Alaska Native</w:t>
      </w:r>
      <w:r w:rsidR="00BE4378" w:rsidRPr="009D5DBE">
        <w:rPr>
          <w:rFonts w:eastAsia="PMingLiU"/>
        </w:rPr>
        <w:t xml:space="preserve"> as set forth in Table 1 below</w:t>
      </w:r>
      <w:r w:rsidRPr="009D5DBE">
        <w:rPr>
          <w:rFonts w:eastAsia="PMingLiU"/>
        </w:rPr>
        <w:t xml:space="preserve">. These are </w:t>
      </w:r>
      <w:r w:rsidR="00BE4378" w:rsidRPr="009D5DBE">
        <w:rPr>
          <w:rFonts w:eastAsia="PMingLiU"/>
        </w:rPr>
        <w:t xml:space="preserve">patient </w:t>
      </w:r>
      <w:r w:rsidRPr="009D5DBE">
        <w:rPr>
          <w:rFonts w:eastAsia="PMingLiU"/>
        </w:rPr>
        <w:t xml:space="preserve">self-reported figures and there is a significant percentage </w:t>
      </w:r>
      <w:r w:rsidR="00B8365D" w:rsidRPr="009D5DBE">
        <w:rPr>
          <w:rFonts w:eastAsia="PMingLiU"/>
        </w:rPr>
        <w:t>(</w:t>
      </w:r>
      <w:r w:rsidRPr="009D5DBE">
        <w:rPr>
          <w:rFonts w:eastAsia="PMingLiU"/>
        </w:rPr>
        <w:t xml:space="preserve">16.2% in FY24) of the population that either chose not to report or reported in a category not reported here. Therefore, the reported racial make-up </w:t>
      </w:r>
      <w:r w:rsidR="002B5CB3" w:rsidRPr="009D5DBE">
        <w:rPr>
          <w:rFonts w:eastAsia="PMingLiU"/>
        </w:rPr>
        <w:t xml:space="preserve">of the Patient Panel </w:t>
      </w:r>
      <w:r w:rsidRPr="009D5DBE">
        <w:rPr>
          <w:rFonts w:eastAsia="PMingLiU"/>
        </w:rPr>
        <w:t xml:space="preserve">may not accurately represent the actual racial make-up of </w:t>
      </w:r>
      <w:r w:rsidR="005214E6" w:rsidRPr="009D5DBE">
        <w:rPr>
          <w:rFonts w:eastAsia="PMingLiU"/>
        </w:rPr>
        <w:t>UMass Memorial</w:t>
      </w:r>
      <w:r w:rsidRPr="009D5DBE">
        <w:rPr>
          <w:rFonts w:eastAsia="PMingLiU"/>
        </w:rPr>
        <w:t xml:space="preserve"> patients. Almost 90% of </w:t>
      </w:r>
      <w:r w:rsidR="00104191" w:rsidRPr="009D5DBE">
        <w:rPr>
          <w:rFonts w:eastAsia="PMingLiU"/>
        </w:rPr>
        <w:t>UMass Memorial</w:t>
      </w:r>
      <w:r w:rsidRPr="009D5DBE">
        <w:rPr>
          <w:rFonts w:eastAsia="PMingLiU"/>
        </w:rPr>
        <w:t xml:space="preserve"> patients are from Central Massachusetts. </w:t>
      </w:r>
    </w:p>
    <w:p w14:paraId="083607AA" w14:textId="77777777" w:rsidR="00C322D5" w:rsidRPr="009D5DBE" w:rsidRDefault="00C322D5" w:rsidP="00227915">
      <w:pPr>
        <w:suppressAutoHyphens w:val="0"/>
        <w:spacing w:after="240"/>
        <w:jc w:val="both"/>
        <w:rPr>
          <w:rFonts w:eastAsia="PMingLiU"/>
          <w:kern w:val="0"/>
          <w:szCs w:val="21"/>
          <w:u w:val="single"/>
          <w14:ligatures w14:val="none"/>
        </w:rPr>
        <w:sectPr w:rsidR="00C322D5" w:rsidRPr="009D5DB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00"/>
        <w:gridCol w:w="1410"/>
        <w:gridCol w:w="1410"/>
        <w:gridCol w:w="1410"/>
        <w:gridCol w:w="1410"/>
        <w:gridCol w:w="1410"/>
        <w:gridCol w:w="1410"/>
      </w:tblGrid>
      <w:tr w:rsidR="00227915" w:rsidRPr="009D5DBE" w14:paraId="164E5BD0" w14:textId="77777777" w:rsidTr="00BD1E61">
        <w:trPr>
          <w:cantSplit/>
          <w:trHeight w:val="272"/>
          <w:tblHeader/>
        </w:trPr>
        <w:tc>
          <w:tcPr>
            <w:tcW w:w="4500" w:type="dxa"/>
            <w:shd w:val="clear" w:color="auto" w:fill="D9D9D9" w:themeFill="background1" w:themeFillShade="D9"/>
          </w:tcPr>
          <w:p w14:paraId="5C9FBD35" w14:textId="1D8DA8D3" w:rsidR="00227915" w:rsidRPr="009D5DBE" w:rsidRDefault="009D5DBE" w:rsidP="003908BA">
            <w:pPr>
              <w:rPr>
                <w:b/>
                <w:bCs/>
                <w:szCs w:val="21"/>
              </w:rPr>
            </w:pPr>
            <w:r w:rsidRPr="009D5DBE">
              <w:rPr>
                <w:rFonts w:eastAsia="PMingLiU"/>
                <w:b/>
                <w:bCs/>
                <w:kern w:val="0"/>
                <w:szCs w:val="21"/>
                <w14:ligatures w14:val="none"/>
              </w:rPr>
              <w:lastRenderedPageBreak/>
              <w:t>Table 1: UMass Memorial Patient Panel</w:t>
            </w:r>
            <w:r w:rsidRPr="009D5DBE">
              <w:rPr>
                <w:rStyle w:val="FootnoteReference"/>
                <w:rFonts w:eastAsia="PMingLiU"/>
                <w:b/>
                <w:bCs/>
                <w:kern w:val="0"/>
                <w:szCs w:val="21"/>
                <w14:ligatures w14:val="none"/>
              </w:rPr>
              <w:footnoteReference w:id="2"/>
            </w:r>
          </w:p>
        </w:tc>
        <w:tc>
          <w:tcPr>
            <w:tcW w:w="1410" w:type="dxa"/>
            <w:shd w:val="clear" w:color="auto" w:fill="D9D9D9" w:themeFill="background1" w:themeFillShade="D9"/>
            <w:vAlign w:val="center"/>
          </w:tcPr>
          <w:p w14:paraId="772A72BE" w14:textId="77777777" w:rsidR="00227915" w:rsidRPr="009D5DBE" w:rsidRDefault="00227915" w:rsidP="003908BA">
            <w:pPr>
              <w:jc w:val="center"/>
              <w:rPr>
                <w:b/>
                <w:bCs/>
                <w:szCs w:val="21"/>
              </w:rPr>
            </w:pPr>
            <w:r w:rsidRPr="009D5DBE">
              <w:rPr>
                <w:b/>
                <w:bCs/>
                <w:szCs w:val="21"/>
              </w:rPr>
              <w:t>FY22 Count</w:t>
            </w:r>
          </w:p>
        </w:tc>
        <w:tc>
          <w:tcPr>
            <w:tcW w:w="1410" w:type="dxa"/>
            <w:shd w:val="clear" w:color="auto" w:fill="D9D9D9" w:themeFill="background1" w:themeFillShade="D9"/>
            <w:vAlign w:val="center"/>
          </w:tcPr>
          <w:p w14:paraId="3280D0B8" w14:textId="77777777" w:rsidR="00227915" w:rsidRPr="009D5DBE" w:rsidRDefault="00227915" w:rsidP="003908BA">
            <w:pPr>
              <w:jc w:val="center"/>
              <w:rPr>
                <w:b/>
                <w:bCs/>
                <w:szCs w:val="21"/>
              </w:rPr>
            </w:pPr>
            <w:r w:rsidRPr="009D5DBE">
              <w:rPr>
                <w:b/>
                <w:bCs/>
                <w:szCs w:val="21"/>
              </w:rPr>
              <w:t>FY22 %</w:t>
            </w:r>
          </w:p>
        </w:tc>
        <w:tc>
          <w:tcPr>
            <w:tcW w:w="1410" w:type="dxa"/>
            <w:shd w:val="clear" w:color="auto" w:fill="D9D9D9" w:themeFill="background1" w:themeFillShade="D9"/>
            <w:vAlign w:val="center"/>
          </w:tcPr>
          <w:p w14:paraId="12D3F9B0" w14:textId="77777777" w:rsidR="00227915" w:rsidRPr="009D5DBE" w:rsidRDefault="00227915" w:rsidP="003908BA">
            <w:pPr>
              <w:jc w:val="center"/>
              <w:rPr>
                <w:b/>
                <w:bCs/>
                <w:szCs w:val="21"/>
              </w:rPr>
            </w:pPr>
            <w:r w:rsidRPr="009D5DBE">
              <w:rPr>
                <w:b/>
                <w:bCs/>
                <w:szCs w:val="21"/>
              </w:rPr>
              <w:t>FY23 Count</w:t>
            </w:r>
          </w:p>
        </w:tc>
        <w:tc>
          <w:tcPr>
            <w:tcW w:w="1410" w:type="dxa"/>
            <w:shd w:val="clear" w:color="auto" w:fill="D9D9D9" w:themeFill="background1" w:themeFillShade="D9"/>
            <w:vAlign w:val="center"/>
          </w:tcPr>
          <w:p w14:paraId="691E9C6B" w14:textId="77777777" w:rsidR="00227915" w:rsidRPr="009D5DBE" w:rsidRDefault="00227915" w:rsidP="003908BA">
            <w:pPr>
              <w:jc w:val="center"/>
              <w:rPr>
                <w:b/>
                <w:bCs/>
                <w:szCs w:val="21"/>
              </w:rPr>
            </w:pPr>
            <w:r w:rsidRPr="009D5DBE">
              <w:rPr>
                <w:b/>
                <w:bCs/>
                <w:szCs w:val="21"/>
              </w:rPr>
              <w:t>FY23 %</w:t>
            </w:r>
          </w:p>
        </w:tc>
        <w:tc>
          <w:tcPr>
            <w:tcW w:w="1410" w:type="dxa"/>
            <w:shd w:val="clear" w:color="auto" w:fill="D9D9D9" w:themeFill="background1" w:themeFillShade="D9"/>
            <w:vAlign w:val="center"/>
            <w:hideMark/>
          </w:tcPr>
          <w:p w14:paraId="566399A6" w14:textId="77777777" w:rsidR="00227915" w:rsidRPr="009D5DBE" w:rsidRDefault="00227915" w:rsidP="003908BA">
            <w:pPr>
              <w:jc w:val="center"/>
              <w:rPr>
                <w:b/>
                <w:bCs/>
                <w:szCs w:val="21"/>
              </w:rPr>
            </w:pPr>
            <w:r w:rsidRPr="009D5DBE">
              <w:rPr>
                <w:b/>
                <w:bCs/>
                <w:szCs w:val="21"/>
              </w:rPr>
              <w:t>FY24 Count</w:t>
            </w:r>
          </w:p>
        </w:tc>
        <w:tc>
          <w:tcPr>
            <w:tcW w:w="1410" w:type="dxa"/>
            <w:shd w:val="clear" w:color="auto" w:fill="D9D9D9" w:themeFill="background1" w:themeFillShade="D9"/>
            <w:vAlign w:val="center"/>
            <w:hideMark/>
          </w:tcPr>
          <w:p w14:paraId="460A5AE8" w14:textId="77777777" w:rsidR="00227915" w:rsidRPr="009D5DBE" w:rsidRDefault="00227915" w:rsidP="003908BA">
            <w:pPr>
              <w:jc w:val="center"/>
              <w:rPr>
                <w:b/>
                <w:bCs/>
                <w:szCs w:val="21"/>
              </w:rPr>
            </w:pPr>
            <w:r w:rsidRPr="009D5DBE">
              <w:rPr>
                <w:b/>
                <w:bCs/>
                <w:szCs w:val="21"/>
              </w:rPr>
              <w:t>FY24 %</w:t>
            </w:r>
          </w:p>
        </w:tc>
      </w:tr>
      <w:tr w:rsidR="00D00F15" w:rsidRPr="009D5DBE" w14:paraId="02081192" w14:textId="77777777" w:rsidTr="00BD1E61">
        <w:trPr>
          <w:cantSplit/>
          <w:trHeight w:val="307"/>
        </w:trPr>
        <w:tc>
          <w:tcPr>
            <w:tcW w:w="4500" w:type="dxa"/>
            <w:vAlign w:val="center"/>
          </w:tcPr>
          <w:p w14:paraId="328DBF52" w14:textId="26DB4079" w:rsidR="00D00F15" w:rsidRPr="009D5DBE" w:rsidRDefault="00D00F15" w:rsidP="003908BA">
            <w:pPr>
              <w:rPr>
                <w:szCs w:val="21"/>
              </w:rPr>
            </w:pPr>
            <w:r w:rsidRPr="009D5DBE">
              <w:rPr>
                <w:szCs w:val="21"/>
              </w:rPr>
              <w:t>Total</w:t>
            </w:r>
          </w:p>
        </w:tc>
        <w:tc>
          <w:tcPr>
            <w:tcW w:w="1410" w:type="dxa"/>
            <w:vAlign w:val="center"/>
          </w:tcPr>
          <w:p w14:paraId="02F16969" w14:textId="133CE0D4" w:rsidR="00D00F15" w:rsidRPr="009D5DBE" w:rsidRDefault="00D00F15" w:rsidP="003908BA">
            <w:pPr>
              <w:jc w:val="center"/>
              <w:rPr>
                <w:szCs w:val="21"/>
              </w:rPr>
            </w:pPr>
            <w:r w:rsidRPr="009D5DBE">
              <w:rPr>
                <w:szCs w:val="21"/>
              </w:rPr>
              <w:t>382,497</w:t>
            </w:r>
          </w:p>
        </w:tc>
        <w:tc>
          <w:tcPr>
            <w:tcW w:w="1410" w:type="dxa"/>
            <w:vAlign w:val="center"/>
          </w:tcPr>
          <w:p w14:paraId="0265929A" w14:textId="31BAF8B3" w:rsidR="00D00F15" w:rsidRPr="009D5DBE" w:rsidRDefault="00D00F15" w:rsidP="003908BA">
            <w:pPr>
              <w:jc w:val="center"/>
              <w:rPr>
                <w:szCs w:val="21"/>
              </w:rPr>
            </w:pPr>
            <w:r w:rsidRPr="009D5DBE">
              <w:rPr>
                <w:szCs w:val="21"/>
              </w:rPr>
              <w:t>100%</w:t>
            </w:r>
          </w:p>
        </w:tc>
        <w:tc>
          <w:tcPr>
            <w:tcW w:w="1410" w:type="dxa"/>
            <w:vAlign w:val="center"/>
          </w:tcPr>
          <w:p w14:paraId="0DB5CCEE" w14:textId="01F20E42" w:rsidR="00D00F15" w:rsidRPr="009D5DBE" w:rsidRDefault="00D00F15" w:rsidP="003908BA">
            <w:pPr>
              <w:jc w:val="center"/>
              <w:rPr>
                <w:szCs w:val="21"/>
              </w:rPr>
            </w:pPr>
            <w:r w:rsidRPr="009D5DBE">
              <w:rPr>
                <w:szCs w:val="21"/>
              </w:rPr>
              <w:t>385,391</w:t>
            </w:r>
          </w:p>
        </w:tc>
        <w:tc>
          <w:tcPr>
            <w:tcW w:w="1410" w:type="dxa"/>
            <w:vAlign w:val="center"/>
          </w:tcPr>
          <w:p w14:paraId="12838CAB" w14:textId="40998DDA" w:rsidR="00D00F15" w:rsidRPr="009D5DBE" w:rsidRDefault="00D00F15" w:rsidP="003908BA">
            <w:pPr>
              <w:jc w:val="center"/>
              <w:rPr>
                <w:szCs w:val="21"/>
              </w:rPr>
            </w:pPr>
            <w:r w:rsidRPr="009D5DBE">
              <w:rPr>
                <w:szCs w:val="21"/>
              </w:rPr>
              <w:t>100%</w:t>
            </w:r>
          </w:p>
        </w:tc>
        <w:tc>
          <w:tcPr>
            <w:tcW w:w="1410" w:type="dxa"/>
            <w:vAlign w:val="center"/>
          </w:tcPr>
          <w:p w14:paraId="5BB82F8A" w14:textId="64A89524" w:rsidR="00D00F15" w:rsidRPr="009D5DBE" w:rsidRDefault="00D00F15" w:rsidP="003908BA">
            <w:pPr>
              <w:jc w:val="center"/>
              <w:rPr>
                <w:szCs w:val="21"/>
              </w:rPr>
            </w:pPr>
            <w:r w:rsidRPr="009D5DBE">
              <w:rPr>
                <w:szCs w:val="21"/>
              </w:rPr>
              <w:t>437,528</w:t>
            </w:r>
          </w:p>
        </w:tc>
        <w:tc>
          <w:tcPr>
            <w:tcW w:w="1410" w:type="dxa"/>
            <w:vAlign w:val="center"/>
          </w:tcPr>
          <w:p w14:paraId="4404AA5A" w14:textId="569B5E28" w:rsidR="00D00F15" w:rsidRPr="009D5DBE" w:rsidRDefault="00D00F15" w:rsidP="003908BA">
            <w:pPr>
              <w:jc w:val="center"/>
              <w:rPr>
                <w:szCs w:val="21"/>
              </w:rPr>
            </w:pPr>
            <w:r w:rsidRPr="009D5DBE">
              <w:rPr>
                <w:szCs w:val="21"/>
              </w:rPr>
              <w:t>100%</w:t>
            </w:r>
          </w:p>
        </w:tc>
      </w:tr>
      <w:tr w:rsidR="00227915" w:rsidRPr="009D5DBE" w14:paraId="5E307864" w14:textId="77777777" w:rsidTr="00BD1E61">
        <w:trPr>
          <w:cantSplit/>
          <w:trHeight w:val="307"/>
        </w:trPr>
        <w:tc>
          <w:tcPr>
            <w:tcW w:w="4500" w:type="dxa"/>
            <w:vAlign w:val="center"/>
            <w:hideMark/>
          </w:tcPr>
          <w:p w14:paraId="3EA12121" w14:textId="3F3EB835" w:rsidR="00227915" w:rsidRPr="009D5DBE" w:rsidRDefault="00227915" w:rsidP="003908BA">
            <w:pPr>
              <w:rPr>
                <w:szCs w:val="21"/>
              </w:rPr>
            </w:pPr>
            <w:r w:rsidRPr="009D5DBE">
              <w:rPr>
                <w:szCs w:val="21"/>
              </w:rPr>
              <w:t>Gender: Female</w:t>
            </w:r>
          </w:p>
        </w:tc>
        <w:tc>
          <w:tcPr>
            <w:tcW w:w="1410" w:type="dxa"/>
            <w:vAlign w:val="center"/>
          </w:tcPr>
          <w:p w14:paraId="4680B4D3" w14:textId="77777777" w:rsidR="00227915" w:rsidRPr="009D5DBE" w:rsidRDefault="00227915" w:rsidP="003908BA">
            <w:pPr>
              <w:jc w:val="center"/>
              <w:rPr>
                <w:szCs w:val="21"/>
              </w:rPr>
            </w:pPr>
            <w:r w:rsidRPr="009D5DBE">
              <w:rPr>
                <w:szCs w:val="21"/>
              </w:rPr>
              <w:t>214,408</w:t>
            </w:r>
          </w:p>
        </w:tc>
        <w:tc>
          <w:tcPr>
            <w:tcW w:w="1410" w:type="dxa"/>
            <w:vAlign w:val="center"/>
          </w:tcPr>
          <w:p w14:paraId="52A5CCAE" w14:textId="77777777" w:rsidR="00227915" w:rsidRPr="009D5DBE" w:rsidRDefault="00227915" w:rsidP="003908BA">
            <w:pPr>
              <w:jc w:val="center"/>
              <w:rPr>
                <w:szCs w:val="21"/>
              </w:rPr>
            </w:pPr>
            <w:r w:rsidRPr="009D5DBE">
              <w:rPr>
                <w:szCs w:val="21"/>
              </w:rPr>
              <w:t>55.9%</w:t>
            </w:r>
          </w:p>
        </w:tc>
        <w:tc>
          <w:tcPr>
            <w:tcW w:w="1410" w:type="dxa"/>
            <w:vAlign w:val="center"/>
          </w:tcPr>
          <w:p w14:paraId="3DAA1ABC" w14:textId="77777777" w:rsidR="00227915" w:rsidRPr="009D5DBE" w:rsidRDefault="00227915" w:rsidP="003908BA">
            <w:pPr>
              <w:jc w:val="center"/>
              <w:rPr>
                <w:szCs w:val="21"/>
              </w:rPr>
            </w:pPr>
            <w:r w:rsidRPr="009D5DBE">
              <w:rPr>
                <w:szCs w:val="21"/>
              </w:rPr>
              <w:t>216,417</w:t>
            </w:r>
          </w:p>
        </w:tc>
        <w:tc>
          <w:tcPr>
            <w:tcW w:w="1410" w:type="dxa"/>
            <w:vAlign w:val="center"/>
          </w:tcPr>
          <w:p w14:paraId="41D06AE0" w14:textId="77777777" w:rsidR="00227915" w:rsidRPr="009D5DBE" w:rsidRDefault="00227915" w:rsidP="003908BA">
            <w:pPr>
              <w:jc w:val="center"/>
              <w:rPr>
                <w:szCs w:val="21"/>
              </w:rPr>
            </w:pPr>
            <w:r w:rsidRPr="009D5DBE">
              <w:rPr>
                <w:szCs w:val="21"/>
              </w:rPr>
              <w:t>56.2%</w:t>
            </w:r>
          </w:p>
        </w:tc>
        <w:tc>
          <w:tcPr>
            <w:tcW w:w="1410" w:type="dxa"/>
            <w:vAlign w:val="center"/>
          </w:tcPr>
          <w:p w14:paraId="73A0DF46" w14:textId="77777777" w:rsidR="00227915" w:rsidRPr="009D5DBE" w:rsidRDefault="00227915" w:rsidP="003908BA">
            <w:pPr>
              <w:jc w:val="center"/>
              <w:rPr>
                <w:szCs w:val="21"/>
              </w:rPr>
            </w:pPr>
            <w:r w:rsidRPr="009D5DBE">
              <w:rPr>
                <w:szCs w:val="21"/>
              </w:rPr>
              <w:t>245,102</w:t>
            </w:r>
          </w:p>
        </w:tc>
        <w:tc>
          <w:tcPr>
            <w:tcW w:w="1410" w:type="dxa"/>
            <w:vAlign w:val="center"/>
          </w:tcPr>
          <w:p w14:paraId="7DA280B4" w14:textId="77777777" w:rsidR="00227915" w:rsidRPr="009D5DBE" w:rsidRDefault="00227915" w:rsidP="003908BA">
            <w:pPr>
              <w:jc w:val="center"/>
              <w:rPr>
                <w:szCs w:val="21"/>
              </w:rPr>
            </w:pPr>
            <w:r w:rsidRPr="009D5DBE">
              <w:rPr>
                <w:szCs w:val="21"/>
              </w:rPr>
              <w:t>56.0%</w:t>
            </w:r>
          </w:p>
        </w:tc>
      </w:tr>
      <w:tr w:rsidR="00227915" w:rsidRPr="009D5DBE" w14:paraId="0438CD2E" w14:textId="77777777" w:rsidTr="00BD1E61">
        <w:trPr>
          <w:cantSplit/>
          <w:trHeight w:val="273"/>
        </w:trPr>
        <w:tc>
          <w:tcPr>
            <w:tcW w:w="4500" w:type="dxa"/>
            <w:vAlign w:val="center"/>
            <w:hideMark/>
          </w:tcPr>
          <w:p w14:paraId="0487900A" w14:textId="642DAE55" w:rsidR="00227915" w:rsidRPr="009D5DBE" w:rsidRDefault="00227915" w:rsidP="003908BA">
            <w:pPr>
              <w:rPr>
                <w:szCs w:val="21"/>
              </w:rPr>
            </w:pPr>
            <w:r w:rsidRPr="009D5DBE">
              <w:rPr>
                <w:szCs w:val="21"/>
              </w:rPr>
              <w:t>Gender: Male</w:t>
            </w:r>
          </w:p>
        </w:tc>
        <w:tc>
          <w:tcPr>
            <w:tcW w:w="1410" w:type="dxa"/>
            <w:vAlign w:val="center"/>
          </w:tcPr>
          <w:p w14:paraId="5FAD7ED6" w14:textId="77777777" w:rsidR="00227915" w:rsidRPr="009D5DBE" w:rsidRDefault="00227915" w:rsidP="003908BA">
            <w:pPr>
              <w:jc w:val="center"/>
              <w:rPr>
                <w:szCs w:val="21"/>
              </w:rPr>
            </w:pPr>
            <w:r w:rsidRPr="009D5DBE">
              <w:rPr>
                <w:szCs w:val="21"/>
              </w:rPr>
              <w:t>168,741</w:t>
            </w:r>
          </w:p>
        </w:tc>
        <w:tc>
          <w:tcPr>
            <w:tcW w:w="1410" w:type="dxa"/>
            <w:vAlign w:val="center"/>
          </w:tcPr>
          <w:p w14:paraId="1DE7C238" w14:textId="77777777" w:rsidR="00227915" w:rsidRPr="009D5DBE" w:rsidRDefault="00227915" w:rsidP="003908BA">
            <w:pPr>
              <w:jc w:val="center"/>
              <w:rPr>
                <w:szCs w:val="21"/>
              </w:rPr>
            </w:pPr>
            <w:r w:rsidRPr="009D5DBE">
              <w:rPr>
                <w:szCs w:val="21"/>
              </w:rPr>
              <w:t>44.0%</w:t>
            </w:r>
          </w:p>
        </w:tc>
        <w:tc>
          <w:tcPr>
            <w:tcW w:w="1410" w:type="dxa"/>
            <w:vAlign w:val="center"/>
          </w:tcPr>
          <w:p w14:paraId="5F129617" w14:textId="77777777" w:rsidR="00227915" w:rsidRPr="009D5DBE" w:rsidRDefault="00227915" w:rsidP="003908BA">
            <w:pPr>
              <w:jc w:val="center"/>
              <w:rPr>
                <w:szCs w:val="21"/>
              </w:rPr>
            </w:pPr>
            <w:r w:rsidRPr="009D5DBE">
              <w:rPr>
                <w:szCs w:val="21"/>
              </w:rPr>
              <w:t>168,654</w:t>
            </w:r>
          </w:p>
        </w:tc>
        <w:tc>
          <w:tcPr>
            <w:tcW w:w="1410" w:type="dxa"/>
            <w:vAlign w:val="center"/>
          </w:tcPr>
          <w:p w14:paraId="6714CF96" w14:textId="77777777" w:rsidR="00227915" w:rsidRPr="009D5DBE" w:rsidRDefault="00227915" w:rsidP="003908BA">
            <w:pPr>
              <w:jc w:val="center"/>
              <w:rPr>
                <w:szCs w:val="21"/>
              </w:rPr>
            </w:pPr>
            <w:r w:rsidRPr="009D5DBE">
              <w:rPr>
                <w:szCs w:val="21"/>
              </w:rPr>
              <w:t>43.8%</w:t>
            </w:r>
          </w:p>
        </w:tc>
        <w:tc>
          <w:tcPr>
            <w:tcW w:w="1410" w:type="dxa"/>
            <w:vAlign w:val="center"/>
          </w:tcPr>
          <w:p w14:paraId="246CA887" w14:textId="77777777" w:rsidR="00227915" w:rsidRPr="009D5DBE" w:rsidRDefault="00227915" w:rsidP="003908BA">
            <w:pPr>
              <w:jc w:val="center"/>
              <w:rPr>
                <w:szCs w:val="21"/>
              </w:rPr>
            </w:pPr>
            <w:r w:rsidRPr="009D5DBE">
              <w:rPr>
                <w:szCs w:val="21"/>
              </w:rPr>
              <w:t>192,000</w:t>
            </w:r>
          </w:p>
        </w:tc>
        <w:tc>
          <w:tcPr>
            <w:tcW w:w="1410" w:type="dxa"/>
            <w:vAlign w:val="center"/>
          </w:tcPr>
          <w:p w14:paraId="778A0042" w14:textId="77777777" w:rsidR="00227915" w:rsidRPr="009D5DBE" w:rsidRDefault="00227915" w:rsidP="003908BA">
            <w:pPr>
              <w:jc w:val="center"/>
              <w:rPr>
                <w:szCs w:val="21"/>
              </w:rPr>
            </w:pPr>
            <w:r w:rsidRPr="009D5DBE">
              <w:rPr>
                <w:szCs w:val="21"/>
              </w:rPr>
              <w:t>43.9%</w:t>
            </w:r>
          </w:p>
        </w:tc>
      </w:tr>
      <w:tr w:rsidR="00227915" w:rsidRPr="009D5DBE" w14:paraId="3335F9B3" w14:textId="77777777" w:rsidTr="00BD1E61">
        <w:trPr>
          <w:cantSplit/>
          <w:trHeight w:val="274"/>
        </w:trPr>
        <w:tc>
          <w:tcPr>
            <w:tcW w:w="4500" w:type="dxa"/>
            <w:vAlign w:val="center"/>
            <w:hideMark/>
          </w:tcPr>
          <w:p w14:paraId="12241217" w14:textId="4785CDFE" w:rsidR="00227915" w:rsidRPr="009D5DBE" w:rsidRDefault="00227915" w:rsidP="003908BA">
            <w:pPr>
              <w:rPr>
                <w:szCs w:val="21"/>
              </w:rPr>
            </w:pPr>
            <w:r w:rsidRPr="009D5DBE">
              <w:rPr>
                <w:szCs w:val="21"/>
              </w:rPr>
              <w:t xml:space="preserve">Gender: Unknown </w:t>
            </w:r>
          </w:p>
        </w:tc>
        <w:tc>
          <w:tcPr>
            <w:tcW w:w="1410" w:type="dxa"/>
            <w:vAlign w:val="center"/>
          </w:tcPr>
          <w:p w14:paraId="0CD6AE90" w14:textId="77777777" w:rsidR="00227915" w:rsidRPr="009D5DBE" w:rsidRDefault="00227915" w:rsidP="003908BA">
            <w:pPr>
              <w:jc w:val="center"/>
              <w:rPr>
                <w:szCs w:val="21"/>
              </w:rPr>
            </w:pPr>
            <w:r w:rsidRPr="009D5DBE">
              <w:rPr>
                <w:szCs w:val="21"/>
              </w:rPr>
              <w:t>348</w:t>
            </w:r>
          </w:p>
        </w:tc>
        <w:tc>
          <w:tcPr>
            <w:tcW w:w="1410" w:type="dxa"/>
            <w:vAlign w:val="center"/>
          </w:tcPr>
          <w:p w14:paraId="22F37240" w14:textId="77777777" w:rsidR="00227915" w:rsidRPr="009D5DBE" w:rsidRDefault="00227915" w:rsidP="003908BA">
            <w:pPr>
              <w:jc w:val="center"/>
              <w:rPr>
                <w:szCs w:val="21"/>
              </w:rPr>
            </w:pPr>
            <w:r w:rsidRPr="009D5DBE">
              <w:rPr>
                <w:szCs w:val="21"/>
              </w:rPr>
              <w:t>0.1%</w:t>
            </w:r>
          </w:p>
        </w:tc>
        <w:tc>
          <w:tcPr>
            <w:tcW w:w="1410" w:type="dxa"/>
            <w:vAlign w:val="center"/>
          </w:tcPr>
          <w:p w14:paraId="7072D3F8" w14:textId="77777777" w:rsidR="00227915" w:rsidRPr="009D5DBE" w:rsidRDefault="00227915" w:rsidP="003908BA">
            <w:pPr>
              <w:jc w:val="center"/>
              <w:rPr>
                <w:szCs w:val="21"/>
              </w:rPr>
            </w:pPr>
            <w:r w:rsidRPr="009D5DBE">
              <w:rPr>
                <w:szCs w:val="21"/>
              </w:rPr>
              <w:t>320</w:t>
            </w:r>
          </w:p>
        </w:tc>
        <w:tc>
          <w:tcPr>
            <w:tcW w:w="1410" w:type="dxa"/>
            <w:vAlign w:val="center"/>
          </w:tcPr>
          <w:p w14:paraId="003ABF51" w14:textId="77777777" w:rsidR="00227915" w:rsidRPr="009D5DBE" w:rsidRDefault="00227915" w:rsidP="003908BA">
            <w:pPr>
              <w:jc w:val="center"/>
              <w:rPr>
                <w:szCs w:val="21"/>
              </w:rPr>
            </w:pPr>
            <w:r w:rsidRPr="009D5DBE">
              <w:rPr>
                <w:szCs w:val="21"/>
              </w:rPr>
              <w:t>0.1%</w:t>
            </w:r>
          </w:p>
        </w:tc>
        <w:tc>
          <w:tcPr>
            <w:tcW w:w="1410" w:type="dxa"/>
            <w:vAlign w:val="center"/>
          </w:tcPr>
          <w:p w14:paraId="68CA4164" w14:textId="77777777" w:rsidR="00227915" w:rsidRPr="009D5DBE" w:rsidRDefault="00227915" w:rsidP="003908BA">
            <w:pPr>
              <w:jc w:val="center"/>
              <w:rPr>
                <w:szCs w:val="21"/>
              </w:rPr>
            </w:pPr>
            <w:r w:rsidRPr="009D5DBE">
              <w:rPr>
                <w:szCs w:val="21"/>
              </w:rPr>
              <w:t>426</w:t>
            </w:r>
          </w:p>
        </w:tc>
        <w:tc>
          <w:tcPr>
            <w:tcW w:w="1410" w:type="dxa"/>
            <w:vAlign w:val="center"/>
          </w:tcPr>
          <w:p w14:paraId="323B97A9" w14:textId="77777777" w:rsidR="00227915" w:rsidRPr="009D5DBE" w:rsidRDefault="00227915" w:rsidP="003908BA">
            <w:pPr>
              <w:jc w:val="center"/>
              <w:rPr>
                <w:szCs w:val="21"/>
              </w:rPr>
            </w:pPr>
            <w:r w:rsidRPr="009D5DBE">
              <w:rPr>
                <w:szCs w:val="21"/>
              </w:rPr>
              <w:t>0.1%</w:t>
            </w:r>
          </w:p>
        </w:tc>
      </w:tr>
      <w:tr w:rsidR="00227915" w:rsidRPr="009D5DBE" w14:paraId="60D7C25D" w14:textId="77777777" w:rsidTr="00BD1E61">
        <w:trPr>
          <w:cantSplit/>
          <w:trHeight w:val="309"/>
        </w:trPr>
        <w:tc>
          <w:tcPr>
            <w:tcW w:w="4500" w:type="dxa"/>
            <w:vAlign w:val="center"/>
            <w:hideMark/>
          </w:tcPr>
          <w:p w14:paraId="6B7A31CC" w14:textId="54888166" w:rsidR="00227915" w:rsidRPr="009D5DBE" w:rsidRDefault="00CC096F" w:rsidP="003908BA">
            <w:pPr>
              <w:rPr>
                <w:szCs w:val="21"/>
              </w:rPr>
            </w:pPr>
            <w:r w:rsidRPr="009D5DBE">
              <w:rPr>
                <w:szCs w:val="21"/>
              </w:rPr>
              <w:t xml:space="preserve">Age: </w:t>
            </w:r>
            <w:r w:rsidR="00227915" w:rsidRPr="009D5DBE">
              <w:rPr>
                <w:szCs w:val="21"/>
              </w:rPr>
              <w:t>0-17</w:t>
            </w:r>
          </w:p>
        </w:tc>
        <w:tc>
          <w:tcPr>
            <w:tcW w:w="1410" w:type="dxa"/>
            <w:vAlign w:val="center"/>
          </w:tcPr>
          <w:p w14:paraId="49D54F20" w14:textId="77777777" w:rsidR="00227915" w:rsidRPr="009D5DBE" w:rsidRDefault="00227915" w:rsidP="003908BA">
            <w:pPr>
              <w:jc w:val="center"/>
              <w:rPr>
                <w:szCs w:val="21"/>
              </w:rPr>
            </w:pPr>
            <w:r w:rsidRPr="009D5DBE">
              <w:rPr>
                <w:szCs w:val="21"/>
              </w:rPr>
              <w:t>71,898</w:t>
            </w:r>
          </w:p>
        </w:tc>
        <w:tc>
          <w:tcPr>
            <w:tcW w:w="1410" w:type="dxa"/>
            <w:vAlign w:val="center"/>
          </w:tcPr>
          <w:p w14:paraId="17496DBF" w14:textId="77777777" w:rsidR="00227915" w:rsidRPr="009D5DBE" w:rsidRDefault="00227915" w:rsidP="003908BA">
            <w:pPr>
              <w:jc w:val="center"/>
              <w:rPr>
                <w:szCs w:val="21"/>
              </w:rPr>
            </w:pPr>
            <w:r w:rsidRPr="009D5DBE">
              <w:rPr>
                <w:szCs w:val="21"/>
              </w:rPr>
              <w:t>18.7%</w:t>
            </w:r>
          </w:p>
        </w:tc>
        <w:tc>
          <w:tcPr>
            <w:tcW w:w="1410" w:type="dxa"/>
            <w:vAlign w:val="center"/>
          </w:tcPr>
          <w:p w14:paraId="7703FA2C" w14:textId="77777777" w:rsidR="00227915" w:rsidRPr="009D5DBE" w:rsidRDefault="00227915" w:rsidP="003908BA">
            <w:pPr>
              <w:jc w:val="center"/>
              <w:rPr>
                <w:szCs w:val="21"/>
              </w:rPr>
            </w:pPr>
            <w:r w:rsidRPr="009D5DBE">
              <w:rPr>
                <w:szCs w:val="21"/>
              </w:rPr>
              <w:t>69,375</w:t>
            </w:r>
          </w:p>
        </w:tc>
        <w:tc>
          <w:tcPr>
            <w:tcW w:w="1410" w:type="dxa"/>
            <w:vAlign w:val="center"/>
          </w:tcPr>
          <w:p w14:paraId="6EA15641" w14:textId="77777777" w:rsidR="00227915" w:rsidRPr="009D5DBE" w:rsidRDefault="00227915" w:rsidP="003908BA">
            <w:pPr>
              <w:jc w:val="center"/>
              <w:rPr>
                <w:szCs w:val="21"/>
              </w:rPr>
            </w:pPr>
            <w:r w:rsidRPr="009D5DBE">
              <w:rPr>
                <w:szCs w:val="21"/>
              </w:rPr>
              <w:t>18.0%</w:t>
            </w:r>
          </w:p>
        </w:tc>
        <w:tc>
          <w:tcPr>
            <w:tcW w:w="1410" w:type="dxa"/>
            <w:vAlign w:val="center"/>
          </w:tcPr>
          <w:p w14:paraId="3E76E796" w14:textId="77777777" w:rsidR="00227915" w:rsidRPr="009D5DBE" w:rsidRDefault="00227915" w:rsidP="003908BA">
            <w:pPr>
              <w:jc w:val="center"/>
              <w:rPr>
                <w:szCs w:val="21"/>
              </w:rPr>
            </w:pPr>
            <w:r w:rsidRPr="009D5DBE">
              <w:rPr>
                <w:szCs w:val="21"/>
              </w:rPr>
              <w:t>73,694</w:t>
            </w:r>
          </w:p>
        </w:tc>
        <w:tc>
          <w:tcPr>
            <w:tcW w:w="1410" w:type="dxa"/>
            <w:vAlign w:val="center"/>
          </w:tcPr>
          <w:p w14:paraId="729F3596" w14:textId="77777777" w:rsidR="00227915" w:rsidRPr="009D5DBE" w:rsidRDefault="00227915" w:rsidP="003908BA">
            <w:pPr>
              <w:jc w:val="center"/>
              <w:rPr>
                <w:szCs w:val="21"/>
              </w:rPr>
            </w:pPr>
            <w:r w:rsidRPr="009D5DBE">
              <w:rPr>
                <w:szCs w:val="21"/>
              </w:rPr>
              <w:t>16.8%</w:t>
            </w:r>
          </w:p>
        </w:tc>
      </w:tr>
      <w:tr w:rsidR="00227915" w:rsidRPr="009D5DBE" w14:paraId="2D310B06" w14:textId="77777777" w:rsidTr="00BD1E61">
        <w:trPr>
          <w:cantSplit/>
          <w:trHeight w:val="273"/>
        </w:trPr>
        <w:tc>
          <w:tcPr>
            <w:tcW w:w="4500" w:type="dxa"/>
            <w:vAlign w:val="center"/>
            <w:hideMark/>
          </w:tcPr>
          <w:p w14:paraId="504841D3" w14:textId="60A9835B" w:rsidR="00227915" w:rsidRPr="009D5DBE" w:rsidRDefault="00C322D5" w:rsidP="003908BA">
            <w:pPr>
              <w:rPr>
                <w:szCs w:val="21"/>
              </w:rPr>
            </w:pPr>
            <w:r w:rsidRPr="009D5DBE">
              <w:rPr>
                <w:szCs w:val="21"/>
              </w:rPr>
              <w:t xml:space="preserve">Age: </w:t>
            </w:r>
            <w:r w:rsidR="00227915" w:rsidRPr="009D5DBE">
              <w:rPr>
                <w:szCs w:val="21"/>
              </w:rPr>
              <w:t>18-64</w:t>
            </w:r>
          </w:p>
        </w:tc>
        <w:tc>
          <w:tcPr>
            <w:tcW w:w="1410" w:type="dxa"/>
            <w:vAlign w:val="center"/>
          </w:tcPr>
          <w:p w14:paraId="7F1225E6" w14:textId="77777777" w:rsidR="00227915" w:rsidRPr="009D5DBE" w:rsidRDefault="00227915" w:rsidP="003908BA">
            <w:pPr>
              <w:jc w:val="center"/>
              <w:rPr>
                <w:szCs w:val="21"/>
              </w:rPr>
            </w:pPr>
            <w:r w:rsidRPr="009D5DBE">
              <w:rPr>
                <w:szCs w:val="21"/>
              </w:rPr>
              <w:t>223,299</w:t>
            </w:r>
          </w:p>
        </w:tc>
        <w:tc>
          <w:tcPr>
            <w:tcW w:w="1410" w:type="dxa"/>
            <w:vAlign w:val="center"/>
          </w:tcPr>
          <w:p w14:paraId="7644D81F" w14:textId="77777777" w:rsidR="00227915" w:rsidRPr="009D5DBE" w:rsidRDefault="00227915" w:rsidP="003908BA">
            <w:pPr>
              <w:jc w:val="center"/>
              <w:rPr>
                <w:szCs w:val="21"/>
              </w:rPr>
            </w:pPr>
            <w:r w:rsidRPr="009D5DBE">
              <w:rPr>
                <w:szCs w:val="21"/>
              </w:rPr>
              <w:t>58.2%</w:t>
            </w:r>
          </w:p>
        </w:tc>
        <w:tc>
          <w:tcPr>
            <w:tcW w:w="1410" w:type="dxa"/>
            <w:vAlign w:val="center"/>
          </w:tcPr>
          <w:p w14:paraId="4A2408EF" w14:textId="77777777" w:rsidR="00227915" w:rsidRPr="009D5DBE" w:rsidRDefault="00227915" w:rsidP="003908BA">
            <w:pPr>
              <w:jc w:val="center"/>
              <w:rPr>
                <w:szCs w:val="21"/>
              </w:rPr>
            </w:pPr>
            <w:r w:rsidRPr="009D5DBE">
              <w:rPr>
                <w:szCs w:val="21"/>
              </w:rPr>
              <w:t>222,616</w:t>
            </w:r>
          </w:p>
        </w:tc>
        <w:tc>
          <w:tcPr>
            <w:tcW w:w="1410" w:type="dxa"/>
            <w:vAlign w:val="center"/>
          </w:tcPr>
          <w:p w14:paraId="63779369" w14:textId="77777777" w:rsidR="00227915" w:rsidRPr="009D5DBE" w:rsidRDefault="00227915" w:rsidP="003908BA">
            <w:pPr>
              <w:jc w:val="center"/>
              <w:rPr>
                <w:szCs w:val="21"/>
              </w:rPr>
            </w:pPr>
            <w:r w:rsidRPr="009D5DBE">
              <w:rPr>
                <w:szCs w:val="21"/>
              </w:rPr>
              <w:t>57.8%</w:t>
            </w:r>
          </w:p>
        </w:tc>
        <w:tc>
          <w:tcPr>
            <w:tcW w:w="1410" w:type="dxa"/>
            <w:vAlign w:val="center"/>
          </w:tcPr>
          <w:p w14:paraId="7D5F1422" w14:textId="77777777" w:rsidR="00227915" w:rsidRPr="009D5DBE" w:rsidRDefault="00227915" w:rsidP="003908BA">
            <w:pPr>
              <w:jc w:val="center"/>
              <w:rPr>
                <w:szCs w:val="21"/>
              </w:rPr>
            </w:pPr>
            <w:r w:rsidRPr="009D5DBE">
              <w:rPr>
                <w:szCs w:val="21"/>
              </w:rPr>
              <w:t>253,683</w:t>
            </w:r>
          </w:p>
        </w:tc>
        <w:tc>
          <w:tcPr>
            <w:tcW w:w="1410" w:type="dxa"/>
            <w:vAlign w:val="center"/>
          </w:tcPr>
          <w:p w14:paraId="43945942" w14:textId="77777777" w:rsidR="00227915" w:rsidRPr="009D5DBE" w:rsidRDefault="00227915" w:rsidP="003908BA">
            <w:pPr>
              <w:jc w:val="center"/>
              <w:rPr>
                <w:szCs w:val="21"/>
              </w:rPr>
            </w:pPr>
            <w:r w:rsidRPr="009D5DBE">
              <w:rPr>
                <w:szCs w:val="21"/>
              </w:rPr>
              <w:t>58.0%</w:t>
            </w:r>
          </w:p>
        </w:tc>
      </w:tr>
      <w:tr w:rsidR="00227915" w:rsidRPr="009D5DBE" w14:paraId="12406AAD" w14:textId="77777777" w:rsidTr="00BD1E61">
        <w:trPr>
          <w:cantSplit/>
          <w:trHeight w:val="273"/>
        </w:trPr>
        <w:tc>
          <w:tcPr>
            <w:tcW w:w="4500" w:type="dxa"/>
            <w:vAlign w:val="center"/>
            <w:hideMark/>
          </w:tcPr>
          <w:p w14:paraId="4D80BB0C" w14:textId="16FBEBD7" w:rsidR="00227915" w:rsidRPr="009D5DBE" w:rsidRDefault="00C322D5" w:rsidP="003908BA">
            <w:pPr>
              <w:rPr>
                <w:szCs w:val="21"/>
              </w:rPr>
            </w:pPr>
            <w:r w:rsidRPr="009D5DBE">
              <w:rPr>
                <w:szCs w:val="21"/>
              </w:rPr>
              <w:t xml:space="preserve">Age: </w:t>
            </w:r>
            <w:r w:rsidR="00227915" w:rsidRPr="009D5DBE">
              <w:rPr>
                <w:szCs w:val="21"/>
              </w:rPr>
              <w:t>65+</w:t>
            </w:r>
          </w:p>
        </w:tc>
        <w:tc>
          <w:tcPr>
            <w:tcW w:w="1410" w:type="dxa"/>
            <w:vAlign w:val="center"/>
          </w:tcPr>
          <w:p w14:paraId="5E949B57" w14:textId="77777777" w:rsidR="00227915" w:rsidRPr="009D5DBE" w:rsidRDefault="00227915" w:rsidP="003908BA">
            <w:pPr>
              <w:jc w:val="center"/>
              <w:rPr>
                <w:szCs w:val="21"/>
              </w:rPr>
            </w:pPr>
            <w:r w:rsidRPr="009D5DBE">
              <w:rPr>
                <w:szCs w:val="21"/>
              </w:rPr>
              <w:t>88,300</w:t>
            </w:r>
          </w:p>
        </w:tc>
        <w:tc>
          <w:tcPr>
            <w:tcW w:w="1410" w:type="dxa"/>
            <w:vAlign w:val="center"/>
          </w:tcPr>
          <w:p w14:paraId="06184C99" w14:textId="77777777" w:rsidR="00227915" w:rsidRPr="009D5DBE" w:rsidRDefault="00227915" w:rsidP="003908BA">
            <w:pPr>
              <w:jc w:val="center"/>
              <w:rPr>
                <w:szCs w:val="21"/>
              </w:rPr>
            </w:pPr>
            <w:r w:rsidRPr="009D5DBE">
              <w:rPr>
                <w:szCs w:val="21"/>
              </w:rPr>
              <w:t>23.0%</w:t>
            </w:r>
          </w:p>
        </w:tc>
        <w:tc>
          <w:tcPr>
            <w:tcW w:w="1410" w:type="dxa"/>
            <w:vAlign w:val="center"/>
          </w:tcPr>
          <w:p w14:paraId="6D3F43F3" w14:textId="77777777" w:rsidR="00227915" w:rsidRPr="009D5DBE" w:rsidRDefault="00227915" w:rsidP="003908BA">
            <w:pPr>
              <w:jc w:val="center"/>
              <w:rPr>
                <w:szCs w:val="21"/>
              </w:rPr>
            </w:pPr>
            <w:r w:rsidRPr="009D5DBE">
              <w:rPr>
                <w:szCs w:val="21"/>
              </w:rPr>
              <w:t>93,400</w:t>
            </w:r>
          </w:p>
        </w:tc>
        <w:tc>
          <w:tcPr>
            <w:tcW w:w="1410" w:type="dxa"/>
            <w:vAlign w:val="center"/>
          </w:tcPr>
          <w:p w14:paraId="2F1EAE39" w14:textId="77777777" w:rsidR="00227915" w:rsidRPr="009D5DBE" w:rsidRDefault="00227915" w:rsidP="003908BA">
            <w:pPr>
              <w:jc w:val="center"/>
              <w:rPr>
                <w:szCs w:val="21"/>
              </w:rPr>
            </w:pPr>
            <w:r w:rsidRPr="009D5DBE">
              <w:rPr>
                <w:szCs w:val="21"/>
              </w:rPr>
              <w:t>24.2%</w:t>
            </w:r>
          </w:p>
        </w:tc>
        <w:tc>
          <w:tcPr>
            <w:tcW w:w="1410" w:type="dxa"/>
            <w:vAlign w:val="center"/>
          </w:tcPr>
          <w:p w14:paraId="470E9EBE" w14:textId="77777777" w:rsidR="00227915" w:rsidRPr="009D5DBE" w:rsidRDefault="00227915" w:rsidP="003908BA">
            <w:pPr>
              <w:jc w:val="center"/>
              <w:rPr>
                <w:szCs w:val="21"/>
              </w:rPr>
            </w:pPr>
            <w:r w:rsidRPr="009D5DBE">
              <w:rPr>
                <w:szCs w:val="21"/>
              </w:rPr>
              <w:t>110,151</w:t>
            </w:r>
          </w:p>
        </w:tc>
        <w:tc>
          <w:tcPr>
            <w:tcW w:w="1410" w:type="dxa"/>
            <w:vAlign w:val="center"/>
          </w:tcPr>
          <w:p w14:paraId="16ECB74B" w14:textId="77777777" w:rsidR="00227915" w:rsidRPr="009D5DBE" w:rsidRDefault="00227915" w:rsidP="003908BA">
            <w:pPr>
              <w:jc w:val="center"/>
              <w:rPr>
                <w:szCs w:val="21"/>
              </w:rPr>
            </w:pPr>
            <w:r w:rsidRPr="009D5DBE">
              <w:rPr>
                <w:szCs w:val="21"/>
              </w:rPr>
              <w:t>25.2%</w:t>
            </w:r>
          </w:p>
        </w:tc>
      </w:tr>
      <w:tr w:rsidR="00227915" w:rsidRPr="009D5DBE" w14:paraId="51479477" w14:textId="77777777" w:rsidTr="00BD1E61">
        <w:trPr>
          <w:cantSplit/>
          <w:trHeight w:val="307"/>
        </w:trPr>
        <w:tc>
          <w:tcPr>
            <w:tcW w:w="4500" w:type="dxa"/>
            <w:vAlign w:val="center"/>
            <w:hideMark/>
          </w:tcPr>
          <w:p w14:paraId="7FA06820" w14:textId="6DFB297B" w:rsidR="00227915" w:rsidRPr="009D5DBE" w:rsidRDefault="00CC096F" w:rsidP="003908BA">
            <w:pPr>
              <w:rPr>
                <w:szCs w:val="21"/>
              </w:rPr>
            </w:pPr>
            <w:r w:rsidRPr="009D5DBE">
              <w:rPr>
                <w:szCs w:val="21"/>
              </w:rPr>
              <w:t xml:space="preserve">Race: </w:t>
            </w:r>
            <w:r w:rsidR="00227915" w:rsidRPr="009D5DBE">
              <w:rPr>
                <w:szCs w:val="21"/>
              </w:rPr>
              <w:t>American Indian/ Alaska Native</w:t>
            </w:r>
          </w:p>
        </w:tc>
        <w:tc>
          <w:tcPr>
            <w:tcW w:w="1410" w:type="dxa"/>
            <w:vAlign w:val="center"/>
          </w:tcPr>
          <w:p w14:paraId="47C79ED7" w14:textId="77777777" w:rsidR="00227915" w:rsidRPr="009D5DBE" w:rsidRDefault="00227915" w:rsidP="003908BA">
            <w:pPr>
              <w:jc w:val="center"/>
              <w:rPr>
                <w:szCs w:val="21"/>
              </w:rPr>
            </w:pPr>
            <w:r w:rsidRPr="009D5DBE">
              <w:rPr>
                <w:szCs w:val="21"/>
              </w:rPr>
              <w:t>1,071</w:t>
            </w:r>
          </w:p>
        </w:tc>
        <w:tc>
          <w:tcPr>
            <w:tcW w:w="1410" w:type="dxa"/>
            <w:vAlign w:val="center"/>
          </w:tcPr>
          <w:p w14:paraId="50258AD3" w14:textId="77777777" w:rsidR="00227915" w:rsidRPr="009D5DBE" w:rsidRDefault="00227915" w:rsidP="003908BA">
            <w:pPr>
              <w:jc w:val="center"/>
              <w:rPr>
                <w:szCs w:val="21"/>
              </w:rPr>
            </w:pPr>
            <w:r w:rsidRPr="009D5DBE">
              <w:rPr>
                <w:szCs w:val="21"/>
              </w:rPr>
              <w:t>0.3%</w:t>
            </w:r>
          </w:p>
        </w:tc>
        <w:tc>
          <w:tcPr>
            <w:tcW w:w="1410" w:type="dxa"/>
            <w:vAlign w:val="center"/>
          </w:tcPr>
          <w:p w14:paraId="4B4BAFFF" w14:textId="77777777" w:rsidR="00227915" w:rsidRPr="009D5DBE" w:rsidRDefault="00227915" w:rsidP="003908BA">
            <w:pPr>
              <w:jc w:val="center"/>
              <w:rPr>
                <w:szCs w:val="21"/>
              </w:rPr>
            </w:pPr>
            <w:r w:rsidRPr="009D5DBE">
              <w:rPr>
                <w:szCs w:val="21"/>
              </w:rPr>
              <w:t>1,156</w:t>
            </w:r>
          </w:p>
        </w:tc>
        <w:tc>
          <w:tcPr>
            <w:tcW w:w="1410" w:type="dxa"/>
            <w:vAlign w:val="center"/>
          </w:tcPr>
          <w:p w14:paraId="31ABA054" w14:textId="77777777" w:rsidR="00227915" w:rsidRPr="009D5DBE" w:rsidRDefault="00227915" w:rsidP="003908BA">
            <w:pPr>
              <w:jc w:val="center"/>
              <w:rPr>
                <w:szCs w:val="21"/>
              </w:rPr>
            </w:pPr>
            <w:r w:rsidRPr="009D5DBE">
              <w:rPr>
                <w:szCs w:val="21"/>
              </w:rPr>
              <w:t>0.3%</w:t>
            </w:r>
          </w:p>
        </w:tc>
        <w:tc>
          <w:tcPr>
            <w:tcW w:w="1410" w:type="dxa"/>
            <w:vAlign w:val="center"/>
          </w:tcPr>
          <w:p w14:paraId="2032966D" w14:textId="77777777" w:rsidR="00227915" w:rsidRPr="009D5DBE" w:rsidRDefault="00227915" w:rsidP="003908BA">
            <w:pPr>
              <w:jc w:val="center"/>
              <w:rPr>
                <w:szCs w:val="21"/>
              </w:rPr>
            </w:pPr>
            <w:r w:rsidRPr="009D5DBE">
              <w:rPr>
                <w:szCs w:val="21"/>
              </w:rPr>
              <w:t>1,283</w:t>
            </w:r>
          </w:p>
        </w:tc>
        <w:tc>
          <w:tcPr>
            <w:tcW w:w="1410" w:type="dxa"/>
            <w:vAlign w:val="center"/>
          </w:tcPr>
          <w:p w14:paraId="4FC19A41" w14:textId="77777777" w:rsidR="00227915" w:rsidRPr="009D5DBE" w:rsidRDefault="00227915" w:rsidP="003908BA">
            <w:pPr>
              <w:jc w:val="center"/>
              <w:rPr>
                <w:szCs w:val="21"/>
              </w:rPr>
            </w:pPr>
            <w:r w:rsidRPr="009D5DBE">
              <w:rPr>
                <w:szCs w:val="21"/>
              </w:rPr>
              <w:t>0.3%</w:t>
            </w:r>
          </w:p>
        </w:tc>
      </w:tr>
      <w:tr w:rsidR="00227915" w:rsidRPr="009D5DBE" w14:paraId="4146AB10" w14:textId="77777777" w:rsidTr="00BD1E61">
        <w:trPr>
          <w:cantSplit/>
          <w:trHeight w:val="273"/>
        </w:trPr>
        <w:tc>
          <w:tcPr>
            <w:tcW w:w="4500" w:type="dxa"/>
            <w:vAlign w:val="center"/>
            <w:hideMark/>
          </w:tcPr>
          <w:p w14:paraId="421785CD" w14:textId="633657D7" w:rsidR="00227915" w:rsidRPr="009D5DBE" w:rsidRDefault="00C322D5" w:rsidP="003908BA">
            <w:pPr>
              <w:rPr>
                <w:szCs w:val="21"/>
              </w:rPr>
            </w:pPr>
            <w:r w:rsidRPr="009D5DBE">
              <w:rPr>
                <w:szCs w:val="21"/>
              </w:rPr>
              <w:t xml:space="preserve">Race: </w:t>
            </w:r>
            <w:r w:rsidR="00227915" w:rsidRPr="009D5DBE">
              <w:rPr>
                <w:szCs w:val="21"/>
              </w:rPr>
              <w:t>Asian</w:t>
            </w:r>
          </w:p>
        </w:tc>
        <w:tc>
          <w:tcPr>
            <w:tcW w:w="1410" w:type="dxa"/>
            <w:vAlign w:val="center"/>
          </w:tcPr>
          <w:p w14:paraId="1B74EAE2" w14:textId="77777777" w:rsidR="00227915" w:rsidRPr="009D5DBE" w:rsidRDefault="00227915" w:rsidP="003908BA">
            <w:pPr>
              <w:jc w:val="center"/>
              <w:rPr>
                <w:szCs w:val="21"/>
              </w:rPr>
            </w:pPr>
            <w:r w:rsidRPr="009D5DBE">
              <w:rPr>
                <w:szCs w:val="21"/>
              </w:rPr>
              <w:t>13,044</w:t>
            </w:r>
          </w:p>
        </w:tc>
        <w:tc>
          <w:tcPr>
            <w:tcW w:w="1410" w:type="dxa"/>
            <w:vAlign w:val="center"/>
          </w:tcPr>
          <w:p w14:paraId="6F6398AB" w14:textId="77777777" w:rsidR="00227915" w:rsidRPr="009D5DBE" w:rsidRDefault="00227915" w:rsidP="003908BA">
            <w:pPr>
              <w:jc w:val="center"/>
              <w:rPr>
                <w:szCs w:val="21"/>
              </w:rPr>
            </w:pPr>
            <w:r w:rsidRPr="009D5DBE">
              <w:rPr>
                <w:szCs w:val="21"/>
              </w:rPr>
              <w:t>3.4%</w:t>
            </w:r>
          </w:p>
        </w:tc>
        <w:tc>
          <w:tcPr>
            <w:tcW w:w="1410" w:type="dxa"/>
            <w:vAlign w:val="center"/>
          </w:tcPr>
          <w:p w14:paraId="5AE4DDA4" w14:textId="77777777" w:rsidR="00227915" w:rsidRPr="009D5DBE" w:rsidRDefault="00227915" w:rsidP="003908BA">
            <w:pPr>
              <w:jc w:val="center"/>
              <w:rPr>
                <w:szCs w:val="21"/>
              </w:rPr>
            </w:pPr>
            <w:r w:rsidRPr="009D5DBE">
              <w:rPr>
                <w:szCs w:val="21"/>
              </w:rPr>
              <w:t>12,555</w:t>
            </w:r>
          </w:p>
        </w:tc>
        <w:tc>
          <w:tcPr>
            <w:tcW w:w="1410" w:type="dxa"/>
            <w:vAlign w:val="center"/>
          </w:tcPr>
          <w:p w14:paraId="1917D0CB" w14:textId="77777777" w:rsidR="00227915" w:rsidRPr="009D5DBE" w:rsidRDefault="00227915" w:rsidP="003908BA">
            <w:pPr>
              <w:jc w:val="center"/>
              <w:rPr>
                <w:szCs w:val="21"/>
              </w:rPr>
            </w:pPr>
            <w:r w:rsidRPr="009D5DBE">
              <w:rPr>
                <w:szCs w:val="21"/>
              </w:rPr>
              <w:t>3.3%</w:t>
            </w:r>
          </w:p>
        </w:tc>
        <w:tc>
          <w:tcPr>
            <w:tcW w:w="1410" w:type="dxa"/>
            <w:vAlign w:val="center"/>
          </w:tcPr>
          <w:p w14:paraId="41B1CB05" w14:textId="77777777" w:rsidR="00227915" w:rsidRPr="009D5DBE" w:rsidRDefault="00227915" w:rsidP="003908BA">
            <w:pPr>
              <w:jc w:val="center"/>
              <w:rPr>
                <w:szCs w:val="21"/>
              </w:rPr>
            </w:pPr>
            <w:r w:rsidRPr="009D5DBE">
              <w:rPr>
                <w:szCs w:val="21"/>
              </w:rPr>
              <w:t>12,867</w:t>
            </w:r>
          </w:p>
        </w:tc>
        <w:tc>
          <w:tcPr>
            <w:tcW w:w="1410" w:type="dxa"/>
            <w:vAlign w:val="center"/>
          </w:tcPr>
          <w:p w14:paraId="5CC65F66" w14:textId="77777777" w:rsidR="00227915" w:rsidRPr="009D5DBE" w:rsidRDefault="00227915" w:rsidP="003908BA">
            <w:pPr>
              <w:jc w:val="center"/>
              <w:rPr>
                <w:szCs w:val="21"/>
              </w:rPr>
            </w:pPr>
            <w:r w:rsidRPr="009D5DBE">
              <w:rPr>
                <w:szCs w:val="21"/>
              </w:rPr>
              <w:t>2.9%</w:t>
            </w:r>
          </w:p>
        </w:tc>
      </w:tr>
      <w:tr w:rsidR="00227915" w:rsidRPr="009D5DBE" w14:paraId="1019417F" w14:textId="77777777" w:rsidTr="00BD1E61">
        <w:trPr>
          <w:cantSplit/>
          <w:trHeight w:val="274"/>
        </w:trPr>
        <w:tc>
          <w:tcPr>
            <w:tcW w:w="4500" w:type="dxa"/>
            <w:vAlign w:val="center"/>
            <w:hideMark/>
          </w:tcPr>
          <w:p w14:paraId="4F1D6AF0" w14:textId="1AB7B968" w:rsidR="00227915" w:rsidRPr="009D5DBE" w:rsidRDefault="00C322D5" w:rsidP="003908BA">
            <w:pPr>
              <w:rPr>
                <w:szCs w:val="21"/>
              </w:rPr>
            </w:pPr>
            <w:r w:rsidRPr="009D5DBE">
              <w:rPr>
                <w:szCs w:val="21"/>
              </w:rPr>
              <w:t xml:space="preserve">Race: </w:t>
            </w:r>
            <w:r w:rsidR="00227915" w:rsidRPr="009D5DBE">
              <w:rPr>
                <w:szCs w:val="21"/>
              </w:rPr>
              <w:t>Black or African American</w:t>
            </w:r>
          </w:p>
        </w:tc>
        <w:tc>
          <w:tcPr>
            <w:tcW w:w="1410" w:type="dxa"/>
            <w:vAlign w:val="center"/>
          </w:tcPr>
          <w:p w14:paraId="369C6922" w14:textId="77777777" w:rsidR="00227915" w:rsidRPr="009D5DBE" w:rsidRDefault="00227915" w:rsidP="003908BA">
            <w:pPr>
              <w:jc w:val="center"/>
              <w:rPr>
                <w:szCs w:val="21"/>
              </w:rPr>
            </w:pPr>
            <w:r w:rsidRPr="009D5DBE">
              <w:rPr>
                <w:szCs w:val="21"/>
              </w:rPr>
              <w:t>25,271</w:t>
            </w:r>
          </w:p>
        </w:tc>
        <w:tc>
          <w:tcPr>
            <w:tcW w:w="1410" w:type="dxa"/>
            <w:vAlign w:val="center"/>
          </w:tcPr>
          <w:p w14:paraId="2979FF11" w14:textId="77777777" w:rsidR="00227915" w:rsidRPr="009D5DBE" w:rsidRDefault="00227915" w:rsidP="003908BA">
            <w:pPr>
              <w:jc w:val="center"/>
              <w:rPr>
                <w:szCs w:val="21"/>
              </w:rPr>
            </w:pPr>
            <w:r w:rsidRPr="009D5DBE">
              <w:rPr>
                <w:szCs w:val="21"/>
              </w:rPr>
              <w:t>6.6%</w:t>
            </w:r>
          </w:p>
        </w:tc>
        <w:tc>
          <w:tcPr>
            <w:tcW w:w="1410" w:type="dxa"/>
            <w:vAlign w:val="center"/>
          </w:tcPr>
          <w:p w14:paraId="483AEE1E" w14:textId="77777777" w:rsidR="00227915" w:rsidRPr="009D5DBE" w:rsidRDefault="00227915" w:rsidP="003908BA">
            <w:pPr>
              <w:jc w:val="center"/>
              <w:rPr>
                <w:szCs w:val="21"/>
              </w:rPr>
            </w:pPr>
            <w:r w:rsidRPr="009D5DBE">
              <w:rPr>
                <w:szCs w:val="21"/>
              </w:rPr>
              <w:t>27,309</w:t>
            </w:r>
          </w:p>
        </w:tc>
        <w:tc>
          <w:tcPr>
            <w:tcW w:w="1410" w:type="dxa"/>
            <w:vAlign w:val="center"/>
          </w:tcPr>
          <w:p w14:paraId="17CDBE8E" w14:textId="77777777" w:rsidR="00227915" w:rsidRPr="009D5DBE" w:rsidRDefault="00227915" w:rsidP="003908BA">
            <w:pPr>
              <w:jc w:val="center"/>
              <w:rPr>
                <w:szCs w:val="21"/>
              </w:rPr>
            </w:pPr>
            <w:r w:rsidRPr="009D5DBE">
              <w:rPr>
                <w:szCs w:val="21"/>
              </w:rPr>
              <w:t>7.1%</w:t>
            </w:r>
          </w:p>
        </w:tc>
        <w:tc>
          <w:tcPr>
            <w:tcW w:w="1410" w:type="dxa"/>
            <w:vAlign w:val="center"/>
          </w:tcPr>
          <w:p w14:paraId="4B141644" w14:textId="77777777" w:rsidR="00227915" w:rsidRPr="009D5DBE" w:rsidRDefault="00227915" w:rsidP="003908BA">
            <w:pPr>
              <w:jc w:val="center"/>
              <w:rPr>
                <w:szCs w:val="21"/>
              </w:rPr>
            </w:pPr>
            <w:r w:rsidRPr="009D5DBE">
              <w:rPr>
                <w:szCs w:val="21"/>
              </w:rPr>
              <w:t>30,081</w:t>
            </w:r>
          </w:p>
        </w:tc>
        <w:tc>
          <w:tcPr>
            <w:tcW w:w="1410" w:type="dxa"/>
            <w:vAlign w:val="center"/>
          </w:tcPr>
          <w:p w14:paraId="5CA70FE2" w14:textId="77777777" w:rsidR="00227915" w:rsidRPr="009D5DBE" w:rsidRDefault="00227915" w:rsidP="003908BA">
            <w:pPr>
              <w:jc w:val="center"/>
              <w:rPr>
                <w:szCs w:val="21"/>
              </w:rPr>
            </w:pPr>
            <w:r w:rsidRPr="009D5DBE">
              <w:rPr>
                <w:szCs w:val="21"/>
              </w:rPr>
              <w:t>6.9%</w:t>
            </w:r>
          </w:p>
        </w:tc>
      </w:tr>
      <w:tr w:rsidR="00227915" w:rsidRPr="009D5DBE" w14:paraId="12BE2682" w14:textId="77777777" w:rsidTr="00BD1E61">
        <w:trPr>
          <w:cantSplit/>
          <w:trHeight w:val="274"/>
        </w:trPr>
        <w:tc>
          <w:tcPr>
            <w:tcW w:w="4500" w:type="dxa"/>
            <w:vAlign w:val="center"/>
            <w:hideMark/>
          </w:tcPr>
          <w:p w14:paraId="33F26A4C" w14:textId="6A867CFA" w:rsidR="00227915" w:rsidRPr="009D5DBE" w:rsidRDefault="00C322D5" w:rsidP="003908BA">
            <w:pPr>
              <w:rPr>
                <w:szCs w:val="21"/>
              </w:rPr>
            </w:pPr>
            <w:r w:rsidRPr="009D5DBE">
              <w:rPr>
                <w:szCs w:val="21"/>
              </w:rPr>
              <w:t xml:space="preserve">Race: </w:t>
            </w:r>
            <w:r w:rsidR="00227915" w:rsidRPr="009D5DBE">
              <w:rPr>
                <w:szCs w:val="21"/>
              </w:rPr>
              <w:t>Declined</w:t>
            </w:r>
          </w:p>
        </w:tc>
        <w:tc>
          <w:tcPr>
            <w:tcW w:w="1410" w:type="dxa"/>
            <w:vAlign w:val="center"/>
          </w:tcPr>
          <w:p w14:paraId="75E4B22F" w14:textId="77777777" w:rsidR="00227915" w:rsidRPr="009D5DBE" w:rsidRDefault="00227915" w:rsidP="003908BA">
            <w:pPr>
              <w:jc w:val="center"/>
              <w:rPr>
                <w:szCs w:val="21"/>
              </w:rPr>
            </w:pPr>
            <w:r w:rsidRPr="009D5DBE">
              <w:rPr>
                <w:szCs w:val="21"/>
              </w:rPr>
              <w:t>4,086</w:t>
            </w:r>
          </w:p>
        </w:tc>
        <w:tc>
          <w:tcPr>
            <w:tcW w:w="1410" w:type="dxa"/>
            <w:vAlign w:val="center"/>
          </w:tcPr>
          <w:p w14:paraId="6194A757" w14:textId="77777777" w:rsidR="00227915" w:rsidRPr="009D5DBE" w:rsidRDefault="00227915" w:rsidP="003908BA">
            <w:pPr>
              <w:jc w:val="center"/>
              <w:rPr>
                <w:szCs w:val="21"/>
              </w:rPr>
            </w:pPr>
            <w:r w:rsidRPr="009D5DBE">
              <w:rPr>
                <w:szCs w:val="21"/>
              </w:rPr>
              <w:t>1.1%</w:t>
            </w:r>
          </w:p>
        </w:tc>
        <w:tc>
          <w:tcPr>
            <w:tcW w:w="1410" w:type="dxa"/>
            <w:vAlign w:val="center"/>
          </w:tcPr>
          <w:p w14:paraId="1EE48E99" w14:textId="77777777" w:rsidR="00227915" w:rsidRPr="009D5DBE" w:rsidRDefault="00227915" w:rsidP="003908BA">
            <w:pPr>
              <w:jc w:val="center"/>
              <w:rPr>
                <w:szCs w:val="21"/>
              </w:rPr>
            </w:pPr>
            <w:r w:rsidRPr="009D5DBE">
              <w:rPr>
                <w:szCs w:val="21"/>
              </w:rPr>
              <w:t>4,404</w:t>
            </w:r>
          </w:p>
        </w:tc>
        <w:tc>
          <w:tcPr>
            <w:tcW w:w="1410" w:type="dxa"/>
            <w:vAlign w:val="center"/>
          </w:tcPr>
          <w:p w14:paraId="413F3CD4" w14:textId="77777777" w:rsidR="00227915" w:rsidRPr="009D5DBE" w:rsidRDefault="00227915" w:rsidP="003908BA">
            <w:pPr>
              <w:jc w:val="center"/>
              <w:rPr>
                <w:szCs w:val="21"/>
              </w:rPr>
            </w:pPr>
            <w:r w:rsidRPr="009D5DBE">
              <w:rPr>
                <w:szCs w:val="21"/>
              </w:rPr>
              <w:t>1.1%</w:t>
            </w:r>
          </w:p>
        </w:tc>
        <w:tc>
          <w:tcPr>
            <w:tcW w:w="1410" w:type="dxa"/>
            <w:vAlign w:val="center"/>
          </w:tcPr>
          <w:p w14:paraId="320D622A" w14:textId="77777777" w:rsidR="00227915" w:rsidRPr="009D5DBE" w:rsidRDefault="00227915" w:rsidP="003908BA">
            <w:pPr>
              <w:jc w:val="center"/>
              <w:rPr>
                <w:szCs w:val="21"/>
              </w:rPr>
            </w:pPr>
            <w:r w:rsidRPr="009D5DBE">
              <w:rPr>
                <w:szCs w:val="21"/>
              </w:rPr>
              <w:t>6,044</w:t>
            </w:r>
          </w:p>
        </w:tc>
        <w:tc>
          <w:tcPr>
            <w:tcW w:w="1410" w:type="dxa"/>
            <w:vAlign w:val="center"/>
          </w:tcPr>
          <w:p w14:paraId="467BB43B" w14:textId="77777777" w:rsidR="00227915" w:rsidRPr="009D5DBE" w:rsidRDefault="00227915" w:rsidP="003908BA">
            <w:pPr>
              <w:jc w:val="center"/>
              <w:rPr>
                <w:szCs w:val="21"/>
              </w:rPr>
            </w:pPr>
            <w:r w:rsidRPr="009D5DBE">
              <w:rPr>
                <w:szCs w:val="21"/>
              </w:rPr>
              <w:t>1.4%</w:t>
            </w:r>
          </w:p>
        </w:tc>
      </w:tr>
      <w:tr w:rsidR="00227915" w:rsidRPr="009D5DBE" w14:paraId="5FA1FB26" w14:textId="77777777" w:rsidTr="00BD1E61">
        <w:trPr>
          <w:cantSplit/>
          <w:trHeight w:val="273"/>
        </w:trPr>
        <w:tc>
          <w:tcPr>
            <w:tcW w:w="4500" w:type="dxa"/>
            <w:vAlign w:val="center"/>
          </w:tcPr>
          <w:p w14:paraId="23D8125C" w14:textId="1696B5E3" w:rsidR="00227915" w:rsidRPr="009D5DBE" w:rsidRDefault="00C322D5" w:rsidP="003908BA">
            <w:pPr>
              <w:rPr>
                <w:szCs w:val="21"/>
              </w:rPr>
            </w:pPr>
            <w:r w:rsidRPr="009D5DBE">
              <w:rPr>
                <w:szCs w:val="21"/>
              </w:rPr>
              <w:t xml:space="preserve">Race: </w:t>
            </w:r>
            <w:r w:rsidR="00227915" w:rsidRPr="009D5DBE">
              <w:rPr>
                <w:szCs w:val="21"/>
              </w:rPr>
              <w:t>Native Hawaiian/Other Pacific Islander</w:t>
            </w:r>
          </w:p>
        </w:tc>
        <w:tc>
          <w:tcPr>
            <w:tcW w:w="1410" w:type="dxa"/>
            <w:vAlign w:val="center"/>
          </w:tcPr>
          <w:p w14:paraId="334511B0" w14:textId="77777777" w:rsidR="00227915" w:rsidRPr="009D5DBE" w:rsidRDefault="00227915" w:rsidP="003908BA">
            <w:pPr>
              <w:jc w:val="center"/>
              <w:rPr>
                <w:szCs w:val="21"/>
              </w:rPr>
            </w:pPr>
            <w:r w:rsidRPr="009D5DBE">
              <w:rPr>
                <w:szCs w:val="21"/>
              </w:rPr>
              <w:t>322</w:t>
            </w:r>
          </w:p>
        </w:tc>
        <w:tc>
          <w:tcPr>
            <w:tcW w:w="1410" w:type="dxa"/>
            <w:vAlign w:val="center"/>
          </w:tcPr>
          <w:p w14:paraId="7BC4649A" w14:textId="77777777" w:rsidR="00227915" w:rsidRPr="009D5DBE" w:rsidRDefault="00227915" w:rsidP="003908BA">
            <w:pPr>
              <w:jc w:val="center"/>
              <w:rPr>
                <w:szCs w:val="21"/>
              </w:rPr>
            </w:pPr>
            <w:r w:rsidRPr="009D5DBE">
              <w:rPr>
                <w:szCs w:val="21"/>
              </w:rPr>
              <w:t>0.1%</w:t>
            </w:r>
          </w:p>
        </w:tc>
        <w:tc>
          <w:tcPr>
            <w:tcW w:w="1410" w:type="dxa"/>
            <w:vAlign w:val="center"/>
          </w:tcPr>
          <w:p w14:paraId="385455B7" w14:textId="77777777" w:rsidR="00227915" w:rsidRPr="009D5DBE" w:rsidRDefault="00227915" w:rsidP="003908BA">
            <w:pPr>
              <w:jc w:val="center"/>
              <w:rPr>
                <w:szCs w:val="21"/>
              </w:rPr>
            </w:pPr>
            <w:r w:rsidRPr="009D5DBE">
              <w:rPr>
                <w:szCs w:val="21"/>
              </w:rPr>
              <w:t>405</w:t>
            </w:r>
          </w:p>
        </w:tc>
        <w:tc>
          <w:tcPr>
            <w:tcW w:w="1410" w:type="dxa"/>
            <w:vAlign w:val="center"/>
          </w:tcPr>
          <w:p w14:paraId="16692B5E" w14:textId="77777777" w:rsidR="00227915" w:rsidRPr="009D5DBE" w:rsidRDefault="00227915" w:rsidP="003908BA">
            <w:pPr>
              <w:jc w:val="center"/>
              <w:rPr>
                <w:szCs w:val="21"/>
              </w:rPr>
            </w:pPr>
            <w:r w:rsidRPr="009D5DBE">
              <w:rPr>
                <w:szCs w:val="21"/>
              </w:rPr>
              <w:t>0.1%</w:t>
            </w:r>
          </w:p>
        </w:tc>
        <w:tc>
          <w:tcPr>
            <w:tcW w:w="1410" w:type="dxa"/>
            <w:vAlign w:val="center"/>
          </w:tcPr>
          <w:p w14:paraId="5BB17F7A" w14:textId="77777777" w:rsidR="00227915" w:rsidRPr="009D5DBE" w:rsidRDefault="00227915" w:rsidP="003908BA">
            <w:pPr>
              <w:jc w:val="center"/>
              <w:rPr>
                <w:szCs w:val="21"/>
              </w:rPr>
            </w:pPr>
            <w:r w:rsidRPr="009D5DBE">
              <w:rPr>
                <w:szCs w:val="21"/>
              </w:rPr>
              <w:t>587</w:t>
            </w:r>
          </w:p>
        </w:tc>
        <w:tc>
          <w:tcPr>
            <w:tcW w:w="1410" w:type="dxa"/>
            <w:vAlign w:val="center"/>
          </w:tcPr>
          <w:p w14:paraId="43744C5A" w14:textId="77777777" w:rsidR="00227915" w:rsidRPr="009D5DBE" w:rsidRDefault="00227915" w:rsidP="003908BA">
            <w:pPr>
              <w:jc w:val="center"/>
              <w:rPr>
                <w:szCs w:val="21"/>
              </w:rPr>
            </w:pPr>
            <w:r w:rsidRPr="009D5DBE">
              <w:rPr>
                <w:szCs w:val="21"/>
              </w:rPr>
              <w:t>0.1%</w:t>
            </w:r>
          </w:p>
        </w:tc>
      </w:tr>
      <w:tr w:rsidR="00227915" w:rsidRPr="009D5DBE" w14:paraId="11E41F56" w14:textId="77777777" w:rsidTr="00BD1E61">
        <w:trPr>
          <w:cantSplit/>
          <w:trHeight w:val="273"/>
        </w:trPr>
        <w:tc>
          <w:tcPr>
            <w:tcW w:w="4500" w:type="dxa"/>
            <w:vAlign w:val="center"/>
          </w:tcPr>
          <w:p w14:paraId="642CD491" w14:textId="606AA89E" w:rsidR="00227915" w:rsidRPr="009D5DBE" w:rsidRDefault="00C322D5" w:rsidP="003908BA">
            <w:pPr>
              <w:rPr>
                <w:szCs w:val="21"/>
              </w:rPr>
            </w:pPr>
            <w:r w:rsidRPr="009D5DBE">
              <w:rPr>
                <w:szCs w:val="21"/>
              </w:rPr>
              <w:t xml:space="preserve">Race: </w:t>
            </w:r>
            <w:r w:rsidR="00227915" w:rsidRPr="009D5DBE">
              <w:rPr>
                <w:szCs w:val="21"/>
              </w:rPr>
              <w:t>Other/Unknown</w:t>
            </w:r>
          </w:p>
        </w:tc>
        <w:tc>
          <w:tcPr>
            <w:tcW w:w="1410" w:type="dxa"/>
            <w:vAlign w:val="center"/>
          </w:tcPr>
          <w:p w14:paraId="26E3B0DE" w14:textId="77777777" w:rsidR="00227915" w:rsidRPr="009D5DBE" w:rsidRDefault="00227915" w:rsidP="003908BA">
            <w:pPr>
              <w:jc w:val="center"/>
              <w:rPr>
                <w:szCs w:val="21"/>
              </w:rPr>
            </w:pPr>
            <w:r w:rsidRPr="009D5DBE">
              <w:rPr>
                <w:szCs w:val="21"/>
              </w:rPr>
              <w:t>55,982</w:t>
            </w:r>
          </w:p>
        </w:tc>
        <w:tc>
          <w:tcPr>
            <w:tcW w:w="1410" w:type="dxa"/>
            <w:vAlign w:val="center"/>
          </w:tcPr>
          <w:p w14:paraId="08050799" w14:textId="77777777" w:rsidR="00227915" w:rsidRPr="009D5DBE" w:rsidRDefault="00227915" w:rsidP="003908BA">
            <w:pPr>
              <w:jc w:val="center"/>
              <w:rPr>
                <w:szCs w:val="21"/>
              </w:rPr>
            </w:pPr>
            <w:r w:rsidRPr="009D5DBE">
              <w:rPr>
                <w:szCs w:val="21"/>
              </w:rPr>
              <w:t>14.6%</w:t>
            </w:r>
          </w:p>
        </w:tc>
        <w:tc>
          <w:tcPr>
            <w:tcW w:w="1410" w:type="dxa"/>
            <w:vAlign w:val="center"/>
          </w:tcPr>
          <w:p w14:paraId="44012EFB" w14:textId="77777777" w:rsidR="00227915" w:rsidRPr="009D5DBE" w:rsidRDefault="00227915" w:rsidP="003908BA">
            <w:pPr>
              <w:jc w:val="center"/>
              <w:rPr>
                <w:szCs w:val="21"/>
              </w:rPr>
            </w:pPr>
            <w:r w:rsidRPr="009D5DBE">
              <w:rPr>
                <w:szCs w:val="21"/>
              </w:rPr>
              <w:t>58,980</w:t>
            </w:r>
          </w:p>
        </w:tc>
        <w:tc>
          <w:tcPr>
            <w:tcW w:w="1410" w:type="dxa"/>
            <w:vAlign w:val="center"/>
          </w:tcPr>
          <w:p w14:paraId="7C742813" w14:textId="77777777" w:rsidR="00227915" w:rsidRPr="009D5DBE" w:rsidRDefault="00227915" w:rsidP="003908BA">
            <w:pPr>
              <w:jc w:val="center"/>
              <w:rPr>
                <w:szCs w:val="21"/>
              </w:rPr>
            </w:pPr>
            <w:r w:rsidRPr="009D5DBE">
              <w:rPr>
                <w:szCs w:val="21"/>
              </w:rPr>
              <w:t>15.3%</w:t>
            </w:r>
          </w:p>
        </w:tc>
        <w:tc>
          <w:tcPr>
            <w:tcW w:w="1410" w:type="dxa"/>
            <w:vAlign w:val="center"/>
          </w:tcPr>
          <w:p w14:paraId="0F325964" w14:textId="77777777" w:rsidR="00227915" w:rsidRPr="009D5DBE" w:rsidRDefault="00227915" w:rsidP="003908BA">
            <w:pPr>
              <w:jc w:val="center"/>
              <w:rPr>
                <w:szCs w:val="21"/>
              </w:rPr>
            </w:pPr>
            <w:r w:rsidRPr="009D5DBE">
              <w:rPr>
                <w:szCs w:val="21"/>
              </w:rPr>
              <w:t>64,878</w:t>
            </w:r>
          </w:p>
        </w:tc>
        <w:tc>
          <w:tcPr>
            <w:tcW w:w="1410" w:type="dxa"/>
            <w:vAlign w:val="center"/>
          </w:tcPr>
          <w:p w14:paraId="199C07CE" w14:textId="77777777" w:rsidR="00227915" w:rsidRPr="009D5DBE" w:rsidRDefault="00227915" w:rsidP="003908BA">
            <w:pPr>
              <w:jc w:val="center"/>
              <w:rPr>
                <w:szCs w:val="21"/>
              </w:rPr>
            </w:pPr>
            <w:r w:rsidRPr="009D5DBE">
              <w:rPr>
                <w:szCs w:val="21"/>
              </w:rPr>
              <w:t>14.8%</w:t>
            </w:r>
          </w:p>
        </w:tc>
      </w:tr>
      <w:tr w:rsidR="00227915" w:rsidRPr="009D5DBE" w14:paraId="19D8F048" w14:textId="77777777" w:rsidTr="00BD1E61">
        <w:trPr>
          <w:cantSplit/>
          <w:trHeight w:val="273"/>
        </w:trPr>
        <w:tc>
          <w:tcPr>
            <w:tcW w:w="4500" w:type="dxa"/>
            <w:vAlign w:val="center"/>
          </w:tcPr>
          <w:p w14:paraId="7792F43D" w14:textId="098428D7" w:rsidR="00227915" w:rsidRPr="009D5DBE" w:rsidRDefault="00C322D5" w:rsidP="003908BA">
            <w:pPr>
              <w:rPr>
                <w:szCs w:val="21"/>
              </w:rPr>
            </w:pPr>
            <w:r w:rsidRPr="009D5DBE">
              <w:rPr>
                <w:szCs w:val="21"/>
              </w:rPr>
              <w:t xml:space="preserve">Race: </w:t>
            </w:r>
            <w:r w:rsidR="00227915" w:rsidRPr="009D5DBE">
              <w:rPr>
                <w:szCs w:val="21"/>
              </w:rPr>
              <w:t>White</w:t>
            </w:r>
          </w:p>
        </w:tc>
        <w:tc>
          <w:tcPr>
            <w:tcW w:w="1410" w:type="dxa"/>
            <w:vAlign w:val="center"/>
          </w:tcPr>
          <w:p w14:paraId="5BB0CBBC" w14:textId="77777777" w:rsidR="00227915" w:rsidRPr="009D5DBE" w:rsidRDefault="00227915" w:rsidP="003908BA">
            <w:pPr>
              <w:jc w:val="center"/>
              <w:rPr>
                <w:szCs w:val="21"/>
              </w:rPr>
            </w:pPr>
            <w:r w:rsidRPr="009D5DBE">
              <w:rPr>
                <w:szCs w:val="21"/>
              </w:rPr>
              <w:t>283,721</w:t>
            </w:r>
          </w:p>
        </w:tc>
        <w:tc>
          <w:tcPr>
            <w:tcW w:w="1410" w:type="dxa"/>
            <w:vAlign w:val="center"/>
          </w:tcPr>
          <w:p w14:paraId="2884C3A4" w14:textId="77777777" w:rsidR="00227915" w:rsidRPr="009D5DBE" w:rsidRDefault="00227915" w:rsidP="003908BA">
            <w:pPr>
              <w:jc w:val="center"/>
              <w:rPr>
                <w:szCs w:val="21"/>
              </w:rPr>
            </w:pPr>
            <w:r w:rsidRPr="009D5DBE">
              <w:rPr>
                <w:szCs w:val="21"/>
              </w:rPr>
              <w:t>74.0%</w:t>
            </w:r>
          </w:p>
        </w:tc>
        <w:tc>
          <w:tcPr>
            <w:tcW w:w="1410" w:type="dxa"/>
            <w:vAlign w:val="center"/>
          </w:tcPr>
          <w:p w14:paraId="085223FA" w14:textId="77777777" w:rsidR="00227915" w:rsidRPr="009D5DBE" w:rsidRDefault="00227915" w:rsidP="003908BA">
            <w:pPr>
              <w:jc w:val="center"/>
              <w:rPr>
                <w:szCs w:val="21"/>
              </w:rPr>
            </w:pPr>
            <w:r w:rsidRPr="009D5DBE">
              <w:rPr>
                <w:szCs w:val="21"/>
              </w:rPr>
              <w:t>280,582</w:t>
            </w:r>
          </w:p>
        </w:tc>
        <w:tc>
          <w:tcPr>
            <w:tcW w:w="1410" w:type="dxa"/>
            <w:vAlign w:val="center"/>
          </w:tcPr>
          <w:p w14:paraId="523AE68A" w14:textId="77777777" w:rsidR="00227915" w:rsidRPr="009D5DBE" w:rsidRDefault="00227915" w:rsidP="003908BA">
            <w:pPr>
              <w:jc w:val="center"/>
              <w:rPr>
                <w:szCs w:val="21"/>
              </w:rPr>
            </w:pPr>
            <w:r w:rsidRPr="009D5DBE">
              <w:rPr>
                <w:szCs w:val="21"/>
              </w:rPr>
              <w:t>72.8%</w:t>
            </w:r>
          </w:p>
        </w:tc>
        <w:tc>
          <w:tcPr>
            <w:tcW w:w="1410" w:type="dxa"/>
            <w:vAlign w:val="center"/>
          </w:tcPr>
          <w:p w14:paraId="38AB293B" w14:textId="77777777" w:rsidR="00227915" w:rsidRPr="009D5DBE" w:rsidRDefault="00227915" w:rsidP="003908BA">
            <w:pPr>
              <w:jc w:val="center"/>
              <w:rPr>
                <w:szCs w:val="21"/>
              </w:rPr>
            </w:pPr>
            <w:r w:rsidRPr="009D5DBE">
              <w:rPr>
                <w:szCs w:val="21"/>
              </w:rPr>
              <w:t>321,788</w:t>
            </w:r>
          </w:p>
        </w:tc>
        <w:tc>
          <w:tcPr>
            <w:tcW w:w="1410" w:type="dxa"/>
            <w:vAlign w:val="center"/>
          </w:tcPr>
          <w:p w14:paraId="195981E5" w14:textId="77777777" w:rsidR="00227915" w:rsidRPr="009D5DBE" w:rsidRDefault="00227915" w:rsidP="003908BA">
            <w:pPr>
              <w:jc w:val="center"/>
              <w:rPr>
                <w:szCs w:val="21"/>
              </w:rPr>
            </w:pPr>
            <w:r w:rsidRPr="009D5DBE">
              <w:rPr>
                <w:szCs w:val="21"/>
              </w:rPr>
              <w:t>73.5%</w:t>
            </w:r>
          </w:p>
        </w:tc>
      </w:tr>
      <w:tr w:rsidR="00227915" w:rsidRPr="009D5DBE" w14:paraId="4320E05C" w14:textId="77777777" w:rsidTr="00BD1E61">
        <w:trPr>
          <w:cantSplit/>
          <w:trHeight w:val="307"/>
        </w:trPr>
        <w:tc>
          <w:tcPr>
            <w:tcW w:w="4500" w:type="dxa"/>
            <w:vAlign w:val="center"/>
            <w:hideMark/>
          </w:tcPr>
          <w:p w14:paraId="7EC5D54A" w14:textId="3A91F61F" w:rsidR="00227915" w:rsidRPr="009D5DBE" w:rsidRDefault="00CC096F" w:rsidP="003908BA">
            <w:pPr>
              <w:rPr>
                <w:szCs w:val="21"/>
              </w:rPr>
            </w:pPr>
            <w:r w:rsidRPr="009D5DBE">
              <w:rPr>
                <w:szCs w:val="21"/>
              </w:rPr>
              <w:t xml:space="preserve">Ethnicity: </w:t>
            </w:r>
            <w:r w:rsidR="00227915" w:rsidRPr="009D5DBE">
              <w:rPr>
                <w:szCs w:val="21"/>
              </w:rPr>
              <w:t>Decline to Answer</w:t>
            </w:r>
          </w:p>
        </w:tc>
        <w:tc>
          <w:tcPr>
            <w:tcW w:w="1410" w:type="dxa"/>
            <w:vAlign w:val="center"/>
          </w:tcPr>
          <w:p w14:paraId="069475B1" w14:textId="77777777" w:rsidR="00227915" w:rsidRPr="009D5DBE" w:rsidRDefault="00227915" w:rsidP="003908BA">
            <w:pPr>
              <w:jc w:val="center"/>
              <w:rPr>
                <w:szCs w:val="21"/>
              </w:rPr>
            </w:pPr>
            <w:r w:rsidRPr="009D5DBE">
              <w:rPr>
                <w:szCs w:val="21"/>
              </w:rPr>
              <w:t>6,146</w:t>
            </w:r>
          </w:p>
        </w:tc>
        <w:tc>
          <w:tcPr>
            <w:tcW w:w="1410" w:type="dxa"/>
            <w:vAlign w:val="center"/>
          </w:tcPr>
          <w:p w14:paraId="0873B9E2" w14:textId="77777777" w:rsidR="00227915" w:rsidRPr="009D5DBE" w:rsidRDefault="00227915" w:rsidP="003908BA">
            <w:pPr>
              <w:jc w:val="center"/>
              <w:rPr>
                <w:szCs w:val="21"/>
              </w:rPr>
            </w:pPr>
            <w:r w:rsidRPr="009D5DBE">
              <w:rPr>
                <w:szCs w:val="21"/>
              </w:rPr>
              <w:t>1.6%</w:t>
            </w:r>
          </w:p>
        </w:tc>
        <w:tc>
          <w:tcPr>
            <w:tcW w:w="1410" w:type="dxa"/>
            <w:vAlign w:val="center"/>
          </w:tcPr>
          <w:p w14:paraId="5AAEB784" w14:textId="77777777" w:rsidR="00227915" w:rsidRPr="009D5DBE" w:rsidRDefault="00227915" w:rsidP="003908BA">
            <w:pPr>
              <w:jc w:val="center"/>
              <w:rPr>
                <w:szCs w:val="21"/>
              </w:rPr>
            </w:pPr>
            <w:r w:rsidRPr="009D5DBE">
              <w:rPr>
                <w:szCs w:val="21"/>
              </w:rPr>
              <w:t>6,731</w:t>
            </w:r>
          </w:p>
        </w:tc>
        <w:tc>
          <w:tcPr>
            <w:tcW w:w="1410" w:type="dxa"/>
            <w:vAlign w:val="center"/>
          </w:tcPr>
          <w:p w14:paraId="7BC3276E" w14:textId="77777777" w:rsidR="00227915" w:rsidRPr="009D5DBE" w:rsidRDefault="00227915" w:rsidP="003908BA">
            <w:pPr>
              <w:jc w:val="center"/>
              <w:rPr>
                <w:szCs w:val="21"/>
              </w:rPr>
            </w:pPr>
            <w:r w:rsidRPr="009D5DBE">
              <w:rPr>
                <w:szCs w:val="21"/>
              </w:rPr>
              <w:t>1.7%</w:t>
            </w:r>
          </w:p>
        </w:tc>
        <w:tc>
          <w:tcPr>
            <w:tcW w:w="1410" w:type="dxa"/>
            <w:vAlign w:val="center"/>
          </w:tcPr>
          <w:p w14:paraId="08CC970F" w14:textId="77777777" w:rsidR="00227915" w:rsidRPr="009D5DBE" w:rsidRDefault="00227915" w:rsidP="003908BA">
            <w:pPr>
              <w:jc w:val="center"/>
              <w:rPr>
                <w:szCs w:val="21"/>
              </w:rPr>
            </w:pPr>
            <w:r w:rsidRPr="009D5DBE">
              <w:rPr>
                <w:szCs w:val="21"/>
              </w:rPr>
              <w:t>8,761</w:t>
            </w:r>
          </w:p>
        </w:tc>
        <w:tc>
          <w:tcPr>
            <w:tcW w:w="1410" w:type="dxa"/>
            <w:vAlign w:val="center"/>
          </w:tcPr>
          <w:p w14:paraId="2BCBC3BC" w14:textId="77777777" w:rsidR="00227915" w:rsidRPr="009D5DBE" w:rsidRDefault="00227915" w:rsidP="003908BA">
            <w:pPr>
              <w:jc w:val="center"/>
              <w:rPr>
                <w:szCs w:val="21"/>
              </w:rPr>
            </w:pPr>
            <w:r w:rsidRPr="009D5DBE">
              <w:rPr>
                <w:szCs w:val="21"/>
              </w:rPr>
              <w:t>2.0%</w:t>
            </w:r>
          </w:p>
        </w:tc>
      </w:tr>
      <w:tr w:rsidR="00227915" w:rsidRPr="009D5DBE" w14:paraId="1CB4AFFC" w14:textId="77777777" w:rsidTr="00BD1E61">
        <w:trPr>
          <w:cantSplit/>
          <w:trHeight w:val="273"/>
        </w:trPr>
        <w:tc>
          <w:tcPr>
            <w:tcW w:w="4500" w:type="dxa"/>
            <w:vAlign w:val="center"/>
            <w:hideMark/>
          </w:tcPr>
          <w:p w14:paraId="5F4BF3D3" w14:textId="710E8918" w:rsidR="00227915" w:rsidRPr="009D5DBE" w:rsidRDefault="009554C9" w:rsidP="003908BA">
            <w:pPr>
              <w:rPr>
                <w:szCs w:val="21"/>
              </w:rPr>
            </w:pPr>
            <w:r w:rsidRPr="009D5DBE">
              <w:rPr>
                <w:szCs w:val="21"/>
              </w:rPr>
              <w:t xml:space="preserve">Ethnicity: </w:t>
            </w:r>
            <w:r w:rsidR="00227915" w:rsidRPr="009D5DBE">
              <w:rPr>
                <w:szCs w:val="21"/>
              </w:rPr>
              <w:t>Hispanic or Latino</w:t>
            </w:r>
          </w:p>
        </w:tc>
        <w:tc>
          <w:tcPr>
            <w:tcW w:w="1410" w:type="dxa"/>
            <w:vAlign w:val="center"/>
          </w:tcPr>
          <w:p w14:paraId="7FD5CDA6" w14:textId="77777777" w:rsidR="00227915" w:rsidRPr="009D5DBE" w:rsidRDefault="00227915" w:rsidP="003908BA">
            <w:pPr>
              <w:jc w:val="center"/>
              <w:rPr>
                <w:szCs w:val="21"/>
              </w:rPr>
            </w:pPr>
            <w:r w:rsidRPr="009D5DBE">
              <w:rPr>
                <w:szCs w:val="21"/>
              </w:rPr>
              <w:t>63,214</w:t>
            </w:r>
          </w:p>
        </w:tc>
        <w:tc>
          <w:tcPr>
            <w:tcW w:w="1410" w:type="dxa"/>
            <w:vAlign w:val="center"/>
          </w:tcPr>
          <w:p w14:paraId="483F5E01" w14:textId="77777777" w:rsidR="00227915" w:rsidRPr="009D5DBE" w:rsidRDefault="00227915" w:rsidP="003908BA">
            <w:pPr>
              <w:jc w:val="center"/>
              <w:rPr>
                <w:szCs w:val="21"/>
              </w:rPr>
            </w:pPr>
            <w:r w:rsidRPr="009D5DBE">
              <w:rPr>
                <w:szCs w:val="21"/>
              </w:rPr>
              <w:t>16.5%</w:t>
            </w:r>
          </w:p>
        </w:tc>
        <w:tc>
          <w:tcPr>
            <w:tcW w:w="1410" w:type="dxa"/>
            <w:vAlign w:val="center"/>
          </w:tcPr>
          <w:p w14:paraId="42061A37" w14:textId="77777777" w:rsidR="00227915" w:rsidRPr="009D5DBE" w:rsidRDefault="00227915" w:rsidP="003908BA">
            <w:pPr>
              <w:jc w:val="center"/>
              <w:rPr>
                <w:szCs w:val="21"/>
              </w:rPr>
            </w:pPr>
            <w:r w:rsidRPr="009D5DBE">
              <w:rPr>
                <w:szCs w:val="21"/>
              </w:rPr>
              <w:t>66,490</w:t>
            </w:r>
          </w:p>
        </w:tc>
        <w:tc>
          <w:tcPr>
            <w:tcW w:w="1410" w:type="dxa"/>
            <w:vAlign w:val="center"/>
          </w:tcPr>
          <w:p w14:paraId="7F287F40" w14:textId="77777777" w:rsidR="00227915" w:rsidRPr="009D5DBE" w:rsidRDefault="00227915" w:rsidP="003908BA">
            <w:pPr>
              <w:jc w:val="center"/>
              <w:rPr>
                <w:szCs w:val="21"/>
              </w:rPr>
            </w:pPr>
            <w:r w:rsidRPr="009D5DBE">
              <w:rPr>
                <w:szCs w:val="21"/>
              </w:rPr>
              <w:t>17.3%</w:t>
            </w:r>
          </w:p>
        </w:tc>
        <w:tc>
          <w:tcPr>
            <w:tcW w:w="1410" w:type="dxa"/>
            <w:vAlign w:val="center"/>
          </w:tcPr>
          <w:p w14:paraId="4FA6C132" w14:textId="77777777" w:rsidR="00227915" w:rsidRPr="009D5DBE" w:rsidRDefault="00227915" w:rsidP="003908BA">
            <w:pPr>
              <w:jc w:val="center"/>
              <w:rPr>
                <w:szCs w:val="21"/>
              </w:rPr>
            </w:pPr>
            <w:r w:rsidRPr="009D5DBE">
              <w:rPr>
                <w:szCs w:val="21"/>
              </w:rPr>
              <w:t>75,387</w:t>
            </w:r>
          </w:p>
        </w:tc>
        <w:tc>
          <w:tcPr>
            <w:tcW w:w="1410" w:type="dxa"/>
            <w:vAlign w:val="center"/>
          </w:tcPr>
          <w:p w14:paraId="4B4E7A3F" w14:textId="77777777" w:rsidR="00227915" w:rsidRPr="009D5DBE" w:rsidRDefault="00227915" w:rsidP="003908BA">
            <w:pPr>
              <w:jc w:val="center"/>
              <w:rPr>
                <w:szCs w:val="21"/>
              </w:rPr>
            </w:pPr>
            <w:r w:rsidRPr="009D5DBE">
              <w:rPr>
                <w:szCs w:val="21"/>
              </w:rPr>
              <w:t>17.2%</w:t>
            </w:r>
          </w:p>
        </w:tc>
      </w:tr>
      <w:tr w:rsidR="00227915" w:rsidRPr="009D5DBE" w14:paraId="5E6BE5D0" w14:textId="77777777" w:rsidTr="00BD1E61">
        <w:trPr>
          <w:cantSplit/>
          <w:trHeight w:val="274"/>
        </w:trPr>
        <w:tc>
          <w:tcPr>
            <w:tcW w:w="4500" w:type="dxa"/>
            <w:vAlign w:val="center"/>
            <w:hideMark/>
          </w:tcPr>
          <w:p w14:paraId="5AD01C01" w14:textId="55AE61F7" w:rsidR="00227915" w:rsidRPr="009D5DBE" w:rsidRDefault="009554C9" w:rsidP="003908BA">
            <w:pPr>
              <w:rPr>
                <w:szCs w:val="21"/>
              </w:rPr>
            </w:pPr>
            <w:r w:rsidRPr="009D5DBE">
              <w:rPr>
                <w:szCs w:val="21"/>
              </w:rPr>
              <w:t xml:space="preserve">Ethnicity: </w:t>
            </w:r>
            <w:r w:rsidR="00227915" w:rsidRPr="009D5DBE">
              <w:rPr>
                <w:szCs w:val="21"/>
              </w:rPr>
              <w:t>Not Hispanic or Latino</w:t>
            </w:r>
          </w:p>
        </w:tc>
        <w:tc>
          <w:tcPr>
            <w:tcW w:w="1410" w:type="dxa"/>
            <w:vAlign w:val="center"/>
          </w:tcPr>
          <w:p w14:paraId="7CCF3ACF" w14:textId="77777777" w:rsidR="00227915" w:rsidRPr="009D5DBE" w:rsidRDefault="00227915" w:rsidP="003908BA">
            <w:pPr>
              <w:jc w:val="center"/>
              <w:rPr>
                <w:szCs w:val="21"/>
              </w:rPr>
            </w:pPr>
            <w:r w:rsidRPr="009D5DBE">
              <w:rPr>
                <w:szCs w:val="21"/>
              </w:rPr>
              <w:t>307,066</w:t>
            </w:r>
          </w:p>
        </w:tc>
        <w:tc>
          <w:tcPr>
            <w:tcW w:w="1410" w:type="dxa"/>
            <w:vAlign w:val="center"/>
          </w:tcPr>
          <w:p w14:paraId="35101F58" w14:textId="77777777" w:rsidR="00227915" w:rsidRPr="009D5DBE" w:rsidRDefault="00227915" w:rsidP="003908BA">
            <w:pPr>
              <w:jc w:val="center"/>
              <w:rPr>
                <w:szCs w:val="21"/>
              </w:rPr>
            </w:pPr>
            <w:r w:rsidRPr="009D5DBE">
              <w:rPr>
                <w:szCs w:val="21"/>
              </w:rPr>
              <w:t>80.1%</w:t>
            </w:r>
          </w:p>
        </w:tc>
        <w:tc>
          <w:tcPr>
            <w:tcW w:w="1410" w:type="dxa"/>
            <w:vAlign w:val="center"/>
          </w:tcPr>
          <w:p w14:paraId="468F4E75" w14:textId="77777777" w:rsidR="00227915" w:rsidRPr="009D5DBE" w:rsidRDefault="00227915" w:rsidP="003908BA">
            <w:pPr>
              <w:jc w:val="center"/>
              <w:rPr>
                <w:szCs w:val="21"/>
              </w:rPr>
            </w:pPr>
            <w:r w:rsidRPr="009D5DBE">
              <w:rPr>
                <w:szCs w:val="21"/>
              </w:rPr>
              <w:t>306,110</w:t>
            </w:r>
          </w:p>
        </w:tc>
        <w:tc>
          <w:tcPr>
            <w:tcW w:w="1410" w:type="dxa"/>
            <w:vAlign w:val="center"/>
          </w:tcPr>
          <w:p w14:paraId="02C1B008" w14:textId="77777777" w:rsidR="00227915" w:rsidRPr="009D5DBE" w:rsidRDefault="00227915" w:rsidP="003908BA">
            <w:pPr>
              <w:jc w:val="center"/>
              <w:rPr>
                <w:szCs w:val="21"/>
              </w:rPr>
            </w:pPr>
            <w:r w:rsidRPr="009D5DBE">
              <w:rPr>
                <w:szCs w:val="21"/>
              </w:rPr>
              <w:t>79.4%</w:t>
            </w:r>
          </w:p>
        </w:tc>
        <w:tc>
          <w:tcPr>
            <w:tcW w:w="1410" w:type="dxa"/>
            <w:vAlign w:val="center"/>
          </w:tcPr>
          <w:p w14:paraId="5B8AC7FF" w14:textId="77777777" w:rsidR="00227915" w:rsidRPr="009D5DBE" w:rsidRDefault="00227915" w:rsidP="003908BA">
            <w:pPr>
              <w:jc w:val="center"/>
              <w:rPr>
                <w:szCs w:val="21"/>
              </w:rPr>
            </w:pPr>
            <w:r w:rsidRPr="009D5DBE">
              <w:rPr>
                <w:szCs w:val="21"/>
              </w:rPr>
              <w:t>349,791</w:t>
            </w:r>
          </w:p>
        </w:tc>
        <w:tc>
          <w:tcPr>
            <w:tcW w:w="1410" w:type="dxa"/>
            <w:vAlign w:val="center"/>
          </w:tcPr>
          <w:p w14:paraId="7627581A" w14:textId="77777777" w:rsidR="00227915" w:rsidRPr="009D5DBE" w:rsidRDefault="00227915" w:rsidP="003908BA">
            <w:pPr>
              <w:jc w:val="center"/>
              <w:rPr>
                <w:szCs w:val="21"/>
              </w:rPr>
            </w:pPr>
            <w:r w:rsidRPr="009D5DBE">
              <w:rPr>
                <w:szCs w:val="21"/>
              </w:rPr>
              <w:t>79.9%</w:t>
            </w:r>
          </w:p>
        </w:tc>
      </w:tr>
      <w:tr w:rsidR="00227915" w:rsidRPr="009D5DBE" w14:paraId="6BF59799" w14:textId="77777777" w:rsidTr="00BD1E61">
        <w:trPr>
          <w:cantSplit/>
          <w:trHeight w:val="274"/>
        </w:trPr>
        <w:tc>
          <w:tcPr>
            <w:tcW w:w="4500" w:type="dxa"/>
            <w:vAlign w:val="center"/>
            <w:hideMark/>
          </w:tcPr>
          <w:p w14:paraId="6C5C4CE1" w14:textId="1DF13180" w:rsidR="00227915" w:rsidRPr="009D5DBE" w:rsidRDefault="009554C9" w:rsidP="003908BA">
            <w:pPr>
              <w:rPr>
                <w:szCs w:val="21"/>
              </w:rPr>
            </w:pPr>
            <w:r w:rsidRPr="009D5DBE">
              <w:rPr>
                <w:szCs w:val="21"/>
              </w:rPr>
              <w:t xml:space="preserve">Ethnicity: </w:t>
            </w:r>
            <w:r w:rsidR="00227915" w:rsidRPr="009D5DBE">
              <w:rPr>
                <w:szCs w:val="21"/>
              </w:rPr>
              <w:t>Unknown</w:t>
            </w:r>
          </w:p>
        </w:tc>
        <w:tc>
          <w:tcPr>
            <w:tcW w:w="1410" w:type="dxa"/>
            <w:vAlign w:val="center"/>
          </w:tcPr>
          <w:p w14:paraId="2BFE384B" w14:textId="77777777" w:rsidR="00227915" w:rsidRPr="009D5DBE" w:rsidRDefault="00227915" w:rsidP="003908BA">
            <w:pPr>
              <w:jc w:val="center"/>
              <w:rPr>
                <w:szCs w:val="21"/>
              </w:rPr>
            </w:pPr>
            <w:r w:rsidRPr="009D5DBE">
              <w:rPr>
                <w:szCs w:val="21"/>
              </w:rPr>
              <w:t>7,071</w:t>
            </w:r>
          </w:p>
        </w:tc>
        <w:tc>
          <w:tcPr>
            <w:tcW w:w="1410" w:type="dxa"/>
            <w:vAlign w:val="center"/>
          </w:tcPr>
          <w:p w14:paraId="52C26618" w14:textId="77777777" w:rsidR="00227915" w:rsidRPr="009D5DBE" w:rsidRDefault="00227915" w:rsidP="003908BA">
            <w:pPr>
              <w:jc w:val="center"/>
              <w:rPr>
                <w:szCs w:val="21"/>
              </w:rPr>
            </w:pPr>
            <w:r w:rsidRPr="009D5DBE">
              <w:rPr>
                <w:szCs w:val="21"/>
              </w:rPr>
              <w:t>1.8%</w:t>
            </w:r>
          </w:p>
        </w:tc>
        <w:tc>
          <w:tcPr>
            <w:tcW w:w="1410" w:type="dxa"/>
            <w:vAlign w:val="center"/>
          </w:tcPr>
          <w:p w14:paraId="06D38030" w14:textId="77777777" w:rsidR="00227915" w:rsidRPr="009D5DBE" w:rsidRDefault="00227915" w:rsidP="003908BA">
            <w:pPr>
              <w:jc w:val="center"/>
              <w:rPr>
                <w:szCs w:val="21"/>
              </w:rPr>
            </w:pPr>
            <w:r w:rsidRPr="009D5DBE">
              <w:rPr>
                <w:szCs w:val="21"/>
              </w:rPr>
              <w:t>6,060</w:t>
            </w:r>
          </w:p>
        </w:tc>
        <w:tc>
          <w:tcPr>
            <w:tcW w:w="1410" w:type="dxa"/>
            <w:vAlign w:val="center"/>
          </w:tcPr>
          <w:p w14:paraId="7AE96044" w14:textId="77777777" w:rsidR="00227915" w:rsidRPr="009D5DBE" w:rsidRDefault="00227915" w:rsidP="003908BA">
            <w:pPr>
              <w:jc w:val="center"/>
              <w:rPr>
                <w:szCs w:val="21"/>
              </w:rPr>
            </w:pPr>
            <w:r w:rsidRPr="009D5DBE">
              <w:rPr>
                <w:szCs w:val="21"/>
              </w:rPr>
              <w:t>1.6%</w:t>
            </w:r>
          </w:p>
        </w:tc>
        <w:tc>
          <w:tcPr>
            <w:tcW w:w="1410" w:type="dxa"/>
            <w:vAlign w:val="center"/>
          </w:tcPr>
          <w:p w14:paraId="661EFEB2" w14:textId="77777777" w:rsidR="00227915" w:rsidRPr="009D5DBE" w:rsidRDefault="00227915" w:rsidP="003908BA">
            <w:pPr>
              <w:jc w:val="center"/>
              <w:rPr>
                <w:szCs w:val="21"/>
              </w:rPr>
            </w:pPr>
            <w:r w:rsidRPr="009D5DBE">
              <w:rPr>
                <w:szCs w:val="21"/>
              </w:rPr>
              <w:t>3,589</w:t>
            </w:r>
          </w:p>
        </w:tc>
        <w:tc>
          <w:tcPr>
            <w:tcW w:w="1410" w:type="dxa"/>
            <w:vAlign w:val="center"/>
          </w:tcPr>
          <w:p w14:paraId="4E1DE561" w14:textId="77777777" w:rsidR="00227915" w:rsidRPr="009D5DBE" w:rsidRDefault="00227915" w:rsidP="003908BA">
            <w:pPr>
              <w:jc w:val="center"/>
              <w:rPr>
                <w:szCs w:val="21"/>
              </w:rPr>
            </w:pPr>
            <w:r w:rsidRPr="009D5DBE">
              <w:rPr>
                <w:szCs w:val="21"/>
              </w:rPr>
              <w:t>0.8%</w:t>
            </w:r>
          </w:p>
        </w:tc>
      </w:tr>
      <w:tr w:rsidR="00227915" w:rsidRPr="009D5DBE" w14:paraId="2F4FB803" w14:textId="77777777" w:rsidTr="00BD1E61">
        <w:trPr>
          <w:cantSplit/>
          <w:trHeight w:val="309"/>
        </w:trPr>
        <w:tc>
          <w:tcPr>
            <w:tcW w:w="4500" w:type="dxa"/>
            <w:vAlign w:val="center"/>
            <w:hideMark/>
          </w:tcPr>
          <w:p w14:paraId="40988BD1" w14:textId="5BEC47DB" w:rsidR="00227915" w:rsidRPr="009D5DBE" w:rsidRDefault="00CC096F" w:rsidP="003908BA">
            <w:pPr>
              <w:rPr>
                <w:szCs w:val="21"/>
              </w:rPr>
            </w:pPr>
            <w:r w:rsidRPr="009D5DBE">
              <w:rPr>
                <w:szCs w:val="21"/>
              </w:rPr>
              <w:t xml:space="preserve">Origin: </w:t>
            </w:r>
            <w:r w:rsidR="00227915" w:rsidRPr="009D5DBE">
              <w:rPr>
                <w:szCs w:val="21"/>
              </w:rPr>
              <w:t>Central Mass</w:t>
            </w:r>
          </w:p>
        </w:tc>
        <w:tc>
          <w:tcPr>
            <w:tcW w:w="1410" w:type="dxa"/>
            <w:vAlign w:val="center"/>
          </w:tcPr>
          <w:p w14:paraId="3738AC0A" w14:textId="77777777" w:rsidR="00227915" w:rsidRPr="009D5DBE" w:rsidRDefault="00227915" w:rsidP="003908BA">
            <w:pPr>
              <w:jc w:val="center"/>
              <w:rPr>
                <w:szCs w:val="21"/>
              </w:rPr>
            </w:pPr>
            <w:r w:rsidRPr="009D5DBE">
              <w:rPr>
                <w:szCs w:val="21"/>
              </w:rPr>
              <w:t>344,096</w:t>
            </w:r>
          </w:p>
        </w:tc>
        <w:tc>
          <w:tcPr>
            <w:tcW w:w="1410" w:type="dxa"/>
            <w:vAlign w:val="center"/>
          </w:tcPr>
          <w:p w14:paraId="142CD0AE" w14:textId="77777777" w:rsidR="00227915" w:rsidRPr="009D5DBE" w:rsidRDefault="00227915" w:rsidP="003908BA">
            <w:pPr>
              <w:jc w:val="center"/>
              <w:rPr>
                <w:szCs w:val="21"/>
              </w:rPr>
            </w:pPr>
            <w:r w:rsidRPr="009D5DBE">
              <w:rPr>
                <w:szCs w:val="21"/>
              </w:rPr>
              <w:t>89.7%</w:t>
            </w:r>
          </w:p>
        </w:tc>
        <w:tc>
          <w:tcPr>
            <w:tcW w:w="1410" w:type="dxa"/>
            <w:vAlign w:val="center"/>
          </w:tcPr>
          <w:p w14:paraId="164E5CE9" w14:textId="77777777" w:rsidR="00227915" w:rsidRPr="009D5DBE" w:rsidRDefault="00227915" w:rsidP="003908BA">
            <w:pPr>
              <w:jc w:val="center"/>
              <w:rPr>
                <w:szCs w:val="21"/>
              </w:rPr>
            </w:pPr>
            <w:r w:rsidRPr="009D5DBE">
              <w:rPr>
                <w:szCs w:val="21"/>
              </w:rPr>
              <w:t>349,550</w:t>
            </w:r>
          </w:p>
        </w:tc>
        <w:tc>
          <w:tcPr>
            <w:tcW w:w="1410" w:type="dxa"/>
            <w:vAlign w:val="center"/>
          </w:tcPr>
          <w:p w14:paraId="574F04E0" w14:textId="77777777" w:rsidR="00227915" w:rsidRPr="009D5DBE" w:rsidRDefault="00227915" w:rsidP="003908BA">
            <w:pPr>
              <w:jc w:val="center"/>
              <w:rPr>
                <w:szCs w:val="21"/>
              </w:rPr>
            </w:pPr>
            <w:r w:rsidRPr="009D5DBE">
              <w:rPr>
                <w:szCs w:val="21"/>
              </w:rPr>
              <w:t>90.7%</w:t>
            </w:r>
          </w:p>
        </w:tc>
        <w:tc>
          <w:tcPr>
            <w:tcW w:w="1410" w:type="dxa"/>
            <w:vAlign w:val="center"/>
          </w:tcPr>
          <w:p w14:paraId="0D7AE1FD" w14:textId="77777777" w:rsidR="00227915" w:rsidRPr="009D5DBE" w:rsidRDefault="00227915" w:rsidP="003908BA">
            <w:pPr>
              <w:jc w:val="center"/>
              <w:rPr>
                <w:szCs w:val="21"/>
              </w:rPr>
            </w:pPr>
            <w:r w:rsidRPr="009D5DBE">
              <w:rPr>
                <w:szCs w:val="21"/>
              </w:rPr>
              <w:t>389,285</w:t>
            </w:r>
          </w:p>
        </w:tc>
        <w:tc>
          <w:tcPr>
            <w:tcW w:w="1410" w:type="dxa"/>
            <w:vAlign w:val="center"/>
          </w:tcPr>
          <w:p w14:paraId="3E3C6DDE" w14:textId="77777777" w:rsidR="00227915" w:rsidRPr="009D5DBE" w:rsidRDefault="00227915" w:rsidP="003908BA">
            <w:pPr>
              <w:jc w:val="center"/>
              <w:rPr>
                <w:szCs w:val="21"/>
              </w:rPr>
            </w:pPr>
            <w:r w:rsidRPr="009D5DBE">
              <w:rPr>
                <w:szCs w:val="21"/>
              </w:rPr>
              <w:t>89.0%</w:t>
            </w:r>
          </w:p>
        </w:tc>
      </w:tr>
      <w:tr w:rsidR="00227915" w:rsidRPr="009D5DBE" w14:paraId="09FDEAA0" w14:textId="77777777" w:rsidTr="00BD1E61">
        <w:trPr>
          <w:cantSplit/>
          <w:trHeight w:val="273"/>
        </w:trPr>
        <w:tc>
          <w:tcPr>
            <w:tcW w:w="4500" w:type="dxa"/>
            <w:vAlign w:val="center"/>
            <w:hideMark/>
          </w:tcPr>
          <w:p w14:paraId="2053272E" w14:textId="7832AE7F" w:rsidR="00227915" w:rsidRPr="009D5DBE" w:rsidRDefault="009554C9" w:rsidP="003908BA">
            <w:pPr>
              <w:rPr>
                <w:szCs w:val="21"/>
              </w:rPr>
            </w:pPr>
            <w:r w:rsidRPr="009D5DBE">
              <w:rPr>
                <w:szCs w:val="21"/>
              </w:rPr>
              <w:t xml:space="preserve">Origin: </w:t>
            </w:r>
            <w:r w:rsidR="00227915" w:rsidRPr="009D5DBE">
              <w:rPr>
                <w:szCs w:val="21"/>
              </w:rPr>
              <w:t>Eastern Mass</w:t>
            </w:r>
          </w:p>
        </w:tc>
        <w:tc>
          <w:tcPr>
            <w:tcW w:w="1410" w:type="dxa"/>
            <w:vAlign w:val="center"/>
          </w:tcPr>
          <w:p w14:paraId="3112CC41" w14:textId="77777777" w:rsidR="00227915" w:rsidRPr="009D5DBE" w:rsidRDefault="00227915" w:rsidP="003908BA">
            <w:pPr>
              <w:jc w:val="center"/>
              <w:rPr>
                <w:szCs w:val="21"/>
              </w:rPr>
            </w:pPr>
            <w:r w:rsidRPr="009D5DBE">
              <w:rPr>
                <w:szCs w:val="21"/>
              </w:rPr>
              <w:t>15,574</w:t>
            </w:r>
          </w:p>
        </w:tc>
        <w:tc>
          <w:tcPr>
            <w:tcW w:w="1410" w:type="dxa"/>
            <w:vAlign w:val="center"/>
          </w:tcPr>
          <w:p w14:paraId="3932AA76" w14:textId="77777777" w:rsidR="00227915" w:rsidRPr="009D5DBE" w:rsidRDefault="00227915" w:rsidP="003908BA">
            <w:pPr>
              <w:jc w:val="center"/>
              <w:rPr>
                <w:szCs w:val="21"/>
              </w:rPr>
            </w:pPr>
            <w:r w:rsidRPr="009D5DBE">
              <w:rPr>
                <w:szCs w:val="21"/>
              </w:rPr>
              <w:t>4.1%</w:t>
            </w:r>
          </w:p>
        </w:tc>
        <w:tc>
          <w:tcPr>
            <w:tcW w:w="1410" w:type="dxa"/>
            <w:vAlign w:val="center"/>
          </w:tcPr>
          <w:p w14:paraId="67C24A54" w14:textId="77777777" w:rsidR="00227915" w:rsidRPr="009D5DBE" w:rsidRDefault="00227915" w:rsidP="003908BA">
            <w:pPr>
              <w:jc w:val="center"/>
              <w:rPr>
                <w:szCs w:val="21"/>
              </w:rPr>
            </w:pPr>
            <w:r w:rsidRPr="009D5DBE">
              <w:rPr>
                <w:szCs w:val="21"/>
              </w:rPr>
              <w:t>13,947</w:t>
            </w:r>
          </w:p>
        </w:tc>
        <w:tc>
          <w:tcPr>
            <w:tcW w:w="1410" w:type="dxa"/>
            <w:vAlign w:val="center"/>
          </w:tcPr>
          <w:p w14:paraId="23AA7413" w14:textId="77777777" w:rsidR="00227915" w:rsidRPr="009D5DBE" w:rsidRDefault="00227915" w:rsidP="003908BA">
            <w:pPr>
              <w:jc w:val="center"/>
              <w:rPr>
                <w:szCs w:val="21"/>
              </w:rPr>
            </w:pPr>
            <w:r w:rsidRPr="009D5DBE">
              <w:rPr>
                <w:szCs w:val="21"/>
              </w:rPr>
              <w:t>3.6%</w:t>
            </w:r>
          </w:p>
        </w:tc>
        <w:tc>
          <w:tcPr>
            <w:tcW w:w="1410" w:type="dxa"/>
            <w:vAlign w:val="center"/>
          </w:tcPr>
          <w:p w14:paraId="5D33C488" w14:textId="77777777" w:rsidR="00227915" w:rsidRPr="009D5DBE" w:rsidRDefault="00227915" w:rsidP="003908BA">
            <w:pPr>
              <w:jc w:val="center"/>
              <w:rPr>
                <w:szCs w:val="21"/>
              </w:rPr>
            </w:pPr>
            <w:r w:rsidRPr="009D5DBE">
              <w:rPr>
                <w:szCs w:val="21"/>
              </w:rPr>
              <w:t>15,831</w:t>
            </w:r>
          </w:p>
        </w:tc>
        <w:tc>
          <w:tcPr>
            <w:tcW w:w="1410" w:type="dxa"/>
            <w:vAlign w:val="center"/>
          </w:tcPr>
          <w:p w14:paraId="26078820" w14:textId="77777777" w:rsidR="00227915" w:rsidRPr="009D5DBE" w:rsidRDefault="00227915" w:rsidP="003908BA">
            <w:pPr>
              <w:jc w:val="center"/>
              <w:rPr>
                <w:szCs w:val="21"/>
              </w:rPr>
            </w:pPr>
            <w:r w:rsidRPr="009D5DBE">
              <w:rPr>
                <w:szCs w:val="21"/>
              </w:rPr>
              <w:t>3.6%</w:t>
            </w:r>
          </w:p>
        </w:tc>
      </w:tr>
      <w:tr w:rsidR="00227915" w:rsidRPr="009D5DBE" w14:paraId="68CF3C46" w14:textId="77777777" w:rsidTr="00BD1E61">
        <w:trPr>
          <w:cantSplit/>
          <w:trHeight w:val="273"/>
        </w:trPr>
        <w:tc>
          <w:tcPr>
            <w:tcW w:w="4500" w:type="dxa"/>
            <w:vAlign w:val="center"/>
            <w:hideMark/>
          </w:tcPr>
          <w:p w14:paraId="6D1EBC09" w14:textId="4B5D2CCE" w:rsidR="00227915" w:rsidRPr="009D5DBE" w:rsidRDefault="009554C9" w:rsidP="003908BA">
            <w:pPr>
              <w:rPr>
                <w:szCs w:val="21"/>
              </w:rPr>
            </w:pPr>
            <w:r w:rsidRPr="009D5DBE">
              <w:rPr>
                <w:szCs w:val="21"/>
              </w:rPr>
              <w:t xml:space="preserve">Origin: </w:t>
            </w:r>
            <w:r w:rsidR="00227915" w:rsidRPr="009D5DBE">
              <w:rPr>
                <w:szCs w:val="21"/>
              </w:rPr>
              <w:t>Western Mass</w:t>
            </w:r>
          </w:p>
        </w:tc>
        <w:tc>
          <w:tcPr>
            <w:tcW w:w="1410" w:type="dxa"/>
            <w:vAlign w:val="center"/>
          </w:tcPr>
          <w:p w14:paraId="4F20A326" w14:textId="77777777" w:rsidR="00227915" w:rsidRPr="009D5DBE" w:rsidRDefault="00227915" w:rsidP="003908BA">
            <w:pPr>
              <w:jc w:val="center"/>
              <w:rPr>
                <w:szCs w:val="21"/>
              </w:rPr>
            </w:pPr>
            <w:r w:rsidRPr="009D5DBE">
              <w:rPr>
                <w:szCs w:val="21"/>
              </w:rPr>
              <w:t>9,127</w:t>
            </w:r>
          </w:p>
        </w:tc>
        <w:tc>
          <w:tcPr>
            <w:tcW w:w="1410" w:type="dxa"/>
            <w:vAlign w:val="center"/>
          </w:tcPr>
          <w:p w14:paraId="321FC8A4" w14:textId="77777777" w:rsidR="00227915" w:rsidRPr="009D5DBE" w:rsidRDefault="00227915" w:rsidP="003908BA">
            <w:pPr>
              <w:jc w:val="center"/>
              <w:rPr>
                <w:szCs w:val="21"/>
              </w:rPr>
            </w:pPr>
            <w:r w:rsidRPr="009D5DBE">
              <w:rPr>
                <w:szCs w:val="21"/>
              </w:rPr>
              <w:t>2.4%</w:t>
            </w:r>
          </w:p>
        </w:tc>
        <w:tc>
          <w:tcPr>
            <w:tcW w:w="1410" w:type="dxa"/>
            <w:vAlign w:val="center"/>
          </w:tcPr>
          <w:p w14:paraId="0860FB45" w14:textId="77777777" w:rsidR="00227915" w:rsidRPr="009D5DBE" w:rsidRDefault="00227915" w:rsidP="003908BA">
            <w:pPr>
              <w:jc w:val="center"/>
              <w:rPr>
                <w:szCs w:val="21"/>
              </w:rPr>
            </w:pPr>
            <w:r w:rsidRPr="009D5DBE">
              <w:rPr>
                <w:szCs w:val="21"/>
              </w:rPr>
              <w:t>9,315</w:t>
            </w:r>
          </w:p>
        </w:tc>
        <w:tc>
          <w:tcPr>
            <w:tcW w:w="1410" w:type="dxa"/>
            <w:vAlign w:val="center"/>
          </w:tcPr>
          <w:p w14:paraId="0B9448AE" w14:textId="77777777" w:rsidR="00227915" w:rsidRPr="009D5DBE" w:rsidRDefault="00227915" w:rsidP="003908BA">
            <w:pPr>
              <w:jc w:val="center"/>
              <w:rPr>
                <w:szCs w:val="21"/>
              </w:rPr>
            </w:pPr>
            <w:r w:rsidRPr="009D5DBE">
              <w:rPr>
                <w:szCs w:val="21"/>
              </w:rPr>
              <w:t>2.4%</w:t>
            </w:r>
          </w:p>
        </w:tc>
        <w:tc>
          <w:tcPr>
            <w:tcW w:w="1410" w:type="dxa"/>
            <w:vAlign w:val="center"/>
          </w:tcPr>
          <w:p w14:paraId="52B5010B" w14:textId="77777777" w:rsidR="00227915" w:rsidRPr="009D5DBE" w:rsidRDefault="00227915" w:rsidP="003908BA">
            <w:pPr>
              <w:jc w:val="center"/>
              <w:rPr>
                <w:szCs w:val="21"/>
              </w:rPr>
            </w:pPr>
            <w:r w:rsidRPr="009D5DBE">
              <w:rPr>
                <w:szCs w:val="21"/>
              </w:rPr>
              <w:t>14,421</w:t>
            </w:r>
          </w:p>
        </w:tc>
        <w:tc>
          <w:tcPr>
            <w:tcW w:w="1410" w:type="dxa"/>
            <w:vAlign w:val="center"/>
          </w:tcPr>
          <w:p w14:paraId="04F5E7EE" w14:textId="77777777" w:rsidR="00227915" w:rsidRPr="009D5DBE" w:rsidRDefault="00227915" w:rsidP="003908BA">
            <w:pPr>
              <w:jc w:val="center"/>
              <w:rPr>
                <w:szCs w:val="21"/>
              </w:rPr>
            </w:pPr>
            <w:r w:rsidRPr="009D5DBE">
              <w:rPr>
                <w:szCs w:val="21"/>
              </w:rPr>
              <w:t>3.3%</w:t>
            </w:r>
          </w:p>
        </w:tc>
      </w:tr>
      <w:tr w:rsidR="00227915" w:rsidRPr="009D5DBE" w14:paraId="1AAF46E6" w14:textId="77777777" w:rsidTr="00BD1E61">
        <w:trPr>
          <w:cantSplit/>
          <w:trHeight w:val="273"/>
        </w:trPr>
        <w:tc>
          <w:tcPr>
            <w:tcW w:w="4500" w:type="dxa"/>
            <w:vAlign w:val="center"/>
            <w:hideMark/>
          </w:tcPr>
          <w:p w14:paraId="714826B6" w14:textId="508CBF9D" w:rsidR="00227915" w:rsidRPr="009D5DBE" w:rsidRDefault="009554C9" w:rsidP="003908BA">
            <w:pPr>
              <w:rPr>
                <w:szCs w:val="21"/>
              </w:rPr>
            </w:pPr>
            <w:r w:rsidRPr="009D5DBE">
              <w:rPr>
                <w:szCs w:val="21"/>
              </w:rPr>
              <w:t xml:space="preserve">Origin: </w:t>
            </w:r>
            <w:r w:rsidR="00227915" w:rsidRPr="009D5DBE">
              <w:rPr>
                <w:szCs w:val="21"/>
              </w:rPr>
              <w:t>Out of State</w:t>
            </w:r>
          </w:p>
        </w:tc>
        <w:tc>
          <w:tcPr>
            <w:tcW w:w="1410" w:type="dxa"/>
            <w:vAlign w:val="center"/>
          </w:tcPr>
          <w:p w14:paraId="780219C9" w14:textId="77777777" w:rsidR="00227915" w:rsidRPr="009D5DBE" w:rsidRDefault="00227915" w:rsidP="003908BA">
            <w:pPr>
              <w:jc w:val="center"/>
              <w:rPr>
                <w:szCs w:val="21"/>
              </w:rPr>
            </w:pPr>
            <w:r w:rsidRPr="009D5DBE">
              <w:rPr>
                <w:szCs w:val="21"/>
              </w:rPr>
              <w:t>14,700</w:t>
            </w:r>
          </w:p>
        </w:tc>
        <w:tc>
          <w:tcPr>
            <w:tcW w:w="1410" w:type="dxa"/>
            <w:vAlign w:val="center"/>
          </w:tcPr>
          <w:p w14:paraId="03A43606" w14:textId="77777777" w:rsidR="00227915" w:rsidRPr="009D5DBE" w:rsidRDefault="00227915" w:rsidP="003908BA">
            <w:pPr>
              <w:jc w:val="center"/>
              <w:rPr>
                <w:szCs w:val="21"/>
              </w:rPr>
            </w:pPr>
            <w:r w:rsidRPr="009D5DBE">
              <w:rPr>
                <w:szCs w:val="21"/>
              </w:rPr>
              <w:t>3.8%</w:t>
            </w:r>
          </w:p>
        </w:tc>
        <w:tc>
          <w:tcPr>
            <w:tcW w:w="1410" w:type="dxa"/>
            <w:vAlign w:val="center"/>
          </w:tcPr>
          <w:p w14:paraId="4DB93D59" w14:textId="77777777" w:rsidR="00227915" w:rsidRPr="009D5DBE" w:rsidRDefault="00227915" w:rsidP="003908BA">
            <w:pPr>
              <w:jc w:val="center"/>
              <w:rPr>
                <w:szCs w:val="21"/>
              </w:rPr>
            </w:pPr>
            <w:r w:rsidRPr="009D5DBE">
              <w:rPr>
                <w:szCs w:val="21"/>
              </w:rPr>
              <w:t>12,579</w:t>
            </w:r>
          </w:p>
        </w:tc>
        <w:tc>
          <w:tcPr>
            <w:tcW w:w="1410" w:type="dxa"/>
            <w:vAlign w:val="center"/>
          </w:tcPr>
          <w:p w14:paraId="56736FE0" w14:textId="77777777" w:rsidR="00227915" w:rsidRPr="009D5DBE" w:rsidRDefault="00227915" w:rsidP="003908BA">
            <w:pPr>
              <w:jc w:val="center"/>
              <w:rPr>
                <w:szCs w:val="21"/>
              </w:rPr>
            </w:pPr>
            <w:r w:rsidRPr="009D5DBE">
              <w:rPr>
                <w:szCs w:val="21"/>
              </w:rPr>
              <w:t>3.3%</w:t>
            </w:r>
          </w:p>
        </w:tc>
        <w:tc>
          <w:tcPr>
            <w:tcW w:w="1410" w:type="dxa"/>
            <w:vAlign w:val="center"/>
          </w:tcPr>
          <w:p w14:paraId="2597B779" w14:textId="77777777" w:rsidR="00227915" w:rsidRPr="009D5DBE" w:rsidRDefault="00227915" w:rsidP="003908BA">
            <w:pPr>
              <w:jc w:val="center"/>
              <w:rPr>
                <w:szCs w:val="21"/>
              </w:rPr>
            </w:pPr>
            <w:r w:rsidRPr="009D5DBE">
              <w:rPr>
                <w:szCs w:val="21"/>
              </w:rPr>
              <w:t>17,991</w:t>
            </w:r>
          </w:p>
        </w:tc>
        <w:tc>
          <w:tcPr>
            <w:tcW w:w="1410" w:type="dxa"/>
            <w:vAlign w:val="center"/>
          </w:tcPr>
          <w:p w14:paraId="4866614B" w14:textId="77777777" w:rsidR="00227915" w:rsidRPr="009D5DBE" w:rsidRDefault="00227915" w:rsidP="003908BA">
            <w:pPr>
              <w:jc w:val="center"/>
              <w:rPr>
                <w:szCs w:val="21"/>
              </w:rPr>
            </w:pPr>
            <w:r w:rsidRPr="009D5DBE">
              <w:rPr>
                <w:szCs w:val="21"/>
              </w:rPr>
              <w:t>4.1%</w:t>
            </w:r>
          </w:p>
        </w:tc>
      </w:tr>
    </w:tbl>
    <w:p w14:paraId="7AF2BA3C" w14:textId="77777777" w:rsidR="00CC096F" w:rsidRPr="009D5DBE" w:rsidRDefault="00CC096F" w:rsidP="00227915">
      <w:pPr>
        <w:suppressAutoHyphens w:val="0"/>
        <w:spacing w:after="240"/>
        <w:jc w:val="both"/>
        <w:rPr>
          <w:rFonts w:eastAsia="PMingLiU"/>
          <w:kern w:val="0"/>
          <w:szCs w:val="21"/>
          <w14:ligatures w14:val="none"/>
        </w:rPr>
        <w:sectPr w:rsidR="00CC096F" w:rsidRPr="009D5DBE" w:rsidSect="00CC096F">
          <w:pgSz w:w="15840" w:h="12240" w:orient="landscape"/>
          <w:pgMar w:top="1440" w:right="1440" w:bottom="1440" w:left="1440" w:header="720" w:footer="720" w:gutter="0"/>
          <w:cols w:space="720"/>
          <w:docGrid w:linePitch="360"/>
        </w:sectPr>
      </w:pPr>
    </w:p>
    <w:p w14:paraId="4BC654B1" w14:textId="402EC4E7" w:rsidR="00227915" w:rsidRPr="009D5DBE" w:rsidRDefault="00104191" w:rsidP="00231FC7">
      <w:pPr>
        <w:pStyle w:val="HBblj"/>
        <w:rPr>
          <w:rFonts w:eastAsia="PMingLiU"/>
        </w:rPr>
      </w:pPr>
      <w:r w:rsidRPr="009D5DBE">
        <w:rPr>
          <w:rFonts w:eastAsia="PMingLiU"/>
        </w:rPr>
        <w:lastRenderedPageBreak/>
        <w:t>UMass Memorial</w:t>
      </w:r>
      <w:r w:rsidR="00227915" w:rsidRPr="009D5DBE">
        <w:rPr>
          <w:rFonts w:eastAsia="Calibri"/>
        </w:rPr>
        <w:t xml:space="preserve"> serves a </w:t>
      </w:r>
      <w:r w:rsidR="00B8365D" w:rsidRPr="009D5DBE">
        <w:rPr>
          <w:rFonts w:eastAsia="Calibri"/>
        </w:rPr>
        <w:t>large percentage of patients who</w:t>
      </w:r>
      <w:r w:rsidR="00227915" w:rsidRPr="009D5DBE">
        <w:rPr>
          <w:rFonts w:eastAsia="Calibri"/>
        </w:rPr>
        <w:t xml:space="preserve"> participate in government insurance programs, including approximately 25% of patients with Medicare Fee</w:t>
      </w:r>
      <w:r w:rsidR="00B8365D" w:rsidRPr="009D5DBE">
        <w:rPr>
          <w:rFonts w:eastAsia="Calibri"/>
        </w:rPr>
        <w:t>-</w:t>
      </w:r>
      <w:r w:rsidR="00227915" w:rsidRPr="009D5DBE">
        <w:rPr>
          <w:rFonts w:eastAsia="Calibri"/>
        </w:rPr>
        <w:t>For</w:t>
      </w:r>
      <w:r w:rsidR="00B8365D" w:rsidRPr="009D5DBE">
        <w:rPr>
          <w:rFonts w:eastAsia="Calibri"/>
        </w:rPr>
        <w:t>-</w:t>
      </w:r>
      <w:r w:rsidR="00227915" w:rsidRPr="009D5DBE">
        <w:rPr>
          <w:rFonts w:eastAsia="Calibri"/>
        </w:rPr>
        <w:t xml:space="preserve">Service, 19% with Managed Medicare, and 24% covered by MassHealth. Collectively, public payers make up almost 70% of </w:t>
      </w:r>
      <w:r w:rsidRPr="009D5DBE">
        <w:rPr>
          <w:rFonts w:eastAsia="PMingLiU"/>
        </w:rPr>
        <w:t>UMass Memorial</w:t>
      </w:r>
      <w:r w:rsidR="00227915" w:rsidRPr="009D5DBE">
        <w:rPr>
          <w:rFonts w:eastAsia="Calibri"/>
        </w:rPr>
        <w:t xml:space="preserve">’s payer </w:t>
      </w:r>
      <w:r w:rsidR="0063472D" w:rsidRPr="009D5DBE">
        <w:rPr>
          <w:rFonts w:eastAsia="Calibri"/>
        </w:rPr>
        <w:t>mix.</w:t>
      </w:r>
      <w:r w:rsidR="002B5CB3" w:rsidRPr="009D5DBE">
        <w:rPr>
          <w:rFonts w:eastAsia="Calibri"/>
        </w:rPr>
        <w:t xml:space="preserve"> </w:t>
      </w:r>
    </w:p>
    <w:tbl>
      <w:tblPr>
        <w:tblStyle w:val="TableGrid"/>
        <w:tblW w:w="9900" w:type="dxa"/>
        <w:tblInd w:w="-5" w:type="dxa"/>
        <w:tblLook w:val="04A0" w:firstRow="1" w:lastRow="0" w:firstColumn="1" w:lastColumn="0" w:noHBand="0" w:noVBand="1"/>
      </w:tblPr>
      <w:tblGrid>
        <w:gridCol w:w="5130"/>
        <w:gridCol w:w="1590"/>
        <w:gridCol w:w="1590"/>
        <w:gridCol w:w="1590"/>
      </w:tblGrid>
      <w:tr w:rsidR="00227915" w:rsidRPr="009D5DBE" w14:paraId="353CAF21" w14:textId="77777777" w:rsidTr="009670B5">
        <w:trPr>
          <w:cantSplit/>
          <w:tblHeader/>
        </w:trPr>
        <w:tc>
          <w:tcPr>
            <w:tcW w:w="5130" w:type="dxa"/>
            <w:shd w:val="clear" w:color="auto" w:fill="D9D9D9" w:themeFill="background1" w:themeFillShade="D9"/>
            <w:vAlign w:val="center"/>
          </w:tcPr>
          <w:p w14:paraId="4F2E5D13" w14:textId="2547EB10" w:rsidR="00227915" w:rsidRPr="009D5DBE" w:rsidRDefault="009D5DBE" w:rsidP="009D5DBE">
            <w:pPr>
              <w:rPr>
                <w:b/>
                <w:bCs/>
                <w:szCs w:val="21"/>
              </w:rPr>
            </w:pPr>
            <w:r w:rsidRPr="009D5DBE">
              <w:rPr>
                <w:rFonts w:eastAsia="PMingLiU"/>
                <w:b/>
                <w:bCs/>
                <w:kern w:val="0"/>
                <w:szCs w:val="21"/>
                <w14:ligatures w14:val="none"/>
              </w:rPr>
              <w:t>Table 2: UMass Memorial Payer Mix</w:t>
            </w:r>
          </w:p>
        </w:tc>
        <w:tc>
          <w:tcPr>
            <w:tcW w:w="1590" w:type="dxa"/>
            <w:shd w:val="clear" w:color="auto" w:fill="D9D9D9" w:themeFill="background1" w:themeFillShade="D9"/>
            <w:vAlign w:val="center"/>
            <w:hideMark/>
          </w:tcPr>
          <w:p w14:paraId="40B58901" w14:textId="77777777" w:rsidR="00227915" w:rsidRPr="009D5DBE" w:rsidRDefault="00227915" w:rsidP="003908BA">
            <w:pPr>
              <w:jc w:val="center"/>
              <w:rPr>
                <w:b/>
                <w:bCs/>
                <w:szCs w:val="21"/>
              </w:rPr>
            </w:pPr>
            <w:r w:rsidRPr="009D5DBE">
              <w:rPr>
                <w:b/>
                <w:bCs/>
                <w:szCs w:val="21"/>
              </w:rPr>
              <w:t xml:space="preserve">FY22 Total </w:t>
            </w:r>
          </w:p>
          <w:p w14:paraId="0F55C2CF" w14:textId="5D449CFF" w:rsidR="00227915" w:rsidRPr="009D5DBE" w:rsidRDefault="00B2226D" w:rsidP="003908BA">
            <w:pPr>
              <w:jc w:val="center"/>
              <w:rPr>
                <w:b/>
                <w:bCs/>
                <w:szCs w:val="21"/>
              </w:rPr>
            </w:pPr>
            <w:r w:rsidRPr="009D5DBE">
              <w:rPr>
                <w:b/>
                <w:bCs/>
                <w:szCs w:val="21"/>
              </w:rPr>
              <w:t>Pay</w:t>
            </w:r>
            <w:r>
              <w:rPr>
                <w:b/>
                <w:bCs/>
                <w:szCs w:val="21"/>
              </w:rPr>
              <w:t>e</w:t>
            </w:r>
            <w:r w:rsidRPr="009D5DBE">
              <w:rPr>
                <w:b/>
                <w:bCs/>
                <w:szCs w:val="21"/>
              </w:rPr>
              <w:t xml:space="preserve">r </w:t>
            </w:r>
            <w:r w:rsidR="00227915" w:rsidRPr="009D5DBE">
              <w:rPr>
                <w:b/>
                <w:bCs/>
                <w:szCs w:val="21"/>
              </w:rPr>
              <w:t>Mix</w:t>
            </w:r>
          </w:p>
        </w:tc>
        <w:tc>
          <w:tcPr>
            <w:tcW w:w="1590" w:type="dxa"/>
            <w:shd w:val="clear" w:color="auto" w:fill="D9D9D9" w:themeFill="background1" w:themeFillShade="D9"/>
            <w:vAlign w:val="center"/>
            <w:hideMark/>
          </w:tcPr>
          <w:p w14:paraId="681F31B3" w14:textId="2C47BCA1" w:rsidR="00227915" w:rsidRPr="009D5DBE" w:rsidRDefault="00227915" w:rsidP="003908BA">
            <w:pPr>
              <w:jc w:val="center"/>
              <w:rPr>
                <w:b/>
                <w:bCs/>
                <w:szCs w:val="21"/>
              </w:rPr>
            </w:pPr>
            <w:r w:rsidRPr="009D5DBE">
              <w:rPr>
                <w:b/>
                <w:bCs/>
                <w:szCs w:val="21"/>
              </w:rPr>
              <w:t xml:space="preserve">FY23 Total </w:t>
            </w:r>
            <w:r w:rsidR="00B2226D" w:rsidRPr="009D5DBE">
              <w:rPr>
                <w:b/>
                <w:bCs/>
                <w:szCs w:val="21"/>
              </w:rPr>
              <w:t>Pay</w:t>
            </w:r>
            <w:r w:rsidR="00B2226D">
              <w:rPr>
                <w:b/>
                <w:bCs/>
                <w:szCs w:val="21"/>
              </w:rPr>
              <w:t>e</w:t>
            </w:r>
            <w:r w:rsidR="00B2226D" w:rsidRPr="009D5DBE">
              <w:rPr>
                <w:b/>
                <w:bCs/>
                <w:szCs w:val="21"/>
              </w:rPr>
              <w:t xml:space="preserve">r </w:t>
            </w:r>
            <w:r w:rsidRPr="009D5DBE">
              <w:rPr>
                <w:b/>
                <w:bCs/>
                <w:szCs w:val="21"/>
              </w:rPr>
              <w:t>Mix</w:t>
            </w:r>
          </w:p>
        </w:tc>
        <w:tc>
          <w:tcPr>
            <w:tcW w:w="1590" w:type="dxa"/>
            <w:shd w:val="clear" w:color="auto" w:fill="D9D9D9" w:themeFill="background1" w:themeFillShade="D9"/>
            <w:vAlign w:val="center"/>
          </w:tcPr>
          <w:p w14:paraId="0FC28A34" w14:textId="571C25BB" w:rsidR="00227915" w:rsidRPr="009D5DBE" w:rsidRDefault="00227915" w:rsidP="003908BA">
            <w:pPr>
              <w:jc w:val="center"/>
              <w:rPr>
                <w:b/>
                <w:bCs/>
                <w:szCs w:val="21"/>
              </w:rPr>
            </w:pPr>
            <w:r w:rsidRPr="009D5DBE">
              <w:rPr>
                <w:b/>
                <w:bCs/>
                <w:szCs w:val="21"/>
              </w:rPr>
              <w:t xml:space="preserve">FY24 Total </w:t>
            </w:r>
            <w:r w:rsidR="00B2226D" w:rsidRPr="009D5DBE">
              <w:rPr>
                <w:b/>
                <w:bCs/>
                <w:szCs w:val="21"/>
              </w:rPr>
              <w:t>Pay</w:t>
            </w:r>
            <w:r w:rsidR="00B2226D">
              <w:rPr>
                <w:b/>
                <w:bCs/>
                <w:szCs w:val="21"/>
              </w:rPr>
              <w:t>e</w:t>
            </w:r>
            <w:r w:rsidR="00B2226D" w:rsidRPr="009D5DBE">
              <w:rPr>
                <w:b/>
                <w:bCs/>
                <w:szCs w:val="21"/>
              </w:rPr>
              <w:t xml:space="preserve">r </w:t>
            </w:r>
            <w:r w:rsidRPr="009D5DBE">
              <w:rPr>
                <w:b/>
                <w:bCs/>
                <w:szCs w:val="21"/>
              </w:rPr>
              <w:t>Mix</w:t>
            </w:r>
          </w:p>
        </w:tc>
      </w:tr>
      <w:tr w:rsidR="00227915" w:rsidRPr="009D5DBE" w14:paraId="1D63C461" w14:textId="77777777" w:rsidTr="009670B5">
        <w:trPr>
          <w:cantSplit/>
        </w:trPr>
        <w:tc>
          <w:tcPr>
            <w:tcW w:w="5130" w:type="dxa"/>
            <w:vAlign w:val="center"/>
            <w:hideMark/>
          </w:tcPr>
          <w:p w14:paraId="74174E57" w14:textId="77777777" w:rsidR="00227915" w:rsidRPr="009D5DBE" w:rsidRDefault="00227915" w:rsidP="003908BA">
            <w:pPr>
              <w:rPr>
                <w:szCs w:val="21"/>
              </w:rPr>
            </w:pPr>
            <w:r w:rsidRPr="009D5DBE">
              <w:rPr>
                <w:szCs w:val="21"/>
              </w:rPr>
              <w:t>Commercial PPO/ Indemnity</w:t>
            </w:r>
          </w:p>
        </w:tc>
        <w:tc>
          <w:tcPr>
            <w:tcW w:w="1590" w:type="dxa"/>
            <w:shd w:val="clear" w:color="auto" w:fill="auto"/>
            <w:vAlign w:val="center"/>
            <w:hideMark/>
          </w:tcPr>
          <w:p w14:paraId="3D255924" w14:textId="77777777" w:rsidR="00227915" w:rsidRPr="009D5DBE" w:rsidRDefault="00227915" w:rsidP="003908BA">
            <w:pPr>
              <w:jc w:val="center"/>
              <w:rPr>
                <w:szCs w:val="21"/>
              </w:rPr>
            </w:pPr>
            <w:r w:rsidRPr="009D5DBE">
              <w:rPr>
                <w:szCs w:val="21"/>
              </w:rPr>
              <w:t>3.5%</w:t>
            </w:r>
          </w:p>
        </w:tc>
        <w:tc>
          <w:tcPr>
            <w:tcW w:w="1590" w:type="dxa"/>
            <w:shd w:val="clear" w:color="auto" w:fill="auto"/>
            <w:vAlign w:val="center"/>
            <w:hideMark/>
          </w:tcPr>
          <w:p w14:paraId="5CD98588" w14:textId="77777777" w:rsidR="00227915" w:rsidRPr="009D5DBE" w:rsidRDefault="00227915" w:rsidP="003908BA">
            <w:pPr>
              <w:jc w:val="center"/>
              <w:rPr>
                <w:szCs w:val="21"/>
              </w:rPr>
            </w:pPr>
            <w:r w:rsidRPr="009D5DBE">
              <w:rPr>
                <w:szCs w:val="21"/>
              </w:rPr>
              <w:t>4.4%</w:t>
            </w:r>
          </w:p>
        </w:tc>
        <w:tc>
          <w:tcPr>
            <w:tcW w:w="1590" w:type="dxa"/>
            <w:shd w:val="clear" w:color="auto" w:fill="auto"/>
            <w:vAlign w:val="center"/>
          </w:tcPr>
          <w:p w14:paraId="1FE488E0" w14:textId="77777777" w:rsidR="00227915" w:rsidRPr="009D5DBE" w:rsidRDefault="00227915" w:rsidP="003908BA">
            <w:pPr>
              <w:jc w:val="center"/>
              <w:rPr>
                <w:szCs w:val="21"/>
              </w:rPr>
            </w:pPr>
            <w:r w:rsidRPr="009D5DBE">
              <w:rPr>
                <w:szCs w:val="21"/>
              </w:rPr>
              <w:t>4.3%</w:t>
            </w:r>
          </w:p>
        </w:tc>
      </w:tr>
      <w:tr w:rsidR="00227915" w:rsidRPr="009D5DBE" w14:paraId="6932E330" w14:textId="77777777" w:rsidTr="009670B5">
        <w:trPr>
          <w:cantSplit/>
        </w:trPr>
        <w:tc>
          <w:tcPr>
            <w:tcW w:w="5130" w:type="dxa"/>
            <w:vAlign w:val="center"/>
            <w:hideMark/>
          </w:tcPr>
          <w:p w14:paraId="17719043" w14:textId="77777777" w:rsidR="00227915" w:rsidRPr="009D5DBE" w:rsidRDefault="00227915" w:rsidP="003908BA">
            <w:pPr>
              <w:rPr>
                <w:szCs w:val="21"/>
              </w:rPr>
            </w:pPr>
            <w:r w:rsidRPr="009D5DBE">
              <w:rPr>
                <w:szCs w:val="21"/>
              </w:rPr>
              <w:t>Commercial HMO/ POS</w:t>
            </w:r>
          </w:p>
        </w:tc>
        <w:tc>
          <w:tcPr>
            <w:tcW w:w="1590" w:type="dxa"/>
            <w:shd w:val="clear" w:color="auto" w:fill="auto"/>
            <w:vAlign w:val="center"/>
            <w:hideMark/>
          </w:tcPr>
          <w:p w14:paraId="7AB817B4" w14:textId="77777777" w:rsidR="00227915" w:rsidRPr="009D5DBE" w:rsidRDefault="00227915" w:rsidP="003908BA">
            <w:pPr>
              <w:jc w:val="center"/>
              <w:rPr>
                <w:szCs w:val="21"/>
              </w:rPr>
            </w:pPr>
            <w:r w:rsidRPr="009D5DBE">
              <w:rPr>
                <w:szCs w:val="21"/>
              </w:rPr>
              <w:t>25.0%</w:t>
            </w:r>
          </w:p>
        </w:tc>
        <w:tc>
          <w:tcPr>
            <w:tcW w:w="1590" w:type="dxa"/>
            <w:shd w:val="clear" w:color="auto" w:fill="auto"/>
            <w:vAlign w:val="center"/>
            <w:hideMark/>
          </w:tcPr>
          <w:p w14:paraId="03724B88" w14:textId="77777777" w:rsidR="00227915" w:rsidRPr="009D5DBE" w:rsidRDefault="00227915" w:rsidP="003908BA">
            <w:pPr>
              <w:jc w:val="center"/>
              <w:rPr>
                <w:szCs w:val="21"/>
              </w:rPr>
            </w:pPr>
            <w:r w:rsidRPr="009D5DBE">
              <w:rPr>
                <w:szCs w:val="21"/>
              </w:rPr>
              <w:t>24.4%</w:t>
            </w:r>
          </w:p>
        </w:tc>
        <w:tc>
          <w:tcPr>
            <w:tcW w:w="1590" w:type="dxa"/>
            <w:shd w:val="clear" w:color="auto" w:fill="auto"/>
            <w:vAlign w:val="center"/>
          </w:tcPr>
          <w:p w14:paraId="52C84CB0" w14:textId="77777777" w:rsidR="00227915" w:rsidRPr="009D5DBE" w:rsidRDefault="00227915" w:rsidP="003908BA">
            <w:pPr>
              <w:jc w:val="center"/>
              <w:rPr>
                <w:szCs w:val="21"/>
              </w:rPr>
            </w:pPr>
            <w:r w:rsidRPr="009D5DBE">
              <w:rPr>
                <w:szCs w:val="21"/>
              </w:rPr>
              <w:t>23.8%</w:t>
            </w:r>
          </w:p>
        </w:tc>
      </w:tr>
      <w:tr w:rsidR="00227915" w:rsidRPr="009D5DBE" w14:paraId="0A2FAA70" w14:textId="77777777" w:rsidTr="009670B5">
        <w:trPr>
          <w:cantSplit/>
        </w:trPr>
        <w:tc>
          <w:tcPr>
            <w:tcW w:w="5130" w:type="dxa"/>
            <w:vAlign w:val="center"/>
            <w:hideMark/>
          </w:tcPr>
          <w:p w14:paraId="60428DD0" w14:textId="77777777" w:rsidR="00227915" w:rsidRPr="009D5DBE" w:rsidRDefault="00227915" w:rsidP="003908BA">
            <w:pPr>
              <w:rPr>
                <w:szCs w:val="21"/>
              </w:rPr>
            </w:pPr>
            <w:r w:rsidRPr="009D5DBE">
              <w:rPr>
                <w:szCs w:val="21"/>
              </w:rPr>
              <w:t>MassHealth</w:t>
            </w:r>
          </w:p>
        </w:tc>
        <w:tc>
          <w:tcPr>
            <w:tcW w:w="1590" w:type="dxa"/>
            <w:shd w:val="clear" w:color="auto" w:fill="auto"/>
            <w:vAlign w:val="center"/>
            <w:hideMark/>
          </w:tcPr>
          <w:p w14:paraId="74475B8C" w14:textId="77777777" w:rsidR="00227915" w:rsidRPr="009D5DBE" w:rsidRDefault="00227915" w:rsidP="003908BA">
            <w:pPr>
              <w:jc w:val="center"/>
              <w:rPr>
                <w:szCs w:val="21"/>
              </w:rPr>
            </w:pPr>
            <w:r w:rsidRPr="009D5DBE">
              <w:rPr>
                <w:szCs w:val="21"/>
              </w:rPr>
              <w:t>18.1%</w:t>
            </w:r>
          </w:p>
        </w:tc>
        <w:tc>
          <w:tcPr>
            <w:tcW w:w="1590" w:type="dxa"/>
            <w:shd w:val="clear" w:color="auto" w:fill="auto"/>
            <w:vAlign w:val="center"/>
            <w:hideMark/>
          </w:tcPr>
          <w:p w14:paraId="708FF4C8" w14:textId="77777777" w:rsidR="00227915" w:rsidRPr="009D5DBE" w:rsidRDefault="00227915" w:rsidP="003908BA">
            <w:pPr>
              <w:jc w:val="center"/>
              <w:rPr>
                <w:szCs w:val="21"/>
              </w:rPr>
            </w:pPr>
            <w:r w:rsidRPr="009D5DBE">
              <w:rPr>
                <w:szCs w:val="21"/>
              </w:rPr>
              <w:t>15.0%</w:t>
            </w:r>
          </w:p>
        </w:tc>
        <w:tc>
          <w:tcPr>
            <w:tcW w:w="1590" w:type="dxa"/>
            <w:shd w:val="clear" w:color="auto" w:fill="auto"/>
            <w:vAlign w:val="center"/>
          </w:tcPr>
          <w:p w14:paraId="5DAE7E49" w14:textId="77777777" w:rsidR="00227915" w:rsidRPr="009D5DBE" w:rsidRDefault="00227915" w:rsidP="003908BA">
            <w:pPr>
              <w:jc w:val="center"/>
              <w:rPr>
                <w:szCs w:val="21"/>
              </w:rPr>
            </w:pPr>
            <w:r w:rsidRPr="009D5DBE">
              <w:rPr>
                <w:szCs w:val="21"/>
              </w:rPr>
              <w:t>11.9%</w:t>
            </w:r>
          </w:p>
        </w:tc>
      </w:tr>
      <w:tr w:rsidR="00227915" w:rsidRPr="009D5DBE" w14:paraId="1EF31DB2" w14:textId="77777777" w:rsidTr="009670B5">
        <w:trPr>
          <w:cantSplit/>
        </w:trPr>
        <w:tc>
          <w:tcPr>
            <w:tcW w:w="5130" w:type="dxa"/>
            <w:vAlign w:val="center"/>
            <w:hideMark/>
          </w:tcPr>
          <w:p w14:paraId="61AA3E16" w14:textId="4E93C8F2" w:rsidR="00227915" w:rsidRPr="009D5DBE" w:rsidRDefault="00227915" w:rsidP="003908BA">
            <w:pPr>
              <w:rPr>
                <w:szCs w:val="21"/>
              </w:rPr>
            </w:pPr>
            <w:r w:rsidRPr="009D5DBE">
              <w:rPr>
                <w:szCs w:val="21"/>
              </w:rPr>
              <w:t>Managed Medicaid (</w:t>
            </w:r>
            <w:r w:rsidR="00D01679" w:rsidRPr="009D5DBE">
              <w:rPr>
                <w:szCs w:val="21"/>
              </w:rPr>
              <w:t>ACO/MCO)</w:t>
            </w:r>
          </w:p>
        </w:tc>
        <w:tc>
          <w:tcPr>
            <w:tcW w:w="1590" w:type="dxa"/>
            <w:shd w:val="clear" w:color="auto" w:fill="auto"/>
            <w:vAlign w:val="center"/>
            <w:hideMark/>
          </w:tcPr>
          <w:p w14:paraId="5B1CC30F" w14:textId="77777777" w:rsidR="00227915" w:rsidRPr="009D5DBE" w:rsidRDefault="00227915" w:rsidP="003908BA">
            <w:pPr>
              <w:jc w:val="center"/>
              <w:rPr>
                <w:szCs w:val="21"/>
              </w:rPr>
            </w:pPr>
            <w:r w:rsidRPr="009D5DBE">
              <w:rPr>
                <w:szCs w:val="21"/>
              </w:rPr>
              <w:t>6.5%</w:t>
            </w:r>
          </w:p>
        </w:tc>
        <w:tc>
          <w:tcPr>
            <w:tcW w:w="1590" w:type="dxa"/>
            <w:shd w:val="clear" w:color="auto" w:fill="auto"/>
            <w:vAlign w:val="center"/>
            <w:hideMark/>
          </w:tcPr>
          <w:p w14:paraId="7973F3F5" w14:textId="77777777" w:rsidR="00227915" w:rsidRPr="009D5DBE" w:rsidRDefault="00227915" w:rsidP="003908BA">
            <w:pPr>
              <w:jc w:val="center"/>
              <w:rPr>
                <w:szCs w:val="21"/>
              </w:rPr>
            </w:pPr>
            <w:r w:rsidRPr="009D5DBE">
              <w:rPr>
                <w:szCs w:val="21"/>
              </w:rPr>
              <w:t>9.0%</w:t>
            </w:r>
          </w:p>
        </w:tc>
        <w:tc>
          <w:tcPr>
            <w:tcW w:w="1590" w:type="dxa"/>
            <w:shd w:val="clear" w:color="auto" w:fill="auto"/>
            <w:vAlign w:val="center"/>
          </w:tcPr>
          <w:p w14:paraId="7062F237" w14:textId="77777777" w:rsidR="00227915" w:rsidRPr="009D5DBE" w:rsidRDefault="00227915" w:rsidP="003908BA">
            <w:pPr>
              <w:jc w:val="center"/>
              <w:rPr>
                <w:szCs w:val="21"/>
              </w:rPr>
            </w:pPr>
            <w:r w:rsidRPr="009D5DBE">
              <w:rPr>
                <w:szCs w:val="21"/>
              </w:rPr>
              <w:t>11.5%</w:t>
            </w:r>
          </w:p>
        </w:tc>
      </w:tr>
      <w:tr w:rsidR="00227915" w:rsidRPr="009D5DBE" w14:paraId="1648F287" w14:textId="77777777" w:rsidTr="009670B5">
        <w:trPr>
          <w:cantSplit/>
        </w:trPr>
        <w:tc>
          <w:tcPr>
            <w:tcW w:w="5130" w:type="dxa"/>
            <w:vAlign w:val="center"/>
            <w:hideMark/>
          </w:tcPr>
          <w:p w14:paraId="3EFBC3F4" w14:textId="1194CDED" w:rsidR="00227915" w:rsidRPr="009D5DBE" w:rsidRDefault="00194BA2" w:rsidP="00194BA2">
            <w:pPr>
              <w:rPr>
                <w:szCs w:val="21"/>
              </w:rPr>
            </w:pPr>
            <w:r w:rsidRPr="009D5DBE">
              <w:rPr>
                <w:szCs w:val="21"/>
              </w:rPr>
              <w:t>Managed</w:t>
            </w:r>
            <w:r w:rsidR="00227915" w:rsidRPr="009D5DBE">
              <w:rPr>
                <w:szCs w:val="21"/>
              </w:rPr>
              <w:t xml:space="preserve"> Medicare </w:t>
            </w:r>
            <w:r w:rsidRPr="009D5DBE">
              <w:rPr>
                <w:szCs w:val="21"/>
              </w:rPr>
              <w:t>(</w:t>
            </w:r>
            <w:r w:rsidR="00227915" w:rsidRPr="009D5DBE">
              <w:rPr>
                <w:szCs w:val="21"/>
              </w:rPr>
              <w:t>Medicare Advantage)</w:t>
            </w:r>
          </w:p>
        </w:tc>
        <w:tc>
          <w:tcPr>
            <w:tcW w:w="1590" w:type="dxa"/>
            <w:shd w:val="clear" w:color="auto" w:fill="auto"/>
            <w:vAlign w:val="center"/>
            <w:hideMark/>
          </w:tcPr>
          <w:p w14:paraId="5B994A2C" w14:textId="77777777" w:rsidR="00227915" w:rsidRPr="009D5DBE" w:rsidRDefault="00227915" w:rsidP="003908BA">
            <w:pPr>
              <w:jc w:val="center"/>
              <w:rPr>
                <w:szCs w:val="21"/>
              </w:rPr>
            </w:pPr>
            <w:r w:rsidRPr="009D5DBE">
              <w:rPr>
                <w:szCs w:val="21"/>
              </w:rPr>
              <w:t>16.3%</w:t>
            </w:r>
          </w:p>
        </w:tc>
        <w:tc>
          <w:tcPr>
            <w:tcW w:w="1590" w:type="dxa"/>
            <w:shd w:val="clear" w:color="auto" w:fill="auto"/>
            <w:vAlign w:val="center"/>
            <w:hideMark/>
          </w:tcPr>
          <w:p w14:paraId="22BF4E5B" w14:textId="77777777" w:rsidR="00227915" w:rsidRPr="009D5DBE" w:rsidRDefault="00227915" w:rsidP="003908BA">
            <w:pPr>
              <w:jc w:val="center"/>
              <w:rPr>
                <w:szCs w:val="21"/>
              </w:rPr>
            </w:pPr>
            <w:r w:rsidRPr="009D5DBE">
              <w:rPr>
                <w:szCs w:val="21"/>
              </w:rPr>
              <w:t>17.8%</w:t>
            </w:r>
          </w:p>
        </w:tc>
        <w:tc>
          <w:tcPr>
            <w:tcW w:w="1590" w:type="dxa"/>
            <w:shd w:val="clear" w:color="auto" w:fill="auto"/>
            <w:vAlign w:val="center"/>
          </w:tcPr>
          <w:p w14:paraId="202DC0C4" w14:textId="77777777" w:rsidR="00227915" w:rsidRPr="009D5DBE" w:rsidRDefault="00227915" w:rsidP="003908BA">
            <w:pPr>
              <w:jc w:val="center"/>
              <w:rPr>
                <w:szCs w:val="21"/>
              </w:rPr>
            </w:pPr>
            <w:r w:rsidRPr="009D5DBE">
              <w:rPr>
                <w:szCs w:val="21"/>
              </w:rPr>
              <w:t>18.8%</w:t>
            </w:r>
          </w:p>
        </w:tc>
      </w:tr>
      <w:tr w:rsidR="00227915" w:rsidRPr="009D5DBE" w14:paraId="0B87DB55" w14:textId="77777777" w:rsidTr="009670B5">
        <w:trPr>
          <w:cantSplit/>
        </w:trPr>
        <w:tc>
          <w:tcPr>
            <w:tcW w:w="5130" w:type="dxa"/>
            <w:vAlign w:val="center"/>
            <w:hideMark/>
          </w:tcPr>
          <w:p w14:paraId="078CD7EC" w14:textId="77777777" w:rsidR="00227915" w:rsidRPr="009D5DBE" w:rsidRDefault="00227915" w:rsidP="003908BA">
            <w:pPr>
              <w:rPr>
                <w:szCs w:val="21"/>
              </w:rPr>
            </w:pPr>
            <w:r w:rsidRPr="009D5DBE">
              <w:rPr>
                <w:szCs w:val="21"/>
              </w:rPr>
              <w:t>Medicare FFS</w:t>
            </w:r>
          </w:p>
        </w:tc>
        <w:tc>
          <w:tcPr>
            <w:tcW w:w="1590" w:type="dxa"/>
            <w:shd w:val="clear" w:color="auto" w:fill="auto"/>
            <w:vAlign w:val="center"/>
            <w:hideMark/>
          </w:tcPr>
          <w:p w14:paraId="41443906" w14:textId="77777777" w:rsidR="00227915" w:rsidRPr="009D5DBE" w:rsidRDefault="00227915" w:rsidP="003908BA">
            <w:pPr>
              <w:jc w:val="center"/>
              <w:rPr>
                <w:szCs w:val="21"/>
              </w:rPr>
            </w:pPr>
            <w:r w:rsidRPr="009D5DBE">
              <w:rPr>
                <w:szCs w:val="21"/>
              </w:rPr>
              <w:t>27.0%</w:t>
            </w:r>
          </w:p>
        </w:tc>
        <w:tc>
          <w:tcPr>
            <w:tcW w:w="1590" w:type="dxa"/>
            <w:shd w:val="clear" w:color="auto" w:fill="auto"/>
            <w:vAlign w:val="center"/>
            <w:hideMark/>
          </w:tcPr>
          <w:p w14:paraId="714C6F2C" w14:textId="77777777" w:rsidR="00227915" w:rsidRPr="009D5DBE" w:rsidRDefault="00227915" w:rsidP="003908BA">
            <w:pPr>
              <w:jc w:val="center"/>
              <w:rPr>
                <w:szCs w:val="21"/>
              </w:rPr>
            </w:pPr>
            <w:r w:rsidRPr="009D5DBE">
              <w:rPr>
                <w:szCs w:val="21"/>
              </w:rPr>
              <w:t>25.9%</w:t>
            </w:r>
          </w:p>
        </w:tc>
        <w:tc>
          <w:tcPr>
            <w:tcW w:w="1590" w:type="dxa"/>
            <w:shd w:val="clear" w:color="auto" w:fill="auto"/>
            <w:vAlign w:val="center"/>
          </w:tcPr>
          <w:p w14:paraId="1C51DC94" w14:textId="77777777" w:rsidR="00227915" w:rsidRPr="009D5DBE" w:rsidRDefault="00227915" w:rsidP="003908BA">
            <w:pPr>
              <w:jc w:val="center"/>
              <w:rPr>
                <w:szCs w:val="21"/>
              </w:rPr>
            </w:pPr>
            <w:r w:rsidRPr="009D5DBE">
              <w:rPr>
                <w:szCs w:val="21"/>
              </w:rPr>
              <w:t>25.5%</w:t>
            </w:r>
          </w:p>
        </w:tc>
      </w:tr>
      <w:tr w:rsidR="00227915" w:rsidRPr="009D5DBE" w14:paraId="1C54EB94" w14:textId="77777777" w:rsidTr="009670B5">
        <w:trPr>
          <w:cantSplit/>
        </w:trPr>
        <w:tc>
          <w:tcPr>
            <w:tcW w:w="5130" w:type="dxa"/>
            <w:vAlign w:val="center"/>
            <w:hideMark/>
          </w:tcPr>
          <w:p w14:paraId="75F5FCE1" w14:textId="77777777" w:rsidR="00227915" w:rsidRPr="009D5DBE" w:rsidRDefault="00227915" w:rsidP="003908BA">
            <w:pPr>
              <w:rPr>
                <w:szCs w:val="21"/>
              </w:rPr>
            </w:pPr>
            <w:r w:rsidRPr="009D5DBE">
              <w:rPr>
                <w:szCs w:val="21"/>
              </w:rPr>
              <w:t xml:space="preserve">All other (e.g. HSN, self-pay, </w:t>
            </w:r>
            <w:proofErr w:type="spellStart"/>
            <w:r w:rsidRPr="009D5DBE">
              <w:rPr>
                <w:szCs w:val="21"/>
              </w:rPr>
              <w:t>TriCare</w:t>
            </w:r>
            <w:proofErr w:type="spellEnd"/>
            <w:r w:rsidRPr="009D5DBE">
              <w:rPr>
                <w:szCs w:val="21"/>
              </w:rPr>
              <w:t>)</w:t>
            </w:r>
          </w:p>
        </w:tc>
        <w:tc>
          <w:tcPr>
            <w:tcW w:w="1590" w:type="dxa"/>
            <w:shd w:val="clear" w:color="auto" w:fill="auto"/>
            <w:vAlign w:val="center"/>
            <w:hideMark/>
          </w:tcPr>
          <w:p w14:paraId="78F33BFF" w14:textId="77777777" w:rsidR="00227915" w:rsidRPr="009D5DBE" w:rsidRDefault="00227915" w:rsidP="003908BA">
            <w:pPr>
              <w:jc w:val="center"/>
              <w:rPr>
                <w:szCs w:val="21"/>
              </w:rPr>
            </w:pPr>
            <w:r w:rsidRPr="009D5DBE">
              <w:rPr>
                <w:szCs w:val="21"/>
              </w:rPr>
              <w:t>3.6%</w:t>
            </w:r>
          </w:p>
        </w:tc>
        <w:tc>
          <w:tcPr>
            <w:tcW w:w="1590" w:type="dxa"/>
            <w:shd w:val="clear" w:color="auto" w:fill="auto"/>
            <w:vAlign w:val="center"/>
            <w:hideMark/>
          </w:tcPr>
          <w:p w14:paraId="26519402" w14:textId="77777777" w:rsidR="00227915" w:rsidRPr="009D5DBE" w:rsidRDefault="00227915" w:rsidP="003908BA">
            <w:pPr>
              <w:jc w:val="center"/>
              <w:rPr>
                <w:szCs w:val="21"/>
              </w:rPr>
            </w:pPr>
            <w:r w:rsidRPr="009D5DBE">
              <w:rPr>
                <w:szCs w:val="21"/>
              </w:rPr>
              <w:t>3.4%</w:t>
            </w:r>
          </w:p>
        </w:tc>
        <w:tc>
          <w:tcPr>
            <w:tcW w:w="1590" w:type="dxa"/>
            <w:shd w:val="clear" w:color="auto" w:fill="auto"/>
            <w:vAlign w:val="center"/>
          </w:tcPr>
          <w:p w14:paraId="22A7D9A2" w14:textId="77777777" w:rsidR="00227915" w:rsidRPr="009D5DBE" w:rsidRDefault="00227915" w:rsidP="003908BA">
            <w:pPr>
              <w:jc w:val="center"/>
              <w:rPr>
                <w:szCs w:val="21"/>
              </w:rPr>
            </w:pPr>
            <w:r w:rsidRPr="009D5DBE">
              <w:rPr>
                <w:szCs w:val="21"/>
              </w:rPr>
              <w:t>4.1%</w:t>
            </w:r>
          </w:p>
        </w:tc>
      </w:tr>
      <w:tr w:rsidR="00227915" w:rsidRPr="009D5DBE" w14:paraId="3F8FA974" w14:textId="77777777" w:rsidTr="009670B5">
        <w:trPr>
          <w:cantSplit/>
        </w:trPr>
        <w:tc>
          <w:tcPr>
            <w:tcW w:w="5130" w:type="dxa"/>
            <w:vAlign w:val="center"/>
            <w:hideMark/>
          </w:tcPr>
          <w:p w14:paraId="00DE4A70" w14:textId="77777777" w:rsidR="00227915" w:rsidRPr="009D5DBE" w:rsidRDefault="00227915" w:rsidP="003908BA">
            <w:pPr>
              <w:rPr>
                <w:b/>
                <w:bCs/>
                <w:szCs w:val="21"/>
              </w:rPr>
            </w:pPr>
            <w:r w:rsidRPr="009D5DBE">
              <w:rPr>
                <w:b/>
                <w:bCs/>
                <w:szCs w:val="21"/>
              </w:rPr>
              <w:t>Total</w:t>
            </w:r>
          </w:p>
        </w:tc>
        <w:tc>
          <w:tcPr>
            <w:tcW w:w="1590" w:type="dxa"/>
            <w:shd w:val="clear" w:color="auto" w:fill="auto"/>
            <w:vAlign w:val="center"/>
            <w:hideMark/>
          </w:tcPr>
          <w:p w14:paraId="6ADA4A9B" w14:textId="77777777" w:rsidR="00227915" w:rsidRPr="009D5DBE" w:rsidRDefault="00227915" w:rsidP="003908BA">
            <w:pPr>
              <w:jc w:val="center"/>
              <w:rPr>
                <w:b/>
                <w:bCs/>
                <w:szCs w:val="21"/>
              </w:rPr>
            </w:pPr>
            <w:r w:rsidRPr="009D5DBE">
              <w:rPr>
                <w:b/>
                <w:bCs/>
                <w:szCs w:val="21"/>
              </w:rPr>
              <w:t>100.0%</w:t>
            </w:r>
          </w:p>
        </w:tc>
        <w:tc>
          <w:tcPr>
            <w:tcW w:w="1590" w:type="dxa"/>
            <w:shd w:val="clear" w:color="auto" w:fill="auto"/>
            <w:vAlign w:val="center"/>
            <w:hideMark/>
          </w:tcPr>
          <w:p w14:paraId="536D04AF" w14:textId="77777777" w:rsidR="00227915" w:rsidRPr="009D5DBE" w:rsidRDefault="00227915" w:rsidP="003908BA">
            <w:pPr>
              <w:jc w:val="center"/>
              <w:rPr>
                <w:b/>
                <w:bCs/>
                <w:szCs w:val="21"/>
              </w:rPr>
            </w:pPr>
            <w:r w:rsidRPr="009D5DBE">
              <w:rPr>
                <w:b/>
                <w:bCs/>
                <w:szCs w:val="21"/>
              </w:rPr>
              <w:t>100.0%</w:t>
            </w:r>
          </w:p>
        </w:tc>
        <w:tc>
          <w:tcPr>
            <w:tcW w:w="1590" w:type="dxa"/>
            <w:shd w:val="clear" w:color="auto" w:fill="auto"/>
            <w:vAlign w:val="center"/>
          </w:tcPr>
          <w:p w14:paraId="18599401" w14:textId="77777777" w:rsidR="00227915" w:rsidRPr="009D5DBE" w:rsidRDefault="00227915" w:rsidP="003908BA">
            <w:pPr>
              <w:jc w:val="center"/>
              <w:rPr>
                <w:szCs w:val="21"/>
              </w:rPr>
            </w:pPr>
            <w:r w:rsidRPr="009D5DBE">
              <w:rPr>
                <w:b/>
                <w:bCs/>
                <w:szCs w:val="21"/>
              </w:rPr>
              <w:t>100.0%</w:t>
            </w:r>
          </w:p>
        </w:tc>
      </w:tr>
    </w:tbl>
    <w:p w14:paraId="05649EBC" w14:textId="77777777" w:rsidR="00227915" w:rsidRPr="00231FC7" w:rsidRDefault="00227915" w:rsidP="00231FC7">
      <w:pPr>
        <w:rPr>
          <w:rFonts w:eastAsia="Calibri"/>
        </w:rPr>
      </w:pPr>
    </w:p>
    <w:p w14:paraId="72B4D83A" w14:textId="62806007" w:rsidR="00227915" w:rsidRPr="009D5DBE" w:rsidRDefault="00227915" w:rsidP="00231FC7">
      <w:pPr>
        <w:pStyle w:val="HBsl"/>
        <w:rPr>
          <w:rFonts w:eastAsia="Calibri"/>
        </w:rPr>
      </w:pPr>
      <w:r w:rsidRPr="009D5DBE">
        <w:rPr>
          <w:rFonts w:eastAsia="Calibri"/>
        </w:rPr>
        <w:t xml:space="preserve">Marlborough Hospital </w:t>
      </w:r>
    </w:p>
    <w:p w14:paraId="1ED8126C" w14:textId="6D3BF32F" w:rsidR="00227915" w:rsidRPr="009D5DBE" w:rsidRDefault="00227915" w:rsidP="00231FC7">
      <w:pPr>
        <w:pStyle w:val="HBblj"/>
        <w:rPr>
          <w:rFonts w:eastAsia="Calibri"/>
        </w:rPr>
      </w:pPr>
      <w:bookmarkStart w:id="1" w:name="_Hlk188022248"/>
      <w:r w:rsidRPr="009D5DBE">
        <w:rPr>
          <w:rFonts w:eastAsia="Calibri"/>
        </w:rPr>
        <w:t>Marlborough Hospital</w:t>
      </w:r>
      <w:r w:rsidR="002B5CB3" w:rsidRPr="009D5DBE">
        <w:rPr>
          <w:rFonts w:eastAsia="Calibri"/>
        </w:rPr>
        <w:t>’s</w:t>
      </w:r>
      <w:r w:rsidRPr="009D5DBE">
        <w:rPr>
          <w:rFonts w:eastAsia="Calibri"/>
        </w:rPr>
        <w:t xml:space="preserve"> service area </w:t>
      </w:r>
      <w:r w:rsidR="006C3A0F">
        <w:rPr>
          <w:rFonts w:eastAsia="Calibri"/>
        </w:rPr>
        <w:t xml:space="preserve">primarily </w:t>
      </w:r>
      <w:r w:rsidRPr="009D5DBE">
        <w:rPr>
          <w:rFonts w:eastAsia="Calibri"/>
        </w:rPr>
        <w:t xml:space="preserve">encompasses Middlesex County and serves the </w:t>
      </w:r>
      <w:r w:rsidR="006C3A0F">
        <w:rPr>
          <w:rFonts w:eastAsia="Calibri"/>
        </w:rPr>
        <w:t xml:space="preserve">residents of the </w:t>
      </w:r>
      <w:r w:rsidRPr="009D5DBE">
        <w:rPr>
          <w:rFonts w:eastAsia="Calibri"/>
        </w:rPr>
        <w:t xml:space="preserve">Massachusetts MetroWest region which consists of cities and towns that span east to west from Framingham to </w:t>
      </w:r>
      <w:r w:rsidR="00973C0F" w:rsidRPr="009D5DBE">
        <w:rPr>
          <w:rFonts w:eastAsia="Calibri"/>
        </w:rPr>
        <w:t>Shrewsbury</w:t>
      </w:r>
      <w:r w:rsidR="00B2226D">
        <w:rPr>
          <w:rFonts w:eastAsia="Calibri"/>
        </w:rPr>
        <w:t>,</w:t>
      </w:r>
      <w:r w:rsidRPr="009D5DBE">
        <w:rPr>
          <w:rFonts w:eastAsia="Calibri"/>
        </w:rPr>
        <w:t xml:space="preserve"> and north to south from Bolton to Hopkinton.  </w:t>
      </w:r>
      <w:bookmarkStart w:id="2" w:name="_Hlk188021188"/>
      <w:r w:rsidRPr="009D5DBE">
        <w:rPr>
          <w:rFonts w:eastAsia="Calibri"/>
        </w:rPr>
        <w:t xml:space="preserve">These four cities and towns as well as cities and towns that fall inside the radius they make up, such as Marlborough, Hudson, Northborough, Southborough, Stow, Berlin, Sudbury, </w:t>
      </w:r>
      <w:r w:rsidR="006C3A0F">
        <w:rPr>
          <w:rFonts w:eastAsia="Calibri"/>
        </w:rPr>
        <w:t xml:space="preserve">and </w:t>
      </w:r>
      <w:r w:rsidRPr="009D5DBE">
        <w:rPr>
          <w:rFonts w:eastAsia="Calibri"/>
        </w:rPr>
        <w:t>Westborough</w:t>
      </w:r>
      <w:r w:rsidR="00B2226D">
        <w:rPr>
          <w:rFonts w:eastAsia="Calibri"/>
        </w:rPr>
        <w:t>,</w:t>
      </w:r>
      <w:r w:rsidRPr="009D5DBE">
        <w:rPr>
          <w:rFonts w:eastAsia="Calibri"/>
        </w:rPr>
        <w:t xml:space="preserve"> have </w:t>
      </w:r>
      <w:r w:rsidR="002B5CB3" w:rsidRPr="009D5DBE">
        <w:rPr>
          <w:rFonts w:eastAsia="Calibri"/>
        </w:rPr>
        <w:t xml:space="preserve">an </w:t>
      </w:r>
      <w:r w:rsidRPr="009D5DBE">
        <w:rPr>
          <w:rFonts w:eastAsia="Calibri"/>
        </w:rPr>
        <w:t>aggregate population that exceed</w:t>
      </w:r>
      <w:r w:rsidR="002B5CB3" w:rsidRPr="009D5DBE">
        <w:rPr>
          <w:rFonts w:eastAsia="Calibri"/>
        </w:rPr>
        <w:t>s</w:t>
      </w:r>
      <w:r w:rsidRPr="009D5DBE">
        <w:rPr>
          <w:rFonts w:eastAsia="Calibri"/>
        </w:rPr>
        <w:t xml:space="preserve"> 2</w:t>
      </w:r>
      <w:r w:rsidR="00973C0F" w:rsidRPr="009D5DBE">
        <w:rPr>
          <w:rFonts w:eastAsia="Calibri"/>
        </w:rPr>
        <w:t>65</w:t>
      </w:r>
      <w:r w:rsidRPr="009D5DBE">
        <w:rPr>
          <w:rFonts w:eastAsia="Calibri"/>
        </w:rPr>
        <w:t>,000</w:t>
      </w:r>
      <w:bookmarkEnd w:id="2"/>
      <w:r w:rsidR="00D01679" w:rsidRPr="009D5DBE">
        <w:rPr>
          <w:rFonts w:eastAsia="Calibri"/>
        </w:rPr>
        <w:t xml:space="preserve"> residents.</w:t>
      </w:r>
    </w:p>
    <w:bookmarkEnd w:id="1"/>
    <w:p w14:paraId="5FEB886F" w14:textId="23072D70" w:rsidR="00CC096F" w:rsidRPr="009D5DBE" w:rsidRDefault="00227915" w:rsidP="00227915">
      <w:pPr>
        <w:suppressAutoHyphens w:val="0"/>
        <w:spacing w:after="240"/>
        <w:jc w:val="both"/>
        <w:rPr>
          <w:rFonts w:eastAsia="PMingLiU"/>
          <w:kern w:val="0"/>
          <w:szCs w:val="21"/>
          <w:u w:val="single"/>
          <w14:ligatures w14:val="none"/>
        </w:rPr>
      </w:pPr>
      <w:r w:rsidRPr="009D5DBE">
        <w:rPr>
          <w:rFonts w:eastAsia="Calibri"/>
        </w:rPr>
        <w:t xml:space="preserve">As reflected in the table below, the MH patient panel is similar in certain respects to the overall </w:t>
      </w:r>
      <w:r w:rsidR="00104191" w:rsidRPr="009D5DBE">
        <w:rPr>
          <w:rFonts w:eastAsia="PMingLiU"/>
        </w:rPr>
        <w:t>UMass Memorial</w:t>
      </w:r>
      <w:r w:rsidRPr="009D5DBE">
        <w:rPr>
          <w:rFonts w:eastAsia="Calibri"/>
        </w:rPr>
        <w:t xml:space="preserve"> patient panel. Approximately 60% of the patients served by MH are female and approximately 40% are male, reflecting a patient panel skewing slightly more towards female than the </w:t>
      </w:r>
      <w:r w:rsidR="00104191" w:rsidRPr="009D5DBE">
        <w:rPr>
          <w:rFonts w:eastAsia="PMingLiU"/>
        </w:rPr>
        <w:t>UMass Memorial</w:t>
      </w:r>
      <w:r w:rsidRPr="009D5DBE">
        <w:rPr>
          <w:rFonts w:eastAsia="Calibri"/>
        </w:rPr>
        <w:t xml:space="preserve"> patient panel. A greater number of patients cared for by MH are age</w:t>
      </w:r>
      <w:r w:rsidR="002B5CB3" w:rsidRPr="009D5DBE">
        <w:rPr>
          <w:rFonts w:eastAsia="Calibri"/>
        </w:rPr>
        <w:t>s</w:t>
      </w:r>
      <w:r w:rsidRPr="009D5DBE">
        <w:rPr>
          <w:rFonts w:eastAsia="Calibri"/>
        </w:rPr>
        <w:t xml:space="preserve"> 18-64 (</w:t>
      </w:r>
      <w:r w:rsidR="00B8365D" w:rsidRPr="009D5DBE">
        <w:rPr>
          <w:rFonts w:eastAsia="Calibri"/>
        </w:rPr>
        <w:t xml:space="preserve">62% compared to </w:t>
      </w:r>
      <w:r w:rsidRPr="009D5DBE">
        <w:rPr>
          <w:rFonts w:eastAsia="Calibri"/>
        </w:rPr>
        <w:t xml:space="preserve">58%). Approximately 30% are age 65 and older and 8% are aged 0-17. </w:t>
      </w:r>
      <w:proofErr w:type="gramStart"/>
      <w:r w:rsidR="00B8365D" w:rsidRPr="009D5DBE">
        <w:rPr>
          <w:rFonts w:eastAsia="Calibri"/>
        </w:rPr>
        <w:t>The majority of</w:t>
      </w:r>
      <w:proofErr w:type="gramEnd"/>
      <w:r w:rsidR="00B8365D" w:rsidRPr="009D5DBE">
        <w:rPr>
          <w:rFonts w:eastAsia="Calibri"/>
        </w:rPr>
        <w:t xml:space="preserve"> patients at MH self-identify as </w:t>
      </w:r>
      <w:r w:rsidR="00B2226D">
        <w:rPr>
          <w:rFonts w:eastAsia="Calibri"/>
        </w:rPr>
        <w:t>W</w:t>
      </w:r>
      <w:r w:rsidR="00B2226D" w:rsidRPr="009D5DBE">
        <w:rPr>
          <w:rFonts w:eastAsia="Calibri"/>
        </w:rPr>
        <w:t xml:space="preserve">hite </w:t>
      </w:r>
      <w:r w:rsidRPr="009D5DBE">
        <w:rPr>
          <w:rFonts w:eastAsia="Calibri"/>
        </w:rPr>
        <w:t xml:space="preserve">(approximately 79%). </w:t>
      </w:r>
      <w:r w:rsidR="002B5CB3" w:rsidRPr="009D5DBE">
        <w:rPr>
          <w:rFonts w:eastAsia="Calibri"/>
        </w:rPr>
        <w:t xml:space="preserve">The remainder of the patient population is comprised as follows: 4% </w:t>
      </w:r>
      <w:r w:rsidRPr="009D5DBE">
        <w:rPr>
          <w:rFonts w:eastAsia="Calibri"/>
        </w:rPr>
        <w:t>Black or African American</w:t>
      </w:r>
      <w:r w:rsidR="002B5CB3" w:rsidRPr="009D5DBE">
        <w:rPr>
          <w:rFonts w:eastAsia="Calibri"/>
        </w:rPr>
        <w:t xml:space="preserve">, 3.5% </w:t>
      </w:r>
      <w:r w:rsidRPr="009D5DBE">
        <w:rPr>
          <w:rFonts w:eastAsia="Calibri"/>
        </w:rPr>
        <w:t>Asian</w:t>
      </w:r>
      <w:r w:rsidR="002B5CB3" w:rsidRPr="009D5DBE">
        <w:rPr>
          <w:rFonts w:eastAsia="Calibri"/>
        </w:rPr>
        <w:t xml:space="preserve">, 16% </w:t>
      </w:r>
      <w:r w:rsidRPr="009D5DBE">
        <w:rPr>
          <w:rFonts w:eastAsia="Calibri"/>
        </w:rPr>
        <w:t>Hispanic</w:t>
      </w:r>
      <w:r w:rsidR="002B5CB3" w:rsidRPr="009D5DBE">
        <w:rPr>
          <w:rFonts w:eastAsia="Calibri"/>
        </w:rPr>
        <w:t xml:space="preserve">, </w:t>
      </w:r>
      <w:r w:rsidRPr="009D5DBE">
        <w:rPr>
          <w:rFonts w:eastAsia="Calibri"/>
        </w:rPr>
        <w:t xml:space="preserve">and </w:t>
      </w:r>
      <w:r w:rsidR="002B5CB3" w:rsidRPr="009D5DBE">
        <w:rPr>
          <w:rFonts w:eastAsia="Calibri"/>
        </w:rPr>
        <w:t xml:space="preserve">0.2% </w:t>
      </w:r>
      <w:r w:rsidRPr="009D5DBE">
        <w:rPr>
          <w:rFonts w:eastAsia="Calibri"/>
        </w:rPr>
        <w:t xml:space="preserve">American Indian or Alaska Native. </w:t>
      </w:r>
      <w:proofErr w:type="gramStart"/>
      <w:r w:rsidR="002B5CB3" w:rsidRPr="009D5DBE">
        <w:rPr>
          <w:rFonts w:eastAsia="Calibri"/>
        </w:rPr>
        <w:t>The vast majority</w:t>
      </w:r>
      <w:r w:rsidRPr="009D5DBE">
        <w:rPr>
          <w:rFonts w:eastAsia="Calibri"/>
        </w:rPr>
        <w:t xml:space="preserve"> of</w:t>
      </w:r>
      <w:proofErr w:type="gramEnd"/>
      <w:r w:rsidRPr="009D5DBE">
        <w:rPr>
          <w:rFonts w:eastAsia="Calibri"/>
        </w:rPr>
        <w:t xml:space="preserve"> MH’s patients are from Central Massachusetts. </w:t>
      </w:r>
    </w:p>
    <w:p w14:paraId="69DDF997" w14:textId="77777777" w:rsidR="00F22072" w:rsidRPr="00231FC7" w:rsidRDefault="00F22072" w:rsidP="00231FC7">
      <w:pPr>
        <w:rPr>
          <w:rFonts w:eastAsia="PMingLiU"/>
        </w:rPr>
        <w:sectPr w:rsidR="00F22072" w:rsidRPr="00231FC7">
          <w:pgSz w:w="12240" w:h="15840"/>
          <w:pgMar w:top="1440" w:right="1440" w:bottom="1440" w:left="1440" w:header="720" w:footer="720" w:gutter="0"/>
          <w:cols w:space="720"/>
          <w:docGrid w:linePitch="360"/>
        </w:sectPr>
      </w:pPr>
    </w:p>
    <w:tbl>
      <w:tblPr>
        <w:tblW w:w="13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60"/>
        <w:gridCol w:w="1365"/>
        <w:gridCol w:w="1365"/>
        <w:gridCol w:w="1365"/>
        <w:gridCol w:w="1365"/>
        <w:gridCol w:w="1365"/>
        <w:gridCol w:w="1365"/>
      </w:tblGrid>
      <w:tr w:rsidR="00227915" w:rsidRPr="009D5DBE" w14:paraId="58AB0884" w14:textId="77777777" w:rsidTr="009D5DBE">
        <w:trPr>
          <w:cantSplit/>
          <w:trHeight w:val="272"/>
          <w:tblHeader/>
        </w:trPr>
        <w:tc>
          <w:tcPr>
            <w:tcW w:w="4860" w:type="dxa"/>
            <w:shd w:val="clear" w:color="auto" w:fill="D9D9D9" w:themeFill="background1" w:themeFillShade="D9"/>
          </w:tcPr>
          <w:p w14:paraId="3BE20AF2" w14:textId="25C7BAFC" w:rsidR="00227915" w:rsidRPr="009D5DBE" w:rsidRDefault="009D5DBE" w:rsidP="00D01679">
            <w:pPr>
              <w:rPr>
                <w:b/>
                <w:bCs/>
                <w:szCs w:val="21"/>
              </w:rPr>
            </w:pPr>
            <w:r w:rsidRPr="009D5DBE">
              <w:rPr>
                <w:rFonts w:eastAsia="PMingLiU"/>
                <w:b/>
                <w:bCs/>
                <w:kern w:val="0"/>
                <w:szCs w:val="21"/>
                <w14:ligatures w14:val="none"/>
              </w:rPr>
              <w:lastRenderedPageBreak/>
              <w:t>Table 3: MH Patient Panel</w:t>
            </w:r>
          </w:p>
        </w:tc>
        <w:tc>
          <w:tcPr>
            <w:tcW w:w="1365" w:type="dxa"/>
            <w:shd w:val="clear" w:color="auto" w:fill="D9D9D9" w:themeFill="background1" w:themeFillShade="D9"/>
            <w:vAlign w:val="center"/>
          </w:tcPr>
          <w:p w14:paraId="69CABB1B" w14:textId="0DA89D23" w:rsidR="00227915" w:rsidRPr="009D5DBE" w:rsidRDefault="003B3A60" w:rsidP="00D01679">
            <w:pPr>
              <w:jc w:val="center"/>
              <w:rPr>
                <w:b/>
                <w:bCs/>
                <w:szCs w:val="21"/>
              </w:rPr>
            </w:pPr>
            <w:r w:rsidRPr="009D5DBE">
              <w:rPr>
                <w:b/>
                <w:bCs/>
                <w:szCs w:val="21"/>
              </w:rPr>
              <w:t xml:space="preserve">FY22 </w:t>
            </w:r>
            <w:r w:rsidR="00227915" w:rsidRPr="009D5DBE">
              <w:rPr>
                <w:b/>
                <w:bCs/>
                <w:szCs w:val="21"/>
              </w:rPr>
              <w:t>Count</w:t>
            </w:r>
          </w:p>
        </w:tc>
        <w:tc>
          <w:tcPr>
            <w:tcW w:w="1365" w:type="dxa"/>
            <w:shd w:val="clear" w:color="auto" w:fill="D9D9D9" w:themeFill="background1" w:themeFillShade="D9"/>
            <w:vAlign w:val="center"/>
          </w:tcPr>
          <w:p w14:paraId="2178E8CE" w14:textId="3A49436A" w:rsidR="00227915" w:rsidRPr="009D5DBE" w:rsidRDefault="003B3A60" w:rsidP="00D01679">
            <w:pPr>
              <w:jc w:val="center"/>
              <w:rPr>
                <w:b/>
                <w:bCs/>
                <w:szCs w:val="21"/>
              </w:rPr>
            </w:pPr>
            <w:r w:rsidRPr="009D5DBE">
              <w:rPr>
                <w:b/>
                <w:bCs/>
                <w:szCs w:val="21"/>
              </w:rPr>
              <w:t xml:space="preserve">FY22 </w:t>
            </w:r>
            <w:r w:rsidR="00227915" w:rsidRPr="009D5DBE">
              <w:rPr>
                <w:b/>
                <w:bCs/>
                <w:szCs w:val="21"/>
              </w:rPr>
              <w:t>%</w:t>
            </w:r>
          </w:p>
        </w:tc>
        <w:tc>
          <w:tcPr>
            <w:tcW w:w="1365" w:type="dxa"/>
            <w:shd w:val="clear" w:color="auto" w:fill="D9D9D9" w:themeFill="background1" w:themeFillShade="D9"/>
            <w:vAlign w:val="center"/>
          </w:tcPr>
          <w:p w14:paraId="3687F330" w14:textId="4C8C4021" w:rsidR="00227915" w:rsidRPr="009D5DBE" w:rsidRDefault="003B3A60" w:rsidP="00D01679">
            <w:pPr>
              <w:jc w:val="center"/>
              <w:rPr>
                <w:b/>
                <w:bCs/>
                <w:szCs w:val="21"/>
              </w:rPr>
            </w:pPr>
            <w:r w:rsidRPr="009D5DBE">
              <w:rPr>
                <w:b/>
                <w:bCs/>
                <w:szCs w:val="21"/>
              </w:rPr>
              <w:t xml:space="preserve">FY23 </w:t>
            </w:r>
            <w:r w:rsidR="00227915" w:rsidRPr="009D5DBE">
              <w:rPr>
                <w:b/>
                <w:bCs/>
                <w:szCs w:val="21"/>
              </w:rPr>
              <w:t>Count</w:t>
            </w:r>
          </w:p>
        </w:tc>
        <w:tc>
          <w:tcPr>
            <w:tcW w:w="1365" w:type="dxa"/>
            <w:shd w:val="clear" w:color="auto" w:fill="D9D9D9" w:themeFill="background1" w:themeFillShade="D9"/>
            <w:vAlign w:val="center"/>
          </w:tcPr>
          <w:p w14:paraId="188955CD" w14:textId="699DB949" w:rsidR="00227915" w:rsidRPr="009D5DBE" w:rsidRDefault="003B3A60" w:rsidP="00D01679">
            <w:pPr>
              <w:jc w:val="center"/>
              <w:rPr>
                <w:b/>
                <w:bCs/>
                <w:szCs w:val="21"/>
              </w:rPr>
            </w:pPr>
            <w:r w:rsidRPr="009D5DBE">
              <w:rPr>
                <w:b/>
                <w:bCs/>
                <w:szCs w:val="21"/>
              </w:rPr>
              <w:t xml:space="preserve">FY23 </w:t>
            </w:r>
            <w:r w:rsidR="00227915" w:rsidRPr="009D5DBE">
              <w:rPr>
                <w:b/>
                <w:bCs/>
                <w:szCs w:val="21"/>
              </w:rPr>
              <w:t>%</w:t>
            </w:r>
          </w:p>
        </w:tc>
        <w:tc>
          <w:tcPr>
            <w:tcW w:w="1365" w:type="dxa"/>
            <w:shd w:val="clear" w:color="auto" w:fill="D9D9D9" w:themeFill="background1" w:themeFillShade="D9"/>
            <w:vAlign w:val="center"/>
            <w:hideMark/>
          </w:tcPr>
          <w:p w14:paraId="67AD5962" w14:textId="734C5306" w:rsidR="00227915" w:rsidRPr="009D5DBE" w:rsidRDefault="003B3A60" w:rsidP="00D01679">
            <w:pPr>
              <w:jc w:val="center"/>
              <w:rPr>
                <w:b/>
                <w:bCs/>
                <w:szCs w:val="21"/>
              </w:rPr>
            </w:pPr>
            <w:r w:rsidRPr="009D5DBE">
              <w:rPr>
                <w:b/>
                <w:bCs/>
                <w:szCs w:val="21"/>
              </w:rPr>
              <w:t xml:space="preserve">FY24 </w:t>
            </w:r>
            <w:r w:rsidR="00227915" w:rsidRPr="009D5DBE">
              <w:rPr>
                <w:b/>
                <w:bCs/>
                <w:szCs w:val="21"/>
              </w:rPr>
              <w:t>Count</w:t>
            </w:r>
          </w:p>
        </w:tc>
        <w:tc>
          <w:tcPr>
            <w:tcW w:w="1365" w:type="dxa"/>
            <w:shd w:val="clear" w:color="auto" w:fill="D9D9D9" w:themeFill="background1" w:themeFillShade="D9"/>
            <w:vAlign w:val="center"/>
            <w:hideMark/>
          </w:tcPr>
          <w:p w14:paraId="004B027C" w14:textId="1AD46F77" w:rsidR="00227915" w:rsidRPr="009D5DBE" w:rsidRDefault="003B3A60" w:rsidP="00D01679">
            <w:pPr>
              <w:jc w:val="center"/>
              <w:rPr>
                <w:b/>
                <w:bCs/>
                <w:szCs w:val="21"/>
              </w:rPr>
            </w:pPr>
            <w:r w:rsidRPr="009D5DBE">
              <w:rPr>
                <w:b/>
                <w:bCs/>
                <w:szCs w:val="21"/>
              </w:rPr>
              <w:t xml:space="preserve">FY24 </w:t>
            </w:r>
            <w:r w:rsidR="00227915" w:rsidRPr="009D5DBE">
              <w:rPr>
                <w:b/>
                <w:bCs/>
                <w:szCs w:val="21"/>
              </w:rPr>
              <w:t>%</w:t>
            </w:r>
          </w:p>
        </w:tc>
      </w:tr>
      <w:tr w:rsidR="00227915" w:rsidRPr="009D5DBE" w14:paraId="5748547A" w14:textId="77777777" w:rsidTr="00D01679">
        <w:trPr>
          <w:cantSplit/>
          <w:trHeight w:val="307"/>
        </w:trPr>
        <w:tc>
          <w:tcPr>
            <w:tcW w:w="4860" w:type="dxa"/>
            <w:vAlign w:val="center"/>
            <w:hideMark/>
          </w:tcPr>
          <w:p w14:paraId="59D1B75F" w14:textId="6966E844" w:rsidR="00227915" w:rsidRPr="009D5DBE" w:rsidRDefault="00352060" w:rsidP="00D01679">
            <w:pPr>
              <w:rPr>
                <w:szCs w:val="21"/>
              </w:rPr>
            </w:pPr>
            <w:r w:rsidRPr="009D5DBE">
              <w:rPr>
                <w:szCs w:val="21"/>
              </w:rPr>
              <w:t>Gender: Female</w:t>
            </w:r>
          </w:p>
        </w:tc>
        <w:tc>
          <w:tcPr>
            <w:tcW w:w="1365" w:type="dxa"/>
            <w:vAlign w:val="center"/>
          </w:tcPr>
          <w:p w14:paraId="5D74AF79" w14:textId="77777777" w:rsidR="00227915" w:rsidRPr="009D5DBE" w:rsidRDefault="00227915" w:rsidP="00D01679">
            <w:pPr>
              <w:jc w:val="center"/>
              <w:rPr>
                <w:szCs w:val="21"/>
              </w:rPr>
            </w:pPr>
            <w:r w:rsidRPr="009D5DBE">
              <w:rPr>
                <w:szCs w:val="21"/>
              </w:rPr>
              <w:t>24,668</w:t>
            </w:r>
          </w:p>
        </w:tc>
        <w:tc>
          <w:tcPr>
            <w:tcW w:w="1365" w:type="dxa"/>
            <w:vAlign w:val="center"/>
          </w:tcPr>
          <w:p w14:paraId="607C9E61" w14:textId="77777777" w:rsidR="00227915" w:rsidRPr="009D5DBE" w:rsidRDefault="00227915" w:rsidP="00D01679">
            <w:pPr>
              <w:jc w:val="center"/>
              <w:rPr>
                <w:szCs w:val="21"/>
              </w:rPr>
            </w:pPr>
            <w:r w:rsidRPr="009D5DBE">
              <w:rPr>
                <w:szCs w:val="21"/>
              </w:rPr>
              <w:t>60.2%</w:t>
            </w:r>
          </w:p>
        </w:tc>
        <w:tc>
          <w:tcPr>
            <w:tcW w:w="1365" w:type="dxa"/>
            <w:vAlign w:val="center"/>
          </w:tcPr>
          <w:p w14:paraId="27D4DEE2" w14:textId="77777777" w:rsidR="00227915" w:rsidRPr="009D5DBE" w:rsidRDefault="00227915" w:rsidP="00D01679">
            <w:pPr>
              <w:jc w:val="center"/>
              <w:rPr>
                <w:szCs w:val="21"/>
              </w:rPr>
            </w:pPr>
            <w:r w:rsidRPr="009D5DBE">
              <w:rPr>
                <w:szCs w:val="21"/>
              </w:rPr>
              <w:t>25,047</w:t>
            </w:r>
          </w:p>
        </w:tc>
        <w:tc>
          <w:tcPr>
            <w:tcW w:w="1365" w:type="dxa"/>
            <w:vAlign w:val="center"/>
          </w:tcPr>
          <w:p w14:paraId="2C77504E" w14:textId="77777777" w:rsidR="00227915" w:rsidRPr="009D5DBE" w:rsidRDefault="00227915" w:rsidP="00D01679">
            <w:pPr>
              <w:jc w:val="center"/>
              <w:rPr>
                <w:szCs w:val="21"/>
              </w:rPr>
            </w:pPr>
            <w:r w:rsidRPr="009D5DBE">
              <w:rPr>
                <w:szCs w:val="21"/>
              </w:rPr>
              <w:t>60.1%</w:t>
            </w:r>
          </w:p>
        </w:tc>
        <w:tc>
          <w:tcPr>
            <w:tcW w:w="1365" w:type="dxa"/>
            <w:vAlign w:val="center"/>
          </w:tcPr>
          <w:p w14:paraId="78508FC2" w14:textId="77777777" w:rsidR="00227915" w:rsidRPr="009D5DBE" w:rsidRDefault="00227915" w:rsidP="00D01679">
            <w:pPr>
              <w:jc w:val="center"/>
              <w:rPr>
                <w:szCs w:val="21"/>
              </w:rPr>
            </w:pPr>
            <w:r w:rsidRPr="009D5DBE">
              <w:rPr>
                <w:szCs w:val="21"/>
              </w:rPr>
              <w:t>25,830</w:t>
            </w:r>
          </w:p>
        </w:tc>
        <w:tc>
          <w:tcPr>
            <w:tcW w:w="1365" w:type="dxa"/>
            <w:vAlign w:val="center"/>
          </w:tcPr>
          <w:p w14:paraId="45A7F3FF" w14:textId="77777777" w:rsidR="00227915" w:rsidRPr="009D5DBE" w:rsidRDefault="00227915" w:rsidP="00D01679">
            <w:pPr>
              <w:jc w:val="center"/>
              <w:rPr>
                <w:szCs w:val="21"/>
              </w:rPr>
            </w:pPr>
            <w:r w:rsidRPr="009D5DBE">
              <w:rPr>
                <w:szCs w:val="21"/>
              </w:rPr>
              <w:t>60.0%</w:t>
            </w:r>
          </w:p>
        </w:tc>
      </w:tr>
      <w:tr w:rsidR="00227915" w:rsidRPr="009D5DBE" w14:paraId="3D3ED03D" w14:textId="77777777" w:rsidTr="00D01679">
        <w:trPr>
          <w:cantSplit/>
          <w:trHeight w:val="273"/>
        </w:trPr>
        <w:tc>
          <w:tcPr>
            <w:tcW w:w="4860" w:type="dxa"/>
            <w:vAlign w:val="center"/>
            <w:hideMark/>
          </w:tcPr>
          <w:p w14:paraId="0CDDBA2B" w14:textId="2BE9711D" w:rsidR="00227915" w:rsidRPr="009D5DBE" w:rsidRDefault="00352060" w:rsidP="00D01679">
            <w:pPr>
              <w:rPr>
                <w:szCs w:val="21"/>
              </w:rPr>
            </w:pPr>
            <w:r w:rsidRPr="009D5DBE">
              <w:rPr>
                <w:szCs w:val="21"/>
              </w:rPr>
              <w:t>Gender: Male</w:t>
            </w:r>
          </w:p>
        </w:tc>
        <w:tc>
          <w:tcPr>
            <w:tcW w:w="1365" w:type="dxa"/>
            <w:vAlign w:val="center"/>
          </w:tcPr>
          <w:p w14:paraId="313BC20A" w14:textId="77777777" w:rsidR="00227915" w:rsidRPr="009D5DBE" w:rsidRDefault="00227915" w:rsidP="00D01679">
            <w:pPr>
              <w:jc w:val="center"/>
              <w:rPr>
                <w:szCs w:val="21"/>
              </w:rPr>
            </w:pPr>
            <w:r w:rsidRPr="009D5DBE">
              <w:rPr>
                <w:szCs w:val="21"/>
              </w:rPr>
              <w:t>16,268</w:t>
            </w:r>
          </w:p>
        </w:tc>
        <w:tc>
          <w:tcPr>
            <w:tcW w:w="1365" w:type="dxa"/>
            <w:vAlign w:val="center"/>
          </w:tcPr>
          <w:p w14:paraId="5C8FB8DF" w14:textId="77777777" w:rsidR="00227915" w:rsidRPr="009D5DBE" w:rsidRDefault="00227915" w:rsidP="00D01679">
            <w:pPr>
              <w:jc w:val="center"/>
              <w:rPr>
                <w:szCs w:val="21"/>
              </w:rPr>
            </w:pPr>
            <w:r w:rsidRPr="009D5DBE">
              <w:rPr>
                <w:szCs w:val="21"/>
              </w:rPr>
              <w:t>39.7%</w:t>
            </w:r>
          </w:p>
        </w:tc>
        <w:tc>
          <w:tcPr>
            <w:tcW w:w="1365" w:type="dxa"/>
            <w:vAlign w:val="center"/>
          </w:tcPr>
          <w:p w14:paraId="10B4288B" w14:textId="77777777" w:rsidR="00227915" w:rsidRPr="009D5DBE" w:rsidRDefault="00227915" w:rsidP="00D01679">
            <w:pPr>
              <w:jc w:val="center"/>
              <w:rPr>
                <w:szCs w:val="21"/>
              </w:rPr>
            </w:pPr>
            <w:r w:rsidRPr="009D5DBE">
              <w:rPr>
                <w:szCs w:val="21"/>
              </w:rPr>
              <w:t>16,577</w:t>
            </w:r>
          </w:p>
        </w:tc>
        <w:tc>
          <w:tcPr>
            <w:tcW w:w="1365" w:type="dxa"/>
            <w:vAlign w:val="center"/>
          </w:tcPr>
          <w:p w14:paraId="6A8414B1" w14:textId="77777777" w:rsidR="00227915" w:rsidRPr="009D5DBE" w:rsidRDefault="00227915" w:rsidP="00D01679">
            <w:pPr>
              <w:jc w:val="center"/>
              <w:rPr>
                <w:szCs w:val="21"/>
              </w:rPr>
            </w:pPr>
            <w:r w:rsidRPr="009D5DBE">
              <w:rPr>
                <w:szCs w:val="21"/>
              </w:rPr>
              <w:t>39.8%</w:t>
            </w:r>
          </w:p>
        </w:tc>
        <w:tc>
          <w:tcPr>
            <w:tcW w:w="1365" w:type="dxa"/>
            <w:vAlign w:val="center"/>
          </w:tcPr>
          <w:p w14:paraId="681AACFB" w14:textId="77777777" w:rsidR="00227915" w:rsidRPr="009D5DBE" w:rsidRDefault="00227915" w:rsidP="00D01679">
            <w:pPr>
              <w:jc w:val="center"/>
              <w:rPr>
                <w:szCs w:val="21"/>
              </w:rPr>
            </w:pPr>
            <w:r w:rsidRPr="009D5DBE">
              <w:rPr>
                <w:szCs w:val="21"/>
              </w:rPr>
              <w:t>17,157</w:t>
            </w:r>
          </w:p>
        </w:tc>
        <w:tc>
          <w:tcPr>
            <w:tcW w:w="1365" w:type="dxa"/>
            <w:vAlign w:val="center"/>
          </w:tcPr>
          <w:p w14:paraId="626AFB7D" w14:textId="77777777" w:rsidR="00227915" w:rsidRPr="009D5DBE" w:rsidRDefault="00227915" w:rsidP="00D01679">
            <w:pPr>
              <w:jc w:val="center"/>
              <w:rPr>
                <w:szCs w:val="21"/>
              </w:rPr>
            </w:pPr>
            <w:r w:rsidRPr="009D5DBE">
              <w:rPr>
                <w:szCs w:val="21"/>
              </w:rPr>
              <w:t>39.9%</w:t>
            </w:r>
          </w:p>
        </w:tc>
      </w:tr>
      <w:tr w:rsidR="00227915" w:rsidRPr="009D5DBE" w14:paraId="1C69D054" w14:textId="77777777" w:rsidTr="00D01679">
        <w:trPr>
          <w:cantSplit/>
          <w:trHeight w:val="274"/>
        </w:trPr>
        <w:tc>
          <w:tcPr>
            <w:tcW w:w="4860" w:type="dxa"/>
            <w:vAlign w:val="center"/>
            <w:hideMark/>
          </w:tcPr>
          <w:p w14:paraId="2DC7883B" w14:textId="35A53B67" w:rsidR="00227915" w:rsidRPr="009D5DBE" w:rsidRDefault="00352060" w:rsidP="00D01679">
            <w:pPr>
              <w:rPr>
                <w:szCs w:val="21"/>
              </w:rPr>
            </w:pPr>
            <w:r w:rsidRPr="009D5DBE">
              <w:rPr>
                <w:szCs w:val="21"/>
              </w:rPr>
              <w:t>Gender: Unknown</w:t>
            </w:r>
          </w:p>
        </w:tc>
        <w:tc>
          <w:tcPr>
            <w:tcW w:w="1365" w:type="dxa"/>
            <w:vAlign w:val="center"/>
          </w:tcPr>
          <w:p w14:paraId="5AC211A1" w14:textId="77777777" w:rsidR="00227915" w:rsidRPr="009D5DBE" w:rsidRDefault="00227915" w:rsidP="00D01679">
            <w:pPr>
              <w:jc w:val="center"/>
              <w:rPr>
                <w:szCs w:val="21"/>
              </w:rPr>
            </w:pPr>
            <w:r w:rsidRPr="009D5DBE">
              <w:rPr>
                <w:szCs w:val="21"/>
              </w:rPr>
              <w:t>47</w:t>
            </w:r>
          </w:p>
        </w:tc>
        <w:tc>
          <w:tcPr>
            <w:tcW w:w="1365" w:type="dxa"/>
            <w:vAlign w:val="center"/>
          </w:tcPr>
          <w:p w14:paraId="622B314A" w14:textId="77777777" w:rsidR="00227915" w:rsidRPr="009D5DBE" w:rsidRDefault="00227915" w:rsidP="00D01679">
            <w:pPr>
              <w:jc w:val="center"/>
              <w:rPr>
                <w:szCs w:val="21"/>
              </w:rPr>
            </w:pPr>
            <w:r w:rsidRPr="009D5DBE">
              <w:rPr>
                <w:szCs w:val="21"/>
              </w:rPr>
              <w:t>0.1%</w:t>
            </w:r>
          </w:p>
        </w:tc>
        <w:tc>
          <w:tcPr>
            <w:tcW w:w="1365" w:type="dxa"/>
            <w:vAlign w:val="center"/>
          </w:tcPr>
          <w:p w14:paraId="2E0EE1FD" w14:textId="77777777" w:rsidR="00227915" w:rsidRPr="009D5DBE" w:rsidRDefault="00227915" w:rsidP="00D01679">
            <w:pPr>
              <w:jc w:val="center"/>
              <w:rPr>
                <w:szCs w:val="21"/>
              </w:rPr>
            </w:pPr>
            <w:r w:rsidRPr="009D5DBE">
              <w:rPr>
                <w:szCs w:val="21"/>
              </w:rPr>
              <w:t>45</w:t>
            </w:r>
          </w:p>
        </w:tc>
        <w:tc>
          <w:tcPr>
            <w:tcW w:w="1365" w:type="dxa"/>
            <w:vAlign w:val="center"/>
          </w:tcPr>
          <w:p w14:paraId="0C00754A" w14:textId="77777777" w:rsidR="00227915" w:rsidRPr="009D5DBE" w:rsidRDefault="00227915" w:rsidP="00D01679">
            <w:pPr>
              <w:jc w:val="center"/>
              <w:rPr>
                <w:szCs w:val="21"/>
              </w:rPr>
            </w:pPr>
            <w:r w:rsidRPr="009D5DBE">
              <w:rPr>
                <w:szCs w:val="21"/>
              </w:rPr>
              <w:t>0.1%</w:t>
            </w:r>
          </w:p>
        </w:tc>
        <w:tc>
          <w:tcPr>
            <w:tcW w:w="1365" w:type="dxa"/>
            <w:vAlign w:val="center"/>
          </w:tcPr>
          <w:p w14:paraId="08A04B36" w14:textId="77777777" w:rsidR="00227915" w:rsidRPr="009D5DBE" w:rsidRDefault="00227915" w:rsidP="00D01679">
            <w:pPr>
              <w:jc w:val="center"/>
              <w:rPr>
                <w:szCs w:val="21"/>
              </w:rPr>
            </w:pPr>
            <w:r w:rsidRPr="009D5DBE">
              <w:rPr>
                <w:szCs w:val="21"/>
              </w:rPr>
              <w:t>55</w:t>
            </w:r>
          </w:p>
        </w:tc>
        <w:tc>
          <w:tcPr>
            <w:tcW w:w="1365" w:type="dxa"/>
            <w:vAlign w:val="center"/>
          </w:tcPr>
          <w:p w14:paraId="08721A5B" w14:textId="77777777" w:rsidR="00227915" w:rsidRPr="009D5DBE" w:rsidRDefault="00227915" w:rsidP="00D01679">
            <w:pPr>
              <w:jc w:val="center"/>
              <w:rPr>
                <w:szCs w:val="21"/>
              </w:rPr>
            </w:pPr>
            <w:r w:rsidRPr="009D5DBE">
              <w:rPr>
                <w:szCs w:val="21"/>
              </w:rPr>
              <w:t>0.1%</w:t>
            </w:r>
          </w:p>
        </w:tc>
      </w:tr>
      <w:tr w:rsidR="00227915" w:rsidRPr="009D5DBE" w14:paraId="17BCE217" w14:textId="77777777" w:rsidTr="00D01679">
        <w:trPr>
          <w:cantSplit/>
          <w:trHeight w:val="309"/>
        </w:trPr>
        <w:tc>
          <w:tcPr>
            <w:tcW w:w="4860" w:type="dxa"/>
            <w:vAlign w:val="center"/>
            <w:hideMark/>
          </w:tcPr>
          <w:p w14:paraId="1388CD04" w14:textId="4EB5B7FE" w:rsidR="00227915" w:rsidRPr="009D5DBE" w:rsidRDefault="00CC096F" w:rsidP="00D01679">
            <w:pPr>
              <w:rPr>
                <w:szCs w:val="21"/>
              </w:rPr>
            </w:pPr>
            <w:r w:rsidRPr="009D5DBE">
              <w:rPr>
                <w:szCs w:val="21"/>
              </w:rPr>
              <w:t xml:space="preserve">Age: </w:t>
            </w:r>
            <w:r w:rsidR="00227915" w:rsidRPr="009D5DBE">
              <w:rPr>
                <w:szCs w:val="21"/>
              </w:rPr>
              <w:t>0-17</w:t>
            </w:r>
          </w:p>
        </w:tc>
        <w:tc>
          <w:tcPr>
            <w:tcW w:w="1365" w:type="dxa"/>
            <w:vAlign w:val="center"/>
          </w:tcPr>
          <w:p w14:paraId="022DC1BD" w14:textId="77777777" w:rsidR="00227915" w:rsidRPr="009D5DBE" w:rsidRDefault="00227915" w:rsidP="00D01679">
            <w:pPr>
              <w:jc w:val="center"/>
              <w:rPr>
                <w:szCs w:val="21"/>
              </w:rPr>
            </w:pPr>
            <w:r w:rsidRPr="009D5DBE">
              <w:rPr>
                <w:szCs w:val="21"/>
              </w:rPr>
              <w:t>3,408</w:t>
            </w:r>
          </w:p>
        </w:tc>
        <w:tc>
          <w:tcPr>
            <w:tcW w:w="1365" w:type="dxa"/>
            <w:vAlign w:val="center"/>
          </w:tcPr>
          <w:p w14:paraId="306E1460" w14:textId="77777777" w:rsidR="00227915" w:rsidRPr="009D5DBE" w:rsidRDefault="00227915" w:rsidP="00D01679">
            <w:pPr>
              <w:jc w:val="center"/>
              <w:rPr>
                <w:szCs w:val="21"/>
              </w:rPr>
            </w:pPr>
            <w:r w:rsidRPr="009D5DBE">
              <w:rPr>
                <w:szCs w:val="21"/>
              </w:rPr>
              <w:t>8.3%</w:t>
            </w:r>
          </w:p>
        </w:tc>
        <w:tc>
          <w:tcPr>
            <w:tcW w:w="1365" w:type="dxa"/>
            <w:vAlign w:val="center"/>
          </w:tcPr>
          <w:p w14:paraId="0A1080DF" w14:textId="77777777" w:rsidR="00227915" w:rsidRPr="009D5DBE" w:rsidRDefault="00227915" w:rsidP="00D01679">
            <w:pPr>
              <w:jc w:val="center"/>
              <w:rPr>
                <w:szCs w:val="21"/>
              </w:rPr>
            </w:pPr>
            <w:r w:rsidRPr="009D5DBE">
              <w:rPr>
                <w:szCs w:val="21"/>
              </w:rPr>
              <w:t>3,499</w:t>
            </w:r>
          </w:p>
        </w:tc>
        <w:tc>
          <w:tcPr>
            <w:tcW w:w="1365" w:type="dxa"/>
            <w:vAlign w:val="center"/>
          </w:tcPr>
          <w:p w14:paraId="362C94E6" w14:textId="77777777" w:rsidR="00227915" w:rsidRPr="009D5DBE" w:rsidRDefault="00227915" w:rsidP="00D01679">
            <w:pPr>
              <w:jc w:val="center"/>
              <w:rPr>
                <w:szCs w:val="21"/>
              </w:rPr>
            </w:pPr>
            <w:r w:rsidRPr="009D5DBE">
              <w:rPr>
                <w:szCs w:val="21"/>
              </w:rPr>
              <w:t>8.4%</w:t>
            </w:r>
          </w:p>
        </w:tc>
        <w:tc>
          <w:tcPr>
            <w:tcW w:w="1365" w:type="dxa"/>
            <w:vAlign w:val="center"/>
          </w:tcPr>
          <w:p w14:paraId="675903A2" w14:textId="77777777" w:rsidR="00227915" w:rsidRPr="009D5DBE" w:rsidRDefault="00227915" w:rsidP="00D01679">
            <w:pPr>
              <w:jc w:val="center"/>
              <w:rPr>
                <w:szCs w:val="21"/>
              </w:rPr>
            </w:pPr>
            <w:r w:rsidRPr="009D5DBE">
              <w:rPr>
                <w:szCs w:val="21"/>
              </w:rPr>
              <w:t>3,348</w:t>
            </w:r>
          </w:p>
        </w:tc>
        <w:tc>
          <w:tcPr>
            <w:tcW w:w="1365" w:type="dxa"/>
            <w:vAlign w:val="center"/>
          </w:tcPr>
          <w:p w14:paraId="5CED5403" w14:textId="77777777" w:rsidR="00227915" w:rsidRPr="009D5DBE" w:rsidRDefault="00227915" w:rsidP="00D01679">
            <w:pPr>
              <w:jc w:val="center"/>
              <w:rPr>
                <w:szCs w:val="21"/>
              </w:rPr>
            </w:pPr>
            <w:r w:rsidRPr="009D5DBE">
              <w:rPr>
                <w:szCs w:val="21"/>
              </w:rPr>
              <w:t>7.8%</w:t>
            </w:r>
          </w:p>
        </w:tc>
      </w:tr>
      <w:tr w:rsidR="00227915" w:rsidRPr="009D5DBE" w14:paraId="6BEA89CE" w14:textId="77777777" w:rsidTr="00D01679">
        <w:trPr>
          <w:cantSplit/>
          <w:trHeight w:val="273"/>
        </w:trPr>
        <w:tc>
          <w:tcPr>
            <w:tcW w:w="4860" w:type="dxa"/>
            <w:vAlign w:val="center"/>
            <w:hideMark/>
          </w:tcPr>
          <w:p w14:paraId="443A4E84" w14:textId="0EA12134" w:rsidR="00227915" w:rsidRPr="009D5DBE" w:rsidRDefault="00194BA2" w:rsidP="00D01679">
            <w:pPr>
              <w:rPr>
                <w:szCs w:val="21"/>
              </w:rPr>
            </w:pPr>
            <w:r w:rsidRPr="009D5DBE">
              <w:rPr>
                <w:szCs w:val="21"/>
              </w:rPr>
              <w:t>Age: 1</w:t>
            </w:r>
            <w:r w:rsidR="00227915" w:rsidRPr="009D5DBE">
              <w:rPr>
                <w:szCs w:val="21"/>
              </w:rPr>
              <w:t>8-64</w:t>
            </w:r>
          </w:p>
        </w:tc>
        <w:tc>
          <w:tcPr>
            <w:tcW w:w="1365" w:type="dxa"/>
            <w:vAlign w:val="center"/>
          </w:tcPr>
          <w:p w14:paraId="0BE306B5" w14:textId="77777777" w:rsidR="00227915" w:rsidRPr="009D5DBE" w:rsidRDefault="00227915" w:rsidP="00D01679">
            <w:pPr>
              <w:jc w:val="center"/>
              <w:rPr>
                <w:szCs w:val="21"/>
              </w:rPr>
            </w:pPr>
            <w:r w:rsidRPr="009D5DBE">
              <w:rPr>
                <w:szCs w:val="21"/>
              </w:rPr>
              <w:t>25,920</w:t>
            </w:r>
          </w:p>
        </w:tc>
        <w:tc>
          <w:tcPr>
            <w:tcW w:w="1365" w:type="dxa"/>
            <w:vAlign w:val="center"/>
          </w:tcPr>
          <w:p w14:paraId="1F84FEAF" w14:textId="77777777" w:rsidR="00227915" w:rsidRPr="009D5DBE" w:rsidRDefault="00227915" w:rsidP="00D01679">
            <w:pPr>
              <w:jc w:val="center"/>
              <w:rPr>
                <w:szCs w:val="21"/>
              </w:rPr>
            </w:pPr>
            <w:r w:rsidRPr="009D5DBE">
              <w:rPr>
                <w:szCs w:val="21"/>
              </w:rPr>
              <w:t>63.2%</w:t>
            </w:r>
          </w:p>
        </w:tc>
        <w:tc>
          <w:tcPr>
            <w:tcW w:w="1365" w:type="dxa"/>
            <w:vAlign w:val="center"/>
          </w:tcPr>
          <w:p w14:paraId="4C2B4A81" w14:textId="77777777" w:rsidR="00227915" w:rsidRPr="009D5DBE" w:rsidRDefault="00227915" w:rsidP="00D01679">
            <w:pPr>
              <w:jc w:val="center"/>
              <w:rPr>
                <w:szCs w:val="21"/>
              </w:rPr>
            </w:pPr>
            <w:r w:rsidRPr="009D5DBE">
              <w:rPr>
                <w:szCs w:val="21"/>
              </w:rPr>
              <w:t>25,862</w:t>
            </w:r>
          </w:p>
        </w:tc>
        <w:tc>
          <w:tcPr>
            <w:tcW w:w="1365" w:type="dxa"/>
            <w:vAlign w:val="center"/>
          </w:tcPr>
          <w:p w14:paraId="33D602EB" w14:textId="77777777" w:rsidR="00227915" w:rsidRPr="009D5DBE" w:rsidRDefault="00227915" w:rsidP="00D01679">
            <w:pPr>
              <w:jc w:val="center"/>
              <w:rPr>
                <w:szCs w:val="21"/>
              </w:rPr>
            </w:pPr>
            <w:r w:rsidRPr="009D5DBE">
              <w:rPr>
                <w:szCs w:val="21"/>
              </w:rPr>
              <w:t>62.1%</w:t>
            </w:r>
          </w:p>
        </w:tc>
        <w:tc>
          <w:tcPr>
            <w:tcW w:w="1365" w:type="dxa"/>
            <w:vAlign w:val="center"/>
          </w:tcPr>
          <w:p w14:paraId="343AB2DC" w14:textId="77777777" w:rsidR="00227915" w:rsidRPr="009D5DBE" w:rsidRDefault="00227915" w:rsidP="00D01679">
            <w:pPr>
              <w:jc w:val="center"/>
              <w:rPr>
                <w:szCs w:val="21"/>
              </w:rPr>
            </w:pPr>
            <w:r w:rsidRPr="009D5DBE">
              <w:rPr>
                <w:szCs w:val="21"/>
              </w:rPr>
              <w:t>26,589</w:t>
            </w:r>
          </w:p>
        </w:tc>
        <w:tc>
          <w:tcPr>
            <w:tcW w:w="1365" w:type="dxa"/>
            <w:vAlign w:val="center"/>
          </w:tcPr>
          <w:p w14:paraId="4AEC7252" w14:textId="77777777" w:rsidR="00227915" w:rsidRPr="009D5DBE" w:rsidRDefault="00227915" w:rsidP="00D01679">
            <w:pPr>
              <w:jc w:val="center"/>
              <w:rPr>
                <w:szCs w:val="21"/>
              </w:rPr>
            </w:pPr>
            <w:r w:rsidRPr="009D5DBE">
              <w:rPr>
                <w:szCs w:val="21"/>
              </w:rPr>
              <w:t>61.8%</w:t>
            </w:r>
          </w:p>
        </w:tc>
      </w:tr>
      <w:tr w:rsidR="00227915" w:rsidRPr="009D5DBE" w14:paraId="1099A726" w14:textId="77777777" w:rsidTr="00D01679">
        <w:trPr>
          <w:cantSplit/>
          <w:trHeight w:val="273"/>
        </w:trPr>
        <w:tc>
          <w:tcPr>
            <w:tcW w:w="4860" w:type="dxa"/>
            <w:vAlign w:val="center"/>
            <w:hideMark/>
          </w:tcPr>
          <w:p w14:paraId="1FB591C2" w14:textId="2EC0A31A" w:rsidR="00227915" w:rsidRPr="009D5DBE" w:rsidRDefault="00194BA2" w:rsidP="00D01679">
            <w:pPr>
              <w:rPr>
                <w:szCs w:val="21"/>
              </w:rPr>
            </w:pPr>
            <w:r w:rsidRPr="009D5DBE">
              <w:rPr>
                <w:szCs w:val="21"/>
              </w:rPr>
              <w:t xml:space="preserve">Age: </w:t>
            </w:r>
            <w:r w:rsidR="00227915" w:rsidRPr="009D5DBE">
              <w:rPr>
                <w:szCs w:val="21"/>
              </w:rPr>
              <w:t>65+</w:t>
            </w:r>
          </w:p>
        </w:tc>
        <w:tc>
          <w:tcPr>
            <w:tcW w:w="1365" w:type="dxa"/>
            <w:vAlign w:val="center"/>
          </w:tcPr>
          <w:p w14:paraId="13A584F0" w14:textId="77777777" w:rsidR="00227915" w:rsidRPr="009D5DBE" w:rsidRDefault="00227915" w:rsidP="00D01679">
            <w:pPr>
              <w:jc w:val="center"/>
              <w:rPr>
                <w:szCs w:val="21"/>
              </w:rPr>
            </w:pPr>
            <w:r w:rsidRPr="009D5DBE">
              <w:rPr>
                <w:szCs w:val="21"/>
              </w:rPr>
              <w:t>11,655</w:t>
            </w:r>
          </w:p>
        </w:tc>
        <w:tc>
          <w:tcPr>
            <w:tcW w:w="1365" w:type="dxa"/>
            <w:vAlign w:val="center"/>
          </w:tcPr>
          <w:p w14:paraId="4FE9AD46" w14:textId="77777777" w:rsidR="00227915" w:rsidRPr="009D5DBE" w:rsidRDefault="00227915" w:rsidP="00D01679">
            <w:pPr>
              <w:jc w:val="center"/>
              <w:rPr>
                <w:szCs w:val="21"/>
              </w:rPr>
            </w:pPr>
            <w:r w:rsidRPr="009D5DBE">
              <w:rPr>
                <w:szCs w:val="21"/>
              </w:rPr>
              <w:t>28.4%</w:t>
            </w:r>
          </w:p>
        </w:tc>
        <w:tc>
          <w:tcPr>
            <w:tcW w:w="1365" w:type="dxa"/>
            <w:vAlign w:val="center"/>
          </w:tcPr>
          <w:p w14:paraId="52A93836" w14:textId="77777777" w:rsidR="00227915" w:rsidRPr="009D5DBE" w:rsidRDefault="00227915" w:rsidP="00D01679">
            <w:pPr>
              <w:jc w:val="center"/>
              <w:rPr>
                <w:szCs w:val="21"/>
              </w:rPr>
            </w:pPr>
            <w:r w:rsidRPr="009D5DBE">
              <w:rPr>
                <w:szCs w:val="21"/>
              </w:rPr>
              <w:t>12,308</w:t>
            </w:r>
          </w:p>
        </w:tc>
        <w:tc>
          <w:tcPr>
            <w:tcW w:w="1365" w:type="dxa"/>
            <w:vAlign w:val="center"/>
          </w:tcPr>
          <w:p w14:paraId="40DE4B08" w14:textId="77777777" w:rsidR="00227915" w:rsidRPr="009D5DBE" w:rsidRDefault="00227915" w:rsidP="00D01679">
            <w:pPr>
              <w:jc w:val="center"/>
              <w:rPr>
                <w:szCs w:val="21"/>
              </w:rPr>
            </w:pPr>
            <w:r w:rsidRPr="009D5DBE">
              <w:rPr>
                <w:szCs w:val="21"/>
              </w:rPr>
              <w:t>29.5%</w:t>
            </w:r>
          </w:p>
        </w:tc>
        <w:tc>
          <w:tcPr>
            <w:tcW w:w="1365" w:type="dxa"/>
            <w:vAlign w:val="center"/>
          </w:tcPr>
          <w:p w14:paraId="2AF13C76" w14:textId="77777777" w:rsidR="00227915" w:rsidRPr="009D5DBE" w:rsidRDefault="00227915" w:rsidP="00D01679">
            <w:pPr>
              <w:jc w:val="center"/>
              <w:rPr>
                <w:szCs w:val="21"/>
              </w:rPr>
            </w:pPr>
            <w:r w:rsidRPr="009D5DBE">
              <w:rPr>
                <w:szCs w:val="21"/>
              </w:rPr>
              <w:t>13,105</w:t>
            </w:r>
          </w:p>
        </w:tc>
        <w:tc>
          <w:tcPr>
            <w:tcW w:w="1365" w:type="dxa"/>
            <w:vAlign w:val="center"/>
          </w:tcPr>
          <w:p w14:paraId="03A94A72" w14:textId="77777777" w:rsidR="00227915" w:rsidRPr="009D5DBE" w:rsidRDefault="00227915" w:rsidP="00D01679">
            <w:pPr>
              <w:jc w:val="center"/>
              <w:rPr>
                <w:szCs w:val="21"/>
              </w:rPr>
            </w:pPr>
            <w:r w:rsidRPr="009D5DBE">
              <w:rPr>
                <w:szCs w:val="21"/>
              </w:rPr>
              <w:t>30.4%</w:t>
            </w:r>
          </w:p>
        </w:tc>
      </w:tr>
      <w:tr w:rsidR="00227915" w:rsidRPr="009D5DBE" w14:paraId="3C32C46F" w14:textId="77777777" w:rsidTr="00D01679">
        <w:trPr>
          <w:cantSplit/>
          <w:trHeight w:val="307"/>
        </w:trPr>
        <w:tc>
          <w:tcPr>
            <w:tcW w:w="4860" w:type="dxa"/>
            <w:vAlign w:val="center"/>
            <w:hideMark/>
          </w:tcPr>
          <w:p w14:paraId="615005B2" w14:textId="27DF879B" w:rsidR="00227915" w:rsidRPr="009D5DBE" w:rsidRDefault="00CC096F" w:rsidP="00D01679">
            <w:pPr>
              <w:rPr>
                <w:szCs w:val="21"/>
              </w:rPr>
            </w:pPr>
            <w:r w:rsidRPr="009D5DBE">
              <w:rPr>
                <w:szCs w:val="21"/>
              </w:rPr>
              <w:t xml:space="preserve">Race: </w:t>
            </w:r>
            <w:r w:rsidR="00227915" w:rsidRPr="009D5DBE">
              <w:rPr>
                <w:szCs w:val="21"/>
              </w:rPr>
              <w:t>American Indian</w:t>
            </w:r>
            <w:r w:rsidR="00352060" w:rsidRPr="009D5DBE">
              <w:rPr>
                <w:szCs w:val="21"/>
              </w:rPr>
              <w:t>/</w:t>
            </w:r>
            <w:r w:rsidR="00227915" w:rsidRPr="009D5DBE">
              <w:rPr>
                <w:szCs w:val="21"/>
              </w:rPr>
              <w:t xml:space="preserve"> Alaska Native</w:t>
            </w:r>
          </w:p>
        </w:tc>
        <w:tc>
          <w:tcPr>
            <w:tcW w:w="1365" w:type="dxa"/>
            <w:vAlign w:val="center"/>
          </w:tcPr>
          <w:p w14:paraId="55F76750" w14:textId="77777777" w:rsidR="00227915" w:rsidRPr="009D5DBE" w:rsidRDefault="00227915" w:rsidP="00D01679">
            <w:pPr>
              <w:jc w:val="center"/>
              <w:rPr>
                <w:szCs w:val="21"/>
              </w:rPr>
            </w:pPr>
            <w:r w:rsidRPr="009D5DBE">
              <w:rPr>
                <w:szCs w:val="21"/>
              </w:rPr>
              <w:t>66</w:t>
            </w:r>
          </w:p>
        </w:tc>
        <w:tc>
          <w:tcPr>
            <w:tcW w:w="1365" w:type="dxa"/>
            <w:vAlign w:val="center"/>
          </w:tcPr>
          <w:p w14:paraId="0F434640" w14:textId="77777777" w:rsidR="00227915" w:rsidRPr="009D5DBE" w:rsidRDefault="00227915" w:rsidP="00D01679">
            <w:pPr>
              <w:jc w:val="center"/>
              <w:rPr>
                <w:szCs w:val="21"/>
              </w:rPr>
            </w:pPr>
            <w:r w:rsidRPr="009D5DBE">
              <w:rPr>
                <w:szCs w:val="21"/>
              </w:rPr>
              <w:t>0.2%</w:t>
            </w:r>
          </w:p>
        </w:tc>
        <w:tc>
          <w:tcPr>
            <w:tcW w:w="1365" w:type="dxa"/>
            <w:vAlign w:val="center"/>
          </w:tcPr>
          <w:p w14:paraId="22EAC517" w14:textId="77777777" w:rsidR="00227915" w:rsidRPr="009D5DBE" w:rsidRDefault="00227915" w:rsidP="00D01679">
            <w:pPr>
              <w:jc w:val="center"/>
              <w:rPr>
                <w:szCs w:val="21"/>
              </w:rPr>
            </w:pPr>
            <w:r w:rsidRPr="009D5DBE">
              <w:rPr>
                <w:szCs w:val="21"/>
              </w:rPr>
              <w:t>69</w:t>
            </w:r>
          </w:p>
        </w:tc>
        <w:tc>
          <w:tcPr>
            <w:tcW w:w="1365" w:type="dxa"/>
            <w:vAlign w:val="center"/>
          </w:tcPr>
          <w:p w14:paraId="2397D3E8" w14:textId="77777777" w:rsidR="00227915" w:rsidRPr="009D5DBE" w:rsidRDefault="00227915" w:rsidP="00D01679">
            <w:pPr>
              <w:jc w:val="center"/>
              <w:rPr>
                <w:szCs w:val="21"/>
              </w:rPr>
            </w:pPr>
            <w:r w:rsidRPr="009D5DBE">
              <w:rPr>
                <w:szCs w:val="21"/>
              </w:rPr>
              <w:t>0.2%</w:t>
            </w:r>
          </w:p>
        </w:tc>
        <w:tc>
          <w:tcPr>
            <w:tcW w:w="1365" w:type="dxa"/>
            <w:vAlign w:val="center"/>
          </w:tcPr>
          <w:p w14:paraId="12A928E0" w14:textId="77777777" w:rsidR="00227915" w:rsidRPr="009D5DBE" w:rsidRDefault="00227915" w:rsidP="00D01679">
            <w:pPr>
              <w:jc w:val="center"/>
              <w:rPr>
                <w:szCs w:val="21"/>
              </w:rPr>
            </w:pPr>
            <w:r w:rsidRPr="009D5DBE">
              <w:rPr>
                <w:szCs w:val="21"/>
              </w:rPr>
              <w:t>89</w:t>
            </w:r>
          </w:p>
        </w:tc>
        <w:tc>
          <w:tcPr>
            <w:tcW w:w="1365" w:type="dxa"/>
            <w:vAlign w:val="center"/>
          </w:tcPr>
          <w:p w14:paraId="7E91D8B0" w14:textId="77777777" w:rsidR="00227915" w:rsidRPr="009D5DBE" w:rsidRDefault="00227915" w:rsidP="00D01679">
            <w:pPr>
              <w:jc w:val="center"/>
              <w:rPr>
                <w:szCs w:val="21"/>
              </w:rPr>
            </w:pPr>
            <w:r w:rsidRPr="009D5DBE">
              <w:rPr>
                <w:szCs w:val="21"/>
              </w:rPr>
              <w:t>0.2%</w:t>
            </w:r>
          </w:p>
        </w:tc>
      </w:tr>
      <w:tr w:rsidR="00227915" w:rsidRPr="009D5DBE" w14:paraId="1C594485" w14:textId="77777777" w:rsidTr="00D01679">
        <w:trPr>
          <w:cantSplit/>
          <w:trHeight w:val="273"/>
        </w:trPr>
        <w:tc>
          <w:tcPr>
            <w:tcW w:w="4860" w:type="dxa"/>
            <w:vAlign w:val="center"/>
            <w:hideMark/>
          </w:tcPr>
          <w:p w14:paraId="02A6B0C4" w14:textId="777AFC79" w:rsidR="00227915" w:rsidRPr="009D5DBE" w:rsidRDefault="00194BA2" w:rsidP="00D01679">
            <w:pPr>
              <w:rPr>
                <w:szCs w:val="21"/>
              </w:rPr>
            </w:pPr>
            <w:r w:rsidRPr="009D5DBE">
              <w:rPr>
                <w:szCs w:val="21"/>
              </w:rPr>
              <w:t xml:space="preserve">Race: </w:t>
            </w:r>
            <w:r w:rsidR="00227915" w:rsidRPr="009D5DBE">
              <w:rPr>
                <w:szCs w:val="21"/>
              </w:rPr>
              <w:t>Asian</w:t>
            </w:r>
          </w:p>
        </w:tc>
        <w:tc>
          <w:tcPr>
            <w:tcW w:w="1365" w:type="dxa"/>
            <w:vAlign w:val="center"/>
          </w:tcPr>
          <w:p w14:paraId="4FD80BE5" w14:textId="77777777" w:rsidR="00227915" w:rsidRPr="009D5DBE" w:rsidRDefault="00227915" w:rsidP="00D01679">
            <w:pPr>
              <w:jc w:val="center"/>
              <w:rPr>
                <w:szCs w:val="21"/>
              </w:rPr>
            </w:pPr>
            <w:r w:rsidRPr="009D5DBE">
              <w:rPr>
                <w:szCs w:val="21"/>
              </w:rPr>
              <w:t>1,442</w:t>
            </w:r>
          </w:p>
        </w:tc>
        <w:tc>
          <w:tcPr>
            <w:tcW w:w="1365" w:type="dxa"/>
            <w:vAlign w:val="center"/>
          </w:tcPr>
          <w:p w14:paraId="2E4D2EFB" w14:textId="77777777" w:rsidR="00227915" w:rsidRPr="009D5DBE" w:rsidRDefault="00227915" w:rsidP="00D01679">
            <w:pPr>
              <w:jc w:val="center"/>
              <w:rPr>
                <w:szCs w:val="21"/>
              </w:rPr>
            </w:pPr>
            <w:r w:rsidRPr="009D5DBE">
              <w:rPr>
                <w:szCs w:val="21"/>
              </w:rPr>
              <w:t>3.5%</w:t>
            </w:r>
          </w:p>
        </w:tc>
        <w:tc>
          <w:tcPr>
            <w:tcW w:w="1365" w:type="dxa"/>
            <w:vAlign w:val="center"/>
          </w:tcPr>
          <w:p w14:paraId="6210150B" w14:textId="77777777" w:rsidR="00227915" w:rsidRPr="009D5DBE" w:rsidRDefault="00227915" w:rsidP="00D01679">
            <w:pPr>
              <w:jc w:val="center"/>
              <w:rPr>
                <w:szCs w:val="21"/>
              </w:rPr>
            </w:pPr>
            <w:r w:rsidRPr="009D5DBE">
              <w:rPr>
                <w:szCs w:val="21"/>
              </w:rPr>
              <w:t>1,435</w:t>
            </w:r>
          </w:p>
        </w:tc>
        <w:tc>
          <w:tcPr>
            <w:tcW w:w="1365" w:type="dxa"/>
            <w:vAlign w:val="center"/>
          </w:tcPr>
          <w:p w14:paraId="1E043A3D" w14:textId="77777777" w:rsidR="00227915" w:rsidRPr="009D5DBE" w:rsidRDefault="00227915" w:rsidP="00D01679">
            <w:pPr>
              <w:jc w:val="center"/>
              <w:rPr>
                <w:szCs w:val="21"/>
              </w:rPr>
            </w:pPr>
            <w:r w:rsidRPr="009D5DBE">
              <w:rPr>
                <w:szCs w:val="21"/>
              </w:rPr>
              <w:t>3.4%</w:t>
            </w:r>
          </w:p>
        </w:tc>
        <w:tc>
          <w:tcPr>
            <w:tcW w:w="1365" w:type="dxa"/>
            <w:vAlign w:val="center"/>
          </w:tcPr>
          <w:p w14:paraId="233AF793" w14:textId="77777777" w:rsidR="00227915" w:rsidRPr="009D5DBE" w:rsidRDefault="00227915" w:rsidP="00D01679">
            <w:pPr>
              <w:jc w:val="center"/>
              <w:rPr>
                <w:szCs w:val="21"/>
              </w:rPr>
            </w:pPr>
            <w:r w:rsidRPr="009D5DBE">
              <w:rPr>
                <w:szCs w:val="21"/>
              </w:rPr>
              <w:t>1,487</w:t>
            </w:r>
          </w:p>
        </w:tc>
        <w:tc>
          <w:tcPr>
            <w:tcW w:w="1365" w:type="dxa"/>
            <w:vAlign w:val="center"/>
          </w:tcPr>
          <w:p w14:paraId="28388BD5" w14:textId="77777777" w:rsidR="00227915" w:rsidRPr="009D5DBE" w:rsidRDefault="00227915" w:rsidP="00D01679">
            <w:pPr>
              <w:jc w:val="center"/>
              <w:rPr>
                <w:szCs w:val="21"/>
              </w:rPr>
            </w:pPr>
            <w:r w:rsidRPr="009D5DBE">
              <w:rPr>
                <w:szCs w:val="21"/>
              </w:rPr>
              <w:t>3.5%</w:t>
            </w:r>
          </w:p>
        </w:tc>
      </w:tr>
      <w:tr w:rsidR="00227915" w:rsidRPr="009D5DBE" w14:paraId="74A982D5" w14:textId="77777777" w:rsidTr="00D01679">
        <w:trPr>
          <w:cantSplit/>
          <w:trHeight w:val="274"/>
        </w:trPr>
        <w:tc>
          <w:tcPr>
            <w:tcW w:w="4860" w:type="dxa"/>
            <w:vAlign w:val="center"/>
            <w:hideMark/>
          </w:tcPr>
          <w:p w14:paraId="27A66980" w14:textId="07B2DB71" w:rsidR="00227915" w:rsidRPr="009D5DBE" w:rsidRDefault="00194BA2" w:rsidP="00D01679">
            <w:pPr>
              <w:rPr>
                <w:szCs w:val="21"/>
              </w:rPr>
            </w:pPr>
            <w:r w:rsidRPr="009D5DBE">
              <w:rPr>
                <w:szCs w:val="21"/>
              </w:rPr>
              <w:t xml:space="preserve">Race: </w:t>
            </w:r>
            <w:r w:rsidR="00227915" w:rsidRPr="009D5DBE">
              <w:rPr>
                <w:szCs w:val="21"/>
              </w:rPr>
              <w:t>Black or African American</w:t>
            </w:r>
          </w:p>
        </w:tc>
        <w:tc>
          <w:tcPr>
            <w:tcW w:w="1365" w:type="dxa"/>
            <w:vAlign w:val="center"/>
          </w:tcPr>
          <w:p w14:paraId="362A1C68" w14:textId="77777777" w:rsidR="00227915" w:rsidRPr="009D5DBE" w:rsidRDefault="00227915" w:rsidP="00D01679">
            <w:pPr>
              <w:jc w:val="center"/>
              <w:rPr>
                <w:szCs w:val="21"/>
              </w:rPr>
            </w:pPr>
            <w:r w:rsidRPr="009D5DBE">
              <w:rPr>
                <w:szCs w:val="21"/>
              </w:rPr>
              <w:t>1,594</w:t>
            </w:r>
          </w:p>
        </w:tc>
        <w:tc>
          <w:tcPr>
            <w:tcW w:w="1365" w:type="dxa"/>
            <w:vAlign w:val="center"/>
          </w:tcPr>
          <w:p w14:paraId="08909182" w14:textId="77777777" w:rsidR="00227915" w:rsidRPr="009D5DBE" w:rsidRDefault="00227915" w:rsidP="00D01679">
            <w:pPr>
              <w:jc w:val="center"/>
              <w:rPr>
                <w:szCs w:val="21"/>
              </w:rPr>
            </w:pPr>
            <w:r w:rsidRPr="009D5DBE">
              <w:rPr>
                <w:szCs w:val="21"/>
              </w:rPr>
              <w:t>3.9%</w:t>
            </w:r>
          </w:p>
        </w:tc>
        <w:tc>
          <w:tcPr>
            <w:tcW w:w="1365" w:type="dxa"/>
            <w:vAlign w:val="center"/>
          </w:tcPr>
          <w:p w14:paraId="2D2AE5E5" w14:textId="77777777" w:rsidR="00227915" w:rsidRPr="009D5DBE" w:rsidRDefault="00227915" w:rsidP="00D01679">
            <w:pPr>
              <w:jc w:val="center"/>
              <w:rPr>
                <w:szCs w:val="21"/>
              </w:rPr>
            </w:pPr>
            <w:r w:rsidRPr="009D5DBE">
              <w:rPr>
                <w:szCs w:val="21"/>
              </w:rPr>
              <w:t>1,599</w:t>
            </w:r>
          </w:p>
        </w:tc>
        <w:tc>
          <w:tcPr>
            <w:tcW w:w="1365" w:type="dxa"/>
            <w:vAlign w:val="center"/>
          </w:tcPr>
          <w:p w14:paraId="61C24879" w14:textId="77777777" w:rsidR="00227915" w:rsidRPr="009D5DBE" w:rsidRDefault="00227915" w:rsidP="00D01679">
            <w:pPr>
              <w:jc w:val="center"/>
              <w:rPr>
                <w:szCs w:val="21"/>
              </w:rPr>
            </w:pPr>
            <w:r w:rsidRPr="009D5DBE">
              <w:rPr>
                <w:szCs w:val="21"/>
              </w:rPr>
              <w:t>3.8%</w:t>
            </w:r>
          </w:p>
        </w:tc>
        <w:tc>
          <w:tcPr>
            <w:tcW w:w="1365" w:type="dxa"/>
            <w:vAlign w:val="center"/>
          </w:tcPr>
          <w:p w14:paraId="75633254" w14:textId="77777777" w:rsidR="00227915" w:rsidRPr="009D5DBE" w:rsidRDefault="00227915" w:rsidP="00D01679">
            <w:pPr>
              <w:jc w:val="center"/>
              <w:rPr>
                <w:szCs w:val="21"/>
              </w:rPr>
            </w:pPr>
            <w:r w:rsidRPr="009D5DBE">
              <w:rPr>
                <w:szCs w:val="21"/>
              </w:rPr>
              <w:t>1,834</w:t>
            </w:r>
          </w:p>
        </w:tc>
        <w:tc>
          <w:tcPr>
            <w:tcW w:w="1365" w:type="dxa"/>
            <w:vAlign w:val="center"/>
          </w:tcPr>
          <w:p w14:paraId="798EC1B0" w14:textId="77777777" w:rsidR="00227915" w:rsidRPr="009D5DBE" w:rsidRDefault="00227915" w:rsidP="00D01679">
            <w:pPr>
              <w:jc w:val="center"/>
              <w:rPr>
                <w:szCs w:val="21"/>
              </w:rPr>
            </w:pPr>
            <w:r w:rsidRPr="009D5DBE">
              <w:rPr>
                <w:szCs w:val="21"/>
              </w:rPr>
              <w:t>4.3%</w:t>
            </w:r>
          </w:p>
        </w:tc>
      </w:tr>
      <w:tr w:rsidR="00227915" w:rsidRPr="009D5DBE" w14:paraId="2D757DC7" w14:textId="77777777" w:rsidTr="00D01679">
        <w:trPr>
          <w:cantSplit/>
          <w:trHeight w:val="274"/>
        </w:trPr>
        <w:tc>
          <w:tcPr>
            <w:tcW w:w="4860" w:type="dxa"/>
            <w:vAlign w:val="center"/>
            <w:hideMark/>
          </w:tcPr>
          <w:p w14:paraId="260D15FF" w14:textId="2306AEE7" w:rsidR="00227915" w:rsidRPr="009D5DBE" w:rsidRDefault="00194BA2" w:rsidP="00D01679">
            <w:pPr>
              <w:rPr>
                <w:szCs w:val="21"/>
              </w:rPr>
            </w:pPr>
            <w:r w:rsidRPr="009D5DBE">
              <w:rPr>
                <w:szCs w:val="21"/>
              </w:rPr>
              <w:t xml:space="preserve">Race: </w:t>
            </w:r>
            <w:r w:rsidR="00227915" w:rsidRPr="009D5DBE">
              <w:rPr>
                <w:szCs w:val="21"/>
              </w:rPr>
              <w:t>Declined</w:t>
            </w:r>
          </w:p>
        </w:tc>
        <w:tc>
          <w:tcPr>
            <w:tcW w:w="1365" w:type="dxa"/>
            <w:vAlign w:val="center"/>
          </w:tcPr>
          <w:p w14:paraId="5F11B1C6" w14:textId="77777777" w:rsidR="00227915" w:rsidRPr="009D5DBE" w:rsidRDefault="00227915" w:rsidP="00D01679">
            <w:pPr>
              <w:jc w:val="center"/>
              <w:rPr>
                <w:szCs w:val="21"/>
              </w:rPr>
            </w:pPr>
            <w:r w:rsidRPr="009D5DBE">
              <w:rPr>
                <w:szCs w:val="21"/>
              </w:rPr>
              <w:t>443</w:t>
            </w:r>
          </w:p>
        </w:tc>
        <w:tc>
          <w:tcPr>
            <w:tcW w:w="1365" w:type="dxa"/>
            <w:vAlign w:val="center"/>
          </w:tcPr>
          <w:p w14:paraId="44DDE67A" w14:textId="77777777" w:rsidR="00227915" w:rsidRPr="009D5DBE" w:rsidRDefault="00227915" w:rsidP="00D01679">
            <w:pPr>
              <w:jc w:val="center"/>
              <w:rPr>
                <w:szCs w:val="21"/>
              </w:rPr>
            </w:pPr>
            <w:r w:rsidRPr="009D5DBE">
              <w:rPr>
                <w:szCs w:val="21"/>
              </w:rPr>
              <w:t>1.1%</w:t>
            </w:r>
          </w:p>
        </w:tc>
        <w:tc>
          <w:tcPr>
            <w:tcW w:w="1365" w:type="dxa"/>
            <w:vAlign w:val="center"/>
          </w:tcPr>
          <w:p w14:paraId="0FDF9F3B" w14:textId="77777777" w:rsidR="00227915" w:rsidRPr="009D5DBE" w:rsidRDefault="00227915" w:rsidP="00D01679">
            <w:pPr>
              <w:jc w:val="center"/>
              <w:rPr>
                <w:szCs w:val="21"/>
              </w:rPr>
            </w:pPr>
            <w:r w:rsidRPr="009D5DBE">
              <w:rPr>
                <w:szCs w:val="21"/>
              </w:rPr>
              <w:t>514</w:t>
            </w:r>
          </w:p>
        </w:tc>
        <w:tc>
          <w:tcPr>
            <w:tcW w:w="1365" w:type="dxa"/>
            <w:vAlign w:val="center"/>
          </w:tcPr>
          <w:p w14:paraId="10EC43CC" w14:textId="77777777" w:rsidR="00227915" w:rsidRPr="009D5DBE" w:rsidRDefault="00227915" w:rsidP="00D01679">
            <w:pPr>
              <w:jc w:val="center"/>
              <w:rPr>
                <w:szCs w:val="21"/>
              </w:rPr>
            </w:pPr>
            <w:r w:rsidRPr="009D5DBE">
              <w:rPr>
                <w:szCs w:val="21"/>
              </w:rPr>
              <w:t>1.2%</w:t>
            </w:r>
          </w:p>
        </w:tc>
        <w:tc>
          <w:tcPr>
            <w:tcW w:w="1365" w:type="dxa"/>
            <w:vAlign w:val="center"/>
          </w:tcPr>
          <w:p w14:paraId="52F1A6C6" w14:textId="77777777" w:rsidR="00227915" w:rsidRPr="009D5DBE" w:rsidRDefault="00227915" w:rsidP="00D01679">
            <w:pPr>
              <w:jc w:val="center"/>
              <w:rPr>
                <w:szCs w:val="21"/>
              </w:rPr>
            </w:pPr>
            <w:r w:rsidRPr="009D5DBE">
              <w:rPr>
                <w:szCs w:val="21"/>
              </w:rPr>
              <w:t>546</w:t>
            </w:r>
          </w:p>
        </w:tc>
        <w:tc>
          <w:tcPr>
            <w:tcW w:w="1365" w:type="dxa"/>
            <w:vAlign w:val="center"/>
          </w:tcPr>
          <w:p w14:paraId="1B97E694" w14:textId="77777777" w:rsidR="00227915" w:rsidRPr="009D5DBE" w:rsidRDefault="00227915" w:rsidP="00D01679">
            <w:pPr>
              <w:jc w:val="center"/>
              <w:rPr>
                <w:szCs w:val="21"/>
              </w:rPr>
            </w:pPr>
            <w:r w:rsidRPr="009D5DBE">
              <w:rPr>
                <w:szCs w:val="21"/>
              </w:rPr>
              <w:t>1.3%</w:t>
            </w:r>
          </w:p>
        </w:tc>
      </w:tr>
      <w:tr w:rsidR="00227915" w:rsidRPr="009D5DBE" w14:paraId="42D51160" w14:textId="77777777" w:rsidTr="00D01679">
        <w:trPr>
          <w:cantSplit/>
          <w:trHeight w:val="273"/>
        </w:trPr>
        <w:tc>
          <w:tcPr>
            <w:tcW w:w="4860" w:type="dxa"/>
            <w:vAlign w:val="center"/>
          </w:tcPr>
          <w:p w14:paraId="0F67161C" w14:textId="69A06CF3" w:rsidR="00227915" w:rsidRPr="009D5DBE" w:rsidRDefault="00194BA2" w:rsidP="00D01679">
            <w:pPr>
              <w:rPr>
                <w:szCs w:val="21"/>
              </w:rPr>
            </w:pPr>
            <w:r w:rsidRPr="009D5DBE">
              <w:rPr>
                <w:szCs w:val="21"/>
              </w:rPr>
              <w:t xml:space="preserve">Race: </w:t>
            </w:r>
            <w:r w:rsidR="00227915" w:rsidRPr="009D5DBE">
              <w:rPr>
                <w:szCs w:val="21"/>
              </w:rPr>
              <w:t>Native Hawaiian or Other Pacific Islander</w:t>
            </w:r>
          </w:p>
        </w:tc>
        <w:tc>
          <w:tcPr>
            <w:tcW w:w="1365" w:type="dxa"/>
            <w:vAlign w:val="center"/>
          </w:tcPr>
          <w:p w14:paraId="00C7E959" w14:textId="77777777" w:rsidR="00227915" w:rsidRPr="009D5DBE" w:rsidRDefault="00227915" w:rsidP="00D01679">
            <w:pPr>
              <w:jc w:val="center"/>
              <w:rPr>
                <w:szCs w:val="21"/>
              </w:rPr>
            </w:pPr>
            <w:r w:rsidRPr="009D5DBE">
              <w:rPr>
                <w:szCs w:val="21"/>
              </w:rPr>
              <w:t>23</w:t>
            </w:r>
          </w:p>
        </w:tc>
        <w:tc>
          <w:tcPr>
            <w:tcW w:w="1365" w:type="dxa"/>
            <w:vAlign w:val="center"/>
          </w:tcPr>
          <w:p w14:paraId="104F9F27" w14:textId="77777777" w:rsidR="00227915" w:rsidRPr="009D5DBE" w:rsidRDefault="00227915" w:rsidP="00D01679">
            <w:pPr>
              <w:jc w:val="center"/>
              <w:rPr>
                <w:szCs w:val="21"/>
              </w:rPr>
            </w:pPr>
            <w:r w:rsidRPr="009D5DBE">
              <w:rPr>
                <w:szCs w:val="21"/>
              </w:rPr>
              <w:t>0.1%</w:t>
            </w:r>
          </w:p>
        </w:tc>
        <w:tc>
          <w:tcPr>
            <w:tcW w:w="1365" w:type="dxa"/>
            <w:vAlign w:val="center"/>
          </w:tcPr>
          <w:p w14:paraId="599947E6" w14:textId="77777777" w:rsidR="00227915" w:rsidRPr="009D5DBE" w:rsidRDefault="00227915" w:rsidP="00D01679">
            <w:pPr>
              <w:jc w:val="center"/>
              <w:rPr>
                <w:szCs w:val="21"/>
              </w:rPr>
            </w:pPr>
            <w:r w:rsidRPr="009D5DBE">
              <w:rPr>
                <w:szCs w:val="21"/>
              </w:rPr>
              <w:t>28</w:t>
            </w:r>
          </w:p>
        </w:tc>
        <w:tc>
          <w:tcPr>
            <w:tcW w:w="1365" w:type="dxa"/>
            <w:vAlign w:val="center"/>
          </w:tcPr>
          <w:p w14:paraId="686838C0" w14:textId="77777777" w:rsidR="00227915" w:rsidRPr="009D5DBE" w:rsidRDefault="00227915" w:rsidP="00D01679">
            <w:pPr>
              <w:jc w:val="center"/>
              <w:rPr>
                <w:szCs w:val="21"/>
              </w:rPr>
            </w:pPr>
            <w:r w:rsidRPr="009D5DBE">
              <w:rPr>
                <w:szCs w:val="21"/>
              </w:rPr>
              <w:t>0.1%</w:t>
            </w:r>
          </w:p>
        </w:tc>
        <w:tc>
          <w:tcPr>
            <w:tcW w:w="1365" w:type="dxa"/>
            <w:vAlign w:val="center"/>
          </w:tcPr>
          <w:p w14:paraId="01561F61" w14:textId="77777777" w:rsidR="00227915" w:rsidRPr="009D5DBE" w:rsidRDefault="00227915" w:rsidP="00D01679">
            <w:pPr>
              <w:jc w:val="center"/>
              <w:rPr>
                <w:szCs w:val="21"/>
              </w:rPr>
            </w:pPr>
            <w:r w:rsidRPr="009D5DBE">
              <w:rPr>
                <w:szCs w:val="21"/>
              </w:rPr>
              <w:t>34</w:t>
            </w:r>
          </w:p>
        </w:tc>
        <w:tc>
          <w:tcPr>
            <w:tcW w:w="1365" w:type="dxa"/>
            <w:vAlign w:val="center"/>
          </w:tcPr>
          <w:p w14:paraId="5FFE88DB" w14:textId="77777777" w:rsidR="00227915" w:rsidRPr="009D5DBE" w:rsidRDefault="00227915" w:rsidP="00D01679">
            <w:pPr>
              <w:jc w:val="center"/>
              <w:rPr>
                <w:szCs w:val="21"/>
              </w:rPr>
            </w:pPr>
            <w:r w:rsidRPr="009D5DBE">
              <w:rPr>
                <w:szCs w:val="21"/>
              </w:rPr>
              <w:t>0.1%</w:t>
            </w:r>
          </w:p>
        </w:tc>
      </w:tr>
      <w:tr w:rsidR="009D5DBE" w:rsidRPr="009D5DBE" w14:paraId="1E41921F" w14:textId="77777777" w:rsidTr="00D01679">
        <w:trPr>
          <w:cantSplit/>
          <w:trHeight w:val="273"/>
        </w:trPr>
        <w:tc>
          <w:tcPr>
            <w:tcW w:w="4860" w:type="dxa"/>
            <w:vAlign w:val="center"/>
          </w:tcPr>
          <w:p w14:paraId="030870B0" w14:textId="3BFE961D" w:rsidR="009D5DBE" w:rsidRPr="009D5DBE" w:rsidRDefault="009D5DBE" w:rsidP="009D5DBE">
            <w:pPr>
              <w:rPr>
                <w:szCs w:val="21"/>
              </w:rPr>
            </w:pPr>
            <w:r w:rsidRPr="009D5DBE">
              <w:rPr>
                <w:szCs w:val="21"/>
              </w:rPr>
              <w:t>Race: Other/Unknown</w:t>
            </w:r>
          </w:p>
        </w:tc>
        <w:tc>
          <w:tcPr>
            <w:tcW w:w="1365" w:type="dxa"/>
            <w:vAlign w:val="center"/>
          </w:tcPr>
          <w:p w14:paraId="75D7B71F" w14:textId="6E303C7F" w:rsidR="009D5DBE" w:rsidRPr="009D5DBE" w:rsidRDefault="009D5DBE" w:rsidP="009D5DBE">
            <w:pPr>
              <w:jc w:val="center"/>
              <w:rPr>
                <w:szCs w:val="21"/>
              </w:rPr>
            </w:pPr>
            <w:r w:rsidRPr="00DD1E0F">
              <w:rPr>
                <w:rFonts w:asciiTheme="minorHAnsi" w:hAnsiTheme="minorHAnsi"/>
                <w:szCs w:val="21"/>
              </w:rPr>
              <w:t>3,723</w:t>
            </w:r>
          </w:p>
        </w:tc>
        <w:tc>
          <w:tcPr>
            <w:tcW w:w="1365" w:type="dxa"/>
            <w:vAlign w:val="center"/>
          </w:tcPr>
          <w:p w14:paraId="6F992064" w14:textId="167A746F" w:rsidR="009D5DBE" w:rsidRPr="009D5DBE" w:rsidRDefault="009D5DBE" w:rsidP="009D5DBE">
            <w:pPr>
              <w:jc w:val="center"/>
              <w:rPr>
                <w:szCs w:val="21"/>
              </w:rPr>
            </w:pPr>
            <w:r w:rsidRPr="00DD1E0F">
              <w:rPr>
                <w:rFonts w:asciiTheme="minorHAnsi" w:hAnsiTheme="minorHAnsi"/>
                <w:szCs w:val="21"/>
              </w:rPr>
              <w:t>9.1%</w:t>
            </w:r>
          </w:p>
        </w:tc>
        <w:tc>
          <w:tcPr>
            <w:tcW w:w="1365" w:type="dxa"/>
            <w:vAlign w:val="center"/>
          </w:tcPr>
          <w:p w14:paraId="607C7E1C" w14:textId="77777777" w:rsidR="009D5DBE" w:rsidRPr="009D5DBE" w:rsidRDefault="009D5DBE" w:rsidP="009D5DBE">
            <w:pPr>
              <w:jc w:val="center"/>
              <w:rPr>
                <w:szCs w:val="21"/>
              </w:rPr>
            </w:pPr>
            <w:r w:rsidRPr="009D5DBE">
              <w:rPr>
                <w:szCs w:val="21"/>
              </w:rPr>
              <w:t>4,719</w:t>
            </w:r>
          </w:p>
        </w:tc>
        <w:tc>
          <w:tcPr>
            <w:tcW w:w="1365" w:type="dxa"/>
            <w:vAlign w:val="center"/>
          </w:tcPr>
          <w:p w14:paraId="22FED3A9" w14:textId="77777777" w:rsidR="009D5DBE" w:rsidRPr="009D5DBE" w:rsidRDefault="009D5DBE" w:rsidP="009D5DBE">
            <w:pPr>
              <w:jc w:val="center"/>
              <w:rPr>
                <w:szCs w:val="21"/>
              </w:rPr>
            </w:pPr>
            <w:r w:rsidRPr="009D5DBE">
              <w:rPr>
                <w:szCs w:val="21"/>
              </w:rPr>
              <w:t>11.3%</w:t>
            </w:r>
          </w:p>
        </w:tc>
        <w:tc>
          <w:tcPr>
            <w:tcW w:w="1365" w:type="dxa"/>
            <w:vAlign w:val="center"/>
          </w:tcPr>
          <w:p w14:paraId="250ACBEB" w14:textId="77777777" w:rsidR="009D5DBE" w:rsidRPr="009D5DBE" w:rsidRDefault="009D5DBE" w:rsidP="009D5DBE">
            <w:pPr>
              <w:jc w:val="center"/>
              <w:rPr>
                <w:szCs w:val="21"/>
              </w:rPr>
            </w:pPr>
            <w:r w:rsidRPr="009D5DBE">
              <w:rPr>
                <w:szCs w:val="21"/>
              </w:rPr>
              <w:t>5,130</w:t>
            </w:r>
          </w:p>
        </w:tc>
        <w:tc>
          <w:tcPr>
            <w:tcW w:w="1365" w:type="dxa"/>
            <w:vAlign w:val="center"/>
          </w:tcPr>
          <w:p w14:paraId="2A3DC1D3" w14:textId="77777777" w:rsidR="009D5DBE" w:rsidRPr="009D5DBE" w:rsidRDefault="009D5DBE" w:rsidP="009D5DBE">
            <w:pPr>
              <w:jc w:val="center"/>
              <w:rPr>
                <w:szCs w:val="21"/>
              </w:rPr>
            </w:pPr>
            <w:r w:rsidRPr="009D5DBE">
              <w:rPr>
                <w:szCs w:val="21"/>
              </w:rPr>
              <w:t>11.9%</w:t>
            </w:r>
          </w:p>
        </w:tc>
      </w:tr>
      <w:tr w:rsidR="009D5DBE" w:rsidRPr="009D5DBE" w14:paraId="3DE5B3C4" w14:textId="77777777" w:rsidTr="00D01679">
        <w:trPr>
          <w:cantSplit/>
          <w:trHeight w:val="273"/>
        </w:trPr>
        <w:tc>
          <w:tcPr>
            <w:tcW w:w="4860" w:type="dxa"/>
            <w:vAlign w:val="center"/>
          </w:tcPr>
          <w:p w14:paraId="548F7A44" w14:textId="2E490598" w:rsidR="009D5DBE" w:rsidRPr="009D5DBE" w:rsidRDefault="009D5DBE" w:rsidP="009D5DBE">
            <w:pPr>
              <w:rPr>
                <w:szCs w:val="21"/>
              </w:rPr>
            </w:pPr>
            <w:r w:rsidRPr="009D5DBE">
              <w:rPr>
                <w:szCs w:val="21"/>
              </w:rPr>
              <w:t>Race: White</w:t>
            </w:r>
          </w:p>
        </w:tc>
        <w:tc>
          <w:tcPr>
            <w:tcW w:w="1365" w:type="dxa"/>
            <w:vAlign w:val="center"/>
          </w:tcPr>
          <w:p w14:paraId="1F5255BA" w14:textId="6A0695F6" w:rsidR="009D5DBE" w:rsidRPr="009D5DBE" w:rsidRDefault="009D5DBE" w:rsidP="009D5DBE">
            <w:pPr>
              <w:jc w:val="center"/>
              <w:rPr>
                <w:szCs w:val="21"/>
              </w:rPr>
            </w:pPr>
            <w:r w:rsidRPr="00DD1E0F">
              <w:rPr>
                <w:rFonts w:asciiTheme="minorHAnsi" w:hAnsiTheme="minorHAnsi"/>
                <w:szCs w:val="21"/>
              </w:rPr>
              <w:t>33,692</w:t>
            </w:r>
          </w:p>
        </w:tc>
        <w:tc>
          <w:tcPr>
            <w:tcW w:w="1365" w:type="dxa"/>
            <w:vAlign w:val="center"/>
          </w:tcPr>
          <w:p w14:paraId="34AF7DF0" w14:textId="2590E2E0" w:rsidR="009D5DBE" w:rsidRPr="009D5DBE" w:rsidRDefault="009D5DBE" w:rsidP="009D5DBE">
            <w:pPr>
              <w:jc w:val="center"/>
              <w:rPr>
                <w:szCs w:val="21"/>
              </w:rPr>
            </w:pPr>
            <w:r w:rsidRPr="00DD1E0F">
              <w:rPr>
                <w:rFonts w:asciiTheme="minorHAnsi" w:hAnsiTheme="minorHAnsi"/>
                <w:szCs w:val="21"/>
              </w:rPr>
              <w:t>82.2%</w:t>
            </w:r>
          </w:p>
        </w:tc>
        <w:tc>
          <w:tcPr>
            <w:tcW w:w="1365" w:type="dxa"/>
            <w:vAlign w:val="center"/>
          </w:tcPr>
          <w:p w14:paraId="4B7F30F6" w14:textId="77777777" w:rsidR="009D5DBE" w:rsidRPr="009D5DBE" w:rsidRDefault="009D5DBE" w:rsidP="009D5DBE">
            <w:pPr>
              <w:jc w:val="center"/>
              <w:rPr>
                <w:szCs w:val="21"/>
              </w:rPr>
            </w:pPr>
            <w:r w:rsidRPr="009D5DBE">
              <w:rPr>
                <w:szCs w:val="21"/>
              </w:rPr>
              <w:t>33,305</w:t>
            </w:r>
          </w:p>
        </w:tc>
        <w:tc>
          <w:tcPr>
            <w:tcW w:w="1365" w:type="dxa"/>
            <w:vAlign w:val="center"/>
          </w:tcPr>
          <w:p w14:paraId="69861FDC" w14:textId="77777777" w:rsidR="009D5DBE" w:rsidRPr="009D5DBE" w:rsidRDefault="009D5DBE" w:rsidP="009D5DBE">
            <w:pPr>
              <w:jc w:val="center"/>
              <w:rPr>
                <w:szCs w:val="21"/>
              </w:rPr>
            </w:pPr>
            <w:r w:rsidRPr="009D5DBE">
              <w:rPr>
                <w:szCs w:val="21"/>
              </w:rPr>
              <w:t>79.9%</w:t>
            </w:r>
          </w:p>
        </w:tc>
        <w:tc>
          <w:tcPr>
            <w:tcW w:w="1365" w:type="dxa"/>
            <w:vAlign w:val="center"/>
          </w:tcPr>
          <w:p w14:paraId="59813A99" w14:textId="77777777" w:rsidR="009D5DBE" w:rsidRPr="009D5DBE" w:rsidRDefault="009D5DBE" w:rsidP="009D5DBE">
            <w:pPr>
              <w:jc w:val="center"/>
              <w:rPr>
                <w:szCs w:val="21"/>
              </w:rPr>
            </w:pPr>
            <w:r w:rsidRPr="009D5DBE">
              <w:rPr>
                <w:szCs w:val="21"/>
              </w:rPr>
              <w:t>33,922</w:t>
            </w:r>
          </w:p>
        </w:tc>
        <w:tc>
          <w:tcPr>
            <w:tcW w:w="1365" w:type="dxa"/>
            <w:vAlign w:val="center"/>
          </w:tcPr>
          <w:p w14:paraId="4DB1ED34" w14:textId="77777777" w:rsidR="009D5DBE" w:rsidRPr="009D5DBE" w:rsidRDefault="009D5DBE" w:rsidP="009D5DBE">
            <w:pPr>
              <w:jc w:val="center"/>
              <w:rPr>
                <w:szCs w:val="21"/>
              </w:rPr>
            </w:pPr>
            <w:r w:rsidRPr="009D5DBE">
              <w:rPr>
                <w:szCs w:val="21"/>
              </w:rPr>
              <w:t>78.8%</w:t>
            </w:r>
          </w:p>
        </w:tc>
      </w:tr>
      <w:tr w:rsidR="00227915" w:rsidRPr="009D5DBE" w14:paraId="7FF76EEE" w14:textId="77777777" w:rsidTr="00D01679">
        <w:trPr>
          <w:cantSplit/>
          <w:trHeight w:val="307"/>
        </w:trPr>
        <w:tc>
          <w:tcPr>
            <w:tcW w:w="4860" w:type="dxa"/>
            <w:vAlign w:val="center"/>
            <w:hideMark/>
          </w:tcPr>
          <w:p w14:paraId="168DEF7C" w14:textId="277CEE5E" w:rsidR="00227915" w:rsidRPr="009D5DBE" w:rsidRDefault="00194BA2" w:rsidP="00D01679">
            <w:pPr>
              <w:rPr>
                <w:szCs w:val="21"/>
              </w:rPr>
            </w:pPr>
            <w:r w:rsidRPr="009D5DBE">
              <w:rPr>
                <w:szCs w:val="21"/>
              </w:rPr>
              <w:t xml:space="preserve">Race: </w:t>
            </w:r>
            <w:r w:rsidR="00227915" w:rsidRPr="009D5DBE">
              <w:rPr>
                <w:szCs w:val="21"/>
              </w:rPr>
              <w:t>Decline to Answer</w:t>
            </w:r>
          </w:p>
        </w:tc>
        <w:tc>
          <w:tcPr>
            <w:tcW w:w="1365" w:type="dxa"/>
            <w:vAlign w:val="center"/>
          </w:tcPr>
          <w:p w14:paraId="5E291707" w14:textId="77777777" w:rsidR="00227915" w:rsidRPr="009D5DBE" w:rsidRDefault="00227915" w:rsidP="00D01679">
            <w:pPr>
              <w:jc w:val="center"/>
              <w:rPr>
                <w:szCs w:val="21"/>
              </w:rPr>
            </w:pPr>
            <w:r w:rsidRPr="009D5DBE">
              <w:rPr>
                <w:szCs w:val="21"/>
              </w:rPr>
              <w:t>594</w:t>
            </w:r>
          </w:p>
        </w:tc>
        <w:tc>
          <w:tcPr>
            <w:tcW w:w="1365" w:type="dxa"/>
            <w:vAlign w:val="center"/>
          </w:tcPr>
          <w:p w14:paraId="69653D1C" w14:textId="77777777" w:rsidR="00227915" w:rsidRPr="009D5DBE" w:rsidRDefault="00227915" w:rsidP="00D01679">
            <w:pPr>
              <w:jc w:val="center"/>
              <w:rPr>
                <w:szCs w:val="21"/>
              </w:rPr>
            </w:pPr>
            <w:r w:rsidRPr="009D5DBE">
              <w:rPr>
                <w:szCs w:val="21"/>
              </w:rPr>
              <w:t>1.4%</w:t>
            </w:r>
          </w:p>
        </w:tc>
        <w:tc>
          <w:tcPr>
            <w:tcW w:w="1365" w:type="dxa"/>
            <w:vAlign w:val="center"/>
          </w:tcPr>
          <w:p w14:paraId="6BE645A5" w14:textId="77777777" w:rsidR="00227915" w:rsidRPr="009D5DBE" w:rsidRDefault="00227915" w:rsidP="00D01679">
            <w:pPr>
              <w:jc w:val="center"/>
              <w:rPr>
                <w:szCs w:val="21"/>
              </w:rPr>
            </w:pPr>
            <w:r w:rsidRPr="009D5DBE">
              <w:rPr>
                <w:szCs w:val="21"/>
              </w:rPr>
              <w:t>672</w:t>
            </w:r>
          </w:p>
        </w:tc>
        <w:tc>
          <w:tcPr>
            <w:tcW w:w="1365" w:type="dxa"/>
            <w:vAlign w:val="center"/>
          </w:tcPr>
          <w:p w14:paraId="7C0AA90C" w14:textId="77777777" w:rsidR="00227915" w:rsidRPr="009D5DBE" w:rsidRDefault="00227915" w:rsidP="00D01679">
            <w:pPr>
              <w:jc w:val="center"/>
              <w:rPr>
                <w:szCs w:val="21"/>
              </w:rPr>
            </w:pPr>
            <w:r w:rsidRPr="009D5DBE">
              <w:rPr>
                <w:szCs w:val="21"/>
              </w:rPr>
              <w:t>1.6%</w:t>
            </w:r>
          </w:p>
        </w:tc>
        <w:tc>
          <w:tcPr>
            <w:tcW w:w="1365" w:type="dxa"/>
            <w:vAlign w:val="center"/>
          </w:tcPr>
          <w:p w14:paraId="400436F5" w14:textId="77777777" w:rsidR="00227915" w:rsidRPr="009D5DBE" w:rsidRDefault="00227915" w:rsidP="00D01679">
            <w:pPr>
              <w:jc w:val="center"/>
              <w:rPr>
                <w:szCs w:val="21"/>
              </w:rPr>
            </w:pPr>
            <w:r w:rsidRPr="009D5DBE">
              <w:rPr>
                <w:szCs w:val="21"/>
              </w:rPr>
              <w:t>744</w:t>
            </w:r>
          </w:p>
        </w:tc>
        <w:tc>
          <w:tcPr>
            <w:tcW w:w="1365" w:type="dxa"/>
            <w:vAlign w:val="center"/>
          </w:tcPr>
          <w:p w14:paraId="7CBD29BF" w14:textId="77777777" w:rsidR="00227915" w:rsidRPr="009D5DBE" w:rsidRDefault="00227915" w:rsidP="00D01679">
            <w:pPr>
              <w:jc w:val="center"/>
              <w:rPr>
                <w:szCs w:val="21"/>
              </w:rPr>
            </w:pPr>
            <w:r w:rsidRPr="009D5DBE">
              <w:rPr>
                <w:szCs w:val="21"/>
              </w:rPr>
              <w:t>1.7%</w:t>
            </w:r>
          </w:p>
        </w:tc>
      </w:tr>
      <w:tr w:rsidR="00227915" w:rsidRPr="009D5DBE" w14:paraId="3FA9EC8E" w14:textId="77777777" w:rsidTr="00D01679">
        <w:trPr>
          <w:cantSplit/>
          <w:trHeight w:val="273"/>
        </w:trPr>
        <w:tc>
          <w:tcPr>
            <w:tcW w:w="4860" w:type="dxa"/>
            <w:vAlign w:val="center"/>
            <w:hideMark/>
          </w:tcPr>
          <w:p w14:paraId="5267AC0D" w14:textId="7155BC59" w:rsidR="00227915" w:rsidRPr="009D5DBE" w:rsidRDefault="00CC096F" w:rsidP="00D01679">
            <w:pPr>
              <w:rPr>
                <w:szCs w:val="21"/>
              </w:rPr>
            </w:pPr>
            <w:r w:rsidRPr="009D5DBE">
              <w:rPr>
                <w:szCs w:val="21"/>
              </w:rPr>
              <w:t xml:space="preserve">Ethnicity: </w:t>
            </w:r>
            <w:r w:rsidR="00227915" w:rsidRPr="009D5DBE">
              <w:rPr>
                <w:szCs w:val="21"/>
              </w:rPr>
              <w:t>Hispanic or Latino</w:t>
            </w:r>
          </w:p>
        </w:tc>
        <w:tc>
          <w:tcPr>
            <w:tcW w:w="1365" w:type="dxa"/>
            <w:vAlign w:val="center"/>
          </w:tcPr>
          <w:p w14:paraId="6E4057D8" w14:textId="77777777" w:rsidR="00227915" w:rsidRPr="009D5DBE" w:rsidRDefault="00227915" w:rsidP="00D01679">
            <w:pPr>
              <w:jc w:val="center"/>
              <w:rPr>
                <w:szCs w:val="21"/>
              </w:rPr>
            </w:pPr>
            <w:r w:rsidRPr="009D5DBE">
              <w:rPr>
                <w:szCs w:val="21"/>
              </w:rPr>
              <w:t>5,851</w:t>
            </w:r>
          </w:p>
        </w:tc>
        <w:tc>
          <w:tcPr>
            <w:tcW w:w="1365" w:type="dxa"/>
            <w:vAlign w:val="center"/>
          </w:tcPr>
          <w:p w14:paraId="3576F39A" w14:textId="77777777" w:rsidR="00227915" w:rsidRPr="009D5DBE" w:rsidRDefault="00227915" w:rsidP="00D01679">
            <w:pPr>
              <w:jc w:val="center"/>
              <w:rPr>
                <w:szCs w:val="21"/>
              </w:rPr>
            </w:pPr>
            <w:r w:rsidRPr="009D5DBE">
              <w:rPr>
                <w:szCs w:val="21"/>
              </w:rPr>
              <w:t>14.3%</w:t>
            </w:r>
          </w:p>
        </w:tc>
        <w:tc>
          <w:tcPr>
            <w:tcW w:w="1365" w:type="dxa"/>
            <w:vAlign w:val="center"/>
          </w:tcPr>
          <w:p w14:paraId="2F6C37C8" w14:textId="77777777" w:rsidR="00227915" w:rsidRPr="009D5DBE" w:rsidRDefault="00227915" w:rsidP="00D01679">
            <w:pPr>
              <w:jc w:val="center"/>
              <w:rPr>
                <w:szCs w:val="21"/>
              </w:rPr>
            </w:pPr>
            <w:r w:rsidRPr="009D5DBE">
              <w:rPr>
                <w:szCs w:val="21"/>
              </w:rPr>
              <w:t>6,723</w:t>
            </w:r>
          </w:p>
        </w:tc>
        <w:tc>
          <w:tcPr>
            <w:tcW w:w="1365" w:type="dxa"/>
            <w:vAlign w:val="center"/>
          </w:tcPr>
          <w:p w14:paraId="65A4CF84" w14:textId="77777777" w:rsidR="00227915" w:rsidRPr="009D5DBE" w:rsidRDefault="00227915" w:rsidP="00D01679">
            <w:pPr>
              <w:jc w:val="center"/>
              <w:rPr>
                <w:szCs w:val="21"/>
              </w:rPr>
            </w:pPr>
            <w:r w:rsidRPr="009D5DBE">
              <w:rPr>
                <w:szCs w:val="21"/>
              </w:rPr>
              <w:t>16.1%</w:t>
            </w:r>
          </w:p>
        </w:tc>
        <w:tc>
          <w:tcPr>
            <w:tcW w:w="1365" w:type="dxa"/>
            <w:vAlign w:val="center"/>
          </w:tcPr>
          <w:p w14:paraId="7EB9EF50" w14:textId="77777777" w:rsidR="00227915" w:rsidRPr="009D5DBE" w:rsidRDefault="00227915" w:rsidP="00D01679">
            <w:pPr>
              <w:jc w:val="center"/>
              <w:rPr>
                <w:szCs w:val="21"/>
              </w:rPr>
            </w:pPr>
            <w:r w:rsidRPr="009D5DBE">
              <w:rPr>
                <w:szCs w:val="21"/>
              </w:rPr>
              <w:t>7,043</w:t>
            </w:r>
          </w:p>
        </w:tc>
        <w:tc>
          <w:tcPr>
            <w:tcW w:w="1365" w:type="dxa"/>
            <w:vAlign w:val="center"/>
          </w:tcPr>
          <w:p w14:paraId="3E1ED3A3" w14:textId="77777777" w:rsidR="00227915" w:rsidRPr="009D5DBE" w:rsidRDefault="00227915" w:rsidP="00D01679">
            <w:pPr>
              <w:jc w:val="center"/>
              <w:rPr>
                <w:szCs w:val="21"/>
              </w:rPr>
            </w:pPr>
            <w:r w:rsidRPr="009D5DBE">
              <w:rPr>
                <w:szCs w:val="21"/>
              </w:rPr>
              <w:t>16.4%</w:t>
            </w:r>
          </w:p>
        </w:tc>
      </w:tr>
      <w:tr w:rsidR="00227915" w:rsidRPr="009D5DBE" w14:paraId="2EC79A2E" w14:textId="77777777" w:rsidTr="00D01679">
        <w:trPr>
          <w:cantSplit/>
          <w:trHeight w:val="274"/>
        </w:trPr>
        <w:tc>
          <w:tcPr>
            <w:tcW w:w="4860" w:type="dxa"/>
            <w:vAlign w:val="center"/>
            <w:hideMark/>
          </w:tcPr>
          <w:p w14:paraId="74E4E357" w14:textId="15ECE4F9" w:rsidR="00227915" w:rsidRPr="009D5DBE" w:rsidRDefault="00194BA2" w:rsidP="00D01679">
            <w:pPr>
              <w:rPr>
                <w:szCs w:val="21"/>
              </w:rPr>
            </w:pPr>
            <w:r w:rsidRPr="009D5DBE">
              <w:rPr>
                <w:szCs w:val="21"/>
              </w:rPr>
              <w:t xml:space="preserve">Ethnicity: </w:t>
            </w:r>
            <w:r w:rsidR="00227915" w:rsidRPr="009D5DBE">
              <w:rPr>
                <w:szCs w:val="21"/>
              </w:rPr>
              <w:t>Not Hispanic or Latino</w:t>
            </w:r>
          </w:p>
        </w:tc>
        <w:tc>
          <w:tcPr>
            <w:tcW w:w="1365" w:type="dxa"/>
            <w:vAlign w:val="center"/>
          </w:tcPr>
          <w:p w14:paraId="0BF2860E" w14:textId="77777777" w:rsidR="00227915" w:rsidRPr="009D5DBE" w:rsidRDefault="00227915" w:rsidP="00D01679">
            <w:pPr>
              <w:jc w:val="center"/>
              <w:rPr>
                <w:szCs w:val="21"/>
              </w:rPr>
            </w:pPr>
            <w:r w:rsidRPr="009D5DBE">
              <w:rPr>
                <w:szCs w:val="21"/>
              </w:rPr>
              <w:t>34,341</w:t>
            </w:r>
          </w:p>
        </w:tc>
        <w:tc>
          <w:tcPr>
            <w:tcW w:w="1365" w:type="dxa"/>
            <w:vAlign w:val="center"/>
          </w:tcPr>
          <w:p w14:paraId="720D8DE4" w14:textId="77777777" w:rsidR="00227915" w:rsidRPr="009D5DBE" w:rsidRDefault="00227915" w:rsidP="00D01679">
            <w:pPr>
              <w:jc w:val="center"/>
              <w:rPr>
                <w:szCs w:val="21"/>
              </w:rPr>
            </w:pPr>
            <w:r w:rsidRPr="009D5DBE">
              <w:rPr>
                <w:szCs w:val="21"/>
              </w:rPr>
              <w:t>83.8%</w:t>
            </w:r>
          </w:p>
        </w:tc>
        <w:tc>
          <w:tcPr>
            <w:tcW w:w="1365" w:type="dxa"/>
            <w:vAlign w:val="center"/>
          </w:tcPr>
          <w:p w14:paraId="0D09569F" w14:textId="77777777" w:rsidR="00227915" w:rsidRPr="009D5DBE" w:rsidRDefault="00227915" w:rsidP="00D01679">
            <w:pPr>
              <w:jc w:val="center"/>
              <w:rPr>
                <w:szCs w:val="21"/>
              </w:rPr>
            </w:pPr>
            <w:r w:rsidRPr="009D5DBE">
              <w:rPr>
                <w:szCs w:val="21"/>
              </w:rPr>
              <w:t>33,964</w:t>
            </w:r>
          </w:p>
        </w:tc>
        <w:tc>
          <w:tcPr>
            <w:tcW w:w="1365" w:type="dxa"/>
            <w:vAlign w:val="center"/>
          </w:tcPr>
          <w:p w14:paraId="3A4CCFBA" w14:textId="77777777" w:rsidR="00227915" w:rsidRPr="009D5DBE" w:rsidRDefault="00227915" w:rsidP="00D01679">
            <w:pPr>
              <w:jc w:val="center"/>
              <w:rPr>
                <w:szCs w:val="21"/>
              </w:rPr>
            </w:pPr>
            <w:r w:rsidRPr="009D5DBE">
              <w:rPr>
                <w:szCs w:val="21"/>
              </w:rPr>
              <w:t>81.5%</w:t>
            </w:r>
          </w:p>
        </w:tc>
        <w:tc>
          <w:tcPr>
            <w:tcW w:w="1365" w:type="dxa"/>
            <w:vAlign w:val="center"/>
          </w:tcPr>
          <w:p w14:paraId="2FC9F4BA" w14:textId="77777777" w:rsidR="00227915" w:rsidRPr="009D5DBE" w:rsidRDefault="00227915" w:rsidP="00D01679">
            <w:pPr>
              <w:jc w:val="center"/>
              <w:rPr>
                <w:szCs w:val="21"/>
              </w:rPr>
            </w:pPr>
            <w:r w:rsidRPr="009D5DBE">
              <w:rPr>
                <w:szCs w:val="21"/>
              </w:rPr>
              <w:t>35,021</w:t>
            </w:r>
          </w:p>
        </w:tc>
        <w:tc>
          <w:tcPr>
            <w:tcW w:w="1365" w:type="dxa"/>
            <w:vAlign w:val="center"/>
          </w:tcPr>
          <w:p w14:paraId="71BE5B75" w14:textId="77777777" w:rsidR="00227915" w:rsidRPr="009D5DBE" w:rsidRDefault="00227915" w:rsidP="00D01679">
            <w:pPr>
              <w:jc w:val="center"/>
              <w:rPr>
                <w:szCs w:val="21"/>
              </w:rPr>
            </w:pPr>
            <w:r w:rsidRPr="009D5DBE">
              <w:rPr>
                <w:szCs w:val="21"/>
              </w:rPr>
              <w:t>81.4%</w:t>
            </w:r>
          </w:p>
        </w:tc>
      </w:tr>
      <w:tr w:rsidR="00227915" w:rsidRPr="009D5DBE" w14:paraId="0E788497" w14:textId="77777777" w:rsidTr="00D01679">
        <w:trPr>
          <w:cantSplit/>
          <w:trHeight w:val="274"/>
        </w:trPr>
        <w:tc>
          <w:tcPr>
            <w:tcW w:w="4860" w:type="dxa"/>
            <w:vAlign w:val="center"/>
            <w:hideMark/>
          </w:tcPr>
          <w:p w14:paraId="3A72A829" w14:textId="3C18E98B" w:rsidR="00227915" w:rsidRPr="009D5DBE" w:rsidRDefault="00194BA2" w:rsidP="00D01679">
            <w:pPr>
              <w:rPr>
                <w:szCs w:val="21"/>
              </w:rPr>
            </w:pPr>
            <w:r w:rsidRPr="009D5DBE">
              <w:rPr>
                <w:szCs w:val="21"/>
              </w:rPr>
              <w:t xml:space="preserve">Ethnicity: </w:t>
            </w:r>
            <w:r w:rsidR="00227915" w:rsidRPr="009D5DBE">
              <w:rPr>
                <w:szCs w:val="21"/>
              </w:rPr>
              <w:t>Unknown</w:t>
            </w:r>
          </w:p>
        </w:tc>
        <w:tc>
          <w:tcPr>
            <w:tcW w:w="1365" w:type="dxa"/>
            <w:vAlign w:val="center"/>
          </w:tcPr>
          <w:p w14:paraId="5BA9F161" w14:textId="77777777" w:rsidR="00227915" w:rsidRPr="009D5DBE" w:rsidRDefault="00227915" w:rsidP="00D01679">
            <w:pPr>
              <w:jc w:val="center"/>
              <w:rPr>
                <w:szCs w:val="21"/>
              </w:rPr>
            </w:pPr>
            <w:r w:rsidRPr="009D5DBE">
              <w:rPr>
                <w:szCs w:val="21"/>
              </w:rPr>
              <w:t>197</w:t>
            </w:r>
          </w:p>
        </w:tc>
        <w:tc>
          <w:tcPr>
            <w:tcW w:w="1365" w:type="dxa"/>
            <w:vAlign w:val="center"/>
          </w:tcPr>
          <w:p w14:paraId="219DF0D4" w14:textId="77777777" w:rsidR="00227915" w:rsidRPr="009D5DBE" w:rsidRDefault="00227915" w:rsidP="00D01679">
            <w:pPr>
              <w:jc w:val="center"/>
              <w:rPr>
                <w:szCs w:val="21"/>
              </w:rPr>
            </w:pPr>
            <w:r w:rsidRPr="009D5DBE">
              <w:rPr>
                <w:szCs w:val="21"/>
              </w:rPr>
              <w:t>0.5%</w:t>
            </w:r>
          </w:p>
        </w:tc>
        <w:tc>
          <w:tcPr>
            <w:tcW w:w="1365" w:type="dxa"/>
            <w:vAlign w:val="center"/>
          </w:tcPr>
          <w:p w14:paraId="432CBFA5" w14:textId="77777777" w:rsidR="00227915" w:rsidRPr="009D5DBE" w:rsidRDefault="00227915" w:rsidP="00D01679">
            <w:pPr>
              <w:jc w:val="center"/>
              <w:rPr>
                <w:szCs w:val="21"/>
              </w:rPr>
            </w:pPr>
            <w:r w:rsidRPr="009D5DBE">
              <w:rPr>
                <w:szCs w:val="21"/>
              </w:rPr>
              <w:t>310</w:t>
            </w:r>
          </w:p>
        </w:tc>
        <w:tc>
          <w:tcPr>
            <w:tcW w:w="1365" w:type="dxa"/>
            <w:vAlign w:val="center"/>
          </w:tcPr>
          <w:p w14:paraId="26C0F37C" w14:textId="77777777" w:rsidR="00227915" w:rsidRPr="009D5DBE" w:rsidRDefault="00227915" w:rsidP="00D01679">
            <w:pPr>
              <w:jc w:val="center"/>
              <w:rPr>
                <w:szCs w:val="21"/>
              </w:rPr>
            </w:pPr>
            <w:r w:rsidRPr="009D5DBE">
              <w:rPr>
                <w:szCs w:val="21"/>
              </w:rPr>
              <w:t>0.7%</w:t>
            </w:r>
          </w:p>
        </w:tc>
        <w:tc>
          <w:tcPr>
            <w:tcW w:w="1365" w:type="dxa"/>
            <w:vAlign w:val="center"/>
          </w:tcPr>
          <w:p w14:paraId="5349AE04" w14:textId="77777777" w:rsidR="00227915" w:rsidRPr="009D5DBE" w:rsidRDefault="00227915" w:rsidP="00D01679">
            <w:pPr>
              <w:jc w:val="center"/>
              <w:rPr>
                <w:szCs w:val="21"/>
              </w:rPr>
            </w:pPr>
            <w:r w:rsidRPr="009D5DBE">
              <w:rPr>
                <w:szCs w:val="21"/>
              </w:rPr>
              <w:t>234</w:t>
            </w:r>
          </w:p>
        </w:tc>
        <w:tc>
          <w:tcPr>
            <w:tcW w:w="1365" w:type="dxa"/>
            <w:vAlign w:val="center"/>
          </w:tcPr>
          <w:p w14:paraId="4CA5C4B7" w14:textId="77777777" w:rsidR="00227915" w:rsidRPr="009D5DBE" w:rsidRDefault="00227915" w:rsidP="00D01679">
            <w:pPr>
              <w:jc w:val="center"/>
              <w:rPr>
                <w:szCs w:val="21"/>
              </w:rPr>
            </w:pPr>
            <w:r w:rsidRPr="009D5DBE">
              <w:rPr>
                <w:szCs w:val="21"/>
              </w:rPr>
              <w:t>0.5%</w:t>
            </w:r>
          </w:p>
        </w:tc>
      </w:tr>
      <w:tr w:rsidR="00227915" w:rsidRPr="009D5DBE" w14:paraId="17FDE735" w14:textId="77777777" w:rsidTr="00D01679">
        <w:trPr>
          <w:cantSplit/>
          <w:trHeight w:val="309"/>
        </w:trPr>
        <w:tc>
          <w:tcPr>
            <w:tcW w:w="4860" w:type="dxa"/>
            <w:vAlign w:val="center"/>
            <w:hideMark/>
          </w:tcPr>
          <w:p w14:paraId="6336F807" w14:textId="44B4F3DC" w:rsidR="00227915" w:rsidRPr="009D5DBE" w:rsidRDefault="00CC096F" w:rsidP="00D01679">
            <w:pPr>
              <w:rPr>
                <w:szCs w:val="21"/>
              </w:rPr>
            </w:pPr>
            <w:r w:rsidRPr="009D5DBE">
              <w:rPr>
                <w:szCs w:val="21"/>
              </w:rPr>
              <w:t xml:space="preserve">Origin: </w:t>
            </w:r>
            <w:r w:rsidR="00227915" w:rsidRPr="009D5DBE">
              <w:rPr>
                <w:szCs w:val="21"/>
              </w:rPr>
              <w:t>Central Mass</w:t>
            </w:r>
          </w:p>
        </w:tc>
        <w:tc>
          <w:tcPr>
            <w:tcW w:w="1365" w:type="dxa"/>
            <w:vAlign w:val="center"/>
          </w:tcPr>
          <w:p w14:paraId="4ED6117D" w14:textId="77777777" w:rsidR="00227915" w:rsidRPr="009D5DBE" w:rsidRDefault="00227915" w:rsidP="00D01679">
            <w:pPr>
              <w:jc w:val="center"/>
              <w:rPr>
                <w:szCs w:val="21"/>
              </w:rPr>
            </w:pPr>
            <w:r w:rsidRPr="009D5DBE">
              <w:rPr>
                <w:szCs w:val="21"/>
              </w:rPr>
              <w:t>37,919</w:t>
            </w:r>
          </w:p>
        </w:tc>
        <w:tc>
          <w:tcPr>
            <w:tcW w:w="1365" w:type="dxa"/>
            <w:vAlign w:val="center"/>
          </w:tcPr>
          <w:p w14:paraId="0569C64D" w14:textId="77777777" w:rsidR="00227915" w:rsidRPr="009D5DBE" w:rsidRDefault="00227915" w:rsidP="00D01679">
            <w:pPr>
              <w:jc w:val="center"/>
              <w:rPr>
                <w:szCs w:val="21"/>
              </w:rPr>
            </w:pPr>
            <w:r w:rsidRPr="009D5DBE">
              <w:rPr>
                <w:szCs w:val="21"/>
              </w:rPr>
              <w:t>92.5%</w:t>
            </w:r>
          </w:p>
        </w:tc>
        <w:tc>
          <w:tcPr>
            <w:tcW w:w="1365" w:type="dxa"/>
            <w:vAlign w:val="center"/>
          </w:tcPr>
          <w:p w14:paraId="45E91BF0" w14:textId="77777777" w:rsidR="00227915" w:rsidRPr="009D5DBE" w:rsidRDefault="00227915" w:rsidP="00D01679">
            <w:pPr>
              <w:jc w:val="center"/>
              <w:rPr>
                <w:szCs w:val="21"/>
              </w:rPr>
            </w:pPr>
            <w:r w:rsidRPr="009D5DBE">
              <w:rPr>
                <w:szCs w:val="21"/>
              </w:rPr>
              <w:t>38,813</w:t>
            </w:r>
          </w:p>
        </w:tc>
        <w:tc>
          <w:tcPr>
            <w:tcW w:w="1365" w:type="dxa"/>
            <w:vAlign w:val="center"/>
          </w:tcPr>
          <w:p w14:paraId="1AE1A739" w14:textId="77777777" w:rsidR="00227915" w:rsidRPr="009D5DBE" w:rsidRDefault="00227915" w:rsidP="00D01679">
            <w:pPr>
              <w:jc w:val="center"/>
              <w:rPr>
                <w:szCs w:val="21"/>
              </w:rPr>
            </w:pPr>
            <w:r w:rsidRPr="009D5DBE">
              <w:rPr>
                <w:szCs w:val="21"/>
              </w:rPr>
              <w:t>93.1%</w:t>
            </w:r>
          </w:p>
        </w:tc>
        <w:tc>
          <w:tcPr>
            <w:tcW w:w="1365" w:type="dxa"/>
            <w:vAlign w:val="center"/>
          </w:tcPr>
          <w:p w14:paraId="5DD8F1CC" w14:textId="77777777" w:rsidR="00227915" w:rsidRPr="009D5DBE" w:rsidRDefault="00227915" w:rsidP="00D01679">
            <w:pPr>
              <w:jc w:val="center"/>
              <w:rPr>
                <w:szCs w:val="21"/>
              </w:rPr>
            </w:pPr>
            <w:r w:rsidRPr="009D5DBE">
              <w:rPr>
                <w:szCs w:val="21"/>
              </w:rPr>
              <w:t>40,092</w:t>
            </w:r>
          </w:p>
        </w:tc>
        <w:tc>
          <w:tcPr>
            <w:tcW w:w="1365" w:type="dxa"/>
            <w:vAlign w:val="center"/>
          </w:tcPr>
          <w:p w14:paraId="66C112DF" w14:textId="77777777" w:rsidR="00227915" w:rsidRPr="009D5DBE" w:rsidRDefault="00227915" w:rsidP="00D01679">
            <w:pPr>
              <w:jc w:val="center"/>
              <w:rPr>
                <w:szCs w:val="21"/>
              </w:rPr>
            </w:pPr>
            <w:r w:rsidRPr="009D5DBE">
              <w:rPr>
                <w:szCs w:val="21"/>
              </w:rPr>
              <w:t>93.1%</w:t>
            </w:r>
          </w:p>
        </w:tc>
      </w:tr>
      <w:tr w:rsidR="00227915" w:rsidRPr="009D5DBE" w14:paraId="4D608832" w14:textId="77777777" w:rsidTr="00D01679">
        <w:trPr>
          <w:cantSplit/>
          <w:trHeight w:val="273"/>
        </w:trPr>
        <w:tc>
          <w:tcPr>
            <w:tcW w:w="4860" w:type="dxa"/>
            <w:vAlign w:val="center"/>
            <w:hideMark/>
          </w:tcPr>
          <w:p w14:paraId="029B88D7" w14:textId="2066CAEC" w:rsidR="00227915" w:rsidRPr="009D5DBE" w:rsidRDefault="00194BA2" w:rsidP="00D01679">
            <w:pPr>
              <w:rPr>
                <w:szCs w:val="21"/>
              </w:rPr>
            </w:pPr>
            <w:r w:rsidRPr="009D5DBE">
              <w:rPr>
                <w:szCs w:val="21"/>
              </w:rPr>
              <w:t xml:space="preserve">Origin: </w:t>
            </w:r>
            <w:r w:rsidR="00227915" w:rsidRPr="009D5DBE">
              <w:rPr>
                <w:szCs w:val="21"/>
              </w:rPr>
              <w:t>Eastern Mass</w:t>
            </w:r>
          </w:p>
        </w:tc>
        <w:tc>
          <w:tcPr>
            <w:tcW w:w="1365" w:type="dxa"/>
            <w:vAlign w:val="center"/>
          </w:tcPr>
          <w:p w14:paraId="23DD5681" w14:textId="77777777" w:rsidR="00227915" w:rsidRPr="009D5DBE" w:rsidRDefault="00227915" w:rsidP="00D01679">
            <w:pPr>
              <w:jc w:val="center"/>
              <w:rPr>
                <w:szCs w:val="21"/>
              </w:rPr>
            </w:pPr>
            <w:r w:rsidRPr="009D5DBE">
              <w:rPr>
                <w:szCs w:val="21"/>
              </w:rPr>
              <w:t>1,848</w:t>
            </w:r>
          </w:p>
        </w:tc>
        <w:tc>
          <w:tcPr>
            <w:tcW w:w="1365" w:type="dxa"/>
            <w:vAlign w:val="center"/>
          </w:tcPr>
          <w:p w14:paraId="7D4C67C2" w14:textId="77777777" w:rsidR="00227915" w:rsidRPr="009D5DBE" w:rsidRDefault="00227915" w:rsidP="00D01679">
            <w:pPr>
              <w:jc w:val="center"/>
              <w:rPr>
                <w:szCs w:val="21"/>
              </w:rPr>
            </w:pPr>
            <w:r w:rsidRPr="009D5DBE">
              <w:rPr>
                <w:szCs w:val="21"/>
              </w:rPr>
              <w:t>4.5%</w:t>
            </w:r>
          </w:p>
        </w:tc>
        <w:tc>
          <w:tcPr>
            <w:tcW w:w="1365" w:type="dxa"/>
            <w:vAlign w:val="center"/>
          </w:tcPr>
          <w:p w14:paraId="77356699" w14:textId="77777777" w:rsidR="00227915" w:rsidRPr="009D5DBE" w:rsidRDefault="00227915" w:rsidP="00D01679">
            <w:pPr>
              <w:jc w:val="center"/>
              <w:rPr>
                <w:szCs w:val="21"/>
              </w:rPr>
            </w:pPr>
            <w:r w:rsidRPr="009D5DBE">
              <w:rPr>
                <w:szCs w:val="21"/>
              </w:rPr>
              <w:t>1,820</w:t>
            </w:r>
          </w:p>
        </w:tc>
        <w:tc>
          <w:tcPr>
            <w:tcW w:w="1365" w:type="dxa"/>
            <w:vAlign w:val="center"/>
          </w:tcPr>
          <w:p w14:paraId="56ADF5CA" w14:textId="77777777" w:rsidR="00227915" w:rsidRPr="009D5DBE" w:rsidRDefault="00227915" w:rsidP="00D01679">
            <w:pPr>
              <w:jc w:val="center"/>
              <w:rPr>
                <w:szCs w:val="21"/>
              </w:rPr>
            </w:pPr>
            <w:r w:rsidRPr="009D5DBE">
              <w:rPr>
                <w:szCs w:val="21"/>
              </w:rPr>
              <w:t>4.4%</w:t>
            </w:r>
          </w:p>
        </w:tc>
        <w:tc>
          <w:tcPr>
            <w:tcW w:w="1365" w:type="dxa"/>
            <w:vAlign w:val="center"/>
          </w:tcPr>
          <w:p w14:paraId="6ABB2A1C" w14:textId="77777777" w:rsidR="00227915" w:rsidRPr="009D5DBE" w:rsidRDefault="00227915" w:rsidP="00D01679">
            <w:pPr>
              <w:jc w:val="center"/>
              <w:rPr>
                <w:szCs w:val="21"/>
              </w:rPr>
            </w:pPr>
            <w:r w:rsidRPr="009D5DBE">
              <w:rPr>
                <w:szCs w:val="21"/>
              </w:rPr>
              <w:t>1,928</w:t>
            </w:r>
          </w:p>
        </w:tc>
        <w:tc>
          <w:tcPr>
            <w:tcW w:w="1365" w:type="dxa"/>
            <w:vAlign w:val="center"/>
          </w:tcPr>
          <w:p w14:paraId="294B6B4F" w14:textId="77777777" w:rsidR="00227915" w:rsidRPr="009D5DBE" w:rsidRDefault="00227915" w:rsidP="00D01679">
            <w:pPr>
              <w:jc w:val="center"/>
              <w:rPr>
                <w:szCs w:val="21"/>
              </w:rPr>
            </w:pPr>
            <w:r w:rsidRPr="009D5DBE">
              <w:rPr>
                <w:szCs w:val="21"/>
              </w:rPr>
              <w:t>4.5%</w:t>
            </w:r>
          </w:p>
        </w:tc>
      </w:tr>
      <w:tr w:rsidR="00227915" w:rsidRPr="009D5DBE" w14:paraId="678D30C3" w14:textId="77777777" w:rsidTr="00D01679">
        <w:trPr>
          <w:cantSplit/>
          <w:trHeight w:val="273"/>
        </w:trPr>
        <w:tc>
          <w:tcPr>
            <w:tcW w:w="4860" w:type="dxa"/>
            <w:vAlign w:val="center"/>
            <w:hideMark/>
          </w:tcPr>
          <w:p w14:paraId="0B55BF7B" w14:textId="22837589" w:rsidR="00227915" w:rsidRPr="009D5DBE" w:rsidRDefault="00194BA2" w:rsidP="00D01679">
            <w:pPr>
              <w:rPr>
                <w:szCs w:val="21"/>
              </w:rPr>
            </w:pPr>
            <w:r w:rsidRPr="009D5DBE">
              <w:rPr>
                <w:szCs w:val="21"/>
              </w:rPr>
              <w:t xml:space="preserve">Origin: </w:t>
            </w:r>
            <w:r w:rsidR="00227915" w:rsidRPr="009D5DBE">
              <w:rPr>
                <w:szCs w:val="21"/>
              </w:rPr>
              <w:t>Western Mass</w:t>
            </w:r>
          </w:p>
        </w:tc>
        <w:tc>
          <w:tcPr>
            <w:tcW w:w="1365" w:type="dxa"/>
            <w:vAlign w:val="center"/>
          </w:tcPr>
          <w:p w14:paraId="739F98F0" w14:textId="77777777" w:rsidR="00227915" w:rsidRPr="009D5DBE" w:rsidRDefault="00227915" w:rsidP="00D01679">
            <w:pPr>
              <w:jc w:val="center"/>
              <w:rPr>
                <w:szCs w:val="21"/>
              </w:rPr>
            </w:pPr>
            <w:r w:rsidRPr="009D5DBE">
              <w:rPr>
                <w:szCs w:val="21"/>
              </w:rPr>
              <w:t>161</w:t>
            </w:r>
          </w:p>
        </w:tc>
        <w:tc>
          <w:tcPr>
            <w:tcW w:w="1365" w:type="dxa"/>
            <w:vAlign w:val="center"/>
          </w:tcPr>
          <w:p w14:paraId="4CBB256D" w14:textId="77777777" w:rsidR="00227915" w:rsidRPr="009D5DBE" w:rsidRDefault="00227915" w:rsidP="00D01679">
            <w:pPr>
              <w:jc w:val="center"/>
              <w:rPr>
                <w:szCs w:val="21"/>
              </w:rPr>
            </w:pPr>
            <w:r w:rsidRPr="009D5DBE">
              <w:rPr>
                <w:szCs w:val="21"/>
              </w:rPr>
              <w:t>0.4%</w:t>
            </w:r>
          </w:p>
        </w:tc>
        <w:tc>
          <w:tcPr>
            <w:tcW w:w="1365" w:type="dxa"/>
            <w:vAlign w:val="center"/>
          </w:tcPr>
          <w:p w14:paraId="4297925A" w14:textId="77777777" w:rsidR="00227915" w:rsidRPr="009D5DBE" w:rsidRDefault="00227915" w:rsidP="00D01679">
            <w:pPr>
              <w:jc w:val="center"/>
              <w:rPr>
                <w:szCs w:val="21"/>
              </w:rPr>
            </w:pPr>
            <w:r w:rsidRPr="009D5DBE">
              <w:rPr>
                <w:szCs w:val="21"/>
              </w:rPr>
              <w:t>161</w:t>
            </w:r>
          </w:p>
        </w:tc>
        <w:tc>
          <w:tcPr>
            <w:tcW w:w="1365" w:type="dxa"/>
            <w:vAlign w:val="center"/>
          </w:tcPr>
          <w:p w14:paraId="4BD652AC" w14:textId="77777777" w:rsidR="00227915" w:rsidRPr="009D5DBE" w:rsidRDefault="00227915" w:rsidP="00D01679">
            <w:pPr>
              <w:jc w:val="center"/>
              <w:rPr>
                <w:szCs w:val="21"/>
              </w:rPr>
            </w:pPr>
            <w:r w:rsidRPr="009D5DBE">
              <w:rPr>
                <w:szCs w:val="21"/>
              </w:rPr>
              <w:t>0.4%</w:t>
            </w:r>
          </w:p>
        </w:tc>
        <w:tc>
          <w:tcPr>
            <w:tcW w:w="1365" w:type="dxa"/>
            <w:vAlign w:val="center"/>
          </w:tcPr>
          <w:p w14:paraId="782E715D" w14:textId="77777777" w:rsidR="00227915" w:rsidRPr="009D5DBE" w:rsidRDefault="00227915" w:rsidP="00D01679">
            <w:pPr>
              <w:jc w:val="center"/>
              <w:rPr>
                <w:szCs w:val="21"/>
              </w:rPr>
            </w:pPr>
            <w:r w:rsidRPr="009D5DBE">
              <w:rPr>
                <w:szCs w:val="21"/>
              </w:rPr>
              <w:t>175</w:t>
            </w:r>
          </w:p>
        </w:tc>
        <w:tc>
          <w:tcPr>
            <w:tcW w:w="1365" w:type="dxa"/>
            <w:vAlign w:val="center"/>
          </w:tcPr>
          <w:p w14:paraId="28BFF7AB" w14:textId="77777777" w:rsidR="00227915" w:rsidRPr="009D5DBE" w:rsidRDefault="00227915" w:rsidP="00D01679">
            <w:pPr>
              <w:jc w:val="center"/>
              <w:rPr>
                <w:szCs w:val="21"/>
              </w:rPr>
            </w:pPr>
            <w:r w:rsidRPr="009D5DBE">
              <w:rPr>
                <w:szCs w:val="21"/>
              </w:rPr>
              <w:t>0.4%</w:t>
            </w:r>
          </w:p>
        </w:tc>
      </w:tr>
      <w:tr w:rsidR="00227915" w:rsidRPr="009D5DBE" w14:paraId="11BC5E76" w14:textId="77777777" w:rsidTr="00D01679">
        <w:trPr>
          <w:cantSplit/>
          <w:trHeight w:val="273"/>
        </w:trPr>
        <w:tc>
          <w:tcPr>
            <w:tcW w:w="4860" w:type="dxa"/>
            <w:vAlign w:val="center"/>
            <w:hideMark/>
          </w:tcPr>
          <w:p w14:paraId="2E949A48" w14:textId="2840CC48" w:rsidR="00227915" w:rsidRPr="009D5DBE" w:rsidRDefault="00194BA2" w:rsidP="00D01679">
            <w:pPr>
              <w:rPr>
                <w:szCs w:val="21"/>
              </w:rPr>
            </w:pPr>
            <w:r w:rsidRPr="009D5DBE">
              <w:rPr>
                <w:szCs w:val="21"/>
              </w:rPr>
              <w:t xml:space="preserve">Origin: </w:t>
            </w:r>
            <w:r w:rsidR="00227915" w:rsidRPr="009D5DBE">
              <w:rPr>
                <w:szCs w:val="21"/>
              </w:rPr>
              <w:t>Out of State</w:t>
            </w:r>
          </w:p>
        </w:tc>
        <w:tc>
          <w:tcPr>
            <w:tcW w:w="1365" w:type="dxa"/>
            <w:vAlign w:val="center"/>
          </w:tcPr>
          <w:p w14:paraId="15EF9626" w14:textId="77777777" w:rsidR="00227915" w:rsidRPr="009D5DBE" w:rsidRDefault="00227915" w:rsidP="00D01679">
            <w:pPr>
              <w:jc w:val="center"/>
              <w:rPr>
                <w:szCs w:val="21"/>
              </w:rPr>
            </w:pPr>
            <w:r w:rsidRPr="009D5DBE">
              <w:rPr>
                <w:szCs w:val="21"/>
              </w:rPr>
              <w:t>1,055</w:t>
            </w:r>
          </w:p>
        </w:tc>
        <w:tc>
          <w:tcPr>
            <w:tcW w:w="1365" w:type="dxa"/>
            <w:vAlign w:val="center"/>
          </w:tcPr>
          <w:p w14:paraId="235FE90D" w14:textId="77777777" w:rsidR="00227915" w:rsidRPr="009D5DBE" w:rsidRDefault="00227915" w:rsidP="00D01679">
            <w:pPr>
              <w:jc w:val="center"/>
              <w:rPr>
                <w:szCs w:val="21"/>
              </w:rPr>
            </w:pPr>
            <w:r w:rsidRPr="009D5DBE">
              <w:rPr>
                <w:szCs w:val="21"/>
              </w:rPr>
              <w:t>2.6%</w:t>
            </w:r>
          </w:p>
        </w:tc>
        <w:tc>
          <w:tcPr>
            <w:tcW w:w="1365" w:type="dxa"/>
            <w:vAlign w:val="center"/>
          </w:tcPr>
          <w:p w14:paraId="317C68DF" w14:textId="77777777" w:rsidR="00227915" w:rsidRPr="009D5DBE" w:rsidRDefault="00227915" w:rsidP="00D01679">
            <w:pPr>
              <w:jc w:val="center"/>
              <w:rPr>
                <w:szCs w:val="21"/>
              </w:rPr>
            </w:pPr>
            <w:r w:rsidRPr="009D5DBE">
              <w:rPr>
                <w:szCs w:val="21"/>
              </w:rPr>
              <w:t>875</w:t>
            </w:r>
          </w:p>
        </w:tc>
        <w:tc>
          <w:tcPr>
            <w:tcW w:w="1365" w:type="dxa"/>
            <w:vAlign w:val="center"/>
          </w:tcPr>
          <w:p w14:paraId="0CD001FD" w14:textId="77777777" w:rsidR="00227915" w:rsidRPr="009D5DBE" w:rsidRDefault="00227915" w:rsidP="00D01679">
            <w:pPr>
              <w:jc w:val="center"/>
              <w:rPr>
                <w:szCs w:val="21"/>
              </w:rPr>
            </w:pPr>
            <w:r w:rsidRPr="009D5DBE">
              <w:rPr>
                <w:szCs w:val="21"/>
              </w:rPr>
              <w:t>2.1%</w:t>
            </w:r>
          </w:p>
        </w:tc>
        <w:tc>
          <w:tcPr>
            <w:tcW w:w="1365" w:type="dxa"/>
            <w:vAlign w:val="center"/>
          </w:tcPr>
          <w:p w14:paraId="22E90B9F" w14:textId="77777777" w:rsidR="00227915" w:rsidRPr="009D5DBE" w:rsidRDefault="00227915" w:rsidP="00D01679">
            <w:pPr>
              <w:jc w:val="center"/>
              <w:rPr>
                <w:szCs w:val="21"/>
              </w:rPr>
            </w:pPr>
            <w:r w:rsidRPr="009D5DBE">
              <w:rPr>
                <w:szCs w:val="21"/>
              </w:rPr>
              <w:t>847</w:t>
            </w:r>
          </w:p>
        </w:tc>
        <w:tc>
          <w:tcPr>
            <w:tcW w:w="1365" w:type="dxa"/>
            <w:vAlign w:val="center"/>
          </w:tcPr>
          <w:p w14:paraId="616F9BE4" w14:textId="77777777" w:rsidR="00227915" w:rsidRPr="009D5DBE" w:rsidRDefault="00227915" w:rsidP="00D01679">
            <w:pPr>
              <w:jc w:val="center"/>
              <w:rPr>
                <w:szCs w:val="21"/>
              </w:rPr>
            </w:pPr>
            <w:r w:rsidRPr="009D5DBE">
              <w:rPr>
                <w:szCs w:val="21"/>
              </w:rPr>
              <w:t>2.0%</w:t>
            </w:r>
          </w:p>
        </w:tc>
      </w:tr>
    </w:tbl>
    <w:p w14:paraId="03BD0BF2" w14:textId="77777777" w:rsidR="00CC096F" w:rsidRPr="009D5DBE" w:rsidRDefault="00CC096F" w:rsidP="00227915">
      <w:pPr>
        <w:suppressAutoHyphens w:val="0"/>
        <w:spacing w:after="240"/>
        <w:jc w:val="both"/>
        <w:rPr>
          <w:rFonts w:eastAsia="PMingLiU"/>
          <w:kern w:val="0"/>
          <w:szCs w:val="21"/>
          <w14:ligatures w14:val="none"/>
        </w:rPr>
        <w:sectPr w:rsidR="00CC096F" w:rsidRPr="009D5DBE" w:rsidSect="00CC096F">
          <w:pgSz w:w="15840" w:h="12240" w:orient="landscape"/>
          <w:pgMar w:top="1440" w:right="1440" w:bottom="1440" w:left="1440" w:header="720" w:footer="720" w:gutter="0"/>
          <w:cols w:space="720"/>
          <w:docGrid w:linePitch="360"/>
        </w:sectPr>
      </w:pPr>
    </w:p>
    <w:p w14:paraId="1C684C0E" w14:textId="2F79BA63" w:rsidR="00227915" w:rsidRPr="009D5DBE" w:rsidRDefault="00227915" w:rsidP="00231FC7">
      <w:pPr>
        <w:pStyle w:val="HBsl"/>
      </w:pPr>
      <w:r w:rsidRPr="009D5DBE">
        <w:lastRenderedPageBreak/>
        <w:t>Marlborough Hospital Pay</w:t>
      </w:r>
      <w:r w:rsidR="00CC096F" w:rsidRPr="009D5DBE">
        <w:t>e</w:t>
      </w:r>
      <w:r w:rsidRPr="009D5DBE">
        <w:t>r Mix</w:t>
      </w:r>
    </w:p>
    <w:p w14:paraId="683A6DF4" w14:textId="1CD70247" w:rsidR="00227915" w:rsidRPr="009D5DBE" w:rsidRDefault="00227915" w:rsidP="00231FC7">
      <w:pPr>
        <w:pStyle w:val="HBblj"/>
        <w:rPr>
          <w:rFonts w:eastAsia="Calibri"/>
        </w:rPr>
      </w:pPr>
      <w:r w:rsidRPr="009D5DBE">
        <w:rPr>
          <w:rFonts w:eastAsia="Calibri"/>
        </w:rPr>
        <w:t xml:space="preserve">The table below illustrates that, like </w:t>
      </w:r>
      <w:r w:rsidR="00104191" w:rsidRPr="009D5DBE">
        <w:rPr>
          <w:rFonts w:eastAsia="PMingLiU"/>
        </w:rPr>
        <w:t>UMass Memorial</w:t>
      </w:r>
      <w:r w:rsidRPr="009D5DBE">
        <w:rPr>
          <w:rFonts w:eastAsia="Calibri"/>
        </w:rPr>
        <w:t xml:space="preserve">, Marlborough Hospital has a high percentage of </w:t>
      </w:r>
      <w:r w:rsidR="002B5CB3" w:rsidRPr="009D5DBE">
        <w:rPr>
          <w:rFonts w:eastAsia="Calibri"/>
        </w:rPr>
        <w:t>patients</w:t>
      </w:r>
      <w:r w:rsidRPr="009D5DBE">
        <w:rPr>
          <w:rFonts w:eastAsia="Calibri"/>
        </w:rPr>
        <w:t xml:space="preserve"> that participate in government insurance programs </w:t>
      </w:r>
      <w:r w:rsidR="002B5CB3" w:rsidRPr="009D5DBE">
        <w:rPr>
          <w:rFonts w:eastAsia="Calibri"/>
        </w:rPr>
        <w:t>comprising</w:t>
      </w:r>
      <w:r w:rsidRPr="009D5DBE">
        <w:rPr>
          <w:rFonts w:eastAsia="Calibri"/>
        </w:rPr>
        <w:t xml:space="preserve"> almost 70% of MH’s pay</w:t>
      </w:r>
      <w:r w:rsidR="00CC096F" w:rsidRPr="009D5DBE">
        <w:rPr>
          <w:rFonts w:eastAsia="Calibri"/>
        </w:rPr>
        <w:t>e</w:t>
      </w:r>
      <w:r w:rsidRPr="009D5DBE">
        <w:rPr>
          <w:rFonts w:eastAsia="Calibri"/>
        </w:rPr>
        <w:t xml:space="preserve">r mix. </w:t>
      </w:r>
    </w:p>
    <w:tbl>
      <w:tblPr>
        <w:tblStyle w:val="TableGrid"/>
        <w:tblW w:w="9450" w:type="dxa"/>
        <w:tblInd w:w="-5" w:type="dxa"/>
        <w:tblLook w:val="04A0" w:firstRow="1" w:lastRow="0" w:firstColumn="1" w:lastColumn="0" w:noHBand="0" w:noVBand="1"/>
      </w:tblPr>
      <w:tblGrid>
        <w:gridCol w:w="4950"/>
        <w:gridCol w:w="1500"/>
        <w:gridCol w:w="1500"/>
        <w:gridCol w:w="1500"/>
      </w:tblGrid>
      <w:tr w:rsidR="00227915" w:rsidRPr="009D5DBE" w14:paraId="5758C55D" w14:textId="77777777" w:rsidTr="00F00880">
        <w:trPr>
          <w:cantSplit/>
          <w:tblHeader/>
        </w:trPr>
        <w:tc>
          <w:tcPr>
            <w:tcW w:w="4950" w:type="dxa"/>
            <w:shd w:val="clear" w:color="auto" w:fill="D9D9D9" w:themeFill="background1" w:themeFillShade="D9"/>
            <w:vAlign w:val="center"/>
          </w:tcPr>
          <w:p w14:paraId="6F522ED3" w14:textId="62219F99" w:rsidR="00227915" w:rsidRPr="009D5DBE" w:rsidRDefault="009D5DBE" w:rsidP="009D5DBE">
            <w:pPr>
              <w:rPr>
                <w:b/>
                <w:bCs/>
                <w:szCs w:val="21"/>
              </w:rPr>
            </w:pPr>
            <w:r w:rsidRPr="009D5DBE">
              <w:rPr>
                <w:rFonts w:eastAsia="PMingLiU"/>
                <w:b/>
                <w:bCs/>
                <w:kern w:val="0"/>
                <w:szCs w:val="21"/>
                <w14:ligatures w14:val="none"/>
              </w:rPr>
              <w:t>Table 4: MH Payer Mix</w:t>
            </w:r>
          </w:p>
        </w:tc>
        <w:tc>
          <w:tcPr>
            <w:tcW w:w="1500" w:type="dxa"/>
            <w:shd w:val="clear" w:color="auto" w:fill="D9D9D9" w:themeFill="background1" w:themeFillShade="D9"/>
            <w:vAlign w:val="center"/>
            <w:hideMark/>
          </w:tcPr>
          <w:p w14:paraId="7F224993" w14:textId="00AF41F8" w:rsidR="00227915" w:rsidRPr="009D5DBE" w:rsidRDefault="00227915" w:rsidP="00CC096F">
            <w:pPr>
              <w:jc w:val="center"/>
              <w:rPr>
                <w:b/>
                <w:bCs/>
                <w:szCs w:val="21"/>
              </w:rPr>
            </w:pPr>
            <w:r w:rsidRPr="009D5DBE">
              <w:rPr>
                <w:b/>
                <w:bCs/>
                <w:szCs w:val="21"/>
              </w:rPr>
              <w:t xml:space="preserve">FY22 </w:t>
            </w:r>
          </w:p>
        </w:tc>
        <w:tc>
          <w:tcPr>
            <w:tcW w:w="1500" w:type="dxa"/>
            <w:shd w:val="clear" w:color="auto" w:fill="D9D9D9" w:themeFill="background1" w:themeFillShade="D9"/>
            <w:vAlign w:val="center"/>
            <w:hideMark/>
          </w:tcPr>
          <w:p w14:paraId="616D936C" w14:textId="5E826FEE" w:rsidR="00227915" w:rsidRPr="009D5DBE" w:rsidRDefault="00227915" w:rsidP="003908BA">
            <w:pPr>
              <w:jc w:val="center"/>
              <w:rPr>
                <w:b/>
                <w:bCs/>
                <w:szCs w:val="21"/>
              </w:rPr>
            </w:pPr>
            <w:r w:rsidRPr="009D5DBE">
              <w:rPr>
                <w:b/>
                <w:bCs/>
                <w:szCs w:val="21"/>
              </w:rPr>
              <w:t xml:space="preserve">FY23 </w:t>
            </w:r>
          </w:p>
        </w:tc>
        <w:tc>
          <w:tcPr>
            <w:tcW w:w="1500" w:type="dxa"/>
            <w:shd w:val="clear" w:color="auto" w:fill="D9D9D9" w:themeFill="background1" w:themeFillShade="D9"/>
            <w:vAlign w:val="center"/>
          </w:tcPr>
          <w:p w14:paraId="43BD7C5D" w14:textId="4D0CD713" w:rsidR="00227915" w:rsidRPr="009D5DBE" w:rsidRDefault="00227915" w:rsidP="003908BA">
            <w:pPr>
              <w:jc w:val="center"/>
              <w:rPr>
                <w:b/>
                <w:bCs/>
                <w:szCs w:val="21"/>
              </w:rPr>
            </w:pPr>
            <w:r w:rsidRPr="009D5DBE">
              <w:rPr>
                <w:b/>
                <w:bCs/>
                <w:szCs w:val="21"/>
              </w:rPr>
              <w:t xml:space="preserve">FY24 </w:t>
            </w:r>
          </w:p>
        </w:tc>
      </w:tr>
      <w:tr w:rsidR="00227915" w:rsidRPr="009D5DBE" w14:paraId="6B8C836E" w14:textId="77777777" w:rsidTr="00F00880">
        <w:trPr>
          <w:cantSplit/>
        </w:trPr>
        <w:tc>
          <w:tcPr>
            <w:tcW w:w="4950" w:type="dxa"/>
            <w:vAlign w:val="center"/>
            <w:hideMark/>
          </w:tcPr>
          <w:p w14:paraId="039868DD" w14:textId="77777777" w:rsidR="00227915" w:rsidRPr="009D5DBE" w:rsidRDefault="00227915" w:rsidP="003908BA">
            <w:pPr>
              <w:rPr>
                <w:szCs w:val="21"/>
              </w:rPr>
            </w:pPr>
            <w:r w:rsidRPr="009D5DBE">
              <w:rPr>
                <w:szCs w:val="21"/>
              </w:rPr>
              <w:t>Commercial PPO/ Indemnity</w:t>
            </w:r>
          </w:p>
        </w:tc>
        <w:tc>
          <w:tcPr>
            <w:tcW w:w="1500" w:type="dxa"/>
            <w:shd w:val="clear" w:color="auto" w:fill="auto"/>
            <w:vAlign w:val="center"/>
          </w:tcPr>
          <w:p w14:paraId="08FBA53B" w14:textId="77777777" w:rsidR="00227915" w:rsidRPr="009D5DBE" w:rsidRDefault="00227915" w:rsidP="003908BA">
            <w:pPr>
              <w:jc w:val="center"/>
              <w:rPr>
                <w:szCs w:val="21"/>
              </w:rPr>
            </w:pPr>
            <w:r w:rsidRPr="009D5DBE">
              <w:rPr>
                <w:szCs w:val="21"/>
              </w:rPr>
              <w:t>1.2%</w:t>
            </w:r>
          </w:p>
        </w:tc>
        <w:tc>
          <w:tcPr>
            <w:tcW w:w="1500" w:type="dxa"/>
            <w:shd w:val="clear" w:color="auto" w:fill="auto"/>
            <w:vAlign w:val="center"/>
          </w:tcPr>
          <w:p w14:paraId="38FE6BBA" w14:textId="77777777" w:rsidR="00227915" w:rsidRPr="009D5DBE" w:rsidRDefault="00227915" w:rsidP="003908BA">
            <w:pPr>
              <w:jc w:val="center"/>
              <w:rPr>
                <w:szCs w:val="21"/>
              </w:rPr>
            </w:pPr>
            <w:r w:rsidRPr="009D5DBE">
              <w:rPr>
                <w:szCs w:val="21"/>
              </w:rPr>
              <w:t>1.0%</w:t>
            </w:r>
          </w:p>
        </w:tc>
        <w:tc>
          <w:tcPr>
            <w:tcW w:w="1500" w:type="dxa"/>
            <w:shd w:val="clear" w:color="auto" w:fill="auto"/>
            <w:vAlign w:val="center"/>
          </w:tcPr>
          <w:p w14:paraId="13778741" w14:textId="77777777" w:rsidR="00227915" w:rsidRPr="009D5DBE" w:rsidRDefault="00227915" w:rsidP="003908BA">
            <w:pPr>
              <w:jc w:val="center"/>
              <w:rPr>
                <w:szCs w:val="21"/>
              </w:rPr>
            </w:pPr>
            <w:r w:rsidRPr="009D5DBE">
              <w:rPr>
                <w:szCs w:val="21"/>
              </w:rPr>
              <w:t>0.9%</w:t>
            </w:r>
          </w:p>
        </w:tc>
      </w:tr>
      <w:tr w:rsidR="00227915" w:rsidRPr="009D5DBE" w14:paraId="7F535720" w14:textId="77777777" w:rsidTr="00F00880">
        <w:trPr>
          <w:cantSplit/>
        </w:trPr>
        <w:tc>
          <w:tcPr>
            <w:tcW w:w="4950" w:type="dxa"/>
            <w:vAlign w:val="center"/>
            <w:hideMark/>
          </w:tcPr>
          <w:p w14:paraId="089B035B" w14:textId="77777777" w:rsidR="00227915" w:rsidRPr="009D5DBE" w:rsidRDefault="00227915" w:rsidP="003908BA">
            <w:pPr>
              <w:rPr>
                <w:szCs w:val="21"/>
              </w:rPr>
            </w:pPr>
            <w:r w:rsidRPr="009D5DBE">
              <w:rPr>
                <w:szCs w:val="21"/>
              </w:rPr>
              <w:t>Commercial HMO/ POS</w:t>
            </w:r>
          </w:p>
        </w:tc>
        <w:tc>
          <w:tcPr>
            <w:tcW w:w="1500" w:type="dxa"/>
            <w:shd w:val="clear" w:color="auto" w:fill="auto"/>
            <w:vAlign w:val="center"/>
          </w:tcPr>
          <w:p w14:paraId="3DDC7F38" w14:textId="77777777" w:rsidR="00227915" w:rsidRPr="009D5DBE" w:rsidRDefault="00227915" w:rsidP="003908BA">
            <w:pPr>
              <w:jc w:val="center"/>
              <w:rPr>
                <w:szCs w:val="21"/>
              </w:rPr>
            </w:pPr>
            <w:r w:rsidRPr="009D5DBE">
              <w:rPr>
                <w:szCs w:val="21"/>
              </w:rPr>
              <w:t>26.3%</w:t>
            </w:r>
          </w:p>
        </w:tc>
        <w:tc>
          <w:tcPr>
            <w:tcW w:w="1500" w:type="dxa"/>
            <w:shd w:val="clear" w:color="auto" w:fill="auto"/>
            <w:vAlign w:val="center"/>
          </w:tcPr>
          <w:p w14:paraId="4F0953EB" w14:textId="77777777" w:rsidR="00227915" w:rsidRPr="009D5DBE" w:rsidRDefault="00227915" w:rsidP="003908BA">
            <w:pPr>
              <w:jc w:val="center"/>
              <w:rPr>
                <w:szCs w:val="21"/>
              </w:rPr>
            </w:pPr>
            <w:r w:rsidRPr="009D5DBE">
              <w:rPr>
                <w:szCs w:val="21"/>
              </w:rPr>
              <w:t>27.0%</w:t>
            </w:r>
          </w:p>
        </w:tc>
        <w:tc>
          <w:tcPr>
            <w:tcW w:w="1500" w:type="dxa"/>
            <w:shd w:val="clear" w:color="auto" w:fill="auto"/>
            <w:vAlign w:val="center"/>
          </w:tcPr>
          <w:p w14:paraId="33E550A3" w14:textId="77777777" w:rsidR="00227915" w:rsidRPr="009D5DBE" w:rsidRDefault="00227915" w:rsidP="003908BA">
            <w:pPr>
              <w:jc w:val="center"/>
              <w:rPr>
                <w:szCs w:val="21"/>
              </w:rPr>
            </w:pPr>
            <w:r w:rsidRPr="009D5DBE">
              <w:rPr>
                <w:szCs w:val="21"/>
              </w:rPr>
              <w:t>25.1%</w:t>
            </w:r>
          </w:p>
        </w:tc>
      </w:tr>
      <w:tr w:rsidR="00227915" w:rsidRPr="009D5DBE" w14:paraId="76AE27D0" w14:textId="77777777" w:rsidTr="00F00880">
        <w:trPr>
          <w:cantSplit/>
        </w:trPr>
        <w:tc>
          <w:tcPr>
            <w:tcW w:w="4950" w:type="dxa"/>
            <w:vAlign w:val="center"/>
            <w:hideMark/>
          </w:tcPr>
          <w:p w14:paraId="3B4265A1" w14:textId="77777777" w:rsidR="00227915" w:rsidRPr="009D5DBE" w:rsidRDefault="00227915" w:rsidP="003908BA">
            <w:pPr>
              <w:rPr>
                <w:szCs w:val="21"/>
              </w:rPr>
            </w:pPr>
            <w:r w:rsidRPr="009D5DBE">
              <w:rPr>
                <w:szCs w:val="21"/>
              </w:rPr>
              <w:t>MassHealth</w:t>
            </w:r>
          </w:p>
        </w:tc>
        <w:tc>
          <w:tcPr>
            <w:tcW w:w="1500" w:type="dxa"/>
            <w:shd w:val="clear" w:color="auto" w:fill="auto"/>
            <w:vAlign w:val="center"/>
          </w:tcPr>
          <w:p w14:paraId="7D41A6D4" w14:textId="77777777" w:rsidR="00227915" w:rsidRPr="009D5DBE" w:rsidRDefault="00227915" w:rsidP="003908BA">
            <w:pPr>
              <w:jc w:val="center"/>
              <w:rPr>
                <w:szCs w:val="21"/>
              </w:rPr>
            </w:pPr>
            <w:r w:rsidRPr="009D5DBE">
              <w:rPr>
                <w:szCs w:val="21"/>
              </w:rPr>
              <w:t>14.2%</w:t>
            </w:r>
          </w:p>
        </w:tc>
        <w:tc>
          <w:tcPr>
            <w:tcW w:w="1500" w:type="dxa"/>
            <w:shd w:val="clear" w:color="auto" w:fill="auto"/>
            <w:vAlign w:val="center"/>
          </w:tcPr>
          <w:p w14:paraId="5AAA0EF2" w14:textId="77777777" w:rsidR="00227915" w:rsidRPr="009D5DBE" w:rsidRDefault="00227915" w:rsidP="003908BA">
            <w:pPr>
              <w:jc w:val="center"/>
              <w:rPr>
                <w:szCs w:val="21"/>
              </w:rPr>
            </w:pPr>
            <w:r w:rsidRPr="009D5DBE">
              <w:rPr>
                <w:szCs w:val="21"/>
              </w:rPr>
              <w:t>13.8%</w:t>
            </w:r>
          </w:p>
        </w:tc>
        <w:tc>
          <w:tcPr>
            <w:tcW w:w="1500" w:type="dxa"/>
            <w:shd w:val="clear" w:color="auto" w:fill="auto"/>
            <w:vAlign w:val="center"/>
          </w:tcPr>
          <w:p w14:paraId="490C4489" w14:textId="77777777" w:rsidR="00227915" w:rsidRPr="009D5DBE" w:rsidRDefault="00227915" w:rsidP="003908BA">
            <w:pPr>
              <w:jc w:val="center"/>
              <w:rPr>
                <w:szCs w:val="21"/>
              </w:rPr>
            </w:pPr>
            <w:r w:rsidRPr="009D5DBE">
              <w:rPr>
                <w:szCs w:val="21"/>
              </w:rPr>
              <w:t>10.8%</w:t>
            </w:r>
          </w:p>
        </w:tc>
      </w:tr>
      <w:tr w:rsidR="00227915" w:rsidRPr="009D5DBE" w14:paraId="1CCA58E6" w14:textId="77777777" w:rsidTr="00F00880">
        <w:trPr>
          <w:cantSplit/>
        </w:trPr>
        <w:tc>
          <w:tcPr>
            <w:tcW w:w="4950" w:type="dxa"/>
            <w:vAlign w:val="center"/>
            <w:hideMark/>
          </w:tcPr>
          <w:p w14:paraId="123A53EC" w14:textId="0BBBFBB9" w:rsidR="00227915" w:rsidRPr="009D5DBE" w:rsidRDefault="00227915" w:rsidP="003908BA">
            <w:pPr>
              <w:rPr>
                <w:szCs w:val="21"/>
              </w:rPr>
            </w:pPr>
            <w:r w:rsidRPr="009D5DBE">
              <w:rPr>
                <w:szCs w:val="21"/>
              </w:rPr>
              <w:t xml:space="preserve">Managed Medicaid </w:t>
            </w:r>
            <w:r w:rsidR="00D01679" w:rsidRPr="009D5DBE">
              <w:rPr>
                <w:szCs w:val="21"/>
              </w:rPr>
              <w:t>(ACO/MCO)</w:t>
            </w:r>
          </w:p>
        </w:tc>
        <w:tc>
          <w:tcPr>
            <w:tcW w:w="1500" w:type="dxa"/>
            <w:shd w:val="clear" w:color="auto" w:fill="auto"/>
            <w:vAlign w:val="center"/>
          </w:tcPr>
          <w:p w14:paraId="62B233DD" w14:textId="77777777" w:rsidR="00227915" w:rsidRPr="009D5DBE" w:rsidRDefault="00227915" w:rsidP="003908BA">
            <w:pPr>
              <w:jc w:val="center"/>
              <w:rPr>
                <w:szCs w:val="21"/>
              </w:rPr>
            </w:pPr>
            <w:r w:rsidRPr="009D5DBE">
              <w:rPr>
                <w:szCs w:val="21"/>
              </w:rPr>
              <w:t>7.5%</w:t>
            </w:r>
          </w:p>
        </w:tc>
        <w:tc>
          <w:tcPr>
            <w:tcW w:w="1500" w:type="dxa"/>
            <w:shd w:val="clear" w:color="auto" w:fill="auto"/>
            <w:vAlign w:val="center"/>
          </w:tcPr>
          <w:p w14:paraId="697C88CA" w14:textId="77777777" w:rsidR="00227915" w:rsidRPr="009D5DBE" w:rsidRDefault="00227915" w:rsidP="003908BA">
            <w:pPr>
              <w:jc w:val="center"/>
              <w:rPr>
                <w:szCs w:val="21"/>
              </w:rPr>
            </w:pPr>
            <w:r w:rsidRPr="009D5DBE">
              <w:rPr>
                <w:szCs w:val="21"/>
              </w:rPr>
              <w:t>9.8%</w:t>
            </w:r>
          </w:p>
        </w:tc>
        <w:tc>
          <w:tcPr>
            <w:tcW w:w="1500" w:type="dxa"/>
            <w:shd w:val="clear" w:color="auto" w:fill="auto"/>
            <w:vAlign w:val="center"/>
          </w:tcPr>
          <w:p w14:paraId="69988F9D" w14:textId="77777777" w:rsidR="00227915" w:rsidRPr="009D5DBE" w:rsidRDefault="00227915" w:rsidP="003908BA">
            <w:pPr>
              <w:jc w:val="center"/>
              <w:rPr>
                <w:szCs w:val="21"/>
              </w:rPr>
            </w:pPr>
            <w:r w:rsidRPr="009D5DBE">
              <w:rPr>
                <w:szCs w:val="21"/>
              </w:rPr>
              <w:t>12.5%</w:t>
            </w:r>
          </w:p>
        </w:tc>
      </w:tr>
      <w:tr w:rsidR="00227915" w:rsidRPr="009D5DBE" w14:paraId="298F4336" w14:textId="77777777" w:rsidTr="00F00880">
        <w:trPr>
          <w:cantSplit/>
        </w:trPr>
        <w:tc>
          <w:tcPr>
            <w:tcW w:w="4950" w:type="dxa"/>
            <w:vAlign w:val="center"/>
            <w:hideMark/>
          </w:tcPr>
          <w:p w14:paraId="212A7E6D" w14:textId="74993838" w:rsidR="00227915" w:rsidRPr="009D5DBE" w:rsidRDefault="00194BA2" w:rsidP="00194BA2">
            <w:pPr>
              <w:rPr>
                <w:szCs w:val="21"/>
              </w:rPr>
            </w:pPr>
            <w:r w:rsidRPr="009D5DBE">
              <w:rPr>
                <w:szCs w:val="21"/>
              </w:rPr>
              <w:t xml:space="preserve">Managed </w:t>
            </w:r>
            <w:r w:rsidR="00227915" w:rsidRPr="009D5DBE">
              <w:rPr>
                <w:szCs w:val="21"/>
              </w:rPr>
              <w:t>Medicare (Medicare Advantage)</w:t>
            </w:r>
          </w:p>
        </w:tc>
        <w:tc>
          <w:tcPr>
            <w:tcW w:w="1500" w:type="dxa"/>
            <w:shd w:val="clear" w:color="auto" w:fill="auto"/>
            <w:vAlign w:val="center"/>
          </w:tcPr>
          <w:p w14:paraId="7640DC8F" w14:textId="77777777" w:rsidR="00227915" w:rsidRPr="009D5DBE" w:rsidRDefault="00227915" w:rsidP="003908BA">
            <w:pPr>
              <w:jc w:val="center"/>
              <w:rPr>
                <w:szCs w:val="21"/>
              </w:rPr>
            </w:pPr>
            <w:r w:rsidRPr="009D5DBE">
              <w:rPr>
                <w:szCs w:val="21"/>
              </w:rPr>
              <w:t>18.8%</w:t>
            </w:r>
          </w:p>
        </w:tc>
        <w:tc>
          <w:tcPr>
            <w:tcW w:w="1500" w:type="dxa"/>
            <w:shd w:val="clear" w:color="auto" w:fill="auto"/>
            <w:vAlign w:val="center"/>
          </w:tcPr>
          <w:p w14:paraId="315A464C" w14:textId="77777777" w:rsidR="00227915" w:rsidRPr="009D5DBE" w:rsidRDefault="00227915" w:rsidP="003908BA">
            <w:pPr>
              <w:jc w:val="center"/>
              <w:rPr>
                <w:szCs w:val="21"/>
              </w:rPr>
            </w:pPr>
            <w:r w:rsidRPr="009D5DBE">
              <w:rPr>
                <w:szCs w:val="21"/>
              </w:rPr>
              <w:t>19.1%</w:t>
            </w:r>
          </w:p>
        </w:tc>
        <w:tc>
          <w:tcPr>
            <w:tcW w:w="1500" w:type="dxa"/>
            <w:shd w:val="clear" w:color="auto" w:fill="auto"/>
            <w:vAlign w:val="center"/>
          </w:tcPr>
          <w:p w14:paraId="6F479E42" w14:textId="77777777" w:rsidR="00227915" w:rsidRPr="009D5DBE" w:rsidRDefault="00227915" w:rsidP="003908BA">
            <w:pPr>
              <w:jc w:val="center"/>
              <w:rPr>
                <w:szCs w:val="21"/>
              </w:rPr>
            </w:pPr>
            <w:r w:rsidRPr="009D5DBE">
              <w:rPr>
                <w:szCs w:val="21"/>
              </w:rPr>
              <w:t>20.4%</w:t>
            </w:r>
          </w:p>
        </w:tc>
      </w:tr>
      <w:tr w:rsidR="00227915" w:rsidRPr="009D5DBE" w14:paraId="476C7DAE" w14:textId="77777777" w:rsidTr="00F00880">
        <w:trPr>
          <w:cantSplit/>
        </w:trPr>
        <w:tc>
          <w:tcPr>
            <w:tcW w:w="4950" w:type="dxa"/>
            <w:vAlign w:val="center"/>
            <w:hideMark/>
          </w:tcPr>
          <w:p w14:paraId="7812448F" w14:textId="77777777" w:rsidR="00227915" w:rsidRPr="009D5DBE" w:rsidRDefault="00227915" w:rsidP="003908BA">
            <w:pPr>
              <w:rPr>
                <w:szCs w:val="21"/>
              </w:rPr>
            </w:pPr>
            <w:r w:rsidRPr="009D5DBE">
              <w:rPr>
                <w:szCs w:val="21"/>
              </w:rPr>
              <w:t>Medicare FFS</w:t>
            </w:r>
          </w:p>
        </w:tc>
        <w:tc>
          <w:tcPr>
            <w:tcW w:w="1500" w:type="dxa"/>
            <w:shd w:val="clear" w:color="auto" w:fill="auto"/>
            <w:vAlign w:val="center"/>
          </w:tcPr>
          <w:p w14:paraId="6FDD08E6" w14:textId="77777777" w:rsidR="00227915" w:rsidRPr="009D5DBE" w:rsidRDefault="00227915" w:rsidP="003908BA">
            <w:pPr>
              <w:jc w:val="center"/>
              <w:rPr>
                <w:szCs w:val="21"/>
              </w:rPr>
            </w:pPr>
            <w:r w:rsidRPr="009D5DBE">
              <w:rPr>
                <w:szCs w:val="21"/>
              </w:rPr>
              <w:t>27.4%</w:t>
            </w:r>
          </w:p>
        </w:tc>
        <w:tc>
          <w:tcPr>
            <w:tcW w:w="1500" w:type="dxa"/>
            <w:shd w:val="clear" w:color="auto" w:fill="auto"/>
            <w:vAlign w:val="center"/>
          </w:tcPr>
          <w:p w14:paraId="0DAB4F93" w14:textId="77777777" w:rsidR="00227915" w:rsidRPr="009D5DBE" w:rsidRDefault="00227915" w:rsidP="003908BA">
            <w:pPr>
              <w:jc w:val="center"/>
              <w:rPr>
                <w:szCs w:val="21"/>
              </w:rPr>
            </w:pPr>
            <w:r w:rsidRPr="009D5DBE">
              <w:rPr>
                <w:szCs w:val="21"/>
              </w:rPr>
              <w:t>25.4%</w:t>
            </w:r>
          </w:p>
        </w:tc>
        <w:tc>
          <w:tcPr>
            <w:tcW w:w="1500" w:type="dxa"/>
            <w:shd w:val="clear" w:color="auto" w:fill="auto"/>
            <w:vAlign w:val="center"/>
          </w:tcPr>
          <w:p w14:paraId="00188329" w14:textId="77777777" w:rsidR="00227915" w:rsidRPr="009D5DBE" w:rsidRDefault="00227915" w:rsidP="003908BA">
            <w:pPr>
              <w:jc w:val="center"/>
              <w:rPr>
                <w:szCs w:val="21"/>
              </w:rPr>
            </w:pPr>
            <w:r w:rsidRPr="009D5DBE">
              <w:rPr>
                <w:szCs w:val="21"/>
              </w:rPr>
              <w:t>25.4%</w:t>
            </w:r>
          </w:p>
        </w:tc>
      </w:tr>
      <w:tr w:rsidR="00227915" w:rsidRPr="009D5DBE" w14:paraId="4CA7C3FD" w14:textId="77777777" w:rsidTr="00F00880">
        <w:trPr>
          <w:cantSplit/>
        </w:trPr>
        <w:tc>
          <w:tcPr>
            <w:tcW w:w="4950" w:type="dxa"/>
            <w:vAlign w:val="center"/>
            <w:hideMark/>
          </w:tcPr>
          <w:p w14:paraId="281E687C" w14:textId="77777777" w:rsidR="00227915" w:rsidRPr="009D5DBE" w:rsidRDefault="00227915" w:rsidP="003908BA">
            <w:pPr>
              <w:rPr>
                <w:szCs w:val="21"/>
              </w:rPr>
            </w:pPr>
            <w:r w:rsidRPr="009D5DBE">
              <w:rPr>
                <w:szCs w:val="21"/>
              </w:rPr>
              <w:t xml:space="preserve">All other (e.g. HSN, self-pay, </w:t>
            </w:r>
            <w:proofErr w:type="spellStart"/>
            <w:r w:rsidRPr="009D5DBE">
              <w:rPr>
                <w:szCs w:val="21"/>
              </w:rPr>
              <w:t>TriCare</w:t>
            </w:r>
            <w:proofErr w:type="spellEnd"/>
            <w:r w:rsidRPr="009D5DBE">
              <w:rPr>
                <w:szCs w:val="21"/>
              </w:rPr>
              <w:t>)</w:t>
            </w:r>
          </w:p>
        </w:tc>
        <w:tc>
          <w:tcPr>
            <w:tcW w:w="1500" w:type="dxa"/>
            <w:shd w:val="clear" w:color="auto" w:fill="auto"/>
            <w:vAlign w:val="center"/>
          </w:tcPr>
          <w:p w14:paraId="319B3038" w14:textId="77777777" w:rsidR="00227915" w:rsidRPr="009D5DBE" w:rsidRDefault="00227915" w:rsidP="003908BA">
            <w:pPr>
              <w:jc w:val="center"/>
              <w:rPr>
                <w:szCs w:val="21"/>
              </w:rPr>
            </w:pPr>
            <w:r w:rsidRPr="009D5DBE">
              <w:rPr>
                <w:szCs w:val="21"/>
              </w:rPr>
              <w:t>4.6%</w:t>
            </w:r>
          </w:p>
        </w:tc>
        <w:tc>
          <w:tcPr>
            <w:tcW w:w="1500" w:type="dxa"/>
            <w:shd w:val="clear" w:color="auto" w:fill="auto"/>
            <w:vAlign w:val="center"/>
          </w:tcPr>
          <w:p w14:paraId="29959FA6" w14:textId="77777777" w:rsidR="00227915" w:rsidRPr="009D5DBE" w:rsidRDefault="00227915" w:rsidP="003908BA">
            <w:pPr>
              <w:jc w:val="center"/>
              <w:rPr>
                <w:szCs w:val="21"/>
              </w:rPr>
            </w:pPr>
            <w:r w:rsidRPr="009D5DBE">
              <w:rPr>
                <w:szCs w:val="21"/>
              </w:rPr>
              <w:t>4.0%</w:t>
            </w:r>
          </w:p>
        </w:tc>
        <w:tc>
          <w:tcPr>
            <w:tcW w:w="1500" w:type="dxa"/>
            <w:shd w:val="clear" w:color="auto" w:fill="auto"/>
            <w:vAlign w:val="center"/>
          </w:tcPr>
          <w:p w14:paraId="6C1A6BD5" w14:textId="77777777" w:rsidR="00227915" w:rsidRPr="009D5DBE" w:rsidRDefault="00227915" w:rsidP="003908BA">
            <w:pPr>
              <w:jc w:val="center"/>
              <w:rPr>
                <w:szCs w:val="21"/>
              </w:rPr>
            </w:pPr>
            <w:r w:rsidRPr="009D5DBE">
              <w:rPr>
                <w:szCs w:val="21"/>
              </w:rPr>
              <w:t>4.8%</w:t>
            </w:r>
          </w:p>
        </w:tc>
      </w:tr>
      <w:tr w:rsidR="00227915" w:rsidRPr="009D5DBE" w14:paraId="3737C48D" w14:textId="77777777" w:rsidTr="00F00880">
        <w:trPr>
          <w:cantSplit/>
        </w:trPr>
        <w:tc>
          <w:tcPr>
            <w:tcW w:w="4950" w:type="dxa"/>
            <w:vAlign w:val="center"/>
            <w:hideMark/>
          </w:tcPr>
          <w:p w14:paraId="5B169341" w14:textId="77777777" w:rsidR="00227915" w:rsidRPr="009D5DBE" w:rsidRDefault="00227915" w:rsidP="003908BA">
            <w:pPr>
              <w:rPr>
                <w:b/>
                <w:bCs/>
                <w:szCs w:val="21"/>
              </w:rPr>
            </w:pPr>
            <w:r w:rsidRPr="009D5DBE">
              <w:rPr>
                <w:b/>
                <w:bCs/>
                <w:szCs w:val="21"/>
              </w:rPr>
              <w:t>Total</w:t>
            </w:r>
          </w:p>
        </w:tc>
        <w:tc>
          <w:tcPr>
            <w:tcW w:w="1500" w:type="dxa"/>
            <w:shd w:val="clear" w:color="auto" w:fill="auto"/>
            <w:vAlign w:val="center"/>
            <w:hideMark/>
          </w:tcPr>
          <w:p w14:paraId="0C1C165C" w14:textId="77777777" w:rsidR="00227915" w:rsidRPr="009D5DBE" w:rsidRDefault="00227915" w:rsidP="003908BA">
            <w:pPr>
              <w:jc w:val="center"/>
              <w:rPr>
                <w:b/>
                <w:bCs/>
                <w:szCs w:val="21"/>
              </w:rPr>
            </w:pPr>
            <w:r w:rsidRPr="009D5DBE">
              <w:rPr>
                <w:b/>
                <w:bCs/>
                <w:szCs w:val="21"/>
              </w:rPr>
              <w:t>100.0%</w:t>
            </w:r>
          </w:p>
        </w:tc>
        <w:tc>
          <w:tcPr>
            <w:tcW w:w="1500" w:type="dxa"/>
            <w:shd w:val="clear" w:color="auto" w:fill="auto"/>
            <w:vAlign w:val="center"/>
            <w:hideMark/>
          </w:tcPr>
          <w:p w14:paraId="2C92708F" w14:textId="77777777" w:rsidR="00227915" w:rsidRPr="009D5DBE" w:rsidRDefault="00227915" w:rsidP="003908BA">
            <w:pPr>
              <w:jc w:val="center"/>
              <w:rPr>
                <w:b/>
                <w:bCs/>
                <w:szCs w:val="21"/>
              </w:rPr>
            </w:pPr>
            <w:r w:rsidRPr="009D5DBE">
              <w:rPr>
                <w:b/>
                <w:bCs/>
                <w:szCs w:val="21"/>
              </w:rPr>
              <w:t>100.0%</w:t>
            </w:r>
          </w:p>
        </w:tc>
        <w:tc>
          <w:tcPr>
            <w:tcW w:w="1500" w:type="dxa"/>
            <w:shd w:val="clear" w:color="auto" w:fill="auto"/>
            <w:vAlign w:val="center"/>
          </w:tcPr>
          <w:p w14:paraId="08F4ED14" w14:textId="77777777" w:rsidR="00227915" w:rsidRPr="009D5DBE" w:rsidRDefault="00227915" w:rsidP="003908BA">
            <w:pPr>
              <w:jc w:val="center"/>
              <w:rPr>
                <w:szCs w:val="21"/>
              </w:rPr>
            </w:pPr>
            <w:r w:rsidRPr="009D5DBE">
              <w:rPr>
                <w:b/>
                <w:bCs/>
                <w:szCs w:val="21"/>
              </w:rPr>
              <w:t>100.0%</w:t>
            </w:r>
          </w:p>
        </w:tc>
      </w:tr>
    </w:tbl>
    <w:p w14:paraId="717C161C" w14:textId="77777777" w:rsidR="00227915" w:rsidRPr="00231FC7" w:rsidRDefault="00227915" w:rsidP="00231FC7">
      <w:pPr>
        <w:rPr>
          <w:rFonts w:eastAsia="Calibri"/>
        </w:rPr>
      </w:pPr>
    </w:p>
    <w:p w14:paraId="6A6E50AE" w14:textId="6566F7B4" w:rsidR="00227915" w:rsidRPr="00231FC7" w:rsidRDefault="00227915" w:rsidP="00231FC7">
      <w:pPr>
        <w:pStyle w:val="HBh"/>
        <w:rPr>
          <w:b/>
          <w:bCs/>
        </w:rPr>
      </w:pPr>
      <w:r w:rsidRPr="009D5DBE">
        <w:t>F1.</w:t>
      </w:r>
      <w:proofErr w:type="gramStart"/>
      <w:r w:rsidRPr="009D5DBE">
        <w:t>a.ii</w:t>
      </w:r>
      <w:proofErr w:type="gramEnd"/>
      <w:r w:rsidRPr="009D5DBE">
        <w:t xml:space="preserve"> </w:t>
      </w:r>
      <w:r w:rsidRPr="009D5DBE">
        <w:tab/>
      </w:r>
      <w:r w:rsidRPr="00231FC7">
        <w:rPr>
          <w:b/>
          <w:bCs/>
        </w:rPr>
        <w:t>Need by Patient Panel</w:t>
      </w:r>
    </w:p>
    <w:p w14:paraId="251A0C6A" w14:textId="77777777" w:rsidR="00227915" w:rsidRPr="009D5DBE" w:rsidRDefault="00227915" w:rsidP="00231FC7">
      <w:pPr>
        <w:pStyle w:val="HBbl1j"/>
        <w:rPr>
          <w:rFonts w:eastAsia="PMingLiU"/>
        </w:rPr>
      </w:pPr>
      <w:r w:rsidRPr="009D5DBE">
        <w:rPr>
          <w:rFonts w:eastAsia="PMingLiU"/>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1694BB0" w14:textId="1AC35D1B" w:rsidR="00104191" w:rsidRPr="009D5DBE" w:rsidRDefault="00104191" w:rsidP="00231FC7">
      <w:pPr>
        <w:pStyle w:val="HBblj"/>
      </w:pPr>
      <w:r w:rsidRPr="009D5DBE">
        <w:t xml:space="preserve">MH is a small community hospital with 79 licensed </w:t>
      </w:r>
      <w:r w:rsidR="00690A53">
        <w:t xml:space="preserve">inpatient </w:t>
      </w:r>
      <w:r w:rsidRPr="009D5DBE">
        <w:t xml:space="preserve">beds. Hospitals of this size face challenges with operations and long-term viability. </w:t>
      </w:r>
      <w:bookmarkStart w:id="3" w:name="_Hlk189819725"/>
      <w:r w:rsidR="004F3485" w:rsidRPr="009D5DBE">
        <w:t>O</w:t>
      </w:r>
      <w:r w:rsidRPr="009D5DBE">
        <w:t xml:space="preserve">f the </w:t>
      </w:r>
      <w:r w:rsidR="004F3485" w:rsidRPr="009D5DBE">
        <w:t>62</w:t>
      </w:r>
      <w:r w:rsidRPr="009D5DBE">
        <w:t xml:space="preserve"> acute care hospitals in Massachusetts</w:t>
      </w:r>
      <w:r w:rsidRPr="009D5DBE">
        <w:rPr>
          <w:rStyle w:val="FootnoteReference"/>
          <w:rFonts w:cstheme="minorHAnsi"/>
          <w:szCs w:val="21"/>
        </w:rPr>
        <w:footnoteReference w:id="3"/>
      </w:r>
      <w:r w:rsidRPr="009D5DBE">
        <w:t xml:space="preserve">, there </w:t>
      </w:r>
      <w:r w:rsidR="004F3485" w:rsidRPr="009D5DBE">
        <w:t>are</w:t>
      </w:r>
      <w:r w:rsidRPr="009D5DBE">
        <w:t xml:space="preserve"> 1</w:t>
      </w:r>
      <w:r w:rsidR="004F3485" w:rsidRPr="009D5DBE">
        <w:t>4</w:t>
      </w:r>
      <w:r w:rsidRPr="009D5DBE">
        <w:t xml:space="preserve"> hospitals with fewer than 100 licensed beds, t</w:t>
      </w:r>
      <w:r w:rsidR="004F3485" w:rsidRPr="009D5DBE">
        <w:t>hree</w:t>
      </w:r>
      <w:r w:rsidRPr="009D5DBE">
        <w:t xml:space="preserve"> of which are specialty hospitals</w:t>
      </w:r>
      <w:r w:rsidRPr="009D5DBE">
        <w:rPr>
          <w:rStyle w:val="FootnoteReference"/>
          <w:rFonts w:cstheme="minorHAnsi"/>
          <w:szCs w:val="21"/>
        </w:rPr>
        <w:footnoteReference w:id="4"/>
      </w:r>
      <w:r w:rsidRPr="009D5DBE">
        <w:t xml:space="preserve"> and </w:t>
      </w:r>
      <w:r w:rsidR="004F3485" w:rsidRPr="009D5DBE">
        <w:t>four</w:t>
      </w:r>
      <w:r w:rsidRPr="009D5DBE">
        <w:t xml:space="preserve"> are critical access hospitals</w:t>
      </w:r>
      <w:r w:rsidRPr="009D5DBE">
        <w:rPr>
          <w:rStyle w:val="FootnoteReference"/>
          <w:rFonts w:cstheme="minorHAnsi"/>
          <w:szCs w:val="21"/>
        </w:rPr>
        <w:footnoteReference w:id="5"/>
      </w:r>
      <w:r w:rsidRPr="009D5DBE">
        <w:t>.  After one small community hospital closed in 2024,</w:t>
      </w:r>
      <w:r w:rsidRPr="009D5DBE">
        <w:rPr>
          <w:rStyle w:val="FootnoteReference"/>
          <w:rFonts w:cstheme="minorHAnsi"/>
          <w:szCs w:val="21"/>
        </w:rPr>
        <w:footnoteReference w:id="6"/>
      </w:r>
      <w:r w:rsidRPr="009D5DBE">
        <w:t xml:space="preserve"> MH is one of only </w:t>
      </w:r>
      <w:r w:rsidR="00BC1098" w:rsidRPr="009D5DBE">
        <w:t>seven</w:t>
      </w:r>
      <w:r w:rsidRPr="009D5DBE">
        <w:t xml:space="preserve"> remaining acute care community hospitals with fewer than 100 beds in Massachusetts.</w:t>
      </w:r>
      <w:r w:rsidR="00284893" w:rsidRPr="009D5DBE">
        <w:rPr>
          <w:rStyle w:val="FootnoteReference"/>
          <w:rFonts w:cstheme="minorHAnsi"/>
          <w:szCs w:val="21"/>
        </w:rPr>
        <w:footnoteReference w:id="7"/>
      </w:r>
      <w:r w:rsidRPr="009D5DBE">
        <w:t xml:space="preserve">  </w:t>
      </w:r>
      <w:bookmarkEnd w:id="3"/>
      <w:r w:rsidRPr="009D5DBE">
        <w:t xml:space="preserve">MH is the smallest separately licensed facility in the UMass Memorial system.  </w:t>
      </w:r>
    </w:p>
    <w:p w14:paraId="687DD55E" w14:textId="31B1A976" w:rsidR="00104191" w:rsidRPr="009D5DBE" w:rsidRDefault="00104191" w:rsidP="00231FC7">
      <w:pPr>
        <w:pStyle w:val="HBblj"/>
      </w:pPr>
      <w:r w:rsidRPr="009D5DBE">
        <w:t xml:space="preserve">Small community hospitals like MH are finding it increasingly difficult to provide the full array of hospital and specialty services needed in the community. </w:t>
      </w:r>
      <w:r w:rsidR="00284893" w:rsidRPr="009D5DBE">
        <w:t>MH,</w:t>
      </w:r>
      <w:r w:rsidRPr="009D5DBE">
        <w:t xml:space="preserve"> with just 47 med/surg beds</w:t>
      </w:r>
      <w:r w:rsidR="009350DA" w:rsidRPr="009D5DBE">
        <w:t xml:space="preserve"> and 10 intensive care beds</w:t>
      </w:r>
      <w:r w:rsidR="001B14F9" w:rsidRPr="009D5DBE">
        <w:rPr>
          <w:rStyle w:val="FootnoteReference"/>
          <w:rFonts w:cstheme="minorHAnsi"/>
          <w:szCs w:val="21"/>
        </w:rPr>
        <w:footnoteReference w:id="8"/>
      </w:r>
      <w:r w:rsidR="00284893" w:rsidRPr="009D5DBE">
        <w:t>,</w:t>
      </w:r>
      <w:r w:rsidRPr="009D5DBE">
        <w:t xml:space="preserve"> does not have the </w:t>
      </w:r>
      <w:r w:rsidR="00235373" w:rsidRPr="009D5DBE">
        <w:t>in</w:t>
      </w:r>
      <w:r w:rsidRPr="009D5DBE">
        <w:t>patient volume required to support</w:t>
      </w:r>
      <w:r w:rsidR="00A92A91" w:rsidRPr="009D5DBE">
        <w:t xml:space="preserve"> a wide array of</w:t>
      </w:r>
      <w:r w:rsidRPr="009D5DBE">
        <w:t xml:space="preserve"> specialty service lines</w:t>
      </w:r>
      <w:r w:rsidR="00284893" w:rsidRPr="009D5DBE">
        <w:t xml:space="preserve"> on site</w:t>
      </w:r>
      <w:r w:rsidRPr="009D5DBE">
        <w:t xml:space="preserve">. One reason for the disintegration of access to hospital services at small community hospitals is the challenge of recruiting and retaining primary care and specialty care physicians while also having enough volume to support the high cost of such providers.  The limited number of physicians at small </w:t>
      </w:r>
      <w:r w:rsidR="00284893" w:rsidRPr="009D5DBE">
        <w:t>hospitals</w:t>
      </w:r>
      <w:r w:rsidRPr="009D5DBE">
        <w:t xml:space="preserve"> increases the on-call burdens o</w:t>
      </w:r>
      <w:r w:rsidR="00284893" w:rsidRPr="009D5DBE">
        <w:t>f</w:t>
      </w:r>
      <w:r w:rsidRPr="009D5DBE">
        <w:t xml:space="preserve"> those who do practice in those settings (i.e</w:t>
      </w:r>
      <w:r w:rsidR="004B27F2" w:rsidRPr="009D5DBE">
        <w:t>.</w:t>
      </w:r>
      <w:r w:rsidRPr="009D5DBE">
        <w:t xml:space="preserve">, one or two providers having to provide coverage on-call 24/7/365 as opposed to much larger groups of providers sharing on-call responsibilities at larger facilities) creating additional barriers to recruitment and retention.  MH relies on both an employed physician and private practice model to provide its patients with access to primary and specialty physician services. UMass Memorial anticipates there will be a continued decline in private </w:t>
      </w:r>
      <w:r w:rsidRPr="009D5DBE">
        <w:lastRenderedPageBreak/>
        <w:t>practice primary and special</w:t>
      </w:r>
      <w:r w:rsidR="002E53B4">
        <w:t xml:space="preserve">ty </w:t>
      </w:r>
      <w:r w:rsidRPr="009D5DBE">
        <w:t>care in the MH service area as existing physicians retire or leave for other opportunities</w:t>
      </w:r>
      <w:r w:rsidR="002E53B4">
        <w:t>,</w:t>
      </w:r>
      <w:r w:rsidRPr="009D5DBE">
        <w:t xml:space="preserve"> making it increasingly difficult for MH to recruit new physicians to support the needs of its patients in the community. </w:t>
      </w:r>
    </w:p>
    <w:p w14:paraId="527109D4" w14:textId="66D12753" w:rsidR="00104191" w:rsidRPr="009D5DBE" w:rsidRDefault="009D5DBE" w:rsidP="00231FC7">
      <w:pPr>
        <w:pStyle w:val="HBblj"/>
      </w:pPr>
      <w:r w:rsidRPr="00DD1E0F">
        <w:t xml:space="preserve">The lack of access to specialists </w:t>
      </w:r>
      <w:r w:rsidRPr="00A97BC1">
        <w:t xml:space="preserve">at MH requires patients who could be cared for at MH to instead be transferred for admission at UMMMC or another facility that can support the patient’s clinical needs. </w:t>
      </w:r>
      <w:r w:rsidR="00104191" w:rsidRPr="00A97BC1">
        <w:t>As a separately licensed hospital, MH must transfer patients to UMMMC</w:t>
      </w:r>
      <w:r w:rsidR="009350DA" w:rsidRPr="00A97BC1">
        <w:t xml:space="preserve"> </w:t>
      </w:r>
      <w:r w:rsidR="00104191" w:rsidRPr="00A97BC1">
        <w:t xml:space="preserve">when specialty </w:t>
      </w:r>
      <w:r w:rsidR="00284893" w:rsidRPr="00A97BC1">
        <w:t>consult services</w:t>
      </w:r>
      <w:r w:rsidR="00104191" w:rsidRPr="00A97BC1">
        <w:t xml:space="preserve"> are not available at MH. Every time a patient is transferred</w:t>
      </w:r>
      <w:r w:rsidR="00104191" w:rsidRPr="009D5DBE">
        <w:t xml:space="preserve"> between separately licensed hospitals</w:t>
      </w:r>
      <w:r w:rsidR="00270763">
        <w:t>,</w:t>
      </w:r>
      <w:r w:rsidR="00104191" w:rsidRPr="009D5DBE">
        <w:t xml:space="preserve"> it is considered a discharge from one hospital and an admission to </w:t>
      </w:r>
      <w:r w:rsidR="00235373" w:rsidRPr="009D5DBE">
        <w:t>the other</w:t>
      </w:r>
      <w:r w:rsidR="00104191" w:rsidRPr="009D5DBE">
        <w:t xml:space="preserve"> hospital. This requires physician, nursing, and care coordination staff to complete discharge and admission procedures that are extensive and time consuming. Under the current license structure, hospital staff must obtain insurance approval before a patient can be transferred to a new facility.</w:t>
      </w:r>
      <w:r w:rsidR="00235373" w:rsidRPr="009D5DBE">
        <w:rPr>
          <w:rStyle w:val="FootnoteReference"/>
          <w:rFonts w:cstheme="minorHAnsi"/>
          <w:szCs w:val="21"/>
        </w:rPr>
        <w:footnoteReference w:id="9"/>
      </w:r>
      <w:r w:rsidR="00104191" w:rsidRPr="009D5DBE">
        <w:t xml:space="preserve"> It also means that some patients are responsible for the cost of transfer</w:t>
      </w:r>
      <w:r w:rsidR="002E53B4">
        <w:t xml:space="preserve"> by ambulance/life flight</w:t>
      </w:r>
      <w:r w:rsidR="00104191" w:rsidRPr="009D5DBE">
        <w:t>. These significant logistical and insurance barriers do not exist for the movement of a patient among campuses of the same</w:t>
      </w:r>
      <w:r w:rsidR="00284893" w:rsidRPr="009D5DBE">
        <w:t xml:space="preserve"> licensed</w:t>
      </w:r>
      <w:r w:rsidR="002E53B4">
        <w:t xml:space="preserve"> </w:t>
      </w:r>
      <w:r w:rsidR="00104191" w:rsidRPr="009D5DBE">
        <w:t>hospital.  Once MH is a licensed campus of UMMMC, patients at the M</w:t>
      </w:r>
      <w:r w:rsidR="00E922C6" w:rsidRPr="009D5DBE">
        <w:t xml:space="preserve">arlborough </w:t>
      </w:r>
      <w:r w:rsidR="00104191" w:rsidRPr="009D5DBE">
        <w:t xml:space="preserve">campus will </w:t>
      </w:r>
      <w:r w:rsidR="009350DA" w:rsidRPr="009D5DBE">
        <w:t xml:space="preserve">be patients of UMMMC and therefore </w:t>
      </w:r>
      <w:r w:rsidR="00104191" w:rsidRPr="009D5DBE">
        <w:t>under the care of a single coordinated clinical staff.  If a patient at the M</w:t>
      </w:r>
      <w:r w:rsidR="00E922C6" w:rsidRPr="009D5DBE">
        <w:t>arlborough</w:t>
      </w:r>
      <w:r w:rsidR="00104191" w:rsidRPr="009D5DBE">
        <w:t xml:space="preserve"> campus requires services only available at </w:t>
      </w:r>
      <w:r w:rsidR="002E53B4">
        <w:t>UMMMC’s</w:t>
      </w:r>
      <w:r w:rsidR="00104191" w:rsidRPr="009D5DBE">
        <w:t xml:space="preserve"> Worcester locations, they can be transported to receive those services, and when appropriate returned to MH, without requiring a transfer process, allowing for improved care coordination, eliminating unnecessary delays, and administrative costs.  This will help UMass Memorial ensure that patients receive the right care in the right place </w:t>
      </w:r>
      <w:r w:rsidR="009350DA" w:rsidRPr="009D5DBE">
        <w:t xml:space="preserve">at the right time </w:t>
      </w:r>
      <w:r w:rsidR="00104191" w:rsidRPr="009D5DBE">
        <w:t>more quickly, which UMass Memorial anticipates will improve patient experience and outcomes.</w:t>
      </w:r>
      <w:r w:rsidR="00062486" w:rsidRPr="009D5DBE">
        <w:t xml:space="preserve"> To that end, the Proposed Merger will promote enhanced care coordination between UMMMC</w:t>
      </w:r>
      <w:r w:rsidR="00EB1A1A" w:rsidRPr="009D5DBE">
        <w:t>’s Worcester campuses</w:t>
      </w:r>
      <w:r w:rsidR="00062486" w:rsidRPr="009D5DBE">
        <w:t xml:space="preserve"> and the </w:t>
      </w:r>
      <w:r w:rsidR="001B14F9" w:rsidRPr="009D5DBE">
        <w:t xml:space="preserve">Marlborough </w:t>
      </w:r>
      <w:r w:rsidR="00062486" w:rsidRPr="009D5DBE">
        <w:t xml:space="preserve">campus, leading to optimized operating room and inpatient bed utilization at </w:t>
      </w:r>
      <w:r w:rsidR="006C3A0F">
        <w:t>the Marlborough campus</w:t>
      </w:r>
      <w:r w:rsidR="00062486" w:rsidRPr="009D5DBE">
        <w:t>, as well as improve patient and caregiver access to cutting-edge technologies, medical specialists, and tertiary services that are available through UMMMC.</w:t>
      </w:r>
    </w:p>
    <w:p w14:paraId="74E7F664" w14:textId="337690C6" w:rsidR="00D4244B" w:rsidRPr="009D5DBE" w:rsidRDefault="00D4244B" w:rsidP="00231FC7">
      <w:pPr>
        <w:pStyle w:val="HBblj"/>
      </w:pPr>
      <w:r w:rsidRPr="009D5DBE">
        <w:t xml:space="preserve">Following the merger, MH patients will become UMMMC patients in all aspects of care delivery. As a licensed campus of UMMMC, MH will benefit from integration with UMMMC’s medical staff and the unified healthcare team working across campuses to manage patient needs. </w:t>
      </w:r>
      <w:r w:rsidR="001E58C5" w:rsidRPr="009D5DBE">
        <w:t>First</w:t>
      </w:r>
      <w:r w:rsidRPr="009D5DBE">
        <w:t>, every specialty of UMMMC’s medical staff will be able to provide teleconsultation to patients at MH, saving patients from being transferred to UMMMC for their care.</w:t>
      </w:r>
      <w:r w:rsidRPr="009D5DBE">
        <w:rPr>
          <w:rStyle w:val="FootnoteReference"/>
          <w:rFonts w:cstheme="minorHAnsi"/>
          <w:szCs w:val="21"/>
        </w:rPr>
        <w:footnoteReference w:id="10"/>
      </w:r>
      <w:r w:rsidRPr="009D5DBE">
        <w:t xml:space="preserve">  Additional access to specialists will be provided through the expansion of the UMass T.H. Chan Medical School graduate medical education program at UMMMC to the M</w:t>
      </w:r>
      <w:r w:rsidR="00E922C6" w:rsidRPr="009D5DBE">
        <w:t>arlborough</w:t>
      </w:r>
      <w:r w:rsidRPr="009D5DBE">
        <w:t xml:space="preserve"> campus whereby intern and resident physicians would rotate </w:t>
      </w:r>
      <w:r w:rsidR="006C3A0F">
        <w:t>through the Marlborough campus</w:t>
      </w:r>
      <w:r w:rsidRPr="009D5DBE">
        <w:t xml:space="preserve"> as they currently do at all inpatient UMMMC licensed locations.   Over time, UMMMC will assess the needs of the Marlborough community to determine how it may be able to expand on-site specialist care and on-call coverage for the needs of the location and its community. </w:t>
      </w:r>
    </w:p>
    <w:p w14:paraId="031BF1D0" w14:textId="52991339" w:rsidR="00104191" w:rsidRPr="009D5DBE" w:rsidRDefault="00104191" w:rsidP="00231FC7">
      <w:pPr>
        <w:pStyle w:val="HBblj"/>
      </w:pPr>
      <w:r w:rsidRPr="009D5DBE">
        <w:t xml:space="preserve">In addition to the improvements to care coordination achieved by combining the medical staffs and care teams of MH and UMMMC, cost savings will be realized by operating MH under the UMMMC license. First, the costs and resources required to maintain a separate </w:t>
      </w:r>
      <w:r w:rsidRPr="00A97BC1">
        <w:t>hospital license and corporate entity will be eliminated. In addition, the merger will eliminate costs associated with separate governing bodies, leadership structures and medical staff infrastructure</w:t>
      </w:r>
      <w:r w:rsidR="001879F1">
        <w:t>.</w:t>
      </w:r>
      <w:r w:rsidR="009D5DBE" w:rsidRPr="00A97BC1">
        <w:rPr>
          <w:rFonts w:asciiTheme="minorHAnsi" w:hAnsiTheme="minorHAnsi"/>
        </w:rPr>
        <w:t xml:space="preserve"> Further, UMass Memorial anticipates that patient costs resulting from transporting patients between M</w:t>
      </w:r>
      <w:r w:rsidR="006C3A0F">
        <w:rPr>
          <w:rFonts w:asciiTheme="minorHAnsi" w:hAnsiTheme="minorHAnsi"/>
        </w:rPr>
        <w:t>arlborough</w:t>
      </w:r>
      <w:r w:rsidR="009D5DBE" w:rsidRPr="00A97BC1">
        <w:rPr>
          <w:rFonts w:asciiTheme="minorHAnsi" w:hAnsiTheme="minorHAnsi"/>
        </w:rPr>
        <w:t xml:space="preserve"> and UMMMC will be reduced because fewer patients will need to be transported to the University or Memorial campus due to increased availability of specialty </w:t>
      </w:r>
      <w:proofErr w:type="spellStart"/>
      <w:r w:rsidR="009D5DBE" w:rsidRPr="00A97BC1">
        <w:rPr>
          <w:rFonts w:asciiTheme="minorHAnsi" w:hAnsiTheme="minorHAnsi"/>
        </w:rPr>
        <w:t>teleconsults</w:t>
      </w:r>
      <w:proofErr w:type="spellEnd"/>
      <w:r w:rsidR="009D5DBE" w:rsidRPr="00A97BC1">
        <w:rPr>
          <w:rFonts w:asciiTheme="minorHAnsi" w:hAnsiTheme="minorHAnsi"/>
        </w:rPr>
        <w:t xml:space="preserve"> following the Proposed Merger. </w:t>
      </w:r>
      <w:r w:rsidRPr="00A97BC1">
        <w:t>Moreover,</w:t>
      </w:r>
      <w:r w:rsidRPr="009D5DBE">
        <w:t xml:space="preserve"> </w:t>
      </w:r>
      <w:r w:rsidR="006C3A0F">
        <w:t>the Marlborough campus</w:t>
      </w:r>
      <w:r w:rsidRPr="009D5DBE">
        <w:t xml:space="preserve"> will be fully integrated into the UMMMC quality, patient safety and regulatory oversight functions, allowing </w:t>
      </w:r>
      <w:r w:rsidRPr="009D5DBE">
        <w:lastRenderedPageBreak/>
        <w:t>M</w:t>
      </w:r>
      <w:r w:rsidR="006C3A0F">
        <w:t>arlborough patients</w:t>
      </w:r>
      <w:r w:rsidRPr="009D5DBE">
        <w:t xml:space="preserve"> to participate in UMMMC’s robust long-term planning around quality</w:t>
      </w:r>
      <w:r w:rsidR="00EB1A1A" w:rsidRPr="009D5DBE">
        <w:t>, safety</w:t>
      </w:r>
      <w:r w:rsidRPr="009D5DBE">
        <w:t xml:space="preserve"> and outcomes. With an integrated infrastructure, efforts will be undertaken to redesign patient care at the M</w:t>
      </w:r>
      <w:r w:rsidR="00E922C6" w:rsidRPr="009D5DBE">
        <w:t>arlborough</w:t>
      </w:r>
      <w:r w:rsidRPr="009D5DBE">
        <w:t xml:space="preserve"> campus that is not possible as a separately licensed hospital.  With these savings, UMMMC will be able to explore additional ways to reduce operational costs and maximize access to services for the region across campuses through investments in the most needed services.</w:t>
      </w:r>
    </w:p>
    <w:p w14:paraId="5D8E11F6" w14:textId="409F1EB6" w:rsidR="00104191" w:rsidRPr="009D5DBE" w:rsidRDefault="00104191" w:rsidP="00231FC7">
      <w:pPr>
        <w:pStyle w:val="HBblj"/>
      </w:pPr>
      <w:r w:rsidRPr="009D5DBE">
        <w:t xml:space="preserve">The merger also will provide UMMMC with additional capacity to admit patients requiring a lower acuity level of care at a location other than </w:t>
      </w:r>
      <w:r w:rsidR="009350DA" w:rsidRPr="009D5DBE">
        <w:t>UMMMC’s tertiary care campuses</w:t>
      </w:r>
      <w:r w:rsidR="009350DA" w:rsidRPr="009D5DBE">
        <w:rPr>
          <w:rStyle w:val="FootnoteReference"/>
          <w:rFonts w:cstheme="minorHAnsi"/>
          <w:szCs w:val="21"/>
        </w:rPr>
        <w:footnoteReference w:id="11"/>
      </w:r>
      <w:r w:rsidRPr="009D5DBE">
        <w:t xml:space="preserve"> while reserving capacity at th</w:t>
      </w:r>
      <w:r w:rsidR="009350DA" w:rsidRPr="009D5DBE">
        <w:t xml:space="preserve">ose locations </w:t>
      </w:r>
      <w:r w:rsidRPr="009D5DBE">
        <w:t xml:space="preserve">for patients in need of tertiary and quaternary services. Currently, </w:t>
      </w:r>
      <w:r w:rsidR="00221053" w:rsidRPr="009D5DBE">
        <w:t>UMMMC</w:t>
      </w:r>
      <w:r w:rsidRPr="009D5DBE">
        <w:t xml:space="preserve"> serves patients with a range of acuity.  The recent opening of the North Pavilion Building at UMMMC provided 72 additional beds for medicine patients.   However, the need to preserve the beds at </w:t>
      </w:r>
      <w:r w:rsidR="00221053" w:rsidRPr="009D5DBE">
        <w:t>UMMMC’s tertiary</w:t>
      </w:r>
      <w:r w:rsidRPr="009D5DBE">
        <w:t xml:space="preserve"> campus</w:t>
      </w:r>
      <w:r w:rsidR="00221053" w:rsidRPr="009D5DBE">
        <w:t>es</w:t>
      </w:r>
      <w:r w:rsidRPr="009D5DBE">
        <w:t xml:space="preserve"> for the most acute patients (including for transfers in from the region’s other hospitals without tertiary and quaternary services) remains critical.  Currently, </w:t>
      </w:r>
      <w:r w:rsidR="00221053" w:rsidRPr="009D5DBE">
        <w:t>UMMMC</w:t>
      </w:r>
      <w:r w:rsidRPr="009D5DBE">
        <w:t xml:space="preserve"> operates </w:t>
      </w:r>
      <w:proofErr w:type="gramStart"/>
      <w:r w:rsidRPr="009D5DBE">
        <w:t>in excess of</w:t>
      </w:r>
      <w:proofErr w:type="gramEnd"/>
      <w:r w:rsidRPr="009D5DBE">
        <w:t xml:space="preserve"> its</w:t>
      </w:r>
      <w:r w:rsidR="00221053" w:rsidRPr="009D5DBE">
        <w:t xml:space="preserve"> medical/surgical and critical care</w:t>
      </w:r>
      <w:r w:rsidRPr="009D5DBE">
        <w:t xml:space="preserve"> capacity, with high numbers of ED boarders</w:t>
      </w:r>
      <w:r w:rsidR="002413F0" w:rsidRPr="009D5DBE">
        <w:t xml:space="preserve"> averaging </w:t>
      </w:r>
      <w:r w:rsidR="002D6673" w:rsidRPr="009D5DBE">
        <w:t>appr</w:t>
      </w:r>
      <w:r w:rsidR="006C3A0F">
        <w:t>o</w:t>
      </w:r>
      <w:r w:rsidR="002D6673" w:rsidRPr="009D5DBE">
        <w:t xml:space="preserve">ximately </w:t>
      </w:r>
      <w:r w:rsidR="002413F0" w:rsidRPr="009D5DBE">
        <w:t xml:space="preserve">21,000 hours of boarding per month in </w:t>
      </w:r>
      <w:r w:rsidR="002D6673" w:rsidRPr="009D5DBE">
        <w:t>FY</w:t>
      </w:r>
      <w:r w:rsidR="002413F0" w:rsidRPr="009D5DBE">
        <w:t>2024</w:t>
      </w:r>
      <w:r w:rsidR="001879F1">
        <w:t>,</w:t>
      </w:r>
      <w:r w:rsidRPr="009D5DBE">
        <w:t xml:space="preserve"> and </w:t>
      </w:r>
      <w:r w:rsidR="00EB1A1A" w:rsidRPr="009D5DBE">
        <w:t xml:space="preserve">a significant number of </w:t>
      </w:r>
      <w:r w:rsidRPr="009D5DBE">
        <w:t xml:space="preserve">denied transfer </w:t>
      </w:r>
      <w:r w:rsidR="00EB1A1A" w:rsidRPr="009D5DBE">
        <w:t xml:space="preserve">in </w:t>
      </w:r>
      <w:r w:rsidRPr="009D5DBE">
        <w:t xml:space="preserve">requests, including approximately 20 such </w:t>
      </w:r>
      <w:r w:rsidR="00221053" w:rsidRPr="009D5DBE">
        <w:t xml:space="preserve">transfer </w:t>
      </w:r>
      <w:r w:rsidRPr="009D5DBE">
        <w:t xml:space="preserve">requests for MH patients per month. In the short-term after the merger, through appropriate admissions and by keeping appropriate patients at </w:t>
      </w:r>
      <w:r w:rsidR="006C3A0F">
        <w:t>the Marlborough campus</w:t>
      </w:r>
      <w:r w:rsidRPr="009D5DBE">
        <w:t xml:space="preserve"> with improved access to specialists, UMass Memorial anticipates that the reduction in transfers f</w:t>
      </w:r>
      <w:r w:rsidR="00EB1A1A" w:rsidRPr="009D5DBE">
        <w:t>ro</w:t>
      </w:r>
      <w:r w:rsidRPr="009D5DBE">
        <w:t>m M</w:t>
      </w:r>
      <w:r w:rsidR="006C3A0F">
        <w:t>arlborough</w:t>
      </w:r>
      <w:r w:rsidRPr="009D5DBE">
        <w:t xml:space="preserve"> will result in an increase of approximately 4-6 beds becoming available at </w:t>
      </w:r>
      <w:r w:rsidR="00221053" w:rsidRPr="009D5DBE">
        <w:t>UMMMC</w:t>
      </w:r>
      <w:r w:rsidR="00EB1A1A" w:rsidRPr="009D5DBE">
        <w:t>’s University and Memorial campuses</w:t>
      </w:r>
      <w:r w:rsidRPr="009D5DBE">
        <w:t xml:space="preserve">. Over time, with the integration UMass Memorial anticipates </w:t>
      </w:r>
      <w:r w:rsidR="006C3A0F">
        <w:t>the Marlborough campus</w:t>
      </w:r>
      <w:r w:rsidRPr="009D5DBE">
        <w:t xml:space="preserve"> inpatient bed utilization should increase </w:t>
      </w:r>
      <w:r w:rsidR="00EB1A1A" w:rsidRPr="009D5DBE">
        <w:t xml:space="preserve">from its current average capacity of 80% </w:t>
      </w:r>
      <w:r w:rsidRPr="009D5DBE">
        <w:t xml:space="preserve">to 90% of available capacity.  </w:t>
      </w:r>
      <w:r w:rsidR="00062486" w:rsidRPr="009D5DBE">
        <w:t>Enhancing care coordination through the merger of the two hospitals will improve the utilization of each hospital’s services, including inpatient beds and operating rooms by ensuring care is delivered in the most appropriate setting.  A fully integrated M</w:t>
      </w:r>
      <w:r w:rsidR="00E922C6" w:rsidRPr="009D5DBE">
        <w:t>arlborough</w:t>
      </w:r>
      <w:r w:rsidR="00062486" w:rsidRPr="009D5DBE">
        <w:t xml:space="preserve"> campus will provide timelier access to inpatient services across campuses, ensuring that patients receive care in the most appropriate setting.</w:t>
      </w:r>
    </w:p>
    <w:p w14:paraId="660458CA" w14:textId="0BE4DB5D" w:rsidR="00104191" w:rsidRPr="009D5DBE" w:rsidRDefault="00104191" w:rsidP="00231FC7">
      <w:pPr>
        <w:pStyle w:val="HBblj"/>
      </w:pPr>
      <w:r w:rsidRPr="009D5DBE">
        <w:t xml:space="preserve">Without the </w:t>
      </w:r>
      <w:r w:rsidR="00221053" w:rsidRPr="009D5DBE">
        <w:t>P</w:t>
      </w:r>
      <w:r w:rsidRPr="009D5DBE">
        <w:t xml:space="preserve">roposed </w:t>
      </w:r>
      <w:r w:rsidR="00221053" w:rsidRPr="009D5DBE">
        <w:t>M</w:t>
      </w:r>
      <w:r w:rsidRPr="009D5DBE">
        <w:t>erger, it will become increasingly challenging to maintain acute care hospital services in the community at MH</w:t>
      </w:r>
      <w:r w:rsidR="00221053" w:rsidRPr="009D5DBE">
        <w:t xml:space="preserve"> for the</w:t>
      </w:r>
      <w:r w:rsidRPr="009D5DBE">
        <w:t xml:space="preserve"> long term.   The cost of operating a 79-bed facility with significant challenges securing and maintaining necessary access to specialty services will jeopardize efforts to allow the region’s patients to be cared for in the community. </w:t>
      </w:r>
      <w:r w:rsidR="009350DA" w:rsidRPr="009D5DBE">
        <w:t>Therefore, e</w:t>
      </w:r>
      <w:r w:rsidRPr="009D5DBE">
        <w:t xml:space="preserve">nsuring ongoing access to acute care services in the Marlborough community is best ensured by merging MH into UMMMC and operating MH as a fully integrated campus of UMMMC on the UMMMC license. </w:t>
      </w:r>
      <w:r w:rsidR="00221053" w:rsidRPr="009D5DBE">
        <w:t>In sum, t</w:t>
      </w:r>
      <w:r w:rsidRPr="009D5DBE">
        <w:t xml:space="preserve">he </w:t>
      </w:r>
      <w:r w:rsidR="00221053" w:rsidRPr="009D5DBE">
        <w:t xml:space="preserve">Proposed Merger </w:t>
      </w:r>
      <w:r w:rsidRPr="009D5DBE">
        <w:t>will allow for the alignment, efficiencies, and cost savings necessary to best meet the needs of patients in the most appropriate setting.</w:t>
      </w:r>
    </w:p>
    <w:p w14:paraId="639F0760" w14:textId="336A1372" w:rsidR="00227915" w:rsidRPr="009D5DBE" w:rsidRDefault="00227915" w:rsidP="00231FC7">
      <w:pPr>
        <w:pStyle w:val="HBh"/>
        <w:rPr>
          <w:b/>
          <w:bCs/>
        </w:rPr>
      </w:pPr>
      <w:r w:rsidRPr="009D5DBE">
        <w:t xml:space="preserve">F1.a.iii </w:t>
      </w:r>
      <w:r w:rsidRPr="009D5DBE">
        <w:tab/>
      </w:r>
      <w:r w:rsidRPr="009D5DBE">
        <w:rPr>
          <w:b/>
          <w:bCs/>
        </w:rPr>
        <w:t>Competition</w:t>
      </w:r>
    </w:p>
    <w:p w14:paraId="66EAE71B" w14:textId="77777777" w:rsidR="00227915" w:rsidRPr="009D5DBE" w:rsidRDefault="00227915" w:rsidP="00231FC7">
      <w:pPr>
        <w:pStyle w:val="HBbl1j"/>
        <w:rPr>
          <w:rFonts w:eastAsia="PMingLiU"/>
        </w:rPr>
      </w:pPr>
      <w:r w:rsidRPr="009D5DBE">
        <w:rPr>
          <w:rFonts w:eastAsia="PMingLiU"/>
        </w:rPr>
        <w:t xml:space="preserve">Provide evidence that the Proposed Project will compete </w:t>
      </w:r>
      <w:proofErr w:type="gramStart"/>
      <w:r w:rsidRPr="009D5DBE">
        <w:rPr>
          <w:rFonts w:eastAsia="PMingLiU"/>
        </w:rPr>
        <w:t>on the basis of</w:t>
      </w:r>
      <w:proofErr w:type="gramEnd"/>
      <w:r w:rsidRPr="009D5DBE">
        <w:rPr>
          <w:rFonts w:eastAsia="PMingLiU"/>
        </w:rPr>
        <w:t xml:space="preserve"> price, total medical expenses, provider costs, and other recognized measures of health care spending. When responding to this question, please consider Factor 4, Financial Feasibility and Reasonableness of Costs.</w:t>
      </w:r>
    </w:p>
    <w:p w14:paraId="79140D41" w14:textId="19A21E79" w:rsidR="00D36A52" w:rsidRPr="009D5DBE" w:rsidRDefault="00B11868" w:rsidP="00231FC7">
      <w:pPr>
        <w:pStyle w:val="HBblj"/>
        <w:rPr>
          <w:rFonts w:eastAsia="PMingLiU"/>
        </w:rPr>
      </w:pPr>
      <w:bookmarkStart w:id="4" w:name="_Hlk155903708"/>
      <w:r w:rsidRPr="009D5DBE">
        <w:rPr>
          <w:rFonts w:eastAsia="PMingLiU"/>
        </w:rPr>
        <w:t xml:space="preserve">The Proposed </w:t>
      </w:r>
      <w:r w:rsidR="000E2C21" w:rsidRPr="009D5DBE">
        <w:rPr>
          <w:rFonts w:eastAsia="PMingLiU"/>
        </w:rPr>
        <w:t>Merger</w:t>
      </w:r>
      <w:r w:rsidRPr="009D5DBE">
        <w:rPr>
          <w:rFonts w:eastAsia="PMingLiU"/>
        </w:rPr>
        <w:t xml:space="preserve"> will compete </w:t>
      </w:r>
      <w:proofErr w:type="gramStart"/>
      <w:r w:rsidRPr="009D5DBE">
        <w:rPr>
          <w:rFonts w:eastAsia="PMingLiU"/>
        </w:rPr>
        <w:t>on the basis of</w:t>
      </w:r>
      <w:proofErr w:type="gramEnd"/>
      <w:r w:rsidRPr="009D5DBE">
        <w:rPr>
          <w:rFonts w:eastAsia="PMingLiU"/>
        </w:rPr>
        <w:t xml:space="preserve"> price, total medical expense (TME), provider costs, or other recognized measures of health care spending as detailed below. </w:t>
      </w:r>
    </w:p>
    <w:p w14:paraId="5C6082A7" w14:textId="0778C267" w:rsidR="00B11868" w:rsidRPr="009D5DBE" w:rsidRDefault="00B11868" w:rsidP="00231FC7">
      <w:pPr>
        <w:pStyle w:val="HBblj"/>
        <w:rPr>
          <w:rFonts w:eastAsia="PMingLiU"/>
        </w:rPr>
      </w:pPr>
      <w:r w:rsidRPr="009D5DBE">
        <w:rPr>
          <w:rFonts w:eastAsia="PMingLiU"/>
        </w:rPr>
        <w:t xml:space="preserve">First, </w:t>
      </w:r>
      <w:r w:rsidR="00455148" w:rsidRPr="009D5DBE">
        <w:rPr>
          <w:rFonts w:eastAsia="PMingLiU"/>
        </w:rPr>
        <w:t>UMMMC and MH are high public</w:t>
      </w:r>
      <w:r w:rsidR="00F22418" w:rsidRPr="009D5DBE">
        <w:rPr>
          <w:rFonts w:eastAsia="PMingLiU"/>
        </w:rPr>
        <w:t>-</w:t>
      </w:r>
      <w:r w:rsidR="00455148" w:rsidRPr="009D5DBE">
        <w:rPr>
          <w:rFonts w:eastAsia="PMingLiU"/>
        </w:rPr>
        <w:t>payer hospitals</w:t>
      </w:r>
      <w:r w:rsidR="00F22418" w:rsidRPr="009D5DBE">
        <w:rPr>
          <w:rFonts w:eastAsia="PMingLiU"/>
        </w:rPr>
        <w:t xml:space="preserve"> with </w:t>
      </w:r>
      <w:r w:rsidR="00F22418" w:rsidRPr="00A97BC1">
        <w:rPr>
          <w:rFonts w:eastAsia="PMingLiU"/>
        </w:rPr>
        <w:t xml:space="preserve">nearly </w:t>
      </w:r>
      <w:r w:rsidR="009D5DBE" w:rsidRPr="00A97BC1">
        <w:rPr>
          <w:rFonts w:asciiTheme="minorHAnsi" w:eastAsia="PMingLiU" w:hAnsiTheme="minorHAnsi"/>
        </w:rPr>
        <w:t xml:space="preserve">70% of the hospitals’ reimbursement </w:t>
      </w:r>
      <w:r w:rsidR="00F22418" w:rsidRPr="00A97BC1">
        <w:rPr>
          <w:rFonts w:eastAsia="PMingLiU"/>
        </w:rPr>
        <w:t xml:space="preserve">coming from public payers whose rates are mandated with standard payment methodologies across </w:t>
      </w:r>
      <w:r w:rsidR="00F22418" w:rsidRPr="00A97BC1">
        <w:rPr>
          <w:rFonts w:eastAsia="PMingLiU"/>
        </w:rPr>
        <w:lastRenderedPageBreak/>
        <w:t>hospitals</w:t>
      </w:r>
      <w:r w:rsidR="00455148" w:rsidRPr="00A97BC1">
        <w:rPr>
          <w:rFonts w:eastAsia="PMingLiU"/>
        </w:rPr>
        <w:t>.</w:t>
      </w:r>
      <w:r w:rsidR="00455148" w:rsidRPr="00A97BC1">
        <w:rPr>
          <w:rStyle w:val="FootnoteReference"/>
          <w:rFonts w:eastAsia="PMingLiU"/>
          <w:szCs w:val="21"/>
        </w:rPr>
        <w:footnoteReference w:id="12"/>
      </w:r>
      <w:r w:rsidR="0028254B" w:rsidRPr="00A97BC1">
        <w:rPr>
          <w:rFonts w:eastAsia="PMingLiU"/>
        </w:rPr>
        <w:t xml:space="preserve"> Additionally, UMMMC is </w:t>
      </w:r>
      <w:r w:rsidR="00D6329E" w:rsidRPr="00A97BC1">
        <w:rPr>
          <w:rFonts w:eastAsia="PMingLiU"/>
        </w:rPr>
        <w:t>considered a</w:t>
      </w:r>
      <w:r w:rsidR="0028254B" w:rsidRPr="00A97BC1">
        <w:rPr>
          <w:rFonts w:eastAsia="PMingLiU"/>
        </w:rPr>
        <w:t xml:space="preserve"> disproportionate share hospital.</w:t>
      </w:r>
      <w:r w:rsidR="00242FD0" w:rsidRPr="00A97BC1">
        <w:rPr>
          <w:rStyle w:val="FootnoteReference"/>
          <w:rFonts w:eastAsia="PMingLiU"/>
          <w:szCs w:val="21"/>
        </w:rPr>
        <w:footnoteReference w:id="13"/>
      </w:r>
      <w:r w:rsidR="0028254B" w:rsidRPr="00A97BC1">
        <w:rPr>
          <w:rFonts w:eastAsia="PMingLiU"/>
        </w:rPr>
        <w:t xml:space="preserve"> </w:t>
      </w:r>
      <w:bookmarkStart w:id="5" w:name="_Hlk188961963"/>
      <w:r w:rsidRPr="00A97BC1">
        <w:rPr>
          <w:rFonts w:eastAsia="PMingLiU"/>
        </w:rPr>
        <w:t xml:space="preserve">As such, the Applicant does not anticipate any impact </w:t>
      </w:r>
      <w:r w:rsidR="00E93DD1" w:rsidRPr="00A97BC1">
        <w:rPr>
          <w:rFonts w:eastAsia="PMingLiU"/>
        </w:rPr>
        <w:t>o</w:t>
      </w:r>
      <w:r w:rsidRPr="00A97BC1">
        <w:rPr>
          <w:rFonts w:eastAsia="PMingLiU"/>
        </w:rPr>
        <w:t xml:space="preserve">n TME for these patient populations following the Proposed </w:t>
      </w:r>
      <w:r w:rsidR="000E2C21" w:rsidRPr="00A97BC1">
        <w:rPr>
          <w:rFonts w:eastAsia="PMingLiU"/>
        </w:rPr>
        <w:t>Merger</w:t>
      </w:r>
      <w:r w:rsidRPr="00A97BC1">
        <w:rPr>
          <w:rFonts w:eastAsia="PMingLiU"/>
        </w:rPr>
        <w:t xml:space="preserve">. Further, a material impact on TME is not anticipated for </w:t>
      </w:r>
      <w:r w:rsidR="009D5DBE" w:rsidRPr="00A97BC1">
        <w:rPr>
          <w:rFonts w:eastAsia="PMingLiU"/>
        </w:rPr>
        <w:t xml:space="preserve">commercial </w:t>
      </w:r>
      <w:r w:rsidRPr="00A97BC1">
        <w:rPr>
          <w:rFonts w:eastAsia="PMingLiU"/>
        </w:rPr>
        <w:t>plans due to the relatively small percent</w:t>
      </w:r>
      <w:r w:rsidR="00E93DD1" w:rsidRPr="00A97BC1">
        <w:rPr>
          <w:rFonts w:eastAsia="PMingLiU"/>
        </w:rPr>
        <w:t>age</w:t>
      </w:r>
      <w:r w:rsidRPr="00A97BC1">
        <w:rPr>
          <w:rFonts w:eastAsia="PMingLiU"/>
        </w:rPr>
        <w:t xml:space="preserve"> of Marlborough Hospital patients covered by a </w:t>
      </w:r>
      <w:r w:rsidR="009D5DBE" w:rsidRPr="00A97BC1">
        <w:rPr>
          <w:rFonts w:eastAsia="PMingLiU"/>
        </w:rPr>
        <w:t>commercial</w:t>
      </w:r>
      <w:r w:rsidRPr="00A97BC1">
        <w:rPr>
          <w:rFonts w:eastAsia="PMingLiU"/>
        </w:rPr>
        <w:t xml:space="preserve"> plan compared to UMMMC. </w:t>
      </w:r>
      <w:r w:rsidR="00D80815" w:rsidRPr="00A97BC1">
        <w:rPr>
          <w:rFonts w:eastAsia="PMingLiU"/>
        </w:rPr>
        <w:t>In</w:t>
      </w:r>
      <w:r w:rsidRPr="00A97BC1">
        <w:rPr>
          <w:rFonts w:eastAsia="PMingLiU"/>
        </w:rPr>
        <w:t xml:space="preserve"> FY24, </w:t>
      </w:r>
      <w:r w:rsidR="00A92A91" w:rsidRPr="00A97BC1">
        <w:rPr>
          <w:rFonts w:eastAsia="PMingLiU"/>
        </w:rPr>
        <w:t xml:space="preserve">MH’s total commercial gross patient service revenue (GPSR) </w:t>
      </w:r>
      <w:r w:rsidR="00E93DD1" w:rsidRPr="00A97BC1">
        <w:rPr>
          <w:rFonts w:eastAsia="PMingLiU"/>
        </w:rPr>
        <w:t xml:space="preserve">would have represented </w:t>
      </w:r>
      <w:r w:rsidR="00A92A91" w:rsidRPr="00A97BC1">
        <w:rPr>
          <w:rFonts w:eastAsia="PMingLiU"/>
        </w:rPr>
        <w:t>only 4.5% of UMMMC’s</w:t>
      </w:r>
      <w:r w:rsidR="00E93DD1" w:rsidRPr="00A97BC1">
        <w:rPr>
          <w:rFonts w:eastAsia="PMingLiU"/>
        </w:rPr>
        <w:t xml:space="preserve"> GPSR</w:t>
      </w:r>
      <w:r w:rsidR="00A92A91" w:rsidRPr="00A97BC1">
        <w:rPr>
          <w:rFonts w:eastAsia="PMingLiU"/>
        </w:rPr>
        <w:t xml:space="preserve"> and </w:t>
      </w:r>
      <w:r w:rsidR="00E93DD1" w:rsidRPr="00A97BC1">
        <w:rPr>
          <w:rFonts w:eastAsia="PMingLiU"/>
        </w:rPr>
        <w:t xml:space="preserve">accounted for only </w:t>
      </w:r>
      <w:r w:rsidR="00A92A91" w:rsidRPr="00A97BC1">
        <w:rPr>
          <w:rFonts w:eastAsia="PMingLiU"/>
        </w:rPr>
        <w:t>3.5% of UMass Memorial</w:t>
      </w:r>
      <w:r w:rsidR="00E93DD1" w:rsidRPr="00A97BC1">
        <w:rPr>
          <w:rFonts w:eastAsia="PMingLiU"/>
        </w:rPr>
        <w:t>’s</w:t>
      </w:r>
      <w:r w:rsidR="00A92A91" w:rsidRPr="00A97BC1">
        <w:rPr>
          <w:rFonts w:eastAsia="PMingLiU"/>
        </w:rPr>
        <w:t xml:space="preserve">.  </w:t>
      </w:r>
      <w:r w:rsidR="00E93DD1" w:rsidRPr="00A97BC1">
        <w:rPr>
          <w:rFonts w:eastAsia="PMingLiU"/>
        </w:rPr>
        <w:t>MH’s</w:t>
      </w:r>
      <w:r w:rsidR="00A92A91" w:rsidRPr="00A97BC1">
        <w:rPr>
          <w:rFonts w:eastAsia="PMingLiU"/>
        </w:rPr>
        <w:t xml:space="preserve"> commercial population at MH </w:t>
      </w:r>
      <w:r w:rsidR="00E93DD1" w:rsidRPr="00A97BC1">
        <w:rPr>
          <w:rFonts w:eastAsia="PMingLiU"/>
        </w:rPr>
        <w:t>is too small to</w:t>
      </w:r>
      <w:r w:rsidR="00A92A91" w:rsidRPr="00A97BC1">
        <w:rPr>
          <w:rFonts w:eastAsia="PMingLiU"/>
        </w:rPr>
        <w:t xml:space="preserve"> materially impact the TME of either the hospital or the system following the Proposed Merger.</w:t>
      </w:r>
      <w:r w:rsidR="00BC1098" w:rsidRPr="00A97BC1">
        <w:rPr>
          <w:rFonts w:eastAsia="PMingLiU"/>
        </w:rPr>
        <w:t xml:space="preserve"> There is no anticipated change in physician TME as UMass Memorial Medical Group physicians are paid the same professional rates under existing UMass Memorial payer contracts regardless of whether they practice at MH or UMMMC. </w:t>
      </w:r>
      <w:r w:rsidR="004F3485" w:rsidRPr="00A97BC1">
        <w:rPr>
          <w:rFonts w:eastAsia="PMingLiU"/>
        </w:rPr>
        <w:t>UMass Memorial</w:t>
      </w:r>
      <w:r w:rsidRPr="00A97BC1">
        <w:rPr>
          <w:rFonts w:eastAsia="PMingLiU"/>
        </w:rPr>
        <w:t xml:space="preserve"> does anticipate small savings in TME will occur for those MH inpatients that are transferred to UMMMC for higher level of care because they will no longer incur the ambulance/life flight bills as </w:t>
      </w:r>
      <w:r w:rsidR="00455148" w:rsidRPr="00A97BC1">
        <w:rPr>
          <w:rFonts w:eastAsia="PMingLiU"/>
        </w:rPr>
        <w:t xml:space="preserve">transportation will be as an </w:t>
      </w:r>
      <w:proofErr w:type="spellStart"/>
      <w:r w:rsidR="00455148" w:rsidRPr="00A97BC1">
        <w:rPr>
          <w:rFonts w:eastAsia="PMingLiU"/>
        </w:rPr>
        <w:t>intrafacility</w:t>
      </w:r>
      <w:proofErr w:type="spellEnd"/>
      <w:r w:rsidR="00455148" w:rsidRPr="00A97BC1">
        <w:rPr>
          <w:rFonts w:eastAsia="PMingLiU"/>
        </w:rPr>
        <w:t xml:space="preserve"> transfer</w:t>
      </w:r>
      <w:r w:rsidR="001879F1">
        <w:rPr>
          <w:rFonts w:eastAsia="PMingLiU"/>
        </w:rPr>
        <w:t>,</w:t>
      </w:r>
      <w:r w:rsidRPr="00A97BC1">
        <w:rPr>
          <w:rFonts w:eastAsia="PMingLiU"/>
        </w:rPr>
        <w:t xml:space="preserve"> </w:t>
      </w:r>
      <w:r w:rsidR="00E93DD1" w:rsidRPr="00A97BC1">
        <w:rPr>
          <w:rFonts w:eastAsia="PMingLiU"/>
        </w:rPr>
        <w:t xml:space="preserve">the expense of which </w:t>
      </w:r>
      <w:r w:rsidRPr="00A97BC1">
        <w:rPr>
          <w:rFonts w:eastAsia="PMingLiU"/>
        </w:rPr>
        <w:t xml:space="preserve">is covered by UMMMC. </w:t>
      </w:r>
      <w:r w:rsidR="00C322D5" w:rsidRPr="00B41D6E">
        <w:rPr>
          <w:rFonts w:eastAsia="PMingLiU"/>
        </w:rPr>
        <w:t xml:space="preserve">Moreover, through the merger, </w:t>
      </w:r>
      <w:r w:rsidRPr="00B41D6E">
        <w:rPr>
          <w:rFonts w:eastAsia="PMingLiU"/>
        </w:rPr>
        <w:t xml:space="preserve">clinical leadership </w:t>
      </w:r>
      <w:r w:rsidR="00C322D5" w:rsidRPr="00B41D6E">
        <w:rPr>
          <w:rFonts w:eastAsia="PMingLiU"/>
        </w:rPr>
        <w:t xml:space="preserve">will have </w:t>
      </w:r>
      <w:r w:rsidRPr="00B41D6E">
        <w:rPr>
          <w:rFonts w:eastAsia="PMingLiU"/>
        </w:rPr>
        <w:t xml:space="preserve">greater flexibility to transport patients between </w:t>
      </w:r>
      <w:r w:rsidR="002D6673" w:rsidRPr="00B41D6E">
        <w:rPr>
          <w:rFonts w:eastAsia="PMingLiU"/>
        </w:rPr>
        <w:t>UMMMC’s inpatient campuses</w:t>
      </w:r>
      <w:r w:rsidRPr="00B41D6E">
        <w:rPr>
          <w:rFonts w:eastAsia="PMingLiU"/>
        </w:rPr>
        <w:t xml:space="preserve"> </w:t>
      </w:r>
      <w:r w:rsidR="0003361F" w:rsidRPr="00B41D6E">
        <w:rPr>
          <w:rFonts w:eastAsia="PMingLiU"/>
        </w:rPr>
        <w:t xml:space="preserve">to </w:t>
      </w:r>
      <w:r w:rsidR="002D6673" w:rsidRPr="00B41D6E">
        <w:rPr>
          <w:rFonts w:eastAsia="PMingLiU"/>
        </w:rPr>
        <w:t>more</w:t>
      </w:r>
      <w:r w:rsidRPr="00B41D6E">
        <w:rPr>
          <w:rFonts w:eastAsia="PMingLiU"/>
        </w:rPr>
        <w:t xml:space="preserve"> fully utilize </w:t>
      </w:r>
      <w:r w:rsidR="00B41D6E" w:rsidRPr="00B41D6E">
        <w:rPr>
          <w:rFonts w:eastAsia="PMingLiU"/>
        </w:rPr>
        <w:t>each</w:t>
      </w:r>
      <w:r w:rsidRPr="00B41D6E">
        <w:rPr>
          <w:rFonts w:eastAsia="PMingLiU"/>
        </w:rPr>
        <w:t xml:space="preserve"> campus</w:t>
      </w:r>
      <w:r w:rsidR="00B41D6E" w:rsidRPr="00B41D6E">
        <w:rPr>
          <w:rFonts w:eastAsia="PMingLiU"/>
        </w:rPr>
        <w:t>. This will</w:t>
      </w:r>
      <w:r w:rsidRPr="00B41D6E">
        <w:rPr>
          <w:rFonts w:eastAsia="PMingLiU"/>
        </w:rPr>
        <w:t xml:space="preserve"> creat</w:t>
      </w:r>
      <w:r w:rsidR="00B41D6E" w:rsidRPr="00B41D6E">
        <w:rPr>
          <w:rFonts w:eastAsia="PMingLiU"/>
        </w:rPr>
        <w:t>e</w:t>
      </w:r>
      <w:r w:rsidRPr="00B41D6E">
        <w:rPr>
          <w:rFonts w:eastAsia="PMingLiU"/>
        </w:rPr>
        <w:t xml:space="preserve"> more access for tertiary and quaternary care </w:t>
      </w:r>
      <w:r w:rsidR="0089178B" w:rsidRPr="00B41D6E">
        <w:rPr>
          <w:rFonts w:eastAsia="PMingLiU"/>
        </w:rPr>
        <w:t>at the University and Memorial campuses</w:t>
      </w:r>
      <w:r w:rsidR="00B41D6E">
        <w:rPr>
          <w:rFonts w:eastAsia="PMingLiU"/>
        </w:rPr>
        <w:t xml:space="preserve">, in turn </w:t>
      </w:r>
      <w:r w:rsidR="00B41D6E" w:rsidRPr="00B41D6E">
        <w:rPr>
          <w:rFonts w:eastAsia="PMingLiU"/>
        </w:rPr>
        <w:t>reduc</w:t>
      </w:r>
      <w:r w:rsidR="00B41D6E">
        <w:rPr>
          <w:rFonts w:eastAsia="PMingLiU"/>
        </w:rPr>
        <w:t>ing</w:t>
      </w:r>
      <w:r w:rsidR="00B41D6E" w:rsidRPr="00B41D6E">
        <w:rPr>
          <w:rFonts w:eastAsia="PMingLiU"/>
        </w:rPr>
        <w:t xml:space="preserve"> </w:t>
      </w:r>
      <w:r w:rsidR="0089178B" w:rsidRPr="00B41D6E">
        <w:rPr>
          <w:rFonts w:eastAsia="PMingLiU"/>
        </w:rPr>
        <w:t>the need to transfer some of th</w:t>
      </w:r>
      <w:r w:rsidR="00B41D6E">
        <w:rPr>
          <w:rFonts w:eastAsia="PMingLiU"/>
        </w:rPr>
        <w:t>e</w:t>
      </w:r>
      <w:r w:rsidR="0089178B" w:rsidRPr="00B41D6E">
        <w:rPr>
          <w:rFonts w:eastAsia="PMingLiU"/>
        </w:rPr>
        <w:t xml:space="preserve"> patients for whom there is not currently capacity to more expensive settings in</w:t>
      </w:r>
      <w:r w:rsidRPr="00B41D6E">
        <w:rPr>
          <w:rFonts w:eastAsia="PMingLiU"/>
        </w:rPr>
        <w:t xml:space="preserve"> Boston</w:t>
      </w:r>
      <w:r w:rsidR="009D5DBE" w:rsidRPr="00B41D6E">
        <w:rPr>
          <w:rFonts w:eastAsia="PMingLiU"/>
        </w:rPr>
        <w:t xml:space="preserve"> or out of state</w:t>
      </w:r>
      <w:r w:rsidRPr="00B41D6E">
        <w:rPr>
          <w:rFonts w:eastAsia="PMingLiU"/>
        </w:rPr>
        <w:t>.</w:t>
      </w:r>
      <w:r w:rsidR="00C322D5" w:rsidRPr="00A97BC1">
        <w:rPr>
          <w:rFonts w:eastAsia="PMingLiU"/>
        </w:rPr>
        <w:t xml:space="preserve"> By more fully optimizing UMM</w:t>
      </w:r>
      <w:r w:rsidR="00527B52" w:rsidRPr="00A97BC1">
        <w:rPr>
          <w:rFonts w:eastAsia="PMingLiU"/>
        </w:rPr>
        <w:t>M</w:t>
      </w:r>
      <w:r w:rsidR="00C322D5" w:rsidRPr="00A97BC1">
        <w:rPr>
          <w:rFonts w:eastAsia="PMingLiU"/>
        </w:rPr>
        <w:t>C’s</w:t>
      </w:r>
      <w:r w:rsidR="00C322D5" w:rsidRPr="009D5DBE">
        <w:rPr>
          <w:rFonts w:eastAsia="PMingLiU"/>
        </w:rPr>
        <w:t xml:space="preserve"> inpatient campuses, the Applicant anticipates that TME will </w:t>
      </w:r>
      <w:r w:rsidR="00455148" w:rsidRPr="009D5DBE">
        <w:rPr>
          <w:rFonts w:eastAsia="PMingLiU"/>
        </w:rPr>
        <w:t xml:space="preserve">not be materially </w:t>
      </w:r>
      <w:r w:rsidR="008A52FB" w:rsidRPr="009D5DBE">
        <w:rPr>
          <w:rFonts w:eastAsia="PMingLiU"/>
        </w:rPr>
        <w:t>impacted,</w:t>
      </w:r>
      <w:r w:rsidR="00C322D5" w:rsidRPr="009D5DBE">
        <w:rPr>
          <w:rFonts w:eastAsia="PMingLiU"/>
        </w:rPr>
        <w:t xml:space="preserve"> and cost savings will be realized. </w:t>
      </w:r>
      <w:bookmarkEnd w:id="5"/>
    </w:p>
    <w:p w14:paraId="7D811B1A" w14:textId="645B42AD" w:rsidR="00B11868" w:rsidRPr="009D5DBE" w:rsidRDefault="00C322D5" w:rsidP="00231FC7">
      <w:pPr>
        <w:pStyle w:val="HBblj"/>
        <w:rPr>
          <w:rFonts w:eastAsia="PMingLiU"/>
        </w:rPr>
      </w:pPr>
      <w:r w:rsidRPr="009D5DBE">
        <w:rPr>
          <w:rFonts w:eastAsia="PMingLiU"/>
        </w:rPr>
        <w:t>Next, t</w:t>
      </w:r>
      <w:r w:rsidR="00B11868" w:rsidRPr="009D5DBE">
        <w:rPr>
          <w:rFonts w:eastAsia="PMingLiU"/>
        </w:rPr>
        <w:t xml:space="preserve">he merger presents an opportunity to </w:t>
      </w:r>
      <w:r w:rsidR="00455148" w:rsidRPr="009D5DBE">
        <w:rPr>
          <w:rFonts w:eastAsia="PMingLiU"/>
        </w:rPr>
        <w:t>impact</w:t>
      </w:r>
      <w:r w:rsidR="00B11868" w:rsidRPr="009D5DBE">
        <w:rPr>
          <w:rFonts w:eastAsia="PMingLiU"/>
        </w:rPr>
        <w:t xml:space="preserve"> TME by ensuring continued access for MH’s patients to care in their local community. It is anticipated that the addition of MH to UMMMC’s license will help to reduce the administrative barriers that delay access to UMMMC’s special</w:t>
      </w:r>
      <w:r w:rsidR="00563FE2" w:rsidRPr="009D5DBE">
        <w:rPr>
          <w:rFonts w:eastAsia="PMingLiU"/>
        </w:rPr>
        <w:t>ty care</w:t>
      </w:r>
      <w:r w:rsidR="00B11868" w:rsidRPr="009D5DBE">
        <w:rPr>
          <w:rFonts w:eastAsia="PMingLiU"/>
        </w:rPr>
        <w:t xml:space="preserve"> through the consolidation of medical staffs into one unified healthcare team. As a licensed campus of UMMMC, MH will be able to reduce costs by reducing or eliminating </w:t>
      </w:r>
      <w:r w:rsidR="00855BCD" w:rsidRPr="009D5DBE">
        <w:rPr>
          <w:rFonts w:eastAsia="PMingLiU"/>
        </w:rPr>
        <w:t xml:space="preserve">the </w:t>
      </w:r>
      <w:r w:rsidR="00B11868" w:rsidRPr="009D5DBE">
        <w:rPr>
          <w:rFonts w:eastAsia="PMingLiU"/>
        </w:rPr>
        <w:t>administrative costs associated with maintaining separately licensed hospitals</w:t>
      </w:r>
      <w:r w:rsidR="00855BCD" w:rsidRPr="009D5DBE">
        <w:rPr>
          <w:rFonts w:eastAsia="PMingLiU"/>
        </w:rPr>
        <w:t>,</w:t>
      </w:r>
      <w:r w:rsidR="00B11868" w:rsidRPr="009D5DBE">
        <w:rPr>
          <w:rFonts w:eastAsia="PMingLiU"/>
        </w:rPr>
        <w:t xml:space="preserve"> such</w:t>
      </w:r>
      <w:r w:rsidR="00855BCD" w:rsidRPr="009D5DBE">
        <w:rPr>
          <w:rFonts w:eastAsia="PMingLiU"/>
        </w:rPr>
        <w:t xml:space="preserve"> as</w:t>
      </w:r>
      <w:r w:rsidR="00B11868" w:rsidRPr="009D5DBE">
        <w:rPr>
          <w:rFonts w:eastAsia="PMingLiU"/>
        </w:rPr>
        <w:t xml:space="preserve"> multiple medical staffing office</w:t>
      </w:r>
      <w:r w:rsidR="00855BCD" w:rsidRPr="009D5DBE">
        <w:rPr>
          <w:rFonts w:eastAsia="PMingLiU"/>
        </w:rPr>
        <w:t xml:space="preserve">s and separate </w:t>
      </w:r>
      <w:r w:rsidR="00B11868" w:rsidRPr="009D5DBE">
        <w:rPr>
          <w:rFonts w:eastAsia="PMingLiU"/>
        </w:rPr>
        <w:t xml:space="preserve">quality and Senior Leadership teams.  Over time UMMMC </w:t>
      </w:r>
      <w:r w:rsidR="00455148" w:rsidRPr="009D5DBE">
        <w:rPr>
          <w:rFonts w:eastAsia="PMingLiU"/>
        </w:rPr>
        <w:t>plans to</w:t>
      </w:r>
      <w:r w:rsidR="00B11868" w:rsidRPr="009D5DBE">
        <w:rPr>
          <w:rFonts w:eastAsia="PMingLiU"/>
        </w:rPr>
        <w:t xml:space="preserve"> use its longstanding lean process to identify other overhead areas that it can streamline to help reduce cost. </w:t>
      </w:r>
    </w:p>
    <w:p w14:paraId="5CF9BDDD" w14:textId="76D1279C" w:rsidR="00B11868" w:rsidRPr="009D5DBE" w:rsidRDefault="00527B52" w:rsidP="00231FC7">
      <w:pPr>
        <w:pStyle w:val="HBblj"/>
        <w:rPr>
          <w:rFonts w:eastAsia="PMingLiU"/>
        </w:rPr>
      </w:pPr>
      <w:r w:rsidRPr="009D5DBE">
        <w:rPr>
          <w:rFonts w:eastAsia="PMingLiU"/>
        </w:rPr>
        <w:t>UMass Memorial</w:t>
      </w:r>
      <w:r w:rsidR="00B11868" w:rsidRPr="009D5DBE">
        <w:rPr>
          <w:rFonts w:eastAsia="PMingLiU"/>
        </w:rPr>
        <w:t xml:space="preserve"> continues to develop and implement innovative strategies that will facilitate lower health care costs over the long-term.</w:t>
      </w:r>
      <w:r w:rsidR="00B11868" w:rsidRPr="009D5DBE">
        <w:t xml:space="preserve"> </w:t>
      </w:r>
      <w:r w:rsidR="00B11868" w:rsidRPr="009D5DBE">
        <w:rPr>
          <w:rFonts w:eastAsia="PMingLiU"/>
        </w:rPr>
        <w:t xml:space="preserve">For example, UMMMC’s Hospital at Home program has brought hospital-level care to the homes of more than 2,000 patients, reducing patient </w:t>
      </w:r>
      <w:r w:rsidR="00B11868" w:rsidRPr="00A97BC1">
        <w:rPr>
          <w:rFonts w:eastAsia="PMingLiU"/>
        </w:rPr>
        <w:t>hospital readmission rates and admission to skilled nursing facilities. This service is also shown to improve patient outcomes</w:t>
      </w:r>
      <w:r w:rsidR="009D5DBE" w:rsidRPr="00A97BC1">
        <w:rPr>
          <w:rFonts w:eastAsia="PMingLiU"/>
        </w:rPr>
        <w:t>, as well as their care experience</w:t>
      </w:r>
      <w:r w:rsidR="00B11868" w:rsidRPr="00A97BC1">
        <w:rPr>
          <w:rFonts w:eastAsia="PMingLiU"/>
        </w:rPr>
        <w:t xml:space="preserve">. In addition, </w:t>
      </w:r>
      <w:r w:rsidRPr="00A97BC1">
        <w:rPr>
          <w:rFonts w:eastAsia="PMingLiU"/>
        </w:rPr>
        <w:t>UMass Memorial</w:t>
      </w:r>
      <w:r w:rsidR="00B11868" w:rsidRPr="00A97BC1">
        <w:rPr>
          <w:rFonts w:eastAsia="PMingLiU"/>
        </w:rPr>
        <w:t xml:space="preserve"> recently launched a Subacute R</w:t>
      </w:r>
      <w:r w:rsidR="00B11868" w:rsidRPr="009D5DBE">
        <w:rPr>
          <w:rFonts w:eastAsia="PMingLiU"/>
        </w:rPr>
        <w:t>ehab at Home</w:t>
      </w:r>
      <w:r w:rsidR="0089178B" w:rsidRPr="009D5DBE">
        <w:rPr>
          <w:rFonts w:eastAsia="PMingLiU"/>
        </w:rPr>
        <w:t xml:space="preserve"> pilot</w:t>
      </w:r>
      <w:r w:rsidR="00B11868" w:rsidRPr="009D5DBE">
        <w:rPr>
          <w:rFonts w:eastAsia="PMingLiU"/>
        </w:rPr>
        <w:t xml:space="preserve"> program which brings skilled nursing and rehabilitative care to patient homes. As a campus of UMMMC, MH patients will be able to access these innovative solutions, improving and access reducing the cost of care.     </w:t>
      </w:r>
    </w:p>
    <w:bookmarkEnd w:id="4"/>
    <w:p w14:paraId="1D92FDAC" w14:textId="33A80AAD" w:rsidR="00076798" w:rsidRPr="00231FC7" w:rsidRDefault="00076798" w:rsidP="00231FC7">
      <w:pPr>
        <w:pStyle w:val="HBh"/>
        <w:rPr>
          <w:b/>
          <w:bCs/>
        </w:rPr>
      </w:pPr>
      <w:r w:rsidRPr="009D5DBE">
        <w:rPr>
          <w:bCs/>
        </w:rPr>
        <w:t>F1.b.i</w:t>
      </w:r>
      <w:r w:rsidRPr="009D5DBE">
        <w:t xml:space="preserve"> </w:t>
      </w:r>
      <w:r w:rsidRPr="009D5DBE">
        <w:tab/>
      </w:r>
      <w:r w:rsidRPr="00231FC7">
        <w:rPr>
          <w:b/>
          <w:bCs/>
        </w:rPr>
        <w:t>Public Health Value /Evidence-Based</w:t>
      </w:r>
    </w:p>
    <w:p w14:paraId="2B1A6030" w14:textId="77777777" w:rsidR="00076798" w:rsidRPr="009D5DBE" w:rsidRDefault="00076798" w:rsidP="00231FC7">
      <w:pPr>
        <w:pStyle w:val="HBbl1j"/>
        <w:rPr>
          <w:rFonts w:eastAsia="Calibri"/>
        </w:rPr>
      </w:pPr>
      <w:r w:rsidRPr="009D5DBE">
        <w:rPr>
          <w:rFonts w:eastAsia="Calibri"/>
        </w:rPr>
        <w:t>Provide information on the evidence-base for the Proposed Project. That is, how does the Proposed Project address the Need that Applicant has identified.</w:t>
      </w:r>
    </w:p>
    <w:p w14:paraId="2DE8EDD3" w14:textId="44AAB207" w:rsidR="00076798" w:rsidRPr="009D5DBE" w:rsidRDefault="00076798" w:rsidP="00231FC7">
      <w:pPr>
        <w:pStyle w:val="HBblj"/>
        <w:rPr>
          <w:rFonts w:eastAsia="Calibri"/>
        </w:rPr>
      </w:pPr>
      <w:r w:rsidRPr="009D5DBE">
        <w:rPr>
          <w:rFonts w:eastAsia="Calibri"/>
        </w:rPr>
        <w:t xml:space="preserve">The benefits anticipated by the Applicant </w:t>
      </w:r>
      <w:r w:rsidR="00AB6C92" w:rsidRPr="009D5DBE">
        <w:rPr>
          <w:rFonts w:eastAsia="Calibri"/>
        </w:rPr>
        <w:t>that can be achieved through the Proposed Merger</w:t>
      </w:r>
      <w:r w:rsidRPr="009D5DBE">
        <w:rPr>
          <w:rFonts w:eastAsia="Calibri"/>
        </w:rPr>
        <w:t xml:space="preserve"> are supported by several research studies as further described below. </w:t>
      </w:r>
    </w:p>
    <w:p w14:paraId="5BF89011" w14:textId="36DCDA3D" w:rsidR="00076798" w:rsidRPr="009D5DBE" w:rsidRDefault="00076798" w:rsidP="00231FC7">
      <w:pPr>
        <w:pStyle w:val="HBblj"/>
        <w:rPr>
          <w:rFonts w:eastAsia="PMingLiU"/>
        </w:rPr>
      </w:pPr>
      <w:r w:rsidRPr="009D5DBE">
        <w:rPr>
          <w:rFonts w:eastAsia="PMingLiU"/>
        </w:rPr>
        <w:t>Small community hospitals face difficult operating and service delivery decisions which can lead to the curtailment or closure of local services</w:t>
      </w:r>
      <w:r w:rsidR="00AB6C92" w:rsidRPr="009D5DBE">
        <w:rPr>
          <w:rFonts w:eastAsia="PMingLiU"/>
        </w:rPr>
        <w:t>.</w:t>
      </w:r>
      <w:r w:rsidRPr="009D5DBE">
        <w:rPr>
          <w:rFonts w:eastAsia="PMingLiU"/>
        </w:rPr>
        <w:t xml:space="preserve"> A systematic review of hospital mergers demonstrated that merging hospitals results in economies of scale, leading to significant financial benefits for the smaller </w:t>
      </w:r>
      <w:r w:rsidRPr="009D5DBE">
        <w:rPr>
          <w:rFonts w:eastAsia="PMingLiU"/>
        </w:rPr>
        <w:lastRenderedPageBreak/>
        <w:t>hospital.</w:t>
      </w:r>
      <w:r w:rsidRPr="009D5DBE">
        <w:rPr>
          <w:rStyle w:val="FootnoteReference"/>
          <w:rFonts w:eastAsia="PMingLiU"/>
          <w:szCs w:val="21"/>
        </w:rPr>
        <w:footnoteReference w:id="14"/>
      </w:r>
      <w:r w:rsidRPr="009D5DBE">
        <w:rPr>
          <w:rFonts w:eastAsia="PMingLiU"/>
        </w:rPr>
        <w:t xml:space="preserve"> Furthermore, recent multi-hospital studies have shown that mergers and acquisitions are associated with statistically significant improvements in quality outcomes, including lower mortality rates and reductions in readmission rates.</w:t>
      </w:r>
      <w:r w:rsidRPr="009D5DBE">
        <w:rPr>
          <w:rStyle w:val="FootnoteReference"/>
          <w:rFonts w:eastAsia="PMingLiU"/>
          <w:szCs w:val="21"/>
        </w:rPr>
        <w:footnoteReference w:id="15"/>
      </w:r>
      <w:r w:rsidRPr="009D5DBE">
        <w:rPr>
          <w:rFonts w:eastAsia="PMingLiU"/>
        </w:rPr>
        <w:t xml:space="preserve"> To that end, the </w:t>
      </w:r>
      <w:r w:rsidR="00AB6C92" w:rsidRPr="009D5DBE">
        <w:rPr>
          <w:rFonts w:eastAsia="PMingLiU"/>
        </w:rPr>
        <w:t>P</w:t>
      </w:r>
      <w:r w:rsidRPr="009D5DBE">
        <w:rPr>
          <w:rFonts w:eastAsia="PMingLiU"/>
        </w:rPr>
        <w:t xml:space="preserve">roposed </w:t>
      </w:r>
      <w:r w:rsidR="00AB6C92" w:rsidRPr="009D5DBE">
        <w:rPr>
          <w:rFonts w:eastAsia="PMingLiU"/>
        </w:rPr>
        <w:t>M</w:t>
      </w:r>
      <w:r w:rsidRPr="009D5DBE">
        <w:rPr>
          <w:rFonts w:eastAsia="PMingLiU"/>
        </w:rPr>
        <w:t xml:space="preserve">erger </w:t>
      </w:r>
      <w:r w:rsidR="00AB6C92" w:rsidRPr="009D5DBE">
        <w:rPr>
          <w:rFonts w:eastAsia="PMingLiU"/>
        </w:rPr>
        <w:t>will</w:t>
      </w:r>
      <w:r w:rsidRPr="009D5DBE">
        <w:rPr>
          <w:rFonts w:eastAsia="PMingLiU"/>
        </w:rPr>
        <w:t xml:space="preserve"> provide the resources to allow </w:t>
      </w:r>
      <w:r w:rsidR="00F22072">
        <w:rPr>
          <w:rFonts w:eastAsia="PMingLiU"/>
        </w:rPr>
        <w:t>the Marlborough campus</w:t>
      </w:r>
      <w:r w:rsidRPr="009D5DBE">
        <w:rPr>
          <w:rFonts w:eastAsia="PMingLiU"/>
        </w:rPr>
        <w:t xml:space="preserve"> to continue providing a full spectrum of high-quality inpatient and outpatient services in the community as a licensed campus of UMMMC. </w:t>
      </w:r>
    </w:p>
    <w:p w14:paraId="69BBC2E6" w14:textId="77777777" w:rsidR="00076798" w:rsidRPr="009D5DBE" w:rsidRDefault="00076798" w:rsidP="00231FC7">
      <w:pPr>
        <w:pStyle w:val="HBsl"/>
        <w:rPr>
          <w:rFonts w:eastAsia="PMingLiU"/>
        </w:rPr>
      </w:pPr>
      <w:r w:rsidRPr="009D5DBE">
        <w:rPr>
          <w:rFonts w:eastAsia="PMingLiU"/>
        </w:rPr>
        <w:t>Access to Local, Timely Care</w:t>
      </w:r>
    </w:p>
    <w:p w14:paraId="6330F2E1" w14:textId="7DE14338" w:rsidR="00076798" w:rsidRPr="009D5DBE" w:rsidRDefault="00AB6C92" w:rsidP="00231FC7">
      <w:pPr>
        <w:pStyle w:val="HBblj"/>
        <w:rPr>
          <w:rFonts w:eastAsia="PMingLiU"/>
        </w:rPr>
      </w:pPr>
      <w:r w:rsidRPr="009D5DBE">
        <w:rPr>
          <w:rFonts w:eastAsia="PMingLiU"/>
        </w:rPr>
        <w:t>According to the Health Policy Commission’s 2016 report on Community Hospitals, “[t]he local nature of community hospital services is particularly important for patients for whom accessing care can be difficult.”</w:t>
      </w:r>
      <w:r w:rsidRPr="009D5DBE">
        <w:rPr>
          <w:rFonts w:eastAsia="PMingLiU"/>
          <w:vertAlign w:val="superscript"/>
        </w:rPr>
        <w:t xml:space="preserve"> </w:t>
      </w:r>
      <w:r w:rsidRPr="009D5DBE">
        <w:rPr>
          <w:rFonts w:eastAsia="PMingLiU"/>
          <w:vertAlign w:val="superscript"/>
        </w:rPr>
        <w:footnoteReference w:id="16"/>
      </w:r>
      <w:r w:rsidRPr="009D5DBE">
        <w:rPr>
          <w:rFonts w:eastAsia="PMingLiU"/>
        </w:rPr>
        <w:t xml:space="preserve">  The report acknowledges that this includes many patients covered by Medicare, MassHealth, or other government programs, who are more likely to rely on locally based care.</w:t>
      </w:r>
      <w:r w:rsidRPr="009D5DBE">
        <w:rPr>
          <w:rFonts w:eastAsia="PMingLiU"/>
          <w:vertAlign w:val="superscript"/>
        </w:rPr>
        <w:footnoteReference w:id="17"/>
      </w:r>
      <w:r w:rsidRPr="009D5DBE">
        <w:rPr>
          <w:rFonts w:eastAsia="PMingLiU"/>
        </w:rPr>
        <w:t xml:space="preserve">  A</w:t>
      </w:r>
      <w:r w:rsidR="00076798" w:rsidRPr="009D5DBE">
        <w:rPr>
          <w:rFonts w:eastAsia="PMingLiU"/>
          <w:spacing w:val="-1"/>
        </w:rPr>
        <w:t xml:space="preserve"> 2020 article by the Department of Health and Human Services</w:t>
      </w:r>
      <w:r w:rsidR="00076798" w:rsidRPr="009D5DBE">
        <w:rPr>
          <w:rFonts w:eastAsia="Calibri" w:cs="Calibri"/>
          <w:color w:val="000000"/>
          <w:spacing w:val="-1"/>
          <w:vertAlign w:val="superscript"/>
        </w:rPr>
        <w:footnoteReference w:id="18"/>
      </w:r>
      <w:r w:rsidR="00076798" w:rsidRPr="009D5DBE">
        <w:rPr>
          <w:rFonts w:eastAsia="PMingLiU"/>
          <w:spacing w:val="-1"/>
        </w:rPr>
        <w:t xml:space="preserve"> outlines the following key factors associated with “access” to care: coverage, services, and timeliness. Access to specialty care is a particular concern for community hospitals; a 2023 survey of community hospital CEOs found that 71% faced shortages of special</w:t>
      </w:r>
      <w:r w:rsidR="00563FE2" w:rsidRPr="009D5DBE">
        <w:rPr>
          <w:rFonts w:eastAsia="PMingLiU"/>
          <w:spacing w:val="-1"/>
        </w:rPr>
        <w:t>ty providers</w:t>
      </w:r>
      <w:r w:rsidR="00076798" w:rsidRPr="009D5DBE">
        <w:rPr>
          <w:rFonts w:eastAsia="PMingLiU"/>
          <w:spacing w:val="-1"/>
        </w:rPr>
        <w:t>.</w:t>
      </w:r>
      <w:r w:rsidR="00076798" w:rsidRPr="009D5DBE">
        <w:rPr>
          <w:rStyle w:val="FootnoteReference"/>
          <w:rFonts w:eastAsia="PMingLiU"/>
          <w:spacing w:val="-1"/>
          <w:szCs w:val="21"/>
        </w:rPr>
        <w:footnoteReference w:id="19"/>
      </w:r>
      <w:r w:rsidR="00076798" w:rsidRPr="009D5DBE">
        <w:rPr>
          <w:rFonts w:eastAsia="PMingLiU"/>
          <w:spacing w:val="-1"/>
        </w:rPr>
        <w:t xml:space="preserve"> The Proposed </w:t>
      </w:r>
      <w:r w:rsidR="000E2C21" w:rsidRPr="009D5DBE">
        <w:rPr>
          <w:rFonts w:eastAsia="PMingLiU"/>
          <w:spacing w:val="-1"/>
        </w:rPr>
        <w:t>Merger</w:t>
      </w:r>
      <w:r w:rsidR="00076798" w:rsidRPr="009D5DBE">
        <w:rPr>
          <w:rFonts w:eastAsia="PMingLiU"/>
          <w:spacing w:val="-1"/>
        </w:rPr>
        <w:t xml:space="preserve"> is intended to allow more care to remain or become available to patients in the Marlborough community in order to avoid delays in accessing specialty care</w:t>
      </w:r>
      <w:r w:rsidR="00076798" w:rsidRPr="009D5DBE">
        <w:rPr>
          <w:rFonts w:eastAsia="PMingLiU"/>
        </w:rPr>
        <w:t>, and to provide</w:t>
      </w:r>
      <w:r w:rsidR="00076798" w:rsidRPr="009D5DBE">
        <w:rPr>
          <w:rFonts w:eastAsia="PMingLiU"/>
          <w:spacing w:val="-1"/>
        </w:rPr>
        <w:t xml:space="preserve"> improved access to timely, locally based care.</w:t>
      </w:r>
      <w:r w:rsidR="00076798" w:rsidRPr="009D5DBE">
        <w:rPr>
          <w:rFonts w:eastAsia="Calibri" w:cs="Calibri"/>
          <w:color w:val="000000"/>
          <w:spacing w:val="-1"/>
          <w:vertAlign w:val="superscript"/>
        </w:rPr>
        <w:footnoteReference w:id="20"/>
      </w:r>
      <w:r w:rsidR="00076798" w:rsidRPr="009D5DBE">
        <w:rPr>
          <w:rFonts w:eastAsia="PMingLiU"/>
          <w:spacing w:val="-1"/>
        </w:rPr>
        <w:t xml:space="preserve">  </w:t>
      </w:r>
    </w:p>
    <w:p w14:paraId="67E28F35" w14:textId="03221EF0" w:rsidR="00076798" w:rsidRPr="009D5DBE" w:rsidRDefault="00076798" w:rsidP="00231FC7">
      <w:pPr>
        <w:pStyle w:val="HBblj"/>
        <w:rPr>
          <w:rFonts w:eastAsia="PMingLiU"/>
        </w:rPr>
      </w:pPr>
      <w:r w:rsidRPr="009D5DBE">
        <w:rPr>
          <w:rFonts w:eastAsia="PMingLiU"/>
        </w:rPr>
        <w:t xml:space="preserve">Additionally, </w:t>
      </w:r>
      <w:r w:rsidR="00AB6C92" w:rsidRPr="009D5DBE">
        <w:rPr>
          <w:rFonts w:eastAsia="PMingLiU"/>
        </w:rPr>
        <w:t>scientific</w:t>
      </w:r>
      <w:r w:rsidRPr="009D5DBE">
        <w:rPr>
          <w:rFonts w:eastAsia="PMingLiU"/>
        </w:rPr>
        <w:t xml:space="preserve"> literature demonstrates that the setting in which care is provided is a major component of the appropriateness of that care.</w:t>
      </w:r>
      <w:r w:rsidRPr="009D5DBE">
        <w:rPr>
          <w:rStyle w:val="FootnoteReference"/>
          <w:rFonts w:eastAsia="PMingLiU"/>
          <w:szCs w:val="21"/>
        </w:rPr>
        <w:footnoteReference w:id="21"/>
      </w:r>
      <w:r w:rsidRPr="009D5DBE">
        <w:rPr>
          <w:rFonts w:eastAsia="PMingLiU"/>
        </w:rPr>
        <w:t xml:space="preserve"> Appropriate services require high-quality care to be provided in a setting consistent with each patient’s individual clinical characteristics.</w:t>
      </w:r>
      <w:r w:rsidRPr="009D5DBE">
        <w:rPr>
          <w:rStyle w:val="FootnoteReference"/>
          <w:rFonts w:eastAsia="PMingLiU"/>
          <w:szCs w:val="21"/>
        </w:rPr>
        <w:footnoteReference w:id="22"/>
      </w:r>
      <w:r w:rsidRPr="009D5DBE">
        <w:rPr>
          <w:rFonts w:eastAsia="PMingLiU"/>
        </w:rPr>
        <w:t xml:space="preserve"> It is well-established that the distance, time, and cost associated with traveling for health care acts as a barrier to access.</w:t>
      </w:r>
      <w:r w:rsidRPr="009D5DBE">
        <w:rPr>
          <w:rStyle w:val="FootnoteReference"/>
          <w:rFonts w:eastAsia="PMingLiU"/>
          <w:szCs w:val="21"/>
        </w:rPr>
        <w:footnoteReference w:id="23"/>
      </w:r>
      <w:r w:rsidRPr="009D5DBE">
        <w:rPr>
          <w:rFonts w:eastAsia="PMingLiU"/>
        </w:rPr>
        <w:t xml:space="preserve"> The Proposed </w:t>
      </w:r>
      <w:r w:rsidR="00AB6C92" w:rsidRPr="009D5DBE">
        <w:rPr>
          <w:rFonts w:eastAsia="PMingLiU"/>
        </w:rPr>
        <w:t>Merger</w:t>
      </w:r>
      <w:r w:rsidRPr="009D5DBE">
        <w:rPr>
          <w:rFonts w:eastAsia="PMingLiU"/>
        </w:rPr>
        <w:t xml:space="preserve"> aims to reduce barrier</w:t>
      </w:r>
      <w:r w:rsidR="00AB6C92" w:rsidRPr="009D5DBE">
        <w:rPr>
          <w:rFonts w:eastAsia="PMingLiU"/>
        </w:rPr>
        <w:t>s</w:t>
      </w:r>
      <w:r w:rsidRPr="009D5DBE">
        <w:rPr>
          <w:rFonts w:eastAsia="PMingLiU"/>
        </w:rPr>
        <w:t xml:space="preserve"> to specialty care by </w:t>
      </w:r>
      <w:r w:rsidR="00AB6C92" w:rsidRPr="009D5DBE">
        <w:rPr>
          <w:rFonts w:eastAsia="PMingLiU"/>
        </w:rPr>
        <w:t>ensuring</w:t>
      </w:r>
      <w:r w:rsidRPr="009D5DBE">
        <w:rPr>
          <w:rFonts w:eastAsia="PMingLiU"/>
        </w:rPr>
        <w:t xml:space="preserve"> access to special</w:t>
      </w:r>
      <w:r w:rsidR="00563FE2" w:rsidRPr="009D5DBE">
        <w:rPr>
          <w:rFonts w:eastAsia="PMingLiU"/>
        </w:rPr>
        <w:t>ty providers</w:t>
      </w:r>
      <w:r w:rsidRPr="009D5DBE">
        <w:rPr>
          <w:rFonts w:eastAsia="PMingLiU"/>
        </w:rPr>
        <w:t xml:space="preserve"> in the Marlborough community, allowing for not only the right care to be provided locally at MH, but also improved access to </w:t>
      </w:r>
      <w:r w:rsidR="0089178B" w:rsidRPr="009D5DBE">
        <w:rPr>
          <w:rFonts w:eastAsia="PMingLiU"/>
        </w:rPr>
        <w:t xml:space="preserve">the </w:t>
      </w:r>
      <w:r w:rsidRPr="009D5DBE">
        <w:rPr>
          <w:rFonts w:eastAsia="PMingLiU"/>
        </w:rPr>
        <w:t xml:space="preserve">UMMMC </w:t>
      </w:r>
      <w:r w:rsidR="0089178B" w:rsidRPr="009D5DBE">
        <w:rPr>
          <w:rFonts w:eastAsia="PMingLiU"/>
        </w:rPr>
        <w:t xml:space="preserve">Worcester University and Memorial campuses </w:t>
      </w:r>
      <w:r w:rsidRPr="009D5DBE">
        <w:rPr>
          <w:rFonts w:eastAsia="PMingLiU"/>
        </w:rPr>
        <w:t xml:space="preserve">when tertiary care is appropriate. In sum, the </w:t>
      </w:r>
      <w:r w:rsidR="00AB6C92" w:rsidRPr="009D5DBE">
        <w:rPr>
          <w:rFonts w:eastAsia="PMingLiU"/>
        </w:rPr>
        <w:t>Proposed M</w:t>
      </w:r>
      <w:r w:rsidRPr="009D5DBE">
        <w:rPr>
          <w:rFonts w:eastAsia="PMingLiU"/>
        </w:rPr>
        <w:t xml:space="preserve">erger will </w:t>
      </w:r>
      <w:r w:rsidR="00AB6C92" w:rsidRPr="009D5DBE">
        <w:rPr>
          <w:rFonts w:eastAsia="PMingLiU"/>
        </w:rPr>
        <w:t xml:space="preserve">allow for more coordinated </w:t>
      </w:r>
      <w:r w:rsidRPr="009D5DBE">
        <w:rPr>
          <w:rFonts w:eastAsia="PMingLiU"/>
        </w:rPr>
        <w:t>access to the right care</w:t>
      </w:r>
      <w:r w:rsidR="00235373" w:rsidRPr="009D5DBE">
        <w:rPr>
          <w:rFonts w:eastAsia="PMingLiU"/>
        </w:rPr>
        <w:t xml:space="preserve"> with the right team</w:t>
      </w:r>
      <w:r w:rsidRPr="009D5DBE">
        <w:rPr>
          <w:rFonts w:eastAsia="PMingLiU"/>
        </w:rPr>
        <w:t xml:space="preserve"> in the right place at the right time. </w:t>
      </w:r>
    </w:p>
    <w:p w14:paraId="799CCC8D" w14:textId="77777777" w:rsidR="00076798" w:rsidRPr="009D5DBE" w:rsidRDefault="00076798" w:rsidP="00231FC7">
      <w:pPr>
        <w:pStyle w:val="HBsl"/>
        <w:rPr>
          <w:rFonts w:eastAsia="PMingLiU"/>
          <w:i/>
          <w:iCs/>
        </w:rPr>
      </w:pPr>
      <w:r w:rsidRPr="009D5DBE">
        <w:rPr>
          <w:rFonts w:eastAsia="PMingLiU"/>
        </w:rPr>
        <w:t xml:space="preserve">Integrated Care </w:t>
      </w:r>
    </w:p>
    <w:p w14:paraId="0F60376F" w14:textId="4A7DA171" w:rsidR="00076798" w:rsidRPr="009D5DBE" w:rsidRDefault="00076798" w:rsidP="00231FC7">
      <w:pPr>
        <w:pStyle w:val="HBblj"/>
        <w:rPr>
          <w:highlight w:val="yellow"/>
          <w:u w:val="single"/>
        </w:rPr>
      </w:pPr>
      <w:r w:rsidRPr="009D5DBE">
        <w:rPr>
          <w:rFonts w:eastAsia="PMingLiU"/>
        </w:rPr>
        <w:t xml:space="preserve">The Proposed </w:t>
      </w:r>
      <w:r w:rsidR="000E2C21" w:rsidRPr="009D5DBE">
        <w:rPr>
          <w:rFonts w:eastAsia="PMingLiU"/>
        </w:rPr>
        <w:t>Merger</w:t>
      </w:r>
      <w:r w:rsidRPr="009D5DBE">
        <w:rPr>
          <w:rFonts w:eastAsia="PMingLiU"/>
        </w:rPr>
        <w:t xml:space="preserve"> will improve care for MH’s patient panel by consolidating the MH and UMMMC medical staffs under one unified medical staff. This will improve efficiency and coordination between the </w:t>
      </w:r>
      <w:r w:rsidRPr="009D5DBE">
        <w:rPr>
          <w:rFonts w:eastAsia="PMingLiU"/>
        </w:rPr>
        <w:lastRenderedPageBreak/>
        <w:t>locations, resulting in improved outcomes for patients.</w:t>
      </w:r>
      <w:r w:rsidRPr="009D5DBE">
        <w:rPr>
          <w:rStyle w:val="FootnoteReference"/>
          <w:rFonts w:eastAsia="PMingLiU"/>
          <w:szCs w:val="21"/>
        </w:rPr>
        <w:footnoteReference w:id="24"/>
      </w:r>
      <w:r w:rsidRPr="009D5DBE">
        <w:rPr>
          <w:rFonts w:eastAsia="PMingLiU"/>
        </w:rPr>
        <w:t xml:space="preserve"> The unified medical staff will also save time and money by centralizing the credentialing process under one set of decision makers, eliminating duplicative</w:t>
      </w:r>
      <w:r w:rsidR="0089178B" w:rsidRPr="009D5DBE">
        <w:rPr>
          <w:rFonts w:eastAsia="PMingLiU"/>
        </w:rPr>
        <w:t xml:space="preserve"> processes and</w:t>
      </w:r>
      <w:r w:rsidRPr="009D5DBE">
        <w:rPr>
          <w:rFonts w:eastAsia="PMingLiU"/>
        </w:rPr>
        <w:t xml:space="preserve"> staffing.</w:t>
      </w:r>
      <w:r w:rsidRPr="009D5DBE">
        <w:rPr>
          <w:rStyle w:val="FootnoteReference"/>
          <w:rFonts w:eastAsia="PMingLiU"/>
          <w:szCs w:val="21"/>
        </w:rPr>
        <w:footnoteReference w:id="25"/>
      </w:r>
      <w:r w:rsidRPr="009D5DBE">
        <w:rPr>
          <w:rFonts w:eastAsia="PMingLiU"/>
        </w:rPr>
        <w:t xml:space="preserve"> This centralized decision-making apparatus will allow UMMMC staff</w:t>
      </w:r>
      <w:r w:rsidR="00757AD6">
        <w:rPr>
          <w:rFonts w:eastAsia="PMingLiU"/>
        </w:rPr>
        <w:t xml:space="preserve"> across campuses, including the Marlborough campus,</w:t>
      </w:r>
      <w:r w:rsidRPr="009D5DBE">
        <w:rPr>
          <w:rFonts w:eastAsia="PMingLiU"/>
        </w:rPr>
        <w:t xml:space="preserve"> to share information for credentialing and privileging with fewer obstacles from confidentiality restrictions, allowing medical staff to operate quickly and efficiently.</w:t>
      </w:r>
      <w:r w:rsidRPr="009D5DBE">
        <w:rPr>
          <w:rStyle w:val="FootnoteReference"/>
          <w:rFonts w:eastAsia="PMingLiU"/>
          <w:szCs w:val="21"/>
        </w:rPr>
        <w:footnoteReference w:id="26"/>
      </w:r>
      <w:r w:rsidRPr="009D5DBE">
        <w:rPr>
          <w:rFonts w:eastAsia="PMingLiU"/>
        </w:rPr>
        <w:t xml:space="preserve"> By integrating medical staffs, patients will receive more consistent care, and the hospitals will receive cost savings from integrating staffing, reduced resource duplication, and fewer administrative burdens.</w:t>
      </w:r>
      <w:r w:rsidRPr="009D5DBE">
        <w:rPr>
          <w:rStyle w:val="FootnoteReference"/>
          <w:rFonts w:eastAsia="PMingLiU"/>
          <w:szCs w:val="21"/>
        </w:rPr>
        <w:footnoteReference w:id="27"/>
      </w:r>
    </w:p>
    <w:p w14:paraId="793B5AB0" w14:textId="77777777" w:rsidR="00076798" w:rsidRPr="009D5DBE" w:rsidRDefault="00076798" w:rsidP="00231FC7">
      <w:pPr>
        <w:pStyle w:val="HBsl"/>
        <w:rPr>
          <w:i/>
          <w:iCs/>
        </w:rPr>
      </w:pPr>
      <w:r w:rsidRPr="009D5DBE">
        <w:t>Hospital at Home</w:t>
      </w:r>
    </w:p>
    <w:p w14:paraId="75130912" w14:textId="70EEF1F4" w:rsidR="00076798" w:rsidRPr="009D5DBE" w:rsidRDefault="00076798" w:rsidP="00231FC7">
      <w:pPr>
        <w:pStyle w:val="HBblj"/>
      </w:pPr>
      <w:r w:rsidRPr="009D5DBE">
        <w:t>Hospital at Home (</w:t>
      </w:r>
      <w:proofErr w:type="spellStart"/>
      <w:r w:rsidRPr="009D5DBE">
        <w:t>HaH</w:t>
      </w:r>
      <w:proofErr w:type="spellEnd"/>
      <w:r w:rsidRPr="009D5DBE">
        <w:t xml:space="preserve">) programs </w:t>
      </w:r>
      <w:r w:rsidR="009861B3">
        <w:t>improve care delivery and</w:t>
      </w:r>
      <w:r w:rsidRPr="009D5DBE">
        <w:t xml:space="preserve"> patient outcomes, making them an attractive alternative to traditional inpatient care. </w:t>
      </w:r>
      <w:r w:rsidR="003430E5" w:rsidRPr="009D5DBE">
        <w:t xml:space="preserve">As a campus of UMMMC, patients of the Marlborough campus will have access to UMMMC’s </w:t>
      </w:r>
      <w:proofErr w:type="spellStart"/>
      <w:r w:rsidR="003430E5" w:rsidRPr="009D5DBE">
        <w:t>HaH</w:t>
      </w:r>
      <w:proofErr w:type="spellEnd"/>
      <w:r w:rsidR="003430E5" w:rsidRPr="009D5DBE">
        <w:t xml:space="preserve"> program. </w:t>
      </w:r>
      <w:proofErr w:type="spellStart"/>
      <w:r w:rsidRPr="009D5DBE">
        <w:t>HaH</w:t>
      </w:r>
      <w:proofErr w:type="spellEnd"/>
      <w:r w:rsidRPr="009D5DBE">
        <w:t xml:space="preserve"> programs, like the one UMMMC operates, allow for the provision of acute and post-acute care directly in a patient’s home, reducing inpatient related costs including facility fees, overhead expenses, and eliminating unnecessary tests and procedures.</w:t>
      </w:r>
      <w:r w:rsidRPr="009D5DBE">
        <w:rPr>
          <w:rStyle w:val="FootnoteReference"/>
          <w:szCs w:val="21"/>
        </w:rPr>
        <w:footnoteReference w:id="28"/>
      </w:r>
      <w:r w:rsidRPr="009D5DBE">
        <w:t xml:space="preserve"> Because of these cost-reduction benefits, a randomized controlled trial found that the risk-adjusted cost reduction of home care management was 19% when valuating patients in a Hospital at Home program compared with those treated in a traditional hospital.</w:t>
      </w:r>
      <w:r w:rsidRPr="009D5DBE">
        <w:rPr>
          <w:rStyle w:val="FootnoteReference"/>
          <w:szCs w:val="21"/>
        </w:rPr>
        <w:footnoteReference w:id="29"/>
      </w:r>
      <w:r w:rsidRPr="009D5DBE">
        <w:t xml:space="preserve"> For example, Johns Hopkins’s </w:t>
      </w:r>
      <w:proofErr w:type="spellStart"/>
      <w:r w:rsidRPr="009D5DBE">
        <w:t>HaH</w:t>
      </w:r>
      <w:proofErr w:type="spellEnd"/>
      <w:r w:rsidRPr="009D5DBE">
        <w:t xml:space="preserve"> program resulted in cost savings of 19% to 30% compared to traditional inpatient care.</w:t>
      </w:r>
      <w:r w:rsidRPr="009D5DBE">
        <w:rPr>
          <w:rStyle w:val="FootnoteReference"/>
          <w:szCs w:val="21"/>
        </w:rPr>
        <w:footnoteReference w:id="30"/>
      </w:r>
    </w:p>
    <w:p w14:paraId="764FF08C" w14:textId="77777777" w:rsidR="00076798" w:rsidRPr="009D5DBE" w:rsidRDefault="00076798" w:rsidP="00231FC7">
      <w:pPr>
        <w:pStyle w:val="HBblj"/>
      </w:pPr>
      <w:r w:rsidRPr="009D5DBE">
        <w:t xml:space="preserve">In addition to economic benefits, </w:t>
      </w:r>
      <w:proofErr w:type="spellStart"/>
      <w:proofErr w:type="gramStart"/>
      <w:r w:rsidRPr="009D5DBE">
        <w:t>HaH</w:t>
      </w:r>
      <w:proofErr w:type="spellEnd"/>
      <w:proofErr w:type="gramEnd"/>
      <w:r w:rsidRPr="009D5DBE">
        <w:t xml:space="preserve"> programs have significant benefits for patient care. By focusing on preventive and proactive care at home, these programs help tackle the root causes of acute episodes, manage chronic conditions more effectively, and encourage wellness and self-care, leading to overall improvements in public health.</w:t>
      </w:r>
      <w:r w:rsidRPr="009D5DBE">
        <w:rPr>
          <w:rStyle w:val="FootnoteReference"/>
          <w:szCs w:val="21"/>
        </w:rPr>
        <w:footnoteReference w:id="31"/>
      </w:r>
      <w:r w:rsidRPr="009D5DBE">
        <w:t xml:space="preserve"> Furthermore, CMS data based on 11,000 patients demonstrated that patients who received hospital-level care at home experienced lower mortality rates and fewer complications compared to patients treated for similar acute conditions in hospitals.</w:t>
      </w:r>
      <w:r w:rsidRPr="009D5DBE">
        <w:rPr>
          <w:rStyle w:val="FootnoteReference"/>
          <w:szCs w:val="21"/>
        </w:rPr>
        <w:t xml:space="preserve"> </w:t>
      </w:r>
      <w:r w:rsidRPr="009D5DBE">
        <w:rPr>
          <w:rStyle w:val="FootnoteReference"/>
          <w:szCs w:val="21"/>
        </w:rPr>
        <w:footnoteReference w:id="32"/>
      </w:r>
      <w:r w:rsidRPr="009D5DBE">
        <w:t xml:space="preserve"> Additional research, including randomized controlled trials, has also shown that healthcare at home models can shorten patients’ lengths of stay, reduce readmission rates, and prevent healthcare-acquired infections.</w:t>
      </w:r>
      <w:r w:rsidRPr="009D5DBE">
        <w:rPr>
          <w:rStyle w:val="FootnoteReference"/>
          <w:szCs w:val="21"/>
        </w:rPr>
        <w:footnoteReference w:id="33"/>
      </w:r>
      <w:r w:rsidRPr="009D5DBE">
        <w:t xml:space="preserve"> Therefore, the expansion of </w:t>
      </w:r>
      <w:proofErr w:type="spellStart"/>
      <w:r w:rsidRPr="009D5DBE">
        <w:t>HaH</w:t>
      </w:r>
      <w:proofErr w:type="spellEnd"/>
      <w:r w:rsidRPr="009D5DBE">
        <w:t xml:space="preserve"> programs will meaningfully contribute to improved health outcomes and cost savings. </w:t>
      </w:r>
    </w:p>
    <w:p w14:paraId="7ADC60CA" w14:textId="50A748BD" w:rsidR="00076798" w:rsidRPr="00231FC7" w:rsidRDefault="00076798" w:rsidP="00231FC7">
      <w:pPr>
        <w:pStyle w:val="HBh"/>
        <w:keepNext/>
        <w:rPr>
          <w:b/>
          <w:bCs/>
        </w:rPr>
      </w:pPr>
      <w:r w:rsidRPr="009D5DBE">
        <w:lastRenderedPageBreak/>
        <w:t>F1.</w:t>
      </w:r>
      <w:proofErr w:type="gramStart"/>
      <w:r w:rsidRPr="009D5DBE">
        <w:t>b.ii</w:t>
      </w:r>
      <w:proofErr w:type="gramEnd"/>
      <w:r w:rsidRPr="009D5DBE">
        <w:t xml:space="preserve"> </w:t>
      </w:r>
      <w:r w:rsidRPr="009D5DBE">
        <w:tab/>
      </w:r>
      <w:r w:rsidRPr="00231FC7">
        <w:rPr>
          <w:b/>
          <w:bCs/>
        </w:rPr>
        <w:t>Public Health Value /Outcome-Oriented</w:t>
      </w:r>
      <w:bookmarkStart w:id="6" w:name="_Hlk155726742"/>
    </w:p>
    <w:p w14:paraId="737A2FC6" w14:textId="77777777" w:rsidR="00076798" w:rsidRPr="009D5DBE" w:rsidRDefault="00076798" w:rsidP="00231FC7">
      <w:pPr>
        <w:pStyle w:val="HBbl1j"/>
        <w:rPr>
          <w:rFonts w:eastAsia="PMingLiU"/>
          <w:color w:val="2E5395"/>
        </w:rPr>
      </w:pPr>
      <w:r w:rsidRPr="009D5DBE">
        <w:rPr>
          <w:rFonts w:eastAsia="PMingLiU"/>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3187ABA7" w14:textId="27BA3FA8" w:rsidR="00076798" w:rsidRPr="009D5DBE" w:rsidRDefault="00076798" w:rsidP="00231FC7">
      <w:pPr>
        <w:pStyle w:val="HBblj"/>
        <w:rPr>
          <w:rFonts w:eastAsia="Calibri"/>
          <w:color w:val="000000"/>
        </w:rPr>
      </w:pPr>
      <w:r w:rsidRPr="009D5DBE">
        <w:rPr>
          <w:rFonts w:eastAsia="PMingLiU"/>
        </w:rPr>
        <w:t xml:space="preserve">The transfer of </w:t>
      </w:r>
      <w:r w:rsidR="002964E4" w:rsidRPr="009D5DBE">
        <w:rPr>
          <w:rFonts w:eastAsia="PMingLiU"/>
        </w:rPr>
        <w:t>MH</w:t>
      </w:r>
      <w:r w:rsidRPr="009D5DBE">
        <w:rPr>
          <w:rFonts w:eastAsia="PMingLiU"/>
        </w:rPr>
        <w:t xml:space="preserve"> to </w:t>
      </w:r>
      <w:r w:rsidR="002964E4" w:rsidRPr="009D5DBE">
        <w:rPr>
          <w:rFonts w:eastAsia="PMingLiU"/>
        </w:rPr>
        <w:t>UMMMC</w:t>
      </w:r>
      <w:r w:rsidRPr="009D5DBE">
        <w:rPr>
          <w:rFonts w:eastAsia="PMingLiU"/>
        </w:rPr>
        <w:t xml:space="preserve">’s license is expected to yield positive outcomes for Marlborough patients in terms of sustained access to community-based </w:t>
      </w:r>
      <w:r w:rsidRPr="009D5DBE">
        <w:rPr>
          <w:rFonts w:eastAsia="Calibri"/>
          <w:color w:val="000000"/>
        </w:rPr>
        <w:t>specialty care, opportunities for more integrated care with enhanced care coordination</w:t>
      </w:r>
      <w:r w:rsidR="00DD0627">
        <w:rPr>
          <w:rFonts w:eastAsia="Calibri"/>
          <w:color w:val="000000"/>
        </w:rPr>
        <w:t>,</w:t>
      </w:r>
      <w:r w:rsidRPr="009D5DBE">
        <w:rPr>
          <w:rFonts w:eastAsia="Calibri"/>
          <w:color w:val="000000"/>
        </w:rPr>
        <w:t xml:space="preserve"> and continuity of care. Access to sustainable, integrated, community-based care, including comprehensive specialty care, is expected to lead to high-quality care, improved population health, and better patient experience. </w:t>
      </w:r>
      <w:r w:rsidRPr="009D5DBE">
        <w:rPr>
          <w:rFonts w:eastAsia="Calibri"/>
          <w:color w:val="FF0000"/>
        </w:rPr>
        <w:t xml:space="preserve"> </w:t>
      </w:r>
    </w:p>
    <w:p w14:paraId="33361293" w14:textId="41346CC9" w:rsidR="008034F8" w:rsidRPr="00231FC7" w:rsidRDefault="008034F8" w:rsidP="00231FC7">
      <w:pPr>
        <w:pStyle w:val="ListNumber2"/>
        <w:rPr>
          <w:rFonts w:eastAsia="PMingLiU"/>
          <w:u w:val="single"/>
        </w:rPr>
      </w:pPr>
      <w:r w:rsidRPr="00231FC7">
        <w:rPr>
          <w:rFonts w:eastAsia="PMingLiU"/>
          <w:u w:val="single"/>
        </w:rPr>
        <w:t xml:space="preserve">Access to Specialty Care at </w:t>
      </w:r>
      <w:r w:rsidR="00E922C6" w:rsidRPr="00231FC7">
        <w:rPr>
          <w:rFonts w:eastAsia="PMingLiU"/>
          <w:u w:val="single"/>
        </w:rPr>
        <w:t xml:space="preserve">the </w:t>
      </w:r>
      <w:r w:rsidRPr="00231FC7">
        <w:rPr>
          <w:rFonts w:eastAsia="PMingLiU"/>
          <w:u w:val="single"/>
        </w:rPr>
        <w:t>M</w:t>
      </w:r>
      <w:r w:rsidR="00E922C6" w:rsidRPr="00231FC7">
        <w:rPr>
          <w:rFonts w:eastAsia="PMingLiU"/>
          <w:u w:val="single"/>
        </w:rPr>
        <w:t>arlborough</w:t>
      </w:r>
      <w:r w:rsidRPr="00231FC7">
        <w:rPr>
          <w:rFonts w:eastAsia="PMingLiU"/>
          <w:u w:val="single"/>
        </w:rPr>
        <w:t xml:space="preserve"> Campus</w:t>
      </w:r>
    </w:p>
    <w:p w14:paraId="3C737030" w14:textId="3C9E4896" w:rsidR="008034F8" w:rsidRPr="009D5DBE" w:rsidRDefault="008034F8" w:rsidP="00231FC7">
      <w:pPr>
        <w:pStyle w:val="HBbljd"/>
        <w:rPr>
          <w:rFonts w:eastAsia="PMingLiU"/>
        </w:rPr>
      </w:pPr>
      <w:r w:rsidRPr="009D5DBE">
        <w:rPr>
          <w:rFonts w:eastAsia="PMingLiU"/>
        </w:rPr>
        <w:t>The Proposed Merger will decrease the number of M</w:t>
      </w:r>
      <w:r w:rsidR="00757AD6">
        <w:rPr>
          <w:rFonts w:eastAsia="PMingLiU"/>
        </w:rPr>
        <w:t>arlborough campus</w:t>
      </w:r>
      <w:r w:rsidRPr="009D5DBE">
        <w:rPr>
          <w:rFonts w:eastAsia="PMingLiU"/>
        </w:rPr>
        <w:t xml:space="preserve"> patients who require in-person care at UMMMC through the increased availability of teleconsultations. </w:t>
      </w:r>
    </w:p>
    <w:p w14:paraId="33A3B2A9" w14:textId="1F5378BD" w:rsidR="008034F8" w:rsidRPr="009D5DBE" w:rsidRDefault="008034F8" w:rsidP="00231FC7">
      <w:pPr>
        <w:pStyle w:val="HBbljd"/>
        <w:rPr>
          <w:rFonts w:eastAsia="PMingLiU"/>
          <w:szCs w:val="21"/>
        </w:rPr>
      </w:pPr>
      <w:r w:rsidRPr="009D5DBE">
        <w:rPr>
          <w:rFonts w:eastAsia="PMingLiU"/>
          <w:szCs w:val="21"/>
          <w:u w:val="single"/>
        </w:rPr>
        <w:t>Quality Measure #1</w:t>
      </w:r>
      <w:r w:rsidRPr="009D5DBE">
        <w:rPr>
          <w:rFonts w:eastAsia="PMingLiU"/>
          <w:szCs w:val="21"/>
        </w:rPr>
        <w:t xml:space="preserve">: The Applicant will track the </w:t>
      </w:r>
      <w:r w:rsidR="007215AF" w:rsidRPr="009D5DBE">
        <w:rPr>
          <w:rFonts w:eastAsia="PMingLiU"/>
          <w:szCs w:val="21"/>
        </w:rPr>
        <w:t xml:space="preserve">total </w:t>
      </w:r>
      <w:r w:rsidRPr="009D5DBE">
        <w:rPr>
          <w:rFonts w:eastAsia="PMingLiU"/>
          <w:szCs w:val="21"/>
        </w:rPr>
        <w:t xml:space="preserve">number of </w:t>
      </w:r>
      <w:r w:rsidR="007215AF" w:rsidRPr="009D5DBE">
        <w:rPr>
          <w:rFonts w:eastAsia="PMingLiU"/>
          <w:szCs w:val="21"/>
        </w:rPr>
        <w:t xml:space="preserve">teleconsultations performed by a UMMMC specialty provider for patients admitted at </w:t>
      </w:r>
      <w:r w:rsidR="00E922C6" w:rsidRPr="009D5DBE">
        <w:rPr>
          <w:rFonts w:eastAsia="PMingLiU"/>
          <w:szCs w:val="21"/>
        </w:rPr>
        <w:t xml:space="preserve">the </w:t>
      </w:r>
      <w:r w:rsidR="00BC1098" w:rsidRPr="009861B3">
        <w:rPr>
          <w:rFonts w:eastAsia="PMingLiU"/>
          <w:szCs w:val="21"/>
        </w:rPr>
        <w:t>Marlborough</w:t>
      </w:r>
      <w:r w:rsidR="007215AF" w:rsidRPr="009861B3">
        <w:rPr>
          <w:rFonts w:eastAsia="PMingLiU"/>
          <w:szCs w:val="21"/>
        </w:rPr>
        <w:t xml:space="preserve"> campus. </w:t>
      </w:r>
      <w:r w:rsidR="009861B3" w:rsidRPr="009861B3">
        <w:rPr>
          <w:rFonts w:eastAsia="PMingLiU"/>
          <w:szCs w:val="21"/>
        </w:rPr>
        <w:t xml:space="preserve">Given the wide range of specialties that may be available to provide </w:t>
      </w:r>
      <w:proofErr w:type="spellStart"/>
      <w:r w:rsidR="009861B3" w:rsidRPr="009861B3">
        <w:rPr>
          <w:rFonts w:eastAsia="PMingLiU"/>
          <w:szCs w:val="21"/>
        </w:rPr>
        <w:t>teleconsults</w:t>
      </w:r>
      <w:proofErr w:type="spellEnd"/>
      <w:r w:rsidR="009861B3" w:rsidRPr="009861B3">
        <w:rPr>
          <w:rFonts w:eastAsia="PMingLiU"/>
          <w:szCs w:val="21"/>
        </w:rPr>
        <w:t xml:space="preserve"> </w:t>
      </w:r>
      <w:r w:rsidR="00231FC7" w:rsidRPr="009861B3">
        <w:rPr>
          <w:rFonts w:eastAsia="PMingLiU"/>
          <w:szCs w:val="21"/>
        </w:rPr>
        <w:t>post-merger</w:t>
      </w:r>
      <w:r w:rsidR="009861B3" w:rsidRPr="009861B3">
        <w:rPr>
          <w:rFonts w:eastAsia="PMingLiU"/>
          <w:szCs w:val="21"/>
        </w:rPr>
        <w:t>, it is difficult to project</w:t>
      </w:r>
      <w:r w:rsidR="009861B3">
        <w:rPr>
          <w:rFonts w:eastAsia="PMingLiU"/>
          <w:szCs w:val="21"/>
        </w:rPr>
        <w:t xml:space="preserve"> the number of </w:t>
      </w:r>
      <w:proofErr w:type="spellStart"/>
      <w:r w:rsidR="009861B3">
        <w:rPr>
          <w:rFonts w:eastAsia="PMingLiU"/>
          <w:szCs w:val="21"/>
        </w:rPr>
        <w:t>teleconsults</w:t>
      </w:r>
      <w:proofErr w:type="spellEnd"/>
      <w:r w:rsidR="009861B3">
        <w:rPr>
          <w:rFonts w:eastAsia="PMingLiU"/>
          <w:szCs w:val="21"/>
        </w:rPr>
        <w:t xml:space="preserve"> that will be provided following the Proposed Merger</w:t>
      </w:r>
      <w:r w:rsidR="009861B3" w:rsidRPr="009861B3">
        <w:rPr>
          <w:rFonts w:eastAsia="PMingLiU"/>
          <w:szCs w:val="21"/>
        </w:rPr>
        <w:t xml:space="preserve"> at this time.</w:t>
      </w:r>
    </w:p>
    <w:tbl>
      <w:tblPr>
        <w:tblStyle w:val="TableGrid"/>
        <w:tblW w:w="0" w:type="auto"/>
        <w:tblInd w:w="720" w:type="dxa"/>
        <w:tblLayout w:type="fixed"/>
        <w:tblLook w:val="04A0" w:firstRow="1" w:lastRow="0" w:firstColumn="1" w:lastColumn="0" w:noHBand="0" w:noVBand="1"/>
      </w:tblPr>
      <w:tblGrid>
        <w:gridCol w:w="4500"/>
        <w:gridCol w:w="1530"/>
      </w:tblGrid>
      <w:tr w:rsidR="0003361F" w:rsidRPr="009D5DBE" w14:paraId="548AB06A" w14:textId="77777777" w:rsidTr="00231FC7">
        <w:tc>
          <w:tcPr>
            <w:tcW w:w="4500" w:type="dxa"/>
            <w:tcBorders>
              <w:top w:val="single" w:sz="4" w:space="0" w:color="auto"/>
              <w:left w:val="single" w:sz="4" w:space="0" w:color="auto"/>
              <w:bottom w:val="single" w:sz="4" w:space="0" w:color="auto"/>
              <w:right w:val="single" w:sz="4" w:space="0" w:color="auto"/>
            </w:tcBorders>
            <w:hideMark/>
          </w:tcPr>
          <w:p w14:paraId="2A09D357" w14:textId="58A7560F" w:rsidR="0003361F" w:rsidRPr="009D5DBE" w:rsidRDefault="0003361F" w:rsidP="00E922C6">
            <w:pPr>
              <w:rPr>
                <w:rFonts w:cstheme="minorHAnsi"/>
                <w:b/>
                <w:bCs/>
                <w:szCs w:val="21"/>
              </w:rPr>
            </w:pPr>
            <w:r w:rsidRPr="009D5DBE">
              <w:rPr>
                <w:rFonts w:cstheme="minorHAnsi"/>
                <w:b/>
                <w:bCs/>
                <w:szCs w:val="21"/>
              </w:rPr>
              <w:t>Quality Measure #1</w:t>
            </w:r>
          </w:p>
        </w:tc>
        <w:tc>
          <w:tcPr>
            <w:tcW w:w="1530" w:type="dxa"/>
            <w:tcBorders>
              <w:top w:val="single" w:sz="4" w:space="0" w:color="auto"/>
              <w:left w:val="single" w:sz="4" w:space="0" w:color="auto"/>
              <w:bottom w:val="single" w:sz="4" w:space="0" w:color="auto"/>
              <w:right w:val="single" w:sz="4" w:space="0" w:color="auto"/>
            </w:tcBorders>
            <w:hideMark/>
          </w:tcPr>
          <w:p w14:paraId="55FD7131" w14:textId="77777777" w:rsidR="0003361F" w:rsidRPr="009D5DBE" w:rsidRDefault="0003361F" w:rsidP="00E922C6">
            <w:pPr>
              <w:rPr>
                <w:rFonts w:cstheme="minorHAnsi"/>
                <w:b/>
                <w:bCs/>
                <w:szCs w:val="21"/>
              </w:rPr>
            </w:pPr>
            <w:r w:rsidRPr="009D5DBE">
              <w:rPr>
                <w:rFonts w:cstheme="minorHAnsi"/>
                <w:b/>
                <w:bCs/>
                <w:szCs w:val="21"/>
              </w:rPr>
              <w:t xml:space="preserve">Baseline </w:t>
            </w:r>
          </w:p>
        </w:tc>
      </w:tr>
      <w:tr w:rsidR="0003361F" w:rsidRPr="009D5DBE" w14:paraId="63231E86" w14:textId="77777777" w:rsidTr="00231FC7">
        <w:tc>
          <w:tcPr>
            <w:tcW w:w="4500" w:type="dxa"/>
            <w:tcBorders>
              <w:top w:val="single" w:sz="4" w:space="0" w:color="auto"/>
              <w:left w:val="single" w:sz="4" w:space="0" w:color="auto"/>
              <w:bottom w:val="single" w:sz="4" w:space="0" w:color="auto"/>
              <w:right w:val="single" w:sz="4" w:space="0" w:color="auto"/>
            </w:tcBorders>
            <w:hideMark/>
          </w:tcPr>
          <w:p w14:paraId="679EC512" w14:textId="594EF1E9" w:rsidR="0003361F" w:rsidRPr="009D5DBE" w:rsidRDefault="0003361F" w:rsidP="00E922C6">
            <w:pPr>
              <w:rPr>
                <w:rFonts w:cstheme="minorHAnsi"/>
                <w:szCs w:val="21"/>
              </w:rPr>
            </w:pPr>
            <w:r w:rsidRPr="009D5DBE">
              <w:rPr>
                <w:rFonts w:cstheme="minorHAnsi"/>
                <w:szCs w:val="21"/>
              </w:rPr>
              <w:t xml:space="preserve">Specialty Teleconsultations </w:t>
            </w:r>
          </w:p>
        </w:tc>
        <w:tc>
          <w:tcPr>
            <w:tcW w:w="1530" w:type="dxa"/>
            <w:tcBorders>
              <w:top w:val="single" w:sz="4" w:space="0" w:color="auto"/>
              <w:left w:val="single" w:sz="4" w:space="0" w:color="auto"/>
              <w:bottom w:val="single" w:sz="4" w:space="0" w:color="auto"/>
              <w:right w:val="single" w:sz="4" w:space="0" w:color="auto"/>
            </w:tcBorders>
          </w:tcPr>
          <w:p w14:paraId="50FB3953" w14:textId="77777777" w:rsidR="0003361F" w:rsidRPr="009D5DBE" w:rsidRDefault="0003361F" w:rsidP="00E922C6">
            <w:pPr>
              <w:rPr>
                <w:rFonts w:cstheme="minorHAnsi"/>
                <w:b/>
                <w:bCs/>
                <w:szCs w:val="21"/>
              </w:rPr>
            </w:pPr>
          </w:p>
        </w:tc>
      </w:tr>
    </w:tbl>
    <w:p w14:paraId="67EA6BF8" w14:textId="77777777" w:rsidR="0003361F" w:rsidRPr="00231FC7" w:rsidRDefault="0003361F" w:rsidP="00231FC7">
      <w:pPr>
        <w:rPr>
          <w:rFonts w:eastAsia="PMingLiU"/>
        </w:rPr>
      </w:pPr>
    </w:p>
    <w:p w14:paraId="3CD0EEB9" w14:textId="36371CCA" w:rsidR="00076798" w:rsidRPr="009D5DBE" w:rsidRDefault="0003361F" w:rsidP="00231FC7">
      <w:pPr>
        <w:pStyle w:val="ListNumber2"/>
        <w:rPr>
          <w:rFonts w:eastAsia="PMingLiU"/>
          <w:szCs w:val="21"/>
          <w:u w:val="single"/>
        </w:rPr>
      </w:pPr>
      <w:r w:rsidRPr="00DD265A">
        <w:rPr>
          <w:rFonts w:eastAsia="PMingLiU"/>
          <w:u w:val="single"/>
        </w:rPr>
        <w:t>Improved</w:t>
      </w:r>
      <w:r w:rsidRPr="009D5DBE">
        <w:rPr>
          <w:rFonts w:eastAsia="PMingLiU"/>
          <w:szCs w:val="21"/>
          <w:u w:val="single"/>
        </w:rPr>
        <w:t xml:space="preserve"> Utilization of the M</w:t>
      </w:r>
      <w:r w:rsidR="00E922C6" w:rsidRPr="009D5DBE">
        <w:rPr>
          <w:rFonts w:eastAsia="PMingLiU"/>
          <w:szCs w:val="21"/>
          <w:u w:val="single"/>
        </w:rPr>
        <w:t>arlborough</w:t>
      </w:r>
      <w:r w:rsidRPr="009D5DBE">
        <w:rPr>
          <w:rFonts w:eastAsia="PMingLiU"/>
          <w:szCs w:val="21"/>
          <w:u w:val="single"/>
        </w:rPr>
        <w:t xml:space="preserve"> Campus</w:t>
      </w:r>
    </w:p>
    <w:p w14:paraId="1A5FE21A" w14:textId="44D35BB7" w:rsidR="008A52FB" w:rsidRPr="009D5DBE" w:rsidRDefault="0003361F" w:rsidP="00231FC7">
      <w:pPr>
        <w:pStyle w:val="HBbljd"/>
        <w:rPr>
          <w:rFonts w:eastAsia="PMingLiU"/>
          <w:szCs w:val="21"/>
          <w:u w:val="single"/>
        </w:rPr>
      </w:pPr>
      <w:r w:rsidRPr="009D5DBE">
        <w:rPr>
          <w:rFonts w:eastAsia="PMingLiU"/>
          <w:szCs w:val="21"/>
        </w:rPr>
        <w:t>With access to specialty consults via telemedicine, fewer patients will need to be transported to UMMMC for admission to access specialty services. This</w:t>
      </w:r>
      <w:r w:rsidR="00757AD6">
        <w:rPr>
          <w:rFonts w:eastAsia="PMingLiU"/>
          <w:szCs w:val="21"/>
        </w:rPr>
        <w:t xml:space="preserve"> will</w:t>
      </w:r>
      <w:r w:rsidRPr="009D5DBE">
        <w:rPr>
          <w:rFonts w:eastAsia="PMingLiU"/>
          <w:szCs w:val="21"/>
        </w:rPr>
        <w:t xml:space="preserve"> result in improved occupancy of medical/surgical services at M</w:t>
      </w:r>
      <w:r w:rsidR="00BC1098" w:rsidRPr="009D5DBE">
        <w:rPr>
          <w:rFonts w:eastAsia="PMingLiU"/>
          <w:szCs w:val="21"/>
        </w:rPr>
        <w:t>arlborough campus</w:t>
      </w:r>
      <w:r w:rsidRPr="009D5DBE">
        <w:rPr>
          <w:rFonts w:eastAsia="PMingLiU"/>
          <w:szCs w:val="21"/>
        </w:rPr>
        <w:t>, demonstrating improved access to care in the community.</w:t>
      </w:r>
    </w:p>
    <w:p w14:paraId="1C74206D" w14:textId="6E52383F" w:rsidR="007215AF" w:rsidRPr="009D5DBE" w:rsidRDefault="008A52FB" w:rsidP="00231FC7">
      <w:pPr>
        <w:pStyle w:val="HBbljd"/>
        <w:rPr>
          <w:rFonts w:eastAsia="PMingLiU"/>
          <w:szCs w:val="21"/>
        </w:rPr>
      </w:pPr>
      <w:r w:rsidRPr="009D5DBE">
        <w:rPr>
          <w:rFonts w:eastAsia="PMingLiU"/>
          <w:szCs w:val="21"/>
          <w:u w:val="single"/>
        </w:rPr>
        <w:t>Quality Measure #</w:t>
      </w:r>
      <w:r w:rsidR="008034F8" w:rsidRPr="009D5DBE">
        <w:rPr>
          <w:rFonts w:eastAsia="PMingLiU"/>
          <w:szCs w:val="21"/>
          <w:u w:val="single"/>
        </w:rPr>
        <w:t>2</w:t>
      </w:r>
      <w:r w:rsidRPr="009D5DBE">
        <w:rPr>
          <w:rFonts w:eastAsia="PMingLiU"/>
          <w:szCs w:val="21"/>
        </w:rPr>
        <w:t xml:space="preserve">: </w:t>
      </w:r>
      <w:r w:rsidR="006E4A4D" w:rsidRPr="009D5DBE">
        <w:rPr>
          <w:rFonts w:eastAsia="PMingLiU"/>
          <w:szCs w:val="21"/>
        </w:rPr>
        <w:t xml:space="preserve">The Applicant will </w:t>
      </w:r>
      <w:r w:rsidR="002F42E1">
        <w:rPr>
          <w:rFonts w:eastAsia="PMingLiU"/>
          <w:szCs w:val="21"/>
        </w:rPr>
        <w:t xml:space="preserve">track </w:t>
      </w:r>
      <w:r w:rsidR="0003361F" w:rsidRPr="009D5DBE">
        <w:rPr>
          <w:rFonts w:eastAsia="PMingLiU"/>
          <w:szCs w:val="21"/>
        </w:rPr>
        <w:t>occupancy rate</w:t>
      </w:r>
      <w:r w:rsidR="00B41D6E">
        <w:rPr>
          <w:rFonts w:eastAsia="PMingLiU"/>
          <w:szCs w:val="21"/>
        </w:rPr>
        <w:t>s</w:t>
      </w:r>
      <w:r w:rsidR="0003361F" w:rsidRPr="009D5DBE">
        <w:rPr>
          <w:rFonts w:eastAsia="PMingLiU"/>
          <w:szCs w:val="21"/>
        </w:rPr>
        <w:t xml:space="preserve"> for inpatient medical/surgical services at M</w:t>
      </w:r>
      <w:r w:rsidR="00BC1098" w:rsidRPr="009D5DBE">
        <w:rPr>
          <w:rFonts w:eastAsia="PMingLiU"/>
          <w:szCs w:val="21"/>
        </w:rPr>
        <w:t>arlborough campus</w:t>
      </w:r>
      <w:r w:rsidR="00E74E7A" w:rsidRPr="009D5DBE">
        <w:rPr>
          <w:rFonts w:eastAsia="PMingLiU"/>
          <w:szCs w:val="21"/>
        </w:rPr>
        <w:t xml:space="preserve">. </w:t>
      </w:r>
      <w:r w:rsidR="007215AF" w:rsidRPr="009D5DBE">
        <w:rPr>
          <w:rFonts w:eastAsia="PMingLiU"/>
          <w:szCs w:val="21"/>
        </w:rPr>
        <w:t xml:space="preserve"> </w:t>
      </w:r>
    </w:p>
    <w:tbl>
      <w:tblPr>
        <w:tblStyle w:val="TableGrid"/>
        <w:tblW w:w="0" w:type="auto"/>
        <w:tblInd w:w="720" w:type="dxa"/>
        <w:tblLayout w:type="fixed"/>
        <w:tblLook w:val="04A0" w:firstRow="1" w:lastRow="0" w:firstColumn="1" w:lastColumn="0" w:noHBand="0" w:noVBand="1"/>
      </w:tblPr>
      <w:tblGrid>
        <w:gridCol w:w="4500"/>
        <w:gridCol w:w="1620"/>
        <w:gridCol w:w="958"/>
        <w:gridCol w:w="958"/>
        <w:gridCol w:w="959"/>
      </w:tblGrid>
      <w:tr w:rsidR="008A52FB" w:rsidRPr="009D5DBE" w14:paraId="75C46A38" w14:textId="77777777" w:rsidTr="00231FC7">
        <w:tc>
          <w:tcPr>
            <w:tcW w:w="4500" w:type="dxa"/>
            <w:tcBorders>
              <w:top w:val="single" w:sz="4" w:space="0" w:color="auto"/>
              <w:left w:val="single" w:sz="4" w:space="0" w:color="auto"/>
              <w:bottom w:val="single" w:sz="4" w:space="0" w:color="auto"/>
              <w:right w:val="single" w:sz="4" w:space="0" w:color="auto"/>
            </w:tcBorders>
            <w:hideMark/>
          </w:tcPr>
          <w:p w14:paraId="54AEC06C" w14:textId="34753E83" w:rsidR="008A52FB" w:rsidRPr="009D5DBE" w:rsidRDefault="008A52FB" w:rsidP="00E922C6">
            <w:pPr>
              <w:rPr>
                <w:rFonts w:cstheme="minorHAnsi"/>
                <w:b/>
                <w:bCs/>
                <w:szCs w:val="21"/>
              </w:rPr>
            </w:pPr>
            <w:r w:rsidRPr="009D5DBE">
              <w:rPr>
                <w:rFonts w:cstheme="minorHAnsi"/>
                <w:b/>
                <w:bCs/>
                <w:szCs w:val="21"/>
              </w:rPr>
              <w:t>Quality Measure #</w:t>
            </w:r>
            <w:r w:rsidR="008034F8" w:rsidRPr="009D5DBE">
              <w:rPr>
                <w:rFonts w:cstheme="minorHAnsi"/>
                <w:b/>
                <w:bCs/>
                <w:szCs w:val="21"/>
              </w:rPr>
              <w:t>2</w:t>
            </w:r>
          </w:p>
        </w:tc>
        <w:tc>
          <w:tcPr>
            <w:tcW w:w="1620" w:type="dxa"/>
            <w:tcBorders>
              <w:top w:val="single" w:sz="4" w:space="0" w:color="auto"/>
              <w:left w:val="single" w:sz="4" w:space="0" w:color="auto"/>
              <w:bottom w:val="single" w:sz="4" w:space="0" w:color="auto"/>
              <w:right w:val="single" w:sz="4" w:space="0" w:color="auto"/>
            </w:tcBorders>
            <w:hideMark/>
          </w:tcPr>
          <w:p w14:paraId="4F18D882" w14:textId="77C37862" w:rsidR="008A52FB" w:rsidRPr="009D5DBE" w:rsidRDefault="008A52FB" w:rsidP="00E922C6">
            <w:pPr>
              <w:rPr>
                <w:rFonts w:cstheme="minorHAnsi"/>
                <w:b/>
                <w:bCs/>
                <w:szCs w:val="21"/>
              </w:rPr>
            </w:pPr>
            <w:r w:rsidRPr="009D5DBE">
              <w:rPr>
                <w:rFonts w:cstheme="minorHAnsi"/>
                <w:b/>
                <w:bCs/>
                <w:szCs w:val="21"/>
              </w:rPr>
              <w:t>Baseline</w:t>
            </w:r>
            <w:r w:rsidR="006A4DF4">
              <w:rPr>
                <w:rStyle w:val="FootnoteReference"/>
                <w:rFonts w:cstheme="minorHAnsi"/>
                <w:b/>
                <w:bCs/>
                <w:szCs w:val="21"/>
              </w:rPr>
              <w:footnoteReference w:id="34"/>
            </w:r>
            <w:r w:rsidRPr="009D5DBE">
              <w:rPr>
                <w:rFonts w:cstheme="minorHAnsi"/>
                <w:b/>
                <w:bCs/>
                <w:szCs w:val="21"/>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0736D4F0" w14:textId="77777777" w:rsidR="008A52FB" w:rsidRPr="009D5DBE" w:rsidRDefault="008A52FB" w:rsidP="00E922C6">
            <w:pPr>
              <w:rPr>
                <w:rFonts w:cstheme="minorHAnsi"/>
                <w:b/>
                <w:bCs/>
                <w:szCs w:val="21"/>
              </w:rPr>
            </w:pPr>
            <w:r w:rsidRPr="009D5DBE">
              <w:rPr>
                <w:rFonts w:cstheme="minorHAnsi"/>
                <w:b/>
                <w:bCs/>
                <w:szCs w:val="21"/>
              </w:rPr>
              <w:t>Year 1</w:t>
            </w:r>
          </w:p>
        </w:tc>
        <w:tc>
          <w:tcPr>
            <w:tcW w:w="958" w:type="dxa"/>
            <w:tcBorders>
              <w:top w:val="single" w:sz="4" w:space="0" w:color="auto"/>
              <w:left w:val="single" w:sz="4" w:space="0" w:color="auto"/>
              <w:bottom w:val="single" w:sz="4" w:space="0" w:color="auto"/>
              <w:right w:val="single" w:sz="4" w:space="0" w:color="auto"/>
            </w:tcBorders>
            <w:hideMark/>
          </w:tcPr>
          <w:p w14:paraId="5D93A944" w14:textId="77777777" w:rsidR="008A52FB" w:rsidRPr="009D5DBE" w:rsidRDefault="008A52FB" w:rsidP="00E922C6">
            <w:pPr>
              <w:rPr>
                <w:rFonts w:cstheme="minorHAnsi"/>
                <w:b/>
                <w:bCs/>
                <w:szCs w:val="21"/>
              </w:rPr>
            </w:pPr>
            <w:r w:rsidRPr="009D5DBE">
              <w:rPr>
                <w:rFonts w:cstheme="minorHAnsi"/>
                <w:b/>
                <w:bCs/>
                <w:szCs w:val="21"/>
              </w:rPr>
              <w:t>Year 2</w:t>
            </w:r>
          </w:p>
        </w:tc>
        <w:tc>
          <w:tcPr>
            <w:tcW w:w="959" w:type="dxa"/>
            <w:tcBorders>
              <w:top w:val="single" w:sz="4" w:space="0" w:color="auto"/>
              <w:left w:val="single" w:sz="4" w:space="0" w:color="auto"/>
              <w:bottom w:val="single" w:sz="4" w:space="0" w:color="auto"/>
              <w:right w:val="single" w:sz="4" w:space="0" w:color="auto"/>
            </w:tcBorders>
            <w:hideMark/>
          </w:tcPr>
          <w:p w14:paraId="04D18ABF" w14:textId="77777777" w:rsidR="008A52FB" w:rsidRPr="009D5DBE" w:rsidRDefault="008A52FB" w:rsidP="00E922C6">
            <w:pPr>
              <w:rPr>
                <w:rFonts w:cstheme="minorHAnsi"/>
                <w:b/>
                <w:bCs/>
                <w:szCs w:val="21"/>
              </w:rPr>
            </w:pPr>
            <w:r w:rsidRPr="009D5DBE">
              <w:rPr>
                <w:rFonts w:cstheme="minorHAnsi"/>
                <w:b/>
                <w:bCs/>
                <w:szCs w:val="21"/>
              </w:rPr>
              <w:t>Year 3</w:t>
            </w:r>
          </w:p>
        </w:tc>
      </w:tr>
      <w:tr w:rsidR="008A52FB" w:rsidRPr="009D5DBE" w14:paraId="58474BC4" w14:textId="77777777" w:rsidTr="00231FC7">
        <w:tc>
          <w:tcPr>
            <w:tcW w:w="4500" w:type="dxa"/>
            <w:tcBorders>
              <w:top w:val="single" w:sz="4" w:space="0" w:color="auto"/>
              <w:left w:val="single" w:sz="4" w:space="0" w:color="auto"/>
              <w:bottom w:val="single" w:sz="4" w:space="0" w:color="auto"/>
              <w:right w:val="single" w:sz="4" w:space="0" w:color="auto"/>
            </w:tcBorders>
            <w:hideMark/>
          </w:tcPr>
          <w:p w14:paraId="2E3984D4" w14:textId="77777777" w:rsidR="00805462" w:rsidRPr="009D5DBE" w:rsidRDefault="0003361F" w:rsidP="00E922C6">
            <w:pPr>
              <w:rPr>
                <w:rFonts w:cstheme="minorHAnsi"/>
                <w:szCs w:val="21"/>
              </w:rPr>
            </w:pPr>
            <w:r w:rsidRPr="009D5DBE">
              <w:rPr>
                <w:rFonts w:cstheme="minorHAnsi"/>
                <w:szCs w:val="21"/>
              </w:rPr>
              <w:t>Inpatient Occupancy Rate</w:t>
            </w:r>
            <w:r w:rsidR="00BC1098" w:rsidRPr="009D5DBE">
              <w:rPr>
                <w:rFonts w:cstheme="minorHAnsi"/>
                <w:szCs w:val="21"/>
              </w:rPr>
              <w:t xml:space="preserve">: </w:t>
            </w:r>
          </w:p>
          <w:p w14:paraId="0B2BE653" w14:textId="3FDD7760" w:rsidR="008A52FB" w:rsidRPr="009D5DBE" w:rsidRDefault="0003361F" w:rsidP="00E922C6">
            <w:pPr>
              <w:rPr>
                <w:rFonts w:cstheme="minorHAnsi"/>
                <w:szCs w:val="21"/>
              </w:rPr>
            </w:pPr>
            <w:r w:rsidRPr="009D5DBE">
              <w:rPr>
                <w:rFonts w:cstheme="minorHAnsi"/>
                <w:szCs w:val="21"/>
              </w:rPr>
              <w:t>Medical</w:t>
            </w:r>
            <w:r w:rsidR="00BC1098" w:rsidRPr="009D5DBE">
              <w:rPr>
                <w:rFonts w:cstheme="minorHAnsi"/>
                <w:szCs w:val="21"/>
              </w:rPr>
              <w:t>/</w:t>
            </w:r>
            <w:r w:rsidRPr="009D5DBE">
              <w:rPr>
                <w:rFonts w:cstheme="minorHAnsi"/>
                <w:szCs w:val="21"/>
              </w:rPr>
              <w:t>Surgical Beds</w:t>
            </w:r>
          </w:p>
        </w:tc>
        <w:tc>
          <w:tcPr>
            <w:tcW w:w="1620" w:type="dxa"/>
            <w:tcBorders>
              <w:top w:val="single" w:sz="4" w:space="0" w:color="auto"/>
              <w:left w:val="single" w:sz="4" w:space="0" w:color="auto"/>
              <w:bottom w:val="single" w:sz="4" w:space="0" w:color="auto"/>
              <w:right w:val="single" w:sz="4" w:space="0" w:color="auto"/>
            </w:tcBorders>
            <w:vAlign w:val="bottom"/>
          </w:tcPr>
          <w:p w14:paraId="2E2FBAEC" w14:textId="3BEC2887" w:rsidR="008A52FB" w:rsidRPr="009D5DBE" w:rsidRDefault="009E5C15" w:rsidP="00E922C6">
            <w:pPr>
              <w:rPr>
                <w:rFonts w:cstheme="minorHAnsi"/>
                <w:szCs w:val="21"/>
              </w:rPr>
            </w:pPr>
            <w:r w:rsidRPr="009D5DBE">
              <w:rPr>
                <w:rFonts w:cstheme="minorHAnsi"/>
                <w:szCs w:val="21"/>
              </w:rPr>
              <w:t>80%</w:t>
            </w:r>
          </w:p>
        </w:tc>
        <w:tc>
          <w:tcPr>
            <w:tcW w:w="958" w:type="dxa"/>
            <w:tcBorders>
              <w:top w:val="single" w:sz="4" w:space="0" w:color="auto"/>
              <w:left w:val="single" w:sz="4" w:space="0" w:color="auto"/>
              <w:bottom w:val="single" w:sz="4" w:space="0" w:color="auto"/>
              <w:right w:val="single" w:sz="4" w:space="0" w:color="auto"/>
            </w:tcBorders>
            <w:vAlign w:val="bottom"/>
          </w:tcPr>
          <w:p w14:paraId="7822AF1F" w14:textId="01422DE6" w:rsidR="008A52FB" w:rsidRPr="009D5DBE" w:rsidRDefault="00BC1098" w:rsidP="00E922C6">
            <w:pPr>
              <w:rPr>
                <w:rFonts w:cstheme="minorHAnsi"/>
                <w:szCs w:val="21"/>
              </w:rPr>
            </w:pPr>
            <w:r w:rsidRPr="009D5DBE">
              <w:rPr>
                <w:rFonts w:cstheme="minorHAnsi"/>
                <w:szCs w:val="21"/>
              </w:rPr>
              <w:t>82%</w:t>
            </w:r>
          </w:p>
        </w:tc>
        <w:tc>
          <w:tcPr>
            <w:tcW w:w="958" w:type="dxa"/>
            <w:tcBorders>
              <w:top w:val="single" w:sz="4" w:space="0" w:color="auto"/>
              <w:left w:val="single" w:sz="4" w:space="0" w:color="auto"/>
              <w:bottom w:val="single" w:sz="4" w:space="0" w:color="auto"/>
              <w:right w:val="single" w:sz="4" w:space="0" w:color="auto"/>
            </w:tcBorders>
            <w:vAlign w:val="bottom"/>
          </w:tcPr>
          <w:p w14:paraId="65A52BB9" w14:textId="055D8A4B" w:rsidR="008A52FB" w:rsidRPr="009D5DBE" w:rsidRDefault="00BC1098" w:rsidP="00E922C6">
            <w:pPr>
              <w:rPr>
                <w:rFonts w:cstheme="minorHAnsi"/>
                <w:szCs w:val="21"/>
              </w:rPr>
            </w:pPr>
            <w:r w:rsidRPr="009D5DBE">
              <w:rPr>
                <w:rFonts w:cstheme="minorHAnsi"/>
                <w:szCs w:val="21"/>
              </w:rPr>
              <w:t>8</w:t>
            </w:r>
            <w:r w:rsidR="006A4DF4">
              <w:rPr>
                <w:rFonts w:cstheme="minorHAnsi"/>
                <w:szCs w:val="21"/>
              </w:rPr>
              <w:t>4</w:t>
            </w:r>
            <w:r w:rsidRPr="009D5DBE">
              <w:rPr>
                <w:rFonts w:cstheme="minorHAnsi"/>
                <w:szCs w:val="21"/>
              </w:rPr>
              <w:t>%</w:t>
            </w:r>
          </w:p>
        </w:tc>
        <w:tc>
          <w:tcPr>
            <w:tcW w:w="959" w:type="dxa"/>
            <w:tcBorders>
              <w:top w:val="single" w:sz="4" w:space="0" w:color="auto"/>
              <w:left w:val="single" w:sz="4" w:space="0" w:color="auto"/>
              <w:bottom w:val="single" w:sz="4" w:space="0" w:color="auto"/>
              <w:right w:val="single" w:sz="4" w:space="0" w:color="auto"/>
            </w:tcBorders>
            <w:vAlign w:val="bottom"/>
          </w:tcPr>
          <w:p w14:paraId="0C8B54F7" w14:textId="36C08631" w:rsidR="008A52FB" w:rsidRPr="009D5DBE" w:rsidRDefault="006A4DF4" w:rsidP="00E922C6">
            <w:pPr>
              <w:rPr>
                <w:rFonts w:cstheme="minorHAnsi"/>
                <w:szCs w:val="21"/>
              </w:rPr>
            </w:pPr>
            <w:r>
              <w:rPr>
                <w:rFonts w:cstheme="minorHAnsi"/>
                <w:szCs w:val="21"/>
              </w:rPr>
              <w:t>86</w:t>
            </w:r>
            <w:r w:rsidR="00BC1098" w:rsidRPr="009D5DBE">
              <w:rPr>
                <w:rFonts w:cstheme="minorHAnsi"/>
                <w:szCs w:val="21"/>
              </w:rPr>
              <w:t>%</w:t>
            </w:r>
          </w:p>
        </w:tc>
      </w:tr>
      <w:bookmarkEnd w:id="6"/>
    </w:tbl>
    <w:p w14:paraId="4D8908BC" w14:textId="77777777" w:rsidR="00E922C6" w:rsidRPr="00231FC7" w:rsidRDefault="00E922C6" w:rsidP="00231FC7">
      <w:pPr>
        <w:rPr>
          <w:rFonts w:eastAsia="PMingLiU"/>
        </w:rPr>
      </w:pPr>
    </w:p>
    <w:p w14:paraId="3B3CB21D" w14:textId="569FDA5D" w:rsidR="00076798" w:rsidRPr="009D5DBE" w:rsidRDefault="00076798" w:rsidP="00231FC7">
      <w:pPr>
        <w:pStyle w:val="ListNumber2"/>
        <w:rPr>
          <w:rFonts w:eastAsia="PMingLiU"/>
          <w:szCs w:val="21"/>
          <w:u w:val="single"/>
        </w:rPr>
      </w:pPr>
      <w:r w:rsidRPr="009D5DBE">
        <w:rPr>
          <w:rFonts w:eastAsia="PMingLiU"/>
          <w:szCs w:val="21"/>
          <w:u w:val="single"/>
        </w:rPr>
        <w:t>Patient Experience</w:t>
      </w:r>
    </w:p>
    <w:p w14:paraId="2289C61F" w14:textId="7158CC0A" w:rsidR="00076798" w:rsidRPr="009D5DBE" w:rsidRDefault="00076798" w:rsidP="00231FC7">
      <w:pPr>
        <w:pStyle w:val="HBbljd"/>
        <w:rPr>
          <w:rFonts w:eastAsia="PMingLiU"/>
          <w:szCs w:val="21"/>
        </w:rPr>
      </w:pPr>
      <w:r w:rsidRPr="009D5DBE">
        <w:rPr>
          <w:rFonts w:eastAsia="PMingLiU"/>
          <w:szCs w:val="21"/>
        </w:rPr>
        <w:t>T</w:t>
      </w:r>
      <w:r w:rsidR="007D4BE8" w:rsidRPr="009D5DBE">
        <w:rPr>
          <w:rFonts w:eastAsia="PMingLiU"/>
          <w:szCs w:val="21"/>
        </w:rPr>
        <w:t>he Applicant anticipates that t</w:t>
      </w:r>
      <w:r w:rsidRPr="009D5DBE">
        <w:rPr>
          <w:rFonts w:eastAsia="PMingLiU"/>
          <w:szCs w:val="21"/>
        </w:rPr>
        <w:t xml:space="preserve">he Proposed </w:t>
      </w:r>
      <w:r w:rsidR="007D4BE8" w:rsidRPr="009D5DBE">
        <w:rPr>
          <w:rFonts w:eastAsia="PMingLiU"/>
          <w:szCs w:val="21"/>
        </w:rPr>
        <w:t>Merger</w:t>
      </w:r>
      <w:r w:rsidRPr="009D5DBE">
        <w:rPr>
          <w:rFonts w:eastAsia="PMingLiU"/>
          <w:szCs w:val="21"/>
        </w:rPr>
        <w:t xml:space="preserve"> </w:t>
      </w:r>
      <w:r w:rsidR="007D4BE8" w:rsidRPr="009D5DBE">
        <w:rPr>
          <w:rFonts w:eastAsia="PMingLiU"/>
          <w:szCs w:val="21"/>
        </w:rPr>
        <w:t>will result in</w:t>
      </w:r>
      <w:r w:rsidRPr="009D5DBE">
        <w:rPr>
          <w:rFonts w:eastAsia="PMingLiU"/>
          <w:szCs w:val="21"/>
        </w:rPr>
        <w:t xml:space="preserve"> improved patient experiences</w:t>
      </w:r>
      <w:r w:rsidR="007D4BE8" w:rsidRPr="009D5DBE">
        <w:rPr>
          <w:rFonts w:eastAsia="PMingLiU"/>
          <w:szCs w:val="21"/>
        </w:rPr>
        <w:t>,</w:t>
      </w:r>
      <w:r w:rsidRPr="009D5DBE">
        <w:rPr>
          <w:rFonts w:eastAsia="PMingLiU"/>
          <w:szCs w:val="21"/>
        </w:rPr>
        <w:t xml:space="preserve"> specialty services, and potential for reduced wait times. This expansion in choice and accessibility is expected to contribute to a more responsive and patient-centric health care environment. </w:t>
      </w:r>
    </w:p>
    <w:p w14:paraId="1B31D557" w14:textId="37925528" w:rsidR="007215AF" w:rsidRPr="009D5DBE" w:rsidRDefault="008A52FB" w:rsidP="00231FC7">
      <w:pPr>
        <w:pStyle w:val="HBbljd"/>
        <w:rPr>
          <w:rFonts w:cstheme="minorHAnsi"/>
          <w:szCs w:val="21"/>
        </w:rPr>
      </w:pPr>
      <w:r w:rsidRPr="009D5DBE">
        <w:rPr>
          <w:rFonts w:cstheme="minorHAnsi"/>
          <w:szCs w:val="21"/>
          <w:u w:val="single"/>
        </w:rPr>
        <w:t>Quality Measure #3:</w:t>
      </w:r>
      <w:r w:rsidR="009B323E" w:rsidRPr="009D5DBE">
        <w:rPr>
          <w:rFonts w:cstheme="minorHAnsi"/>
          <w:szCs w:val="21"/>
          <w:u w:val="single"/>
        </w:rPr>
        <w:t xml:space="preserve"> </w:t>
      </w:r>
      <w:r w:rsidR="009B323E" w:rsidRPr="00231FC7">
        <w:rPr>
          <w:rFonts w:eastAsia="PMingLiU"/>
          <w:szCs w:val="21"/>
        </w:rPr>
        <w:t>Patients</w:t>
      </w:r>
      <w:r w:rsidR="009B323E" w:rsidRPr="009D5DBE">
        <w:rPr>
          <w:rFonts w:cstheme="minorHAnsi"/>
          <w:szCs w:val="21"/>
        </w:rPr>
        <w:t xml:space="preserve"> who have positive experiences receiving health care are more likely to seek out future care when needed. The Applicant will use the Press Ganey survey to measure </w:t>
      </w:r>
      <w:r w:rsidR="009B323E" w:rsidRPr="009D5DBE">
        <w:rPr>
          <w:rFonts w:cstheme="minorHAnsi"/>
          <w:szCs w:val="21"/>
        </w:rPr>
        <w:lastRenderedPageBreak/>
        <w:t xml:space="preserve">patient satisfaction following an inpatient admission. The specific measure will be “Likelihood to recommend </w:t>
      </w:r>
      <w:r w:rsidR="004B27F2" w:rsidRPr="009D5DBE">
        <w:rPr>
          <w:rFonts w:cstheme="minorHAnsi"/>
          <w:szCs w:val="21"/>
        </w:rPr>
        <w:t>Marlborough Hospital campus</w:t>
      </w:r>
      <w:r w:rsidR="009B323E" w:rsidRPr="009D5DBE">
        <w:rPr>
          <w:rFonts w:cstheme="minorHAnsi"/>
          <w:szCs w:val="21"/>
        </w:rPr>
        <w:t xml:space="preserve">”.  </w:t>
      </w:r>
    </w:p>
    <w:p w14:paraId="76A5195C" w14:textId="77777777" w:rsidR="009B323E" w:rsidRPr="009D5DBE" w:rsidRDefault="009B323E" w:rsidP="00F22072">
      <w:pPr>
        <w:pStyle w:val="HBbljd"/>
        <w:spacing w:after="0"/>
        <w:ind w:firstLine="720"/>
        <w:rPr>
          <w:rFonts w:cstheme="minorHAnsi"/>
          <w:szCs w:val="21"/>
        </w:rPr>
      </w:pPr>
      <w:r w:rsidRPr="009D5DBE">
        <w:rPr>
          <w:rFonts w:cstheme="minorHAnsi"/>
          <w:szCs w:val="21"/>
        </w:rPr>
        <w:t>Numerator: Total of all responses (top box)</w:t>
      </w:r>
    </w:p>
    <w:p w14:paraId="04D79527" w14:textId="1F9D3F45" w:rsidR="00527B52" w:rsidRDefault="009B323E" w:rsidP="00F22072">
      <w:pPr>
        <w:pStyle w:val="HBbljd"/>
        <w:ind w:firstLine="720"/>
        <w:rPr>
          <w:rFonts w:cstheme="minorHAnsi"/>
          <w:szCs w:val="21"/>
        </w:rPr>
      </w:pPr>
      <w:r w:rsidRPr="009D5DBE">
        <w:rPr>
          <w:rFonts w:cstheme="minorHAnsi"/>
          <w:szCs w:val="21"/>
        </w:rPr>
        <w:t>Denominator: # of responses x 100</w:t>
      </w:r>
    </w:p>
    <w:tbl>
      <w:tblPr>
        <w:tblStyle w:val="TableGrid"/>
        <w:tblW w:w="0" w:type="auto"/>
        <w:tblInd w:w="720" w:type="dxa"/>
        <w:tblLayout w:type="fixed"/>
        <w:tblLook w:val="04A0" w:firstRow="1" w:lastRow="0" w:firstColumn="1" w:lastColumn="0" w:noHBand="0" w:noVBand="1"/>
      </w:tblPr>
      <w:tblGrid>
        <w:gridCol w:w="4590"/>
        <w:gridCol w:w="1101"/>
        <w:gridCol w:w="1101"/>
        <w:gridCol w:w="1101"/>
        <w:gridCol w:w="1102"/>
      </w:tblGrid>
      <w:tr w:rsidR="009B323E" w:rsidRPr="009D5DBE" w14:paraId="7CD4D195" w14:textId="77777777" w:rsidTr="00231FC7">
        <w:tc>
          <w:tcPr>
            <w:tcW w:w="4590" w:type="dxa"/>
            <w:tcBorders>
              <w:top w:val="single" w:sz="4" w:space="0" w:color="auto"/>
              <w:left w:val="single" w:sz="4" w:space="0" w:color="auto"/>
              <w:bottom w:val="single" w:sz="4" w:space="0" w:color="auto"/>
              <w:right w:val="single" w:sz="4" w:space="0" w:color="auto"/>
            </w:tcBorders>
            <w:hideMark/>
          </w:tcPr>
          <w:p w14:paraId="1D2DB015" w14:textId="3FF4F55E" w:rsidR="009B323E" w:rsidRPr="009D5DBE" w:rsidRDefault="009B323E" w:rsidP="00E922C6">
            <w:pPr>
              <w:rPr>
                <w:rFonts w:cstheme="minorHAnsi"/>
                <w:b/>
                <w:bCs/>
                <w:szCs w:val="21"/>
              </w:rPr>
            </w:pPr>
            <w:r w:rsidRPr="009D5DBE">
              <w:rPr>
                <w:rFonts w:cstheme="minorHAnsi"/>
                <w:b/>
                <w:bCs/>
                <w:szCs w:val="21"/>
              </w:rPr>
              <w:t>Quality Measure #</w:t>
            </w:r>
            <w:r w:rsidR="008A52FB" w:rsidRPr="009D5DBE">
              <w:rPr>
                <w:rFonts w:cstheme="minorHAnsi"/>
                <w:b/>
                <w:bCs/>
                <w:szCs w:val="21"/>
              </w:rPr>
              <w:t>3</w:t>
            </w:r>
          </w:p>
        </w:tc>
        <w:tc>
          <w:tcPr>
            <w:tcW w:w="1101" w:type="dxa"/>
            <w:tcBorders>
              <w:top w:val="single" w:sz="4" w:space="0" w:color="auto"/>
              <w:left w:val="single" w:sz="4" w:space="0" w:color="auto"/>
              <w:bottom w:val="single" w:sz="4" w:space="0" w:color="auto"/>
              <w:right w:val="single" w:sz="4" w:space="0" w:color="auto"/>
            </w:tcBorders>
            <w:hideMark/>
          </w:tcPr>
          <w:p w14:paraId="7CC8D7B6" w14:textId="77777777" w:rsidR="009B323E" w:rsidRPr="009D5DBE" w:rsidRDefault="009B323E" w:rsidP="00E922C6">
            <w:pPr>
              <w:rPr>
                <w:rFonts w:cstheme="minorHAnsi"/>
                <w:b/>
                <w:bCs/>
                <w:szCs w:val="21"/>
              </w:rPr>
            </w:pPr>
            <w:r w:rsidRPr="009D5DBE">
              <w:rPr>
                <w:rFonts w:cstheme="minorHAnsi"/>
                <w:b/>
                <w:bCs/>
                <w:szCs w:val="21"/>
              </w:rPr>
              <w:t xml:space="preserve">Baseline </w:t>
            </w:r>
          </w:p>
        </w:tc>
        <w:tc>
          <w:tcPr>
            <w:tcW w:w="1101" w:type="dxa"/>
            <w:tcBorders>
              <w:top w:val="single" w:sz="4" w:space="0" w:color="auto"/>
              <w:left w:val="single" w:sz="4" w:space="0" w:color="auto"/>
              <w:bottom w:val="single" w:sz="4" w:space="0" w:color="auto"/>
              <w:right w:val="single" w:sz="4" w:space="0" w:color="auto"/>
            </w:tcBorders>
            <w:hideMark/>
          </w:tcPr>
          <w:p w14:paraId="40086943" w14:textId="77777777" w:rsidR="009B323E" w:rsidRPr="009D5DBE" w:rsidRDefault="009B323E" w:rsidP="00E922C6">
            <w:pPr>
              <w:rPr>
                <w:rFonts w:cstheme="minorHAnsi"/>
                <w:b/>
                <w:bCs/>
                <w:szCs w:val="21"/>
              </w:rPr>
            </w:pPr>
            <w:r w:rsidRPr="009D5DBE">
              <w:rPr>
                <w:rFonts w:cstheme="minorHAnsi"/>
                <w:b/>
                <w:bCs/>
                <w:szCs w:val="21"/>
              </w:rPr>
              <w:t>Year 1</w:t>
            </w:r>
          </w:p>
        </w:tc>
        <w:tc>
          <w:tcPr>
            <w:tcW w:w="1101" w:type="dxa"/>
            <w:tcBorders>
              <w:top w:val="single" w:sz="4" w:space="0" w:color="auto"/>
              <w:left w:val="single" w:sz="4" w:space="0" w:color="auto"/>
              <w:bottom w:val="single" w:sz="4" w:space="0" w:color="auto"/>
              <w:right w:val="single" w:sz="4" w:space="0" w:color="auto"/>
            </w:tcBorders>
            <w:hideMark/>
          </w:tcPr>
          <w:p w14:paraId="1DBB0AD4" w14:textId="77777777" w:rsidR="009B323E" w:rsidRPr="009D5DBE" w:rsidRDefault="009B323E" w:rsidP="00E922C6">
            <w:pPr>
              <w:rPr>
                <w:rFonts w:cstheme="minorHAnsi"/>
                <w:b/>
                <w:bCs/>
                <w:szCs w:val="21"/>
              </w:rPr>
            </w:pPr>
            <w:r w:rsidRPr="009D5DBE">
              <w:rPr>
                <w:rFonts w:cstheme="minorHAnsi"/>
                <w:b/>
                <w:bCs/>
                <w:szCs w:val="21"/>
              </w:rPr>
              <w:t>Year 2</w:t>
            </w:r>
          </w:p>
        </w:tc>
        <w:tc>
          <w:tcPr>
            <w:tcW w:w="1102" w:type="dxa"/>
            <w:tcBorders>
              <w:top w:val="single" w:sz="4" w:space="0" w:color="auto"/>
              <w:left w:val="single" w:sz="4" w:space="0" w:color="auto"/>
              <w:bottom w:val="single" w:sz="4" w:space="0" w:color="auto"/>
              <w:right w:val="single" w:sz="4" w:space="0" w:color="auto"/>
            </w:tcBorders>
            <w:hideMark/>
          </w:tcPr>
          <w:p w14:paraId="2B9B388A" w14:textId="77777777" w:rsidR="009B323E" w:rsidRPr="009D5DBE" w:rsidRDefault="009B323E" w:rsidP="00E922C6">
            <w:pPr>
              <w:rPr>
                <w:rFonts w:cstheme="minorHAnsi"/>
                <w:b/>
                <w:bCs/>
                <w:szCs w:val="21"/>
              </w:rPr>
            </w:pPr>
            <w:r w:rsidRPr="009D5DBE">
              <w:rPr>
                <w:rFonts w:cstheme="minorHAnsi"/>
                <w:b/>
                <w:bCs/>
                <w:szCs w:val="21"/>
              </w:rPr>
              <w:t>Year 3</w:t>
            </w:r>
          </w:p>
        </w:tc>
      </w:tr>
      <w:tr w:rsidR="009B323E" w:rsidRPr="009D5DBE" w14:paraId="58A5C8A5" w14:textId="77777777" w:rsidTr="00231FC7">
        <w:tc>
          <w:tcPr>
            <w:tcW w:w="4590" w:type="dxa"/>
            <w:tcBorders>
              <w:top w:val="single" w:sz="4" w:space="0" w:color="auto"/>
              <w:left w:val="single" w:sz="4" w:space="0" w:color="auto"/>
              <w:bottom w:val="single" w:sz="4" w:space="0" w:color="auto"/>
              <w:right w:val="single" w:sz="4" w:space="0" w:color="auto"/>
            </w:tcBorders>
            <w:hideMark/>
          </w:tcPr>
          <w:p w14:paraId="0B793DF7" w14:textId="08E2F96D" w:rsidR="009B323E" w:rsidRPr="009D5DBE" w:rsidRDefault="008A52FB" w:rsidP="00E922C6">
            <w:pPr>
              <w:rPr>
                <w:rFonts w:cstheme="minorHAnsi"/>
                <w:szCs w:val="21"/>
              </w:rPr>
            </w:pPr>
            <w:r w:rsidRPr="009D5DBE">
              <w:rPr>
                <w:rFonts w:cstheme="minorHAnsi"/>
                <w:szCs w:val="21"/>
              </w:rPr>
              <w:t>Likelihood to recommend</w:t>
            </w:r>
            <w:r w:rsidR="009B323E" w:rsidRPr="009D5DBE">
              <w:rPr>
                <w:rFonts w:cstheme="minorHAnsi"/>
                <w:szCs w:val="21"/>
              </w:rPr>
              <w:t xml:space="preserve"> </w:t>
            </w:r>
            <w:r w:rsidR="008034F8" w:rsidRPr="009D5DBE">
              <w:rPr>
                <w:rFonts w:cstheme="minorHAnsi"/>
                <w:szCs w:val="21"/>
              </w:rPr>
              <w:t xml:space="preserve">MH </w:t>
            </w:r>
          </w:p>
        </w:tc>
        <w:tc>
          <w:tcPr>
            <w:tcW w:w="1101" w:type="dxa"/>
            <w:tcBorders>
              <w:top w:val="single" w:sz="4" w:space="0" w:color="auto"/>
              <w:left w:val="single" w:sz="4" w:space="0" w:color="auto"/>
              <w:bottom w:val="single" w:sz="4" w:space="0" w:color="auto"/>
              <w:right w:val="single" w:sz="4" w:space="0" w:color="auto"/>
            </w:tcBorders>
          </w:tcPr>
          <w:p w14:paraId="454AD185" w14:textId="71D30F23" w:rsidR="009B323E" w:rsidRPr="009D5DBE" w:rsidRDefault="009D5DBE" w:rsidP="00E922C6">
            <w:pPr>
              <w:rPr>
                <w:rFonts w:cstheme="minorHAnsi"/>
                <w:szCs w:val="21"/>
              </w:rPr>
            </w:pPr>
            <w:r w:rsidRPr="009D5DBE">
              <w:rPr>
                <w:rFonts w:cstheme="minorHAnsi"/>
                <w:szCs w:val="21"/>
              </w:rPr>
              <w:t>50.6%</w:t>
            </w:r>
          </w:p>
        </w:tc>
        <w:tc>
          <w:tcPr>
            <w:tcW w:w="1101" w:type="dxa"/>
            <w:tcBorders>
              <w:top w:val="single" w:sz="4" w:space="0" w:color="auto"/>
              <w:left w:val="single" w:sz="4" w:space="0" w:color="auto"/>
              <w:bottom w:val="single" w:sz="4" w:space="0" w:color="auto"/>
              <w:right w:val="single" w:sz="4" w:space="0" w:color="auto"/>
            </w:tcBorders>
          </w:tcPr>
          <w:p w14:paraId="6254BC46" w14:textId="54E22D9E" w:rsidR="009B323E" w:rsidRPr="009D5DBE" w:rsidRDefault="009D5DBE" w:rsidP="00E922C6">
            <w:pPr>
              <w:rPr>
                <w:rFonts w:cstheme="minorHAnsi"/>
                <w:szCs w:val="21"/>
              </w:rPr>
            </w:pPr>
            <w:r w:rsidRPr="009D5DBE">
              <w:rPr>
                <w:rFonts w:cstheme="minorHAnsi"/>
                <w:szCs w:val="21"/>
              </w:rPr>
              <w:t>52%</w:t>
            </w:r>
          </w:p>
        </w:tc>
        <w:tc>
          <w:tcPr>
            <w:tcW w:w="1101" w:type="dxa"/>
            <w:tcBorders>
              <w:top w:val="single" w:sz="4" w:space="0" w:color="auto"/>
              <w:left w:val="single" w:sz="4" w:space="0" w:color="auto"/>
              <w:bottom w:val="single" w:sz="4" w:space="0" w:color="auto"/>
              <w:right w:val="single" w:sz="4" w:space="0" w:color="auto"/>
            </w:tcBorders>
          </w:tcPr>
          <w:p w14:paraId="67C7A4EA" w14:textId="1EDC2CA9" w:rsidR="009B323E" w:rsidRPr="009D5DBE" w:rsidRDefault="009D5DBE" w:rsidP="00E922C6">
            <w:pPr>
              <w:rPr>
                <w:rFonts w:cstheme="minorHAnsi"/>
                <w:szCs w:val="21"/>
              </w:rPr>
            </w:pPr>
            <w:r w:rsidRPr="009D5DBE">
              <w:rPr>
                <w:rFonts w:cstheme="minorHAnsi"/>
                <w:szCs w:val="21"/>
              </w:rPr>
              <w:t>54%</w:t>
            </w:r>
          </w:p>
        </w:tc>
        <w:tc>
          <w:tcPr>
            <w:tcW w:w="1102" w:type="dxa"/>
            <w:tcBorders>
              <w:top w:val="single" w:sz="4" w:space="0" w:color="auto"/>
              <w:left w:val="single" w:sz="4" w:space="0" w:color="auto"/>
              <w:bottom w:val="single" w:sz="4" w:space="0" w:color="auto"/>
              <w:right w:val="single" w:sz="4" w:space="0" w:color="auto"/>
            </w:tcBorders>
          </w:tcPr>
          <w:p w14:paraId="710E9CE4" w14:textId="7FCC9E5F" w:rsidR="009B323E" w:rsidRPr="009D5DBE" w:rsidRDefault="009D5DBE" w:rsidP="00E922C6">
            <w:pPr>
              <w:rPr>
                <w:rFonts w:cstheme="minorHAnsi"/>
                <w:szCs w:val="21"/>
              </w:rPr>
            </w:pPr>
            <w:r w:rsidRPr="009D5DBE">
              <w:rPr>
                <w:rFonts w:cstheme="minorHAnsi"/>
                <w:szCs w:val="21"/>
              </w:rPr>
              <w:t>56%</w:t>
            </w:r>
          </w:p>
        </w:tc>
      </w:tr>
    </w:tbl>
    <w:p w14:paraId="4A179CE3" w14:textId="77777777" w:rsidR="001944D6" w:rsidRPr="00DD265A" w:rsidRDefault="001944D6" w:rsidP="00231FC7">
      <w:pPr>
        <w:rPr>
          <w:rFonts w:eastAsia="PMingLiU"/>
        </w:rPr>
      </w:pPr>
    </w:p>
    <w:p w14:paraId="4D45751B" w14:textId="5ADADE14" w:rsidR="00076798" w:rsidRPr="00231FC7" w:rsidRDefault="00076798" w:rsidP="00231FC7">
      <w:pPr>
        <w:pStyle w:val="HBh"/>
        <w:rPr>
          <w:b/>
          <w:bCs/>
          <w:i/>
          <w:iCs/>
        </w:rPr>
      </w:pPr>
      <w:r w:rsidRPr="009D5DBE">
        <w:t>F1.b.iii</w:t>
      </w:r>
      <w:r w:rsidRPr="009D5DBE">
        <w:rPr>
          <w:i/>
          <w:iCs/>
        </w:rPr>
        <w:t xml:space="preserve"> </w:t>
      </w:r>
      <w:r w:rsidR="00F67F2D" w:rsidRPr="009D5DBE">
        <w:rPr>
          <w:i/>
          <w:iCs/>
        </w:rPr>
        <w:tab/>
      </w:r>
      <w:r w:rsidRPr="00231FC7">
        <w:rPr>
          <w:b/>
          <w:bCs/>
        </w:rPr>
        <w:t>Public Health Value /Health Equity-Focused</w:t>
      </w:r>
    </w:p>
    <w:p w14:paraId="7CAA7734" w14:textId="77777777" w:rsidR="00076798" w:rsidRPr="009D5DBE" w:rsidRDefault="00076798" w:rsidP="00231FC7">
      <w:pPr>
        <w:pStyle w:val="HBbl1j"/>
        <w:rPr>
          <w:rFonts w:eastAsia="PMingLiU"/>
        </w:rPr>
      </w:pPr>
      <w:r w:rsidRPr="009D5DBE">
        <w:rPr>
          <w:rFonts w:eastAsia="PMingLiU"/>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32AC0366" w14:textId="3DE2C3AC" w:rsidR="00076798" w:rsidRPr="009D5DBE" w:rsidRDefault="00076798" w:rsidP="00231FC7">
      <w:pPr>
        <w:pStyle w:val="HBblj"/>
        <w:rPr>
          <w:rFonts w:eastAsia="PMingLiU" w:cstheme="minorHAnsi"/>
          <w:color w:val="000000"/>
        </w:rPr>
      </w:pPr>
      <w:r w:rsidRPr="009D5DBE">
        <w:rPr>
          <w:rFonts w:eastAsia="PMingLiU" w:cstheme="minorHAnsi"/>
          <w:color w:val="000000"/>
        </w:rPr>
        <w:t xml:space="preserve">The Proposed </w:t>
      </w:r>
      <w:r w:rsidR="000E2C21" w:rsidRPr="009D5DBE">
        <w:rPr>
          <w:rFonts w:eastAsia="PMingLiU" w:cstheme="minorHAnsi"/>
          <w:color w:val="000000"/>
        </w:rPr>
        <w:t>Merger</w:t>
      </w:r>
      <w:r w:rsidRPr="009D5DBE">
        <w:rPr>
          <w:rFonts w:eastAsia="PMingLiU" w:cstheme="minorHAnsi"/>
          <w:color w:val="000000"/>
        </w:rPr>
        <w:t xml:space="preserve"> will expand upon and drive </w:t>
      </w:r>
      <w:r w:rsidR="00527B52" w:rsidRPr="009D5DBE">
        <w:rPr>
          <w:rFonts w:eastAsia="PMingLiU"/>
        </w:rPr>
        <w:t>UMass Memorial</w:t>
      </w:r>
      <w:r w:rsidRPr="009D5DBE">
        <w:rPr>
          <w:rFonts w:eastAsia="PMingLiU" w:cstheme="minorHAnsi"/>
          <w:color w:val="000000"/>
        </w:rPr>
        <w:t xml:space="preserve">’s </w:t>
      </w:r>
      <w:r w:rsidRPr="009D5DBE">
        <w:rPr>
          <w:rFonts w:eastAsia="PMingLiU"/>
        </w:rPr>
        <w:t xml:space="preserve">commitments to advance its Anchor Mission to reduce health inequities. Adopted by the </w:t>
      </w:r>
      <w:r w:rsidR="00527B52" w:rsidRPr="009D5DBE">
        <w:rPr>
          <w:rFonts w:eastAsia="PMingLiU"/>
        </w:rPr>
        <w:t>UMass Memorial</w:t>
      </w:r>
      <w:r w:rsidRPr="009D5DBE">
        <w:rPr>
          <w:rFonts w:eastAsia="PMingLiU"/>
        </w:rPr>
        <w:t xml:space="preserve"> Board of Trustees in 2018, </w:t>
      </w:r>
      <w:r w:rsidR="00527B52" w:rsidRPr="009D5DBE">
        <w:rPr>
          <w:rFonts w:eastAsia="PMingLiU"/>
        </w:rPr>
        <w:t>UMass Memorial</w:t>
      </w:r>
      <w:r w:rsidRPr="009D5DBE">
        <w:rPr>
          <w:rFonts w:eastAsia="PMingLiU"/>
        </w:rPr>
        <w:t xml:space="preserve">’s Anchor Mission is a commitment to consciously apply the place-based economic power of </w:t>
      </w:r>
      <w:r w:rsidR="00527B52" w:rsidRPr="009D5DBE">
        <w:rPr>
          <w:rFonts w:eastAsia="PMingLiU"/>
        </w:rPr>
        <w:t>UMass Memorial</w:t>
      </w:r>
      <w:r w:rsidRPr="009D5DBE">
        <w:rPr>
          <w:rFonts w:eastAsia="PMingLiU"/>
        </w:rPr>
        <w:t>, in combination with its human and intellectual resources, to better the long-term welfare of the community in which the institution is anchored.</w:t>
      </w:r>
      <w:r w:rsidRPr="009D5DBE">
        <w:rPr>
          <w:rFonts w:eastAsia="Calibri" w:cstheme="minorHAnsi"/>
          <w:color w:val="000000"/>
          <w:spacing w:val="-1"/>
          <w:vertAlign w:val="superscript"/>
        </w:rPr>
        <w:footnoteReference w:id="35"/>
      </w:r>
      <w:r w:rsidRPr="009D5DBE">
        <w:rPr>
          <w:rFonts w:eastAsia="PMingLiU"/>
        </w:rPr>
        <w:t xml:space="preserve"> The Anchor Mission aims </w:t>
      </w:r>
      <w:r w:rsidRPr="009D5DBE">
        <w:rPr>
          <w:rFonts w:eastAsia="PMingLiU"/>
          <w:color w:val="333333"/>
          <w:shd w:val="clear" w:color="auto" w:fill="FFFFFF"/>
        </w:rPr>
        <w:t xml:space="preserve">to improve the health and welfare of the community beyond the hospital’s walls, </w:t>
      </w:r>
      <w:r w:rsidRPr="009D5DBE">
        <w:rPr>
          <w:rFonts w:eastAsia="PMingLiU"/>
        </w:rPr>
        <w:t xml:space="preserve">by leveraging </w:t>
      </w:r>
      <w:r w:rsidR="00527B52" w:rsidRPr="009D5DBE">
        <w:rPr>
          <w:rFonts w:eastAsia="PMingLiU"/>
        </w:rPr>
        <w:t>UMass Memorial</w:t>
      </w:r>
      <w:r w:rsidRPr="009D5DBE">
        <w:rPr>
          <w:rFonts w:eastAsia="PMingLiU"/>
        </w:rPr>
        <w:t>’s organizational assets (intellectual and economic) to address social disadvantage and the pervasive inequality present in our society</w:t>
      </w:r>
      <w:r w:rsidRPr="009D5DBE">
        <w:rPr>
          <w:rFonts w:eastAsia="PMingLiU"/>
          <w:color w:val="333333"/>
          <w:shd w:val="clear" w:color="auto" w:fill="FFFFFF"/>
        </w:rPr>
        <w:t xml:space="preserve"> so that community members have access to resources that will improve their overall social, physical, and financial health</w:t>
      </w:r>
      <w:r w:rsidRPr="009D5DBE">
        <w:rPr>
          <w:rFonts w:eastAsia="PMingLiU"/>
        </w:rPr>
        <w:t xml:space="preserve">. </w:t>
      </w:r>
      <w:r w:rsidRPr="009D5DBE">
        <w:rPr>
          <w:rFonts w:eastAsia="Tahoma"/>
        </w:rPr>
        <w:t xml:space="preserve">Other priority areas are focused on reducing health disparities by improving health care access for historically disadvantaged and vulnerable populations, improving health outcomes in Worcester County, and collaboration with community organizations to prevent homelessness and reduce food insecurity. </w:t>
      </w:r>
    </w:p>
    <w:p w14:paraId="0C0B1D20" w14:textId="320E9AE3" w:rsidR="00076798" w:rsidRPr="009D5DBE" w:rsidRDefault="00527B52" w:rsidP="00231FC7">
      <w:pPr>
        <w:pStyle w:val="HBblj"/>
        <w:rPr>
          <w:rFonts w:eastAsia="PMingLiU"/>
        </w:rPr>
      </w:pPr>
      <w:r w:rsidRPr="009D5DBE">
        <w:rPr>
          <w:rFonts w:eastAsia="PMingLiU"/>
        </w:rPr>
        <w:t>UMass Memorial</w:t>
      </w:r>
      <w:r w:rsidR="00076798" w:rsidRPr="009D5DBE">
        <w:rPr>
          <w:rFonts w:eastAsia="PMingLiU"/>
        </w:rPr>
        <w:t xml:space="preserve"> has implemented the interventions described below as part of its Anchor Mission activities to further address health inequities and promote greater access to care and health equity among diverse and underserved populations.</w:t>
      </w:r>
      <w:r w:rsidR="00076798" w:rsidRPr="009D5DBE">
        <w:rPr>
          <w:rFonts w:eastAsia="Calibri" w:cstheme="minorHAnsi"/>
          <w:color w:val="000000"/>
          <w:spacing w:val="-1"/>
          <w:vertAlign w:val="superscript"/>
        </w:rPr>
        <w:footnoteReference w:id="36"/>
      </w:r>
      <w:r w:rsidR="00076798" w:rsidRPr="009D5DBE">
        <w:rPr>
          <w:rFonts w:eastAsia="PMingLiU"/>
        </w:rPr>
        <w:t xml:space="preserve"> </w:t>
      </w:r>
    </w:p>
    <w:p w14:paraId="21690987" w14:textId="5DBF9924" w:rsidR="00076798" w:rsidRPr="009D5DBE" w:rsidRDefault="00076798" w:rsidP="00231FC7">
      <w:pPr>
        <w:pStyle w:val="HBsl"/>
        <w:rPr>
          <w:rFonts w:eastAsia="PMingLiU"/>
        </w:rPr>
      </w:pPr>
      <w:r w:rsidRPr="009D5DBE">
        <w:rPr>
          <w:rFonts w:eastAsia="PMingLiU"/>
        </w:rPr>
        <w:t>Interpreter Services to Support Diverse Patient Populations</w:t>
      </w:r>
    </w:p>
    <w:p w14:paraId="559F3CA9" w14:textId="16123A12" w:rsidR="00076798" w:rsidRPr="009D5DBE" w:rsidRDefault="00076798" w:rsidP="00231FC7">
      <w:pPr>
        <w:pStyle w:val="HBblj"/>
        <w:rPr>
          <w:rFonts w:eastAsia="PMingLiU" w:cstheme="minorHAnsi"/>
        </w:rPr>
      </w:pPr>
      <w:r w:rsidRPr="009D5DBE">
        <w:rPr>
          <w:rFonts w:eastAsia="PMingLiU"/>
        </w:rPr>
        <w:t xml:space="preserve">One of </w:t>
      </w:r>
      <w:r w:rsidR="00527B52" w:rsidRPr="009D5DBE">
        <w:rPr>
          <w:rFonts w:eastAsia="PMingLiU"/>
        </w:rPr>
        <w:t>UMass Memorial</w:t>
      </w:r>
      <w:r w:rsidRPr="009D5DBE">
        <w:rPr>
          <w:rFonts w:eastAsia="PMingLiU"/>
        </w:rPr>
        <w:t xml:space="preserve">’s primary interventions to support diverse populations with limited English proficiency and other communication barriers involves providing professional medical interpretation services to patients and families who prefer to communicate in languages other than English. These interpreters are proficient in over 100 languages, including American Sign Language, and are available 24/7 through various modes, such as in-person, over the phone, and through remote video interpretation. </w:t>
      </w:r>
      <w:r w:rsidR="005214E6" w:rsidRPr="009D5DBE">
        <w:rPr>
          <w:rFonts w:eastAsia="PMingLiU"/>
        </w:rPr>
        <w:lastRenderedPageBreak/>
        <w:t>UMass Memorial</w:t>
      </w:r>
      <w:r w:rsidRPr="009D5DBE">
        <w:rPr>
          <w:rFonts w:eastAsia="PMingLiU"/>
        </w:rPr>
        <w:t xml:space="preserve"> interpreters facilitate communication not only for medical needs but also for non-medical inquiries, ensuring comprehensive language assistance for our diverse patient community. </w:t>
      </w:r>
    </w:p>
    <w:p w14:paraId="2FA6A7F6" w14:textId="12E8CDCF" w:rsidR="00076798" w:rsidRPr="009D5DBE" w:rsidRDefault="00076798" w:rsidP="00231FC7">
      <w:pPr>
        <w:pStyle w:val="HBsl"/>
        <w:rPr>
          <w:rFonts w:eastAsia="PMingLiU"/>
        </w:rPr>
      </w:pPr>
      <w:r w:rsidRPr="009D5DBE">
        <w:rPr>
          <w:rFonts w:eastAsia="PMingLiU"/>
        </w:rPr>
        <w:t xml:space="preserve">Fostering Culturally Proficient Staff </w:t>
      </w:r>
    </w:p>
    <w:p w14:paraId="27865DF0" w14:textId="475F1E3E" w:rsidR="00076798" w:rsidRPr="009D5DBE" w:rsidRDefault="00527B52" w:rsidP="00231FC7">
      <w:pPr>
        <w:pStyle w:val="HBblj"/>
        <w:rPr>
          <w:rFonts w:eastAsia="PMingLiU"/>
        </w:rPr>
      </w:pPr>
      <w:r w:rsidRPr="009D5DBE">
        <w:rPr>
          <w:rFonts w:eastAsia="PMingLiU"/>
        </w:rPr>
        <w:t>UMass Memorial</w:t>
      </w:r>
      <w:r w:rsidR="00076798" w:rsidRPr="009D5DBE">
        <w:rPr>
          <w:rFonts w:eastAsia="PMingLiU"/>
        </w:rPr>
        <w:t xml:space="preserve">’s commitment to equity extends to fostering a culturally proficient workforce. </w:t>
      </w:r>
      <w:r w:rsidRPr="009D5DBE">
        <w:rPr>
          <w:rFonts w:eastAsia="PMingLiU"/>
        </w:rPr>
        <w:t>UMass Memorial</w:t>
      </w:r>
      <w:r w:rsidR="00076798" w:rsidRPr="009D5DBE">
        <w:rPr>
          <w:rFonts w:eastAsia="PMingLiU"/>
        </w:rPr>
        <w:t xml:space="preserve"> established the office of Diversity, Equity, Inclusion and Belonging (DEIB), with dedicated leadership overseeing equity initiatives. As part of this commitment, the DEIB diversity specialists provide racial literacy training around cultural proficiency and unconscious bias to </w:t>
      </w:r>
      <w:r w:rsidRPr="009D5DBE">
        <w:rPr>
          <w:rFonts w:eastAsia="PMingLiU"/>
        </w:rPr>
        <w:t>UMass Memorial</w:t>
      </w:r>
      <w:r w:rsidR="00076798" w:rsidRPr="009D5DBE">
        <w:rPr>
          <w:rFonts w:eastAsia="PMingLiU"/>
        </w:rPr>
        <w:t xml:space="preserve"> medical departments.</w:t>
      </w:r>
      <w:r w:rsidR="00076798" w:rsidRPr="009D5DBE">
        <w:rPr>
          <w:rFonts w:eastAsia="PMingLiU" w:cstheme="minorHAnsi"/>
          <w:vertAlign w:val="superscript"/>
        </w:rPr>
        <w:footnoteReference w:id="37"/>
      </w:r>
      <w:r w:rsidR="00076798" w:rsidRPr="009D5DBE">
        <w:rPr>
          <w:rFonts w:eastAsia="PMingLiU"/>
        </w:rPr>
        <w:t xml:space="preserve"> This commitment to inclusivity and cultural competence is instrumental in providing equitable care. </w:t>
      </w:r>
    </w:p>
    <w:p w14:paraId="68CE844C" w14:textId="77777777" w:rsidR="00076798" w:rsidRPr="009D5DBE" w:rsidRDefault="00076798" w:rsidP="00231FC7">
      <w:pPr>
        <w:pStyle w:val="HBsl"/>
        <w:rPr>
          <w:rFonts w:eastAsia="PMingLiU"/>
          <w:b/>
          <w:bCs/>
        </w:rPr>
      </w:pPr>
      <w:r w:rsidRPr="009D5DBE">
        <w:rPr>
          <w:rFonts w:eastAsia="PMingLiU"/>
        </w:rPr>
        <w:t>Doula Program for Improved Maternal Health</w:t>
      </w:r>
    </w:p>
    <w:p w14:paraId="55B635B8" w14:textId="3BCDEBB6" w:rsidR="00076798" w:rsidRPr="009D5DBE" w:rsidRDefault="00527B52" w:rsidP="00231FC7">
      <w:pPr>
        <w:pStyle w:val="HBblj"/>
        <w:rPr>
          <w:rFonts w:eastAsia="PMingLiU"/>
        </w:rPr>
      </w:pPr>
      <w:r w:rsidRPr="009D5DBE">
        <w:rPr>
          <w:rFonts w:eastAsia="PMingLiU"/>
        </w:rPr>
        <w:t>UMass Memorial</w:t>
      </w:r>
      <w:r w:rsidR="00076798" w:rsidRPr="009D5DBE">
        <w:rPr>
          <w:rFonts w:eastAsia="PMingLiU"/>
        </w:rPr>
        <w:t xml:space="preserve"> launched a doula program to positively impact the patient experience and improve birth and postpartum outcomes, with a special focus on </w:t>
      </w:r>
      <w:r w:rsidR="0089178B" w:rsidRPr="009D5DBE">
        <w:rPr>
          <w:rFonts w:eastAsia="PMingLiU"/>
        </w:rPr>
        <w:t xml:space="preserve">addressing documented disparities in outcomes for </w:t>
      </w:r>
      <w:r w:rsidR="00076798" w:rsidRPr="009D5DBE">
        <w:rPr>
          <w:rFonts w:eastAsia="PMingLiU"/>
        </w:rPr>
        <w:t>pregnant patients of color.</w:t>
      </w:r>
      <w:r w:rsidR="00076798" w:rsidRPr="009D5DBE">
        <w:rPr>
          <w:rFonts w:eastAsia="PMingLiU" w:cstheme="minorHAnsi"/>
          <w:vertAlign w:val="superscript"/>
        </w:rPr>
        <w:footnoteReference w:id="38"/>
      </w:r>
      <w:r w:rsidR="00076798" w:rsidRPr="009D5DBE">
        <w:rPr>
          <w:rFonts w:eastAsia="PMingLiU"/>
        </w:rPr>
        <w:t xml:space="preserve"> This program, which has shown promise in Central Massachusetts, aims to provide support and care that address specific needs, especially among historically underserved populations.</w:t>
      </w:r>
      <w:r w:rsidR="0020538F" w:rsidRPr="009D5DBE">
        <w:rPr>
          <w:rFonts w:eastAsia="PMingLiU"/>
        </w:rPr>
        <w:t xml:space="preserve"> </w:t>
      </w:r>
      <w:r w:rsidR="00076798" w:rsidRPr="009D5DBE">
        <w:rPr>
          <w:rFonts w:eastAsia="PMingLiU"/>
        </w:rPr>
        <w:t xml:space="preserve"> </w:t>
      </w:r>
    </w:p>
    <w:p w14:paraId="55DDDAEF" w14:textId="77777777" w:rsidR="00076798" w:rsidRPr="009D5DBE" w:rsidRDefault="00076798" w:rsidP="00231FC7">
      <w:pPr>
        <w:pStyle w:val="HBsl"/>
        <w:rPr>
          <w:rFonts w:eastAsia="PMingLiU"/>
        </w:rPr>
      </w:pPr>
      <w:r w:rsidRPr="009D5DBE">
        <w:rPr>
          <w:rFonts w:eastAsia="PMingLiU"/>
        </w:rPr>
        <w:t>MyChart Patient Portal in Multiple Languages</w:t>
      </w:r>
    </w:p>
    <w:p w14:paraId="4B2AB9A9" w14:textId="4E91815A" w:rsidR="004327E0" w:rsidRPr="009D5DBE" w:rsidRDefault="00076798" w:rsidP="00231FC7">
      <w:pPr>
        <w:pStyle w:val="HBblj"/>
        <w:rPr>
          <w:rFonts w:eastAsia="PMingLiU"/>
        </w:rPr>
      </w:pPr>
      <w:r w:rsidRPr="009D5DBE">
        <w:rPr>
          <w:rFonts w:eastAsia="PMingLiU"/>
        </w:rPr>
        <w:t xml:space="preserve">To ensure equal access to healthcare information, </w:t>
      </w:r>
      <w:r w:rsidR="00527B52" w:rsidRPr="009D5DBE">
        <w:rPr>
          <w:rFonts w:eastAsia="PMingLiU"/>
        </w:rPr>
        <w:t>UMass Memorial</w:t>
      </w:r>
      <w:r w:rsidRPr="009D5DBE">
        <w:rPr>
          <w:rFonts w:eastAsia="PMingLiU"/>
        </w:rPr>
        <w:t xml:space="preserve"> is implementing the MyChart patient portal in multiple languages, starting with Spanish and expanding to other languages in the future.  This initiative will empower non-English speaking patients to access essential health information and stay in contact with their care teams, contributing to improved health equity. </w:t>
      </w:r>
    </w:p>
    <w:p w14:paraId="72C875D5" w14:textId="77777777" w:rsidR="007C6204" w:rsidRPr="009D5DBE" w:rsidRDefault="005214E6" w:rsidP="00231FC7">
      <w:pPr>
        <w:pStyle w:val="HBsl"/>
        <w:rPr>
          <w:rFonts w:eastAsia="PMingLiU"/>
          <w:b/>
          <w:bCs/>
        </w:rPr>
      </w:pPr>
      <w:r w:rsidRPr="009D5DBE">
        <w:rPr>
          <w:rFonts w:eastAsia="PMingLiU"/>
        </w:rPr>
        <w:t>UMass Memorial</w:t>
      </w:r>
      <w:r w:rsidR="00076798" w:rsidRPr="009D5DBE">
        <w:rPr>
          <w:rFonts w:eastAsia="PMingLiU"/>
        </w:rPr>
        <w:t xml:space="preserve"> Health Equity Improvement Initiatives</w:t>
      </w:r>
    </w:p>
    <w:p w14:paraId="48F1A99B" w14:textId="77777777" w:rsidR="002546EF" w:rsidRPr="009D5DBE" w:rsidRDefault="00076798" w:rsidP="00231FC7">
      <w:pPr>
        <w:pStyle w:val="HBblj"/>
        <w:rPr>
          <w:rFonts w:eastAsia="PMingLiU"/>
        </w:rPr>
      </w:pPr>
      <w:bookmarkStart w:id="7" w:name="_Hlk189729065"/>
      <w:r w:rsidRPr="009D5DBE">
        <w:rPr>
          <w:rFonts w:eastAsia="PMingLiU"/>
        </w:rPr>
        <w:t xml:space="preserve">Since the onset of the COVID-19 pandemic, </w:t>
      </w:r>
      <w:r w:rsidR="00527B52" w:rsidRPr="009D5DBE">
        <w:rPr>
          <w:rFonts w:eastAsia="PMingLiU"/>
        </w:rPr>
        <w:t>UMass Memorial</w:t>
      </w:r>
      <w:r w:rsidRPr="009D5DBE">
        <w:rPr>
          <w:rFonts w:eastAsia="PMingLiU"/>
        </w:rPr>
        <w:t xml:space="preserve"> has made an intentional decision to incorporate a health care equity metric in its Board-level “true north” metrics each year. </w:t>
      </w:r>
    </w:p>
    <w:p w14:paraId="3AF2223A" w14:textId="2D861E25" w:rsidR="006A4DF4" w:rsidRDefault="00076798" w:rsidP="00231FC7">
      <w:pPr>
        <w:pStyle w:val="HBblj"/>
        <w:rPr>
          <w:rFonts w:asciiTheme="minorHAnsi" w:eastAsia="PMingLiU" w:hAnsiTheme="minorHAnsi"/>
        </w:rPr>
      </w:pPr>
      <w:r w:rsidRPr="009D5DBE">
        <w:rPr>
          <w:rFonts w:eastAsia="PMingLiU"/>
        </w:rPr>
        <w:t xml:space="preserve">In 2021, </w:t>
      </w:r>
      <w:r w:rsidR="00527B52" w:rsidRPr="009D5DBE">
        <w:rPr>
          <w:rFonts w:eastAsia="PMingLiU"/>
        </w:rPr>
        <w:t>UMass Memorial</w:t>
      </w:r>
      <w:r w:rsidRPr="009D5DBE">
        <w:rPr>
          <w:rFonts w:eastAsia="PMingLiU"/>
        </w:rPr>
        <w:t xml:space="preserve"> identified a disparity in rates of well-child visits among Black, Hispanic and white children.  As a result of its proactive interventions, </w:t>
      </w:r>
      <w:r w:rsidR="00527B52" w:rsidRPr="009D5DBE">
        <w:rPr>
          <w:rFonts w:eastAsia="PMingLiU"/>
        </w:rPr>
        <w:t>UMass Memorial</w:t>
      </w:r>
      <w:r w:rsidRPr="009D5DBE">
        <w:rPr>
          <w:rFonts w:eastAsia="PMingLiU"/>
        </w:rPr>
        <w:t xml:space="preserve"> was able to substantially improve well-child visit rates for Black and Hispanic populations while increasing rates for </w:t>
      </w:r>
      <w:r w:rsidR="002F42E1">
        <w:rPr>
          <w:rFonts w:eastAsia="PMingLiU"/>
        </w:rPr>
        <w:t>W</w:t>
      </w:r>
      <w:r w:rsidR="002F42E1" w:rsidRPr="009D5DBE">
        <w:rPr>
          <w:rFonts w:eastAsia="PMingLiU"/>
        </w:rPr>
        <w:t xml:space="preserve">hite </w:t>
      </w:r>
      <w:r w:rsidRPr="009D5DBE">
        <w:rPr>
          <w:rFonts w:eastAsia="PMingLiU"/>
        </w:rPr>
        <w:t xml:space="preserve">children, </w:t>
      </w:r>
      <w:proofErr w:type="gramStart"/>
      <w:r w:rsidRPr="009D5DBE">
        <w:rPr>
          <w:rFonts w:eastAsia="PMingLiU"/>
        </w:rPr>
        <w:t>and also</w:t>
      </w:r>
      <w:proofErr w:type="gramEnd"/>
      <w:r w:rsidRPr="009D5DBE">
        <w:rPr>
          <w:rFonts w:eastAsia="PMingLiU"/>
        </w:rPr>
        <w:t xml:space="preserve"> effectively narrowing the gap between Black, Hispanic and </w:t>
      </w:r>
      <w:r w:rsidR="002F42E1">
        <w:rPr>
          <w:rFonts w:eastAsia="PMingLiU"/>
        </w:rPr>
        <w:t>W</w:t>
      </w:r>
      <w:r w:rsidR="002F42E1" w:rsidRPr="009D5DBE">
        <w:rPr>
          <w:rFonts w:eastAsia="PMingLiU"/>
        </w:rPr>
        <w:t xml:space="preserve">hite </w:t>
      </w:r>
      <w:r w:rsidRPr="009D5DBE">
        <w:rPr>
          <w:rFonts w:eastAsia="PMingLiU"/>
        </w:rPr>
        <w:t xml:space="preserve">patients. In recognition of its achievements, </w:t>
      </w:r>
      <w:r w:rsidR="00527B52" w:rsidRPr="009D5DBE">
        <w:rPr>
          <w:rFonts w:eastAsia="PMingLiU"/>
        </w:rPr>
        <w:t>UMass Memorial</w:t>
      </w:r>
      <w:r w:rsidRPr="009D5DBE">
        <w:rPr>
          <w:rFonts w:eastAsia="PMingLiU"/>
        </w:rPr>
        <w:t xml:space="preserve"> was honored with the Joint Commission/Kaiser Permanente Bernard Tyson award for its contributions to health equity improvement.</w:t>
      </w:r>
      <w:r w:rsidRPr="009D5DBE">
        <w:rPr>
          <w:rFonts w:eastAsia="Calibri" w:cstheme="minorHAnsi"/>
          <w:color w:val="000000"/>
          <w:spacing w:val="-1"/>
          <w:vertAlign w:val="superscript"/>
        </w:rPr>
        <w:footnoteReference w:id="39"/>
      </w:r>
      <w:r w:rsidRPr="009D5DBE">
        <w:rPr>
          <w:rFonts w:eastAsia="PMingLiU"/>
        </w:rPr>
        <w:t xml:space="preserve">  In 2022, </w:t>
      </w:r>
      <w:r w:rsidR="00527B52" w:rsidRPr="009D5DBE">
        <w:rPr>
          <w:rFonts w:eastAsia="PMingLiU"/>
        </w:rPr>
        <w:t>UMass Memorial</w:t>
      </w:r>
      <w:r w:rsidR="002546EF" w:rsidRPr="009D5DBE">
        <w:rPr>
          <w:rFonts w:eastAsia="PMingLiU"/>
        </w:rPr>
        <w:t xml:space="preserve"> broaden its </w:t>
      </w:r>
      <w:r w:rsidR="002546EF" w:rsidRPr="009D5DBE">
        <w:rPr>
          <w:rFonts w:eastAsia="PMingLiU"/>
        </w:rPr>
        <w:lastRenderedPageBreak/>
        <w:t>efforts to</w:t>
      </w:r>
      <w:r w:rsidRPr="009D5DBE">
        <w:rPr>
          <w:rFonts w:eastAsia="PMingLiU"/>
        </w:rPr>
        <w:t xml:space="preserve"> bridg</w:t>
      </w:r>
      <w:r w:rsidR="002546EF" w:rsidRPr="009D5DBE">
        <w:rPr>
          <w:rFonts w:eastAsia="PMingLiU"/>
        </w:rPr>
        <w:t>e</w:t>
      </w:r>
      <w:r w:rsidRPr="009D5DBE">
        <w:rPr>
          <w:rFonts w:eastAsia="PMingLiU"/>
        </w:rPr>
        <w:t xml:space="preserve"> racial disparities in osteoporosis screening, and in 2023, </w:t>
      </w:r>
      <w:r w:rsidR="00527B52" w:rsidRPr="009D5DBE">
        <w:rPr>
          <w:rFonts w:eastAsia="PMingLiU"/>
        </w:rPr>
        <w:t>UMass Memorial</w:t>
      </w:r>
      <w:r w:rsidRPr="009D5DBE">
        <w:rPr>
          <w:rFonts w:eastAsia="PMingLiU"/>
        </w:rPr>
        <w:t xml:space="preserve"> dedicated efforts to improving colorectal cancer screening rates for Black, Hispanic and Asian patients</w:t>
      </w:r>
      <w:r w:rsidR="0089178B" w:rsidRPr="009D5DBE">
        <w:rPr>
          <w:rFonts w:eastAsia="PMingLiU"/>
        </w:rPr>
        <w:t xml:space="preserve"> to close a</w:t>
      </w:r>
      <w:r w:rsidR="00A02C52" w:rsidRPr="009D5DBE">
        <w:rPr>
          <w:rFonts w:eastAsia="PMingLiU"/>
        </w:rPr>
        <w:t xml:space="preserve"> statistically significant gap in screening rates</w:t>
      </w:r>
      <w:r w:rsidRPr="009D5DBE">
        <w:rPr>
          <w:rFonts w:eastAsia="PMingLiU"/>
        </w:rPr>
        <w:t>.</w:t>
      </w:r>
      <w:r w:rsidR="002546EF" w:rsidRPr="009D5DBE">
        <w:rPr>
          <w:rFonts w:eastAsia="PMingLiU"/>
        </w:rPr>
        <w:t xml:space="preserve"> Most recently in 2024</w:t>
      </w:r>
      <w:r w:rsidR="002F42E1">
        <w:rPr>
          <w:rFonts w:eastAsia="PMingLiU"/>
        </w:rPr>
        <w:t>,</w:t>
      </w:r>
      <w:r w:rsidR="002546EF" w:rsidRPr="009D5DBE">
        <w:rPr>
          <w:rFonts w:eastAsia="PMingLiU"/>
        </w:rPr>
        <w:t xml:space="preserve"> UMass Memorial</w:t>
      </w:r>
      <w:bookmarkStart w:id="8" w:name="_Hlk189831150"/>
      <w:r w:rsidR="006A4DF4" w:rsidRPr="00DD1E0F">
        <w:rPr>
          <w:rFonts w:asciiTheme="minorHAnsi" w:eastAsia="PMingLiU" w:hAnsiTheme="minorHAnsi"/>
        </w:rPr>
        <w:t xml:space="preserve"> focused on improving data capture of race, ethnicity, language, disability, sexual orientation, and gender identity among hospitalized patients. </w:t>
      </w:r>
    </w:p>
    <w:p w14:paraId="4F291548" w14:textId="0C37277A" w:rsidR="00076798" w:rsidRPr="009D5DBE" w:rsidRDefault="00076798" w:rsidP="002546EF">
      <w:pPr>
        <w:spacing w:after="240"/>
        <w:jc w:val="both"/>
        <w:rPr>
          <w:rFonts w:eastAsia="PMingLiU"/>
          <w:b/>
          <w:bCs/>
          <w:szCs w:val="21"/>
          <w:u w:val="single"/>
        </w:rPr>
      </w:pPr>
      <w:r w:rsidRPr="009D5DBE">
        <w:rPr>
          <w:rFonts w:eastAsia="PMingLiU"/>
          <w:szCs w:val="21"/>
        </w:rPr>
        <w:t xml:space="preserve">In each instance, </w:t>
      </w:r>
      <w:r w:rsidR="00527B52" w:rsidRPr="009D5DBE">
        <w:rPr>
          <w:rFonts w:eastAsia="PMingLiU"/>
          <w:szCs w:val="21"/>
        </w:rPr>
        <w:t>UMass Memorial</w:t>
      </w:r>
      <w:r w:rsidRPr="009D5DBE">
        <w:rPr>
          <w:rFonts w:eastAsia="PMingLiU"/>
          <w:szCs w:val="21"/>
        </w:rPr>
        <w:t xml:space="preserve"> achieved measurable improvements</w:t>
      </w:r>
      <w:r w:rsidR="00A02C52" w:rsidRPr="009D5DBE">
        <w:rPr>
          <w:rFonts w:eastAsia="PMingLiU"/>
          <w:szCs w:val="21"/>
        </w:rPr>
        <w:t xml:space="preserve"> across all populations</w:t>
      </w:r>
      <w:r w:rsidRPr="009D5DBE">
        <w:rPr>
          <w:rFonts w:eastAsia="PMingLiU"/>
          <w:szCs w:val="21"/>
        </w:rPr>
        <w:t xml:space="preserve"> and exceeded its established goals</w:t>
      </w:r>
      <w:r w:rsidR="002546EF" w:rsidRPr="009D5DBE">
        <w:rPr>
          <w:rFonts w:eastAsia="PMingLiU"/>
          <w:szCs w:val="21"/>
        </w:rPr>
        <w:t xml:space="preserve"> a</w:t>
      </w:r>
      <w:r w:rsidRPr="009D5DBE">
        <w:rPr>
          <w:rFonts w:eastAsia="PMingLiU"/>
          <w:szCs w:val="21"/>
        </w:rPr>
        <w:t>s summarized in the report</w:t>
      </w:r>
      <w:r w:rsidR="00527B52" w:rsidRPr="009D5DBE">
        <w:rPr>
          <w:rFonts w:eastAsia="PMingLiU"/>
          <w:szCs w:val="21"/>
        </w:rPr>
        <w:t>, Improving Health Equity at UMass Memorial Health</w:t>
      </w:r>
      <w:r w:rsidRPr="009D5DBE">
        <w:rPr>
          <w:rFonts w:eastAsia="PMingLiU"/>
          <w:szCs w:val="21"/>
        </w:rPr>
        <w:t>.</w:t>
      </w:r>
      <w:r w:rsidRPr="009D5DBE">
        <w:rPr>
          <w:rFonts w:eastAsia="Calibri" w:cstheme="minorHAnsi"/>
          <w:color w:val="000000"/>
          <w:spacing w:val="-1"/>
          <w:szCs w:val="21"/>
          <w:vertAlign w:val="superscript"/>
        </w:rPr>
        <w:footnoteReference w:id="40"/>
      </w:r>
      <w:r w:rsidR="002546EF" w:rsidRPr="009D5DBE">
        <w:rPr>
          <w:rFonts w:eastAsia="PMingLiU"/>
          <w:szCs w:val="21"/>
        </w:rPr>
        <w:t xml:space="preserve">  UMass Memorial continues to measure each clinical initiative described above to ensure the </w:t>
      </w:r>
      <w:r w:rsidR="00430F6A" w:rsidRPr="009D5DBE">
        <w:rPr>
          <w:rFonts w:eastAsia="PMingLiU"/>
          <w:szCs w:val="21"/>
        </w:rPr>
        <w:t xml:space="preserve">ongoing </w:t>
      </w:r>
      <w:r w:rsidR="00C82408" w:rsidRPr="009D5DBE">
        <w:rPr>
          <w:rFonts w:eastAsia="PMingLiU"/>
          <w:szCs w:val="21"/>
        </w:rPr>
        <w:t>reduc</w:t>
      </w:r>
      <w:r w:rsidR="00430F6A" w:rsidRPr="009D5DBE">
        <w:rPr>
          <w:rFonts w:eastAsia="PMingLiU"/>
          <w:szCs w:val="21"/>
        </w:rPr>
        <w:t>tion of</w:t>
      </w:r>
      <w:r w:rsidR="00C82408" w:rsidRPr="009D5DBE">
        <w:rPr>
          <w:rFonts w:eastAsia="PMingLiU"/>
          <w:szCs w:val="21"/>
        </w:rPr>
        <w:t xml:space="preserve"> the identified disparity </w:t>
      </w:r>
      <w:r w:rsidR="00430F6A" w:rsidRPr="009D5DBE">
        <w:rPr>
          <w:rFonts w:eastAsia="PMingLiU"/>
          <w:szCs w:val="21"/>
        </w:rPr>
        <w:t xml:space="preserve">and improvement of health outcomes. </w:t>
      </w:r>
    </w:p>
    <w:bookmarkEnd w:id="7"/>
    <w:bookmarkEnd w:id="8"/>
    <w:p w14:paraId="4D2E6B25" w14:textId="77777777" w:rsidR="009B323E" w:rsidRPr="009D5DBE" w:rsidRDefault="009B323E" w:rsidP="00231FC7">
      <w:pPr>
        <w:pStyle w:val="HBsl"/>
        <w:rPr>
          <w:rFonts w:eastAsia="PMingLiU"/>
        </w:rPr>
      </w:pPr>
      <w:r w:rsidRPr="009D5DBE">
        <w:rPr>
          <w:rFonts w:eastAsia="PMingLiU"/>
        </w:rPr>
        <w:t>MassHealth Health Equity Incentive Program</w:t>
      </w:r>
    </w:p>
    <w:p w14:paraId="412F99AD" w14:textId="37830F94" w:rsidR="009B323E" w:rsidRPr="009D5DBE" w:rsidRDefault="009B323E" w:rsidP="00076798">
      <w:pPr>
        <w:spacing w:after="240"/>
        <w:jc w:val="both"/>
        <w:rPr>
          <w:rFonts w:eastAsia="PMingLiU"/>
          <w:szCs w:val="21"/>
          <w:u w:val="single"/>
        </w:rPr>
      </w:pPr>
      <w:r w:rsidRPr="009D5DBE">
        <w:rPr>
          <w:rFonts w:eastAsia="PMingLiU"/>
          <w:szCs w:val="21"/>
        </w:rPr>
        <w:t xml:space="preserve">UMMMC and </w:t>
      </w:r>
      <w:r w:rsidR="00527B52" w:rsidRPr="009D5DBE">
        <w:rPr>
          <w:rFonts w:eastAsia="PMingLiU"/>
          <w:szCs w:val="21"/>
        </w:rPr>
        <w:t>MH</w:t>
      </w:r>
      <w:r w:rsidRPr="009D5DBE">
        <w:rPr>
          <w:rFonts w:eastAsia="PMingLiU"/>
          <w:szCs w:val="21"/>
        </w:rPr>
        <w:t xml:space="preserve"> actively participate in the Mass Health Clinical Quality Incentive and Health Equity Incentive programs. These quality improvement initiatives cover </w:t>
      </w:r>
      <w:proofErr w:type="gramStart"/>
      <w:r w:rsidRPr="009D5DBE">
        <w:rPr>
          <w:rFonts w:eastAsia="PMingLiU"/>
          <w:szCs w:val="21"/>
        </w:rPr>
        <w:t>a number of</w:t>
      </w:r>
      <w:proofErr w:type="gramEnd"/>
      <w:r w:rsidRPr="009D5DBE">
        <w:rPr>
          <w:rFonts w:eastAsia="PMingLiU"/>
          <w:szCs w:val="21"/>
        </w:rPr>
        <w:t xml:space="preserve"> domains, including patient experience and care coordination, as well as perinatal care, safety outcomes, behavioral health, and equity improvements around race, ethnicity, language and disability status, sexual orientation and gender identity (RELD/SOGI)</w:t>
      </w:r>
      <w:r w:rsidRPr="009D5DBE">
        <w:rPr>
          <w:rFonts w:eastAsia="PMingLiU" w:cstheme="minorHAnsi"/>
          <w:szCs w:val="21"/>
          <w:vertAlign w:val="superscript"/>
        </w:rPr>
        <w:footnoteReference w:id="41"/>
      </w:r>
      <w:r w:rsidRPr="009D5DBE">
        <w:rPr>
          <w:rFonts w:eastAsia="PMingLiU"/>
          <w:szCs w:val="21"/>
        </w:rPr>
        <w:t xml:space="preserve"> and SDOH data collection, improvements with interpreter services, and strategic planning around health equity improvement.  These initiatives allow </w:t>
      </w:r>
      <w:r w:rsidR="00527B52" w:rsidRPr="009D5DBE">
        <w:rPr>
          <w:rFonts w:eastAsia="PMingLiU"/>
          <w:szCs w:val="21"/>
        </w:rPr>
        <w:t>UMass Memorial</w:t>
      </w:r>
      <w:r w:rsidRPr="009D5DBE">
        <w:rPr>
          <w:rFonts w:eastAsia="PMingLiU"/>
          <w:szCs w:val="21"/>
        </w:rPr>
        <w:t xml:space="preserve"> to assess, compare, and improve on these quality metrics </w:t>
      </w:r>
      <w:proofErr w:type="gramStart"/>
      <w:r w:rsidRPr="009D5DBE">
        <w:rPr>
          <w:rFonts w:eastAsia="PMingLiU"/>
          <w:szCs w:val="21"/>
        </w:rPr>
        <w:t>in order to</w:t>
      </w:r>
      <w:proofErr w:type="gramEnd"/>
      <w:r w:rsidRPr="009D5DBE">
        <w:rPr>
          <w:rFonts w:eastAsia="PMingLiU"/>
          <w:szCs w:val="21"/>
        </w:rPr>
        <w:t xml:space="preserve"> deliver high quality care and identify and address health disparities across its communities, hospitals, and campuses.</w:t>
      </w:r>
    </w:p>
    <w:p w14:paraId="7622399A" w14:textId="77777777" w:rsidR="00076798" w:rsidRPr="009D5DBE" w:rsidRDefault="00076798" w:rsidP="00231FC7">
      <w:pPr>
        <w:pStyle w:val="HBsl"/>
        <w:rPr>
          <w:rFonts w:eastAsia="PMingLiU"/>
        </w:rPr>
      </w:pPr>
      <w:r w:rsidRPr="009D5DBE">
        <w:rPr>
          <w:rFonts w:eastAsia="PMingLiU"/>
        </w:rPr>
        <w:t>Social Drivers of Health / Health Related Social Needs</w:t>
      </w:r>
    </w:p>
    <w:p w14:paraId="6956261C" w14:textId="2D3FD1C2" w:rsidR="00855BCD" w:rsidRPr="009D5DBE" w:rsidRDefault="00076798" w:rsidP="00076798">
      <w:pPr>
        <w:spacing w:after="240"/>
        <w:jc w:val="both"/>
        <w:rPr>
          <w:rFonts w:eastAsia="PMingLiU"/>
          <w:szCs w:val="21"/>
        </w:rPr>
      </w:pPr>
      <w:r w:rsidRPr="009D5DBE">
        <w:rPr>
          <w:rFonts w:eastAsia="PMingLiU"/>
          <w:szCs w:val="21"/>
        </w:rPr>
        <w:t xml:space="preserve">As discussed in greater depth in Section F2.c below, in 2017 </w:t>
      </w:r>
      <w:r w:rsidR="00527B52" w:rsidRPr="009D5DBE">
        <w:rPr>
          <w:rFonts w:eastAsia="PMingLiU"/>
          <w:szCs w:val="21"/>
        </w:rPr>
        <w:t>UMass Memorial</w:t>
      </w:r>
      <w:r w:rsidRPr="009D5DBE">
        <w:rPr>
          <w:rFonts w:eastAsia="PMingLiU"/>
          <w:szCs w:val="21"/>
        </w:rPr>
        <w:t xml:space="preserve"> and Reliant Medical Group established a local instance of the </w:t>
      </w:r>
      <w:proofErr w:type="spellStart"/>
      <w:r w:rsidRPr="009D5DBE">
        <w:rPr>
          <w:rFonts w:eastAsia="PMingLiU"/>
          <w:szCs w:val="21"/>
        </w:rPr>
        <w:t>FindHelp</w:t>
      </w:r>
      <w:proofErr w:type="spellEnd"/>
      <w:r w:rsidRPr="009D5DBE">
        <w:rPr>
          <w:rFonts w:eastAsia="PMingLiU"/>
          <w:szCs w:val="21"/>
        </w:rPr>
        <w:t xml:space="preserve"> platform</w:t>
      </w:r>
      <w:r w:rsidRPr="009D5DBE">
        <w:rPr>
          <w:rFonts w:eastAsia="PMingLiU"/>
          <w:szCs w:val="21"/>
          <w:vertAlign w:val="superscript"/>
        </w:rPr>
        <w:footnoteReference w:id="42"/>
      </w:r>
      <w:r w:rsidRPr="009D5DBE">
        <w:rPr>
          <w:rFonts w:eastAsia="PMingLiU"/>
          <w:szCs w:val="21"/>
        </w:rPr>
        <w:t xml:space="preserve"> </w:t>
      </w:r>
      <w:hyperlink w:history="1"/>
      <w:r w:rsidRPr="009D5DBE">
        <w:rPr>
          <w:rFonts w:eastAsia="PMingLiU"/>
          <w:szCs w:val="21"/>
        </w:rPr>
        <w:t xml:space="preserve">to make it easier for patients to find assistance for health-related social needs, such as food and housing resources. </w:t>
      </w:r>
      <w:r w:rsidR="00527B52" w:rsidRPr="009D5DBE">
        <w:rPr>
          <w:rFonts w:eastAsia="PMingLiU"/>
          <w:szCs w:val="21"/>
        </w:rPr>
        <w:t>UMass Memorial</w:t>
      </w:r>
      <w:r w:rsidRPr="009D5DBE">
        <w:rPr>
          <w:rFonts w:eastAsia="PMingLiU"/>
          <w:szCs w:val="21"/>
        </w:rPr>
        <w:t xml:space="preserve"> caregivers </w:t>
      </w:r>
      <w:proofErr w:type="gramStart"/>
      <w:r w:rsidRPr="009D5DBE">
        <w:rPr>
          <w:rFonts w:eastAsia="PMingLiU"/>
          <w:szCs w:val="21"/>
        </w:rPr>
        <w:t>are able to</w:t>
      </w:r>
      <w:proofErr w:type="gramEnd"/>
      <w:r w:rsidRPr="009D5DBE">
        <w:rPr>
          <w:rFonts w:eastAsia="PMingLiU"/>
          <w:szCs w:val="21"/>
        </w:rPr>
        <w:t xml:space="preserve"> place referrals for these social services within Epic. </w:t>
      </w:r>
      <w:bookmarkStart w:id="9" w:name="_Hlk189402515"/>
      <w:r w:rsidRPr="009D5DBE">
        <w:rPr>
          <w:rFonts w:eastAsia="PMingLiU"/>
          <w:szCs w:val="21"/>
        </w:rPr>
        <w:t xml:space="preserve">In 2024, </w:t>
      </w:r>
      <w:r w:rsidR="00527B52" w:rsidRPr="009D5DBE">
        <w:rPr>
          <w:rFonts w:eastAsia="PMingLiU"/>
          <w:szCs w:val="21"/>
        </w:rPr>
        <w:t>UMass Memorial</w:t>
      </w:r>
      <w:r w:rsidRPr="009D5DBE">
        <w:rPr>
          <w:rFonts w:eastAsia="PMingLiU"/>
          <w:szCs w:val="21"/>
        </w:rPr>
        <w:t xml:space="preserve"> </w:t>
      </w:r>
      <w:r w:rsidR="00235373" w:rsidRPr="009D5DBE">
        <w:rPr>
          <w:rFonts w:eastAsia="PMingLiU"/>
          <w:szCs w:val="21"/>
        </w:rPr>
        <w:t>updated</w:t>
      </w:r>
      <w:r w:rsidRPr="009D5DBE">
        <w:rPr>
          <w:rFonts w:eastAsia="PMingLiU"/>
          <w:szCs w:val="21"/>
        </w:rPr>
        <w:t xml:space="preserve"> the tools and workflows for screening patients for SDOH needs and linking them to resources. </w:t>
      </w:r>
      <w:bookmarkEnd w:id="9"/>
      <w:r w:rsidRPr="009D5DBE">
        <w:rPr>
          <w:rFonts w:eastAsia="PMingLiU"/>
          <w:szCs w:val="21"/>
        </w:rPr>
        <w:t>This update includes leveraging a vendor, Get Well,</w:t>
      </w:r>
      <w:r w:rsidRPr="009D5DBE">
        <w:rPr>
          <w:rFonts w:eastAsia="PMingLiU"/>
          <w:szCs w:val="21"/>
          <w:vertAlign w:val="superscript"/>
        </w:rPr>
        <w:footnoteReference w:id="43"/>
      </w:r>
      <w:r w:rsidRPr="009D5DBE">
        <w:rPr>
          <w:rFonts w:eastAsia="PMingLiU"/>
          <w:szCs w:val="21"/>
        </w:rPr>
        <w:t xml:space="preserve"> that will make it easier for patients to complete these screenings through a text messaging platform and provide text message or telephone based navigational supports so patients can more easily find the social service resources that they need in the community. </w:t>
      </w:r>
    </w:p>
    <w:p w14:paraId="5F1F1CDB" w14:textId="3394AA4D" w:rsidR="00076798" w:rsidRPr="009D5DBE" w:rsidRDefault="00076798" w:rsidP="00231FC7">
      <w:pPr>
        <w:pStyle w:val="HBsl"/>
        <w:rPr>
          <w:rFonts w:eastAsia="PMingLiU"/>
        </w:rPr>
      </w:pPr>
      <w:r w:rsidRPr="009D5DBE">
        <w:rPr>
          <w:rFonts w:eastAsia="PMingLiU"/>
        </w:rPr>
        <w:t>Community Benefits Program/Office</w:t>
      </w:r>
    </w:p>
    <w:p w14:paraId="47A2ED80" w14:textId="43915040" w:rsidR="00076798" w:rsidRPr="009D5DBE" w:rsidRDefault="00076798" w:rsidP="00231FC7">
      <w:pPr>
        <w:pStyle w:val="HBblj"/>
        <w:rPr>
          <w:rFonts w:eastAsia="PMingLiU"/>
        </w:rPr>
      </w:pPr>
      <w:r w:rsidRPr="009D5DBE">
        <w:rPr>
          <w:rFonts w:eastAsia="PMingLiU"/>
        </w:rPr>
        <w:t xml:space="preserve">The </w:t>
      </w:r>
      <w:r w:rsidR="005214E6" w:rsidRPr="009D5DBE">
        <w:rPr>
          <w:rFonts w:eastAsia="PMingLiU"/>
        </w:rPr>
        <w:t>UMass Memorial</w:t>
      </w:r>
      <w:r w:rsidRPr="009D5DBE">
        <w:rPr>
          <w:rFonts w:eastAsia="PMingLiU"/>
        </w:rPr>
        <w:t xml:space="preserve"> Community Benefits Program is dedicated to enhancing healthcare access and improving health, with a particular focus on disadvantaged, ethnically diverse, underserved, historically marginalized, and vulnerable populations. Community Benefits Programs (“Program”) are developed collaboratively through partnerships with community-based organizations, social agencies, public health allies, and comprehensive Community Health Needs Assessments (CHNA) conducted triennially. Programs address both medical and non-medical aspects </w:t>
      </w:r>
      <w:r w:rsidR="00A02C52" w:rsidRPr="009D5DBE">
        <w:rPr>
          <w:rFonts w:eastAsia="PMingLiU"/>
        </w:rPr>
        <w:t xml:space="preserve">of health and wellbeing </w:t>
      </w:r>
      <w:r w:rsidRPr="009D5DBE">
        <w:rPr>
          <w:rFonts w:eastAsia="PMingLiU"/>
        </w:rPr>
        <w:t xml:space="preserve">and offer a range of services to area residents, including, but not limited to, mobile medical and dental care, health and wellness screenings, behavioral health services, senior services, outreach and education to address social determinants of health, youth development and violence prevention programs, community </w:t>
      </w:r>
      <w:r w:rsidRPr="009D5DBE">
        <w:rPr>
          <w:rFonts w:eastAsia="PMingLiU"/>
        </w:rPr>
        <w:lastRenderedPageBreak/>
        <w:t xml:space="preserve">gardens in respective </w:t>
      </w:r>
      <w:r w:rsidR="00527B52" w:rsidRPr="009D5DBE">
        <w:rPr>
          <w:rFonts w:eastAsia="PMingLiU"/>
        </w:rPr>
        <w:t>UMass Memorial</w:t>
      </w:r>
      <w:r w:rsidRPr="009D5DBE">
        <w:rPr>
          <w:rFonts w:eastAsia="PMingLiU"/>
        </w:rPr>
        <w:t xml:space="preserve"> communities, workforce development efforts that engage local school systems, and scholarship opportunities for students from marginalized groups pursuing health-related education. Additionally, the Program provides social support through enrollment assistance for health insurance, SNAP and WIC nutrition vouchers, children’s wellness, and protection efforts. It also focuses on fostering culturally and linguistically responsive staff to ensure equitable care delivery.</w:t>
      </w:r>
    </w:p>
    <w:p w14:paraId="507E2F93" w14:textId="681E8DF6" w:rsidR="00076798" w:rsidRPr="009D5DBE" w:rsidRDefault="00076798" w:rsidP="00231FC7">
      <w:pPr>
        <w:pStyle w:val="HBblj"/>
        <w:rPr>
          <w:rFonts w:eastAsia="PMingLiU"/>
        </w:rPr>
      </w:pPr>
      <w:r w:rsidRPr="009D5DBE">
        <w:rPr>
          <w:rFonts w:eastAsia="PMingLiU"/>
        </w:rPr>
        <w:t>The following programs address the specific priorities identified above:</w:t>
      </w:r>
    </w:p>
    <w:p w14:paraId="13F3FFB5" w14:textId="77777777" w:rsidR="00076798" w:rsidRPr="009D5DBE" w:rsidRDefault="00076798" w:rsidP="00231FC7">
      <w:pPr>
        <w:pStyle w:val="ListBullet2"/>
        <w:rPr>
          <w:rFonts w:eastAsia="PMingLiU"/>
        </w:rPr>
      </w:pPr>
      <w:r w:rsidRPr="009D5DBE">
        <w:rPr>
          <w:rFonts w:eastAsia="PMingLiU"/>
        </w:rPr>
        <w:t xml:space="preserve">The “Road to Care” program is a mobile clinical intervention for substance use disorders that reaches directly to the specific affected populations and targeted areas of focus to provide support and services to community members where they are.  </w:t>
      </w:r>
    </w:p>
    <w:p w14:paraId="12A58C69" w14:textId="77777777" w:rsidR="00076798" w:rsidRPr="009D5DBE" w:rsidRDefault="00076798" w:rsidP="00231FC7">
      <w:pPr>
        <w:pStyle w:val="ListBullet2"/>
        <w:rPr>
          <w:rFonts w:eastAsia="PMingLiU"/>
        </w:rPr>
      </w:pPr>
      <w:r w:rsidRPr="009D5DBE">
        <w:rPr>
          <w:rFonts w:eastAsia="PMingLiU"/>
        </w:rPr>
        <w:t>The “Food is Medicine” program collaborates with and funds local food pantries and community-based organizations to create green spaces and establish sustainable access to nutritious food in areas facing food insecurity.</w:t>
      </w:r>
    </w:p>
    <w:p w14:paraId="740860D2" w14:textId="2844AEC5" w:rsidR="00076798" w:rsidRPr="009D5DBE" w:rsidRDefault="00076798" w:rsidP="00231FC7">
      <w:pPr>
        <w:pStyle w:val="ListBullet2"/>
        <w:rPr>
          <w:rFonts w:eastAsia="PMingLiU"/>
        </w:rPr>
      </w:pPr>
      <w:r w:rsidRPr="009D5DBE">
        <w:rPr>
          <w:rFonts w:eastAsia="PMingLiU"/>
        </w:rPr>
        <w:t>The Ronald McDonald House Charities (RMHC) Care Mobile operates a mobile clinic (</w:t>
      </w:r>
      <w:r w:rsidR="001E58C5" w:rsidRPr="009D5DBE">
        <w:rPr>
          <w:rFonts w:eastAsia="PMingLiU"/>
        </w:rPr>
        <w:t>“</w:t>
      </w:r>
      <w:r w:rsidRPr="009D5DBE">
        <w:rPr>
          <w:rFonts w:eastAsia="PMingLiU"/>
        </w:rPr>
        <w:t>Care Mobile</w:t>
      </w:r>
      <w:r w:rsidR="001E58C5" w:rsidRPr="009D5DBE">
        <w:rPr>
          <w:rFonts w:eastAsia="PMingLiU"/>
        </w:rPr>
        <w:t>”</w:t>
      </w:r>
      <w:r w:rsidRPr="009D5DBE">
        <w:rPr>
          <w:rFonts w:eastAsia="PMingLiU"/>
        </w:rPr>
        <w:t xml:space="preserve">) offering dental and wellness visits to underserved populations. The Care Mobile is the flagship initiative for RMHC which now boasts Care Mobiles around the world. The Care Mobile also provides services in local schools and has been integral in the support of incoming migrants to the state. It collaborates with </w:t>
      </w:r>
      <w:r w:rsidR="00527B52" w:rsidRPr="009D5DBE">
        <w:rPr>
          <w:rFonts w:eastAsia="PMingLiU"/>
        </w:rPr>
        <w:t>DPH</w:t>
      </w:r>
      <w:r w:rsidRPr="009D5DBE">
        <w:rPr>
          <w:rFonts w:eastAsia="PMingLiU"/>
        </w:rPr>
        <w:t xml:space="preserve"> to provide services at various shelters across Central Massachusetts. </w:t>
      </w:r>
    </w:p>
    <w:p w14:paraId="00775FD7" w14:textId="77777777" w:rsidR="00076798" w:rsidRPr="009D5DBE" w:rsidRDefault="00076798" w:rsidP="00231FC7">
      <w:pPr>
        <w:pStyle w:val="ListBullet2"/>
        <w:rPr>
          <w:rFonts w:eastAsia="PMingLiU"/>
        </w:rPr>
      </w:pPr>
      <w:r w:rsidRPr="009D5DBE">
        <w:rPr>
          <w:rFonts w:eastAsia="PMingLiU"/>
        </w:rPr>
        <w:t xml:space="preserve">The Medical Legal Partnership in collaboration with Community Legal Aid connects </w:t>
      </w:r>
      <w:proofErr w:type="gramStart"/>
      <w:r w:rsidRPr="009D5DBE">
        <w:rPr>
          <w:rFonts w:eastAsia="PMingLiU"/>
        </w:rPr>
        <w:t>low income</w:t>
      </w:r>
      <w:proofErr w:type="gramEnd"/>
      <w:r w:rsidRPr="009D5DBE">
        <w:rPr>
          <w:rFonts w:eastAsia="PMingLiU"/>
        </w:rPr>
        <w:t xml:space="preserve"> patients with legal resources to address health-harming legal needs such as substandard or unstable housing, benefits denials, and appropriate educational placements and support for children with disabilities.</w:t>
      </w:r>
    </w:p>
    <w:p w14:paraId="7EA45ED8" w14:textId="6A7917BB" w:rsidR="00076798" w:rsidRPr="009D5DBE" w:rsidRDefault="00527B52" w:rsidP="00231FC7">
      <w:pPr>
        <w:pStyle w:val="ListBullet2"/>
        <w:rPr>
          <w:rFonts w:eastAsia="PMingLiU"/>
        </w:rPr>
      </w:pPr>
      <w:r w:rsidRPr="009D5DBE">
        <w:rPr>
          <w:rFonts w:eastAsia="PMingLiU"/>
        </w:rPr>
        <w:t>UMass Memorial</w:t>
      </w:r>
      <w:r w:rsidR="00076798" w:rsidRPr="009D5DBE">
        <w:rPr>
          <w:rFonts w:eastAsia="PMingLiU"/>
        </w:rPr>
        <w:t xml:space="preserve"> issues grants and sponsorships to support local initiatives with a strong focus on equity. </w:t>
      </w:r>
      <w:r w:rsidRPr="009D5DBE">
        <w:rPr>
          <w:rFonts w:eastAsia="PMingLiU"/>
        </w:rPr>
        <w:t>UMass Memorial</w:t>
      </w:r>
      <w:r w:rsidR="00076798" w:rsidRPr="009D5DBE">
        <w:rPr>
          <w:rFonts w:eastAsia="PMingLiU"/>
        </w:rPr>
        <w:t xml:space="preserve">’s robust infrastructure ensures proper evaluation, distribution, support, and monitoring and reporting by recipients, thereby fostering continuous improvement in serving local non-profits and enhancing their capacity.  </w:t>
      </w:r>
    </w:p>
    <w:p w14:paraId="02D776F7" w14:textId="35420C0A" w:rsidR="00076798" w:rsidRPr="009D5DBE" w:rsidRDefault="00527B52" w:rsidP="00231FC7">
      <w:pPr>
        <w:pStyle w:val="ListBullet2"/>
        <w:rPr>
          <w:rFonts w:eastAsia="PMingLiU"/>
        </w:rPr>
      </w:pPr>
      <w:r w:rsidRPr="009D5DBE">
        <w:rPr>
          <w:rFonts w:eastAsia="PMingLiU"/>
        </w:rPr>
        <w:t>UMass Memorial</w:t>
      </w:r>
      <w:r w:rsidR="00076798" w:rsidRPr="009D5DBE">
        <w:rPr>
          <w:rFonts w:eastAsia="PMingLiU"/>
        </w:rPr>
        <w:t xml:space="preserve"> is exploring investment opportunities to address the housing crisis with respect to both physical housing needs, retention of existing housing, as well affordability through its Community Benefits Program and its Anchor Mission work. </w:t>
      </w:r>
    </w:p>
    <w:p w14:paraId="33B7AE04" w14:textId="480F56EE" w:rsidR="00076798" w:rsidRPr="00231FC7" w:rsidRDefault="00076798" w:rsidP="00231FC7">
      <w:pPr>
        <w:pStyle w:val="HBh"/>
        <w:spacing w:after="240"/>
        <w:rPr>
          <w:i/>
          <w:iCs/>
        </w:rPr>
      </w:pPr>
      <w:r w:rsidRPr="009D5DBE">
        <w:t>F1.</w:t>
      </w:r>
      <w:proofErr w:type="gramStart"/>
      <w:r w:rsidRPr="009D5DBE">
        <w:t>b.iv</w:t>
      </w:r>
      <w:proofErr w:type="gramEnd"/>
      <w:r w:rsidRPr="009D5DBE">
        <w:t xml:space="preserve"> </w:t>
      </w:r>
      <w:r w:rsidR="00F67F2D" w:rsidRPr="009D5DBE">
        <w:tab/>
      </w:r>
      <w:r w:rsidRPr="00231FC7">
        <w:rPr>
          <w:i/>
          <w:iCs/>
        </w:rPr>
        <w:t>Provide additional information to demonstrate that the Proposed Project will result in improved health outcomes and quality of life of the Applicant’s existing Patient Panel, while providing reasonable assurances of health equity.</w:t>
      </w:r>
    </w:p>
    <w:p w14:paraId="289BA805" w14:textId="381CECDB" w:rsidR="00076798" w:rsidRPr="009D5DBE" w:rsidRDefault="00076798" w:rsidP="00231FC7">
      <w:pPr>
        <w:pStyle w:val="HBblj"/>
        <w:rPr>
          <w:rFonts w:eastAsia="PMingLiU"/>
        </w:rPr>
      </w:pPr>
      <w:r w:rsidRPr="009D5DBE">
        <w:rPr>
          <w:rFonts w:eastAsia="PMingLiU"/>
        </w:rPr>
        <w:t xml:space="preserve">In addition to the </w:t>
      </w:r>
      <w:r w:rsidR="007D4BE8" w:rsidRPr="009D5DBE">
        <w:rPr>
          <w:rFonts w:eastAsia="PMingLiU"/>
        </w:rPr>
        <w:t xml:space="preserve">robust </w:t>
      </w:r>
      <w:r w:rsidR="00527B52" w:rsidRPr="009D5DBE">
        <w:rPr>
          <w:rFonts w:eastAsia="PMingLiU"/>
        </w:rPr>
        <w:t>UMass Memorial</w:t>
      </w:r>
      <w:r w:rsidR="007D4BE8" w:rsidRPr="009D5DBE">
        <w:rPr>
          <w:rFonts w:eastAsia="PMingLiU"/>
        </w:rPr>
        <w:t xml:space="preserve"> system initiatives already benefiting the Marlborough community, the Proposed M</w:t>
      </w:r>
      <w:r w:rsidRPr="009D5DBE">
        <w:rPr>
          <w:rFonts w:eastAsia="PMingLiU"/>
        </w:rPr>
        <w:t>erge</w:t>
      </w:r>
      <w:r w:rsidR="007D4BE8" w:rsidRPr="009D5DBE">
        <w:rPr>
          <w:rFonts w:eastAsia="PMingLiU"/>
        </w:rPr>
        <w:t>r</w:t>
      </w:r>
      <w:r w:rsidRPr="009D5DBE">
        <w:rPr>
          <w:rFonts w:eastAsia="PMingLiU"/>
        </w:rPr>
        <w:t xml:space="preserve"> will i</w:t>
      </w:r>
      <w:r w:rsidR="007D4BE8" w:rsidRPr="009D5DBE">
        <w:rPr>
          <w:rFonts w:eastAsia="PMingLiU"/>
        </w:rPr>
        <w:t>mprove</w:t>
      </w:r>
      <w:r w:rsidRPr="009D5DBE">
        <w:rPr>
          <w:rFonts w:eastAsia="PMingLiU"/>
        </w:rPr>
        <w:t xml:space="preserve"> access to specialties, care coordination, and bring tertiary care to more patients through innovative models of care, such as UMMMC’s </w:t>
      </w:r>
      <w:proofErr w:type="spellStart"/>
      <w:r w:rsidR="00527B52" w:rsidRPr="009D5DBE">
        <w:rPr>
          <w:rFonts w:eastAsia="PMingLiU"/>
        </w:rPr>
        <w:t>HaH</w:t>
      </w:r>
      <w:proofErr w:type="spellEnd"/>
      <w:r w:rsidRPr="009D5DBE">
        <w:rPr>
          <w:rFonts w:eastAsia="PMingLiU"/>
        </w:rPr>
        <w:t xml:space="preserve"> program. Currently, MH is challenged by </w:t>
      </w:r>
      <w:r w:rsidR="00A02C52" w:rsidRPr="009D5DBE">
        <w:rPr>
          <w:rFonts w:eastAsia="PMingLiU"/>
        </w:rPr>
        <w:t xml:space="preserve">having access to </w:t>
      </w:r>
      <w:r w:rsidRPr="009D5DBE">
        <w:rPr>
          <w:rFonts w:eastAsia="PMingLiU"/>
        </w:rPr>
        <w:t>fewer special</w:t>
      </w:r>
      <w:r w:rsidR="007D4BE8" w:rsidRPr="009D5DBE">
        <w:rPr>
          <w:rFonts w:eastAsia="PMingLiU"/>
        </w:rPr>
        <w:t>ty providers</w:t>
      </w:r>
      <w:r w:rsidRPr="009D5DBE">
        <w:rPr>
          <w:rFonts w:eastAsia="PMingLiU"/>
        </w:rPr>
        <w:t xml:space="preserve"> in the community. As many of these special</w:t>
      </w:r>
      <w:r w:rsidR="007D4BE8" w:rsidRPr="009D5DBE">
        <w:rPr>
          <w:rFonts w:eastAsia="PMingLiU"/>
        </w:rPr>
        <w:t>ty providers</w:t>
      </w:r>
      <w:r w:rsidRPr="009D5DBE">
        <w:rPr>
          <w:rFonts w:eastAsia="PMingLiU"/>
        </w:rPr>
        <w:t xml:space="preserve"> retire, or move to more populated areas</w:t>
      </w:r>
      <w:r w:rsidR="00A02C52" w:rsidRPr="009D5DBE">
        <w:rPr>
          <w:rFonts w:eastAsia="PMingLiU"/>
        </w:rPr>
        <w:t xml:space="preserve"> and larger hospitals</w:t>
      </w:r>
      <w:r w:rsidRPr="009D5DBE">
        <w:rPr>
          <w:rFonts w:eastAsia="PMingLiU"/>
        </w:rPr>
        <w:t xml:space="preserve">, it will be </w:t>
      </w:r>
      <w:r w:rsidR="007D4BE8" w:rsidRPr="009D5DBE">
        <w:rPr>
          <w:rFonts w:eastAsia="PMingLiU"/>
        </w:rPr>
        <w:t xml:space="preserve">difficult </w:t>
      </w:r>
      <w:r w:rsidRPr="009D5DBE">
        <w:rPr>
          <w:rFonts w:eastAsia="PMingLiU"/>
        </w:rPr>
        <w:t xml:space="preserve">to ensure specialty care at MH. To address this growing concern, the </w:t>
      </w:r>
      <w:r w:rsidR="000E2C21" w:rsidRPr="009D5DBE">
        <w:rPr>
          <w:rFonts w:eastAsia="PMingLiU"/>
        </w:rPr>
        <w:t>P</w:t>
      </w:r>
      <w:r w:rsidRPr="009D5DBE">
        <w:rPr>
          <w:rFonts w:eastAsia="PMingLiU"/>
        </w:rPr>
        <w:t xml:space="preserve">roposed </w:t>
      </w:r>
      <w:r w:rsidR="000E2C21" w:rsidRPr="009D5DBE">
        <w:rPr>
          <w:rFonts w:eastAsia="PMingLiU"/>
        </w:rPr>
        <w:t>M</w:t>
      </w:r>
      <w:r w:rsidRPr="009D5DBE">
        <w:rPr>
          <w:rFonts w:eastAsia="PMingLiU"/>
        </w:rPr>
        <w:t xml:space="preserve">erger is needed to re-enforce the specialty care available to MH patients. Immediately following the merger, every specialty of UMMMC’s medical staff will be able to provide teleconsultation to patients at MH, saving patients from unnecessary trips to the University campus to receive consultation. </w:t>
      </w:r>
    </w:p>
    <w:p w14:paraId="7689961D" w14:textId="3C409F1B" w:rsidR="00076798" w:rsidRPr="009D5DBE" w:rsidRDefault="00076798" w:rsidP="00231FC7">
      <w:pPr>
        <w:pStyle w:val="HBblj"/>
        <w:rPr>
          <w:rFonts w:cstheme="minorHAnsi"/>
        </w:rPr>
      </w:pPr>
      <w:r w:rsidRPr="009D5DBE">
        <w:rPr>
          <w:rFonts w:eastAsia="PMingLiU"/>
        </w:rPr>
        <w:lastRenderedPageBreak/>
        <w:t xml:space="preserve">Further, as a licensed campus of UMMMC, MH patients will benefit from UMMMC’s medical staff and the unified healthcare team working across campuses to manage their needs. Because these </w:t>
      </w:r>
      <w:r w:rsidRPr="009D5DBE">
        <w:rPr>
          <w:rFonts w:cstheme="minorHAnsi"/>
        </w:rPr>
        <w:t xml:space="preserve">patients will already be under the care of a coordinated staff, the campuses will be able to follow a transport process instead of the </w:t>
      </w:r>
      <w:r w:rsidR="00A02C52" w:rsidRPr="009D5DBE">
        <w:rPr>
          <w:rFonts w:cstheme="minorHAnsi"/>
        </w:rPr>
        <w:t xml:space="preserve">more logistically and resource-intensive </w:t>
      </w:r>
      <w:r w:rsidRPr="009D5DBE">
        <w:rPr>
          <w:rFonts w:cstheme="minorHAnsi"/>
        </w:rPr>
        <w:t xml:space="preserve">transfer process, allowing for improved care coordination and saving staff time to allow patients to the right place for care sooner.  </w:t>
      </w:r>
    </w:p>
    <w:p w14:paraId="1750CF9F" w14:textId="78B0DD93" w:rsidR="00076798" w:rsidRPr="009D5DBE" w:rsidRDefault="00076798" w:rsidP="00231FC7">
      <w:pPr>
        <w:pStyle w:val="HBblj"/>
      </w:pPr>
      <w:r w:rsidRPr="009D5DBE">
        <w:t>Moreover, patients of the M</w:t>
      </w:r>
      <w:r w:rsidR="00E922C6" w:rsidRPr="009D5DBE">
        <w:t>arlborough</w:t>
      </w:r>
      <w:r w:rsidRPr="009D5DBE">
        <w:t xml:space="preserve"> campus will have access to </w:t>
      </w:r>
      <w:r w:rsidR="007D4BE8" w:rsidRPr="009D5DBE">
        <w:t xml:space="preserve">all of </w:t>
      </w:r>
      <w:r w:rsidRPr="009D5DBE">
        <w:t xml:space="preserve">UMMMC’s </w:t>
      </w:r>
      <w:r w:rsidR="007D4BE8" w:rsidRPr="009D5DBE">
        <w:t xml:space="preserve">innovative care models, such as </w:t>
      </w:r>
      <w:proofErr w:type="spellStart"/>
      <w:r w:rsidR="00893266" w:rsidRPr="009D5DBE">
        <w:t>HaH</w:t>
      </w:r>
      <w:proofErr w:type="spellEnd"/>
      <w:r w:rsidRPr="009D5DBE">
        <w:t xml:space="preserve">, </w:t>
      </w:r>
      <w:r w:rsidR="007D4BE8" w:rsidRPr="009D5DBE">
        <w:t xml:space="preserve">Rehab at Home, </w:t>
      </w:r>
      <w:r w:rsidR="007C6204" w:rsidRPr="009D5DBE">
        <w:t>the virtual patient observation program</w:t>
      </w:r>
      <w:r w:rsidR="007C6204" w:rsidRPr="009D5DBE">
        <w:rPr>
          <w:rStyle w:val="FootnoteReference"/>
          <w:rFonts w:cstheme="minorHAnsi"/>
          <w:szCs w:val="21"/>
        </w:rPr>
        <w:footnoteReference w:id="44"/>
      </w:r>
      <w:r w:rsidR="007C6204" w:rsidRPr="009D5DBE">
        <w:t xml:space="preserve">, </w:t>
      </w:r>
      <w:r w:rsidR="00893266" w:rsidRPr="009D5DBE">
        <w:t xml:space="preserve">and </w:t>
      </w:r>
      <w:r w:rsidR="007D4BE8" w:rsidRPr="009D5DBE">
        <w:t>Mobile Integrated Health</w:t>
      </w:r>
      <w:r w:rsidR="00893266" w:rsidRPr="009D5DBE">
        <w:t xml:space="preserve"> (MIH)</w:t>
      </w:r>
      <w:r w:rsidR="007D4BE8" w:rsidRPr="009D5DBE">
        <w:t xml:space="preserve">, all of </w:t>
      </w:r>
      <w:r w:rsidRPr="009D5DBE">
        <w:t>which not only provide cost savings but h</w:t>
      </w:r>
      <w:r w:rsidR="007D4BE8" w:rsidRPr="009D5DBE">
        <w:t>ave</w:t>
      </w:r>
      <w:r w:rsidRPr="009D5DBE">
        <w:t xml:space="preserve"> demonstrated improved health outcomes </w:t>
      </w:r>
      <w:r w:rsidR="00563FE2" w:rsidRPr="009D5DBE">
        <w:t>including those</w:t>
      </w:r>
      <w:r w:rsidRPr="009D5DBE">
        <w:t xml:space="preserve"> previously discussed in Section </w:t>
      </w:r>
      <w:r w:rsidR="007D4BE8" w:rsidRPr="009D5DBE">
        <w:t>F</w:t>
      </w:r>
      <w:proofErr w:type="gramStart"/>
      <w:r w:rsidR="007D4BE8" w:rsidRPr="009D5DBE">
        <w:t>1.b.i</w:t>
      </w:r>
      <w:r w:rsidRPr="009D5DBE">
        <w:t>.</w:t>
      </w:r>
      <w:proofErr w:type="gramEnd"/>
      <w:r w:rsidRPr="009D5DBE">
        <w:t xml:space="preserve"> </w:t>
      </w:r>
      <w:r w:rsidR="00893266" w:rsidRPr="009D5DBE">
        <w:t>These programs are</w:t>
      </w:r>
      <w:r w:rsidRPr="009D5DBE">
        <w:t xml:space="preserve"> currently only available to patients of UMMMC and </w:t>
      </w:r>
      <w:r w:rsidR="00893266" w:rsidRPr="009D5DBE">
        <w:t>are</w:t>
      </w:r>
      <w:r w:rsidRPr="009D5DBE">
        <w:t xml:space="preserve"> not available to </w:t>
      </w:r>
      <w:r w:rsidR="005214E6" w:rsidRPr="009D5DBE">
        <w:rPr>
          <w:rFonts w:eastAsia="PMingLiU"/>
        </w:rPr>
        <w:t>UMass Memorial</w:t>
      </w:r>
      <w:r w:rsidRPr="009D5DBE">
        <w:t xml:space="preserve">’s other hospitals. </w:t>
      </w:r>
      <w:r w:rsidR="003430E5" w:rsidRPr="009D5DBE">
        <w:t xml:space="preserve">Following the merger of MH and UMMMC, the </w:t>
      </w:r>
      <w:proofErr w:type="spellStart"/>
      <w:r w:rsidR="003430E5" w:rsidRPr="009D5DBE">
        <w:t>HaH</w:t>
      </w:r>
      <w:proofErr w:type="spellEnd"/>
      <w:r w:rsidR="003430E5" w:rsidRPr="009D5DBE">
        <w:t xml:space="preserve"> program, as well as Rehab at Home, remote patient monitoring, and MIH, will be available to patients</w:t>
      </w:r>
      <w:r w:rsidR="00B41D6E">
        <w:t xml:space="preserve"> at the Marlborough campus</w:t>
      </w:r>
      <w:r w:rsidR="003430E5" w:rsidRPr="009D5DBE">
        <w:t xml:space="preserve">. </w:t>
      </w:r>
      <w:r w:rsidRPr="009D5DBE">
        <w:t xml:space="preserve">In addition, </w:t>
      </w:r>
      <w:r w:rsidR="00B41D6E">
        <w:t>the Marlborough campus</w:t>
      </w:r>
      <w:r w:rsidR="00B41D6E" w:rsidRPr="009D5DBE">
        <w:t xml:space="preserve"> </w:t>
      </w:r>
      <w:r w:rsidRPr="009D5DBE">
        <w:t xml:space="preserve">will </w:t>
      </w:r>
      <w:r w:rsidR="00A02C52" w:rsidRPr="009D5DBE">
        <w:t>be integrated into</w:t>
      </w:r>
      <w:r w:rsidRPr="009D5DBE">
        <w:t xml:space="preserve"> UMMMC’s </w:t>
      </w:r>
      <w:r w:rsidR="00A02C52" w:rsidRPr="009D5DBE">
        <w:t xml:space="preserve">robust </w:t>
      </w:r>
      <w:r w:rsidRPr="009D5DBE">
        <w:t>quality program and will benefit from the long-range planning around quality</w:t>
      </w:r>
      <w:r w:rsidR="00A02C52" w:rsidRPr="009D5DBE">
        <w:t>, safety</w:t>
      </w:r>
      <w:r w:rsidRPr="009D5DBE">
        <w:t xml:space="preserve"> and outcomes currently achieved by UMMMC. For example, following the merger, </w:t>
      </w:r>
      <w:r w:rsidR="00B41D6E">
        <w:t>the Marlborough campus</w:t>
      </w:r>
      <w:r w:rsidRPr="009D5DBE">
        <w:t xml:space="preserve"> will have access to UMMMC’s Safer Teams for quality improvement initiatives, the office of patient advocacy, and patient experience teams and management, all of which have a demonstrated history of quality improvement outcomes. </w:t>
      </w:r>
    </w:p>
    <w:p w14:paraId="1239CE9F" w14:textId="4409400F" w:rsidR="00076798" w:rsidRPr="009D5DBE" w:rsidRDefault="00076798" w:rsidP="00231FC7">
      <w:pPr>
        <w:pStyle w:val="HBh"/>
        <w:spacing w:after="240"/>
        <w:rPr>
          <w:i/>
          <w:iCs/>
        </w:rPr>
      </w:pPr>
      <w:r w:rsidRPr="009D5DBE">
        <w:rPr>
          <w:i/>
          <w:iCs/>
        </w:rPr>
        <w:t xml:space="preserve">F1.c </w:t>
      </w:r>
      <w:r w:rsidR="00F67F2D" w:rsidRPr="009D5DBE">
        <w:rPr>
          <w:i/>
          <w:iCs/>
        </w:rPr>
        <w:tab/>
      </w:r>
      <w:r w:rsidRPr="009D5DBE">
        <w:rPr>
          <w:i/>
          <w:iCs/>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4EB864A8" w14:textId="7BA4BC0A" w:rsidR="00076798" w:rsidRPr="009D5DBE" w:rsidRDefault="00076798" w:rsidP="00231FC7">
      <w:pPr>
        <w:pStyle w:val="HBblj"/>
        <w:rPr>
          <w:rFonts w:eastAsia="PMingLiU"/>
        </w:rPr>
      </w:pPr>
      <w:r w:rsidRPr="009D5DBE">
        <w:rPr>
          <w:rFonts w:eastAsia="PMingLiU"/>
        </w:rPr>
        <w:t>The Pro</w:t>
      </w:r>
      <w:r w:rsidR="00F43653" w:rsidRPr="009D5DBE">
        <w:rPr>
          <w:rFonts w:eastAsia="PMingLiU"/>
        </w:rPr>
        <w:t>posed Merger</w:t>
      </w:r>
      <w:r w:rsidRPr="009D5DBE">
        <w:rPr>
          <w:rFonts w:eastAsia="PMingLiU"/>
        </w:rPr>
        <w:t xml:space="preserve"> will </w:t>
      </w:r>
      <w:r w:rsidRPr="009D5DBE">
        <w:rPr>
          <w:rFonts w:eastAsia="PMingLiU"/>
          <w:color w:val="071320" w:themeColor="text2" w:themeShade="80"/>
        </w:rPr>
        <w:t xml:space="preserve">improve continuity and coordination of care </w:t>
      </w:r>
      <w:r w:rsidRPr="009D5DBE">
        <w:rPr>
          <w:rFonts w:eastAsia="PMingLiU"/>
        </w:rPr>
        <w:t xml:space="preserve">for MH’s and UMMMC’s patient panel through the creation of a single, unified medical staff, the implementation of initiatives to close gaps in care, and more appropriate inpatient placements at both </w:t>
      </w:r>
      <w:r w:rsidR="00B41D6E">
        <w:rPr>
          <w:rFonts w:eastAsia="PMingLiU"/>
        </w:rPr>
        <w:t>UMMMC’s tertiary</w:t>
      </w:r>
      <w:r w:rsidR="00B41D6E" w:rsidRPr="009D5DBE">
        <w:rPr>
          <w:rFonts w:eastAsia="PMingLiU"/>
        </w:rPr>
        <w:t xml:space="preserve"> </w:t>
      </w:r>
      <w:r w:rsidRPr="009D5DBE">
        <w:rPr>
          <w:rFonts w:eastAsia="PMingLiU"/>
        </w:rPr>
        <w:t>campus</w:t>
      </w:r>
      <w:r w:rsidR="00B41D6E">
        <w:rPr>
          <w:rFonts w:eastAsia="PMingLiU"/>
        </w:rPr>
        <w:t>es</w:t>
      </w:r>
      <w:r w:rsidRPr="009D5DBE">
        <w:rPr>
          <w:rFonts w:eastAsia="PMingLiU"/>
        </w:rPr>
        <w:t xml:space="preserve"> and </w:t>
      </w:r>
      <w:r w:rsidR="00B41D6E">
        <w:rPr>
          <w:rFonts w:eastAsia="PMingLiU"/>
        </w:rPr>
        <w:t>the Marlborough campus</w:t>
      </w:r>
      <w:r w:rsidRPr="009D5DBE">
        <w:rPr>
          <w:rFonts w:eastAsia="PMingLiU"/>
        </w:rPr>
        <w:t xml:space="preserve"> as previously discussed. Moreover, </w:t>
      </w:r>
      <w:r w:rsidR="00B26D0B" w:rsidRPr="009D5DBE">
        <w:rPr>
          <w:rFonts w:eastAsia="PMingLiU"/>
        </w:rPr>
        <w:t>with M</w:t>
      </w:r>
      <w:r w:rsidR="00B41D6E">
        <w:rPr>
          <w:rFonts w:eastAsia="PMingLiU"/>
        </w:rPr>
        <w:t>arlborough</w:t>
      </w:r>
      <w:r w:rsidR="00B26D0B" w:rsidRPr="009D5DBE">
        <w:rPr>
          <w:rFonts w:eastAsia="PMingLiU"/>
        </w:rPr>
        <w:t xml:space="preserve"> </w:t>
      </w:r>
      <w:r w:rsidR="001459B0" w:rsidRPr="009D5DBE">
        <w:rPr>
          <w:rFonts w:eastAsia="PMingLiU"/>
        </w:rPr>
        <w:t xml:space="preserve">operated </w:t>
      </w:r>
      <w:r w:rsidR="00B26D0B" w:rsidRPr="009D5DBE">
        <w:rPr>
          <w:rFonts w:eastAsia="PMingLiU"/>
        </w:rPr>
        <w:t xml:space="preserve">as a campus of </w:t>
      </w:r>
      <w:r w:rsidRPr="009D5DBE">
        <w:rPr>
          <w:rFonts w:eastAsia="PMingLiU"/>
        </w:rPr>
        <w:t>UMMMC</w:t>
      </w:r>
      <w:r w:rsidR="00B26D0B" w:rsidRPr="009D5DBE">
        <w:rPr>
          <w:rFonts w:eastAsia="PMingLiU"/>
        </w:rPr>
        <w:t xml:space="preserve">, </w:t>
      </w:r>
      <w:r w:rsidRPr="009D5DBE">
        <w:rPr>
          <w:rFonts w:eastAsia="PMingLiU"/>
        </w:rPr>
        <w:t>greater integration of clinical and social support services</w:t>
      </w:r>
      <w:r w:rsidR="00B26D0B" w:rsidRPr="009D5DBE">
        <w:rPr>
          <w:rFonts w:eastAsia="PMingLiU"/>
        </w:rPr>
        <w:t xml:space="preserve"> can be achieved</w:t>
      </w:r>
      <w:r w:rsidRPr="009D5DBE">
        <w:rPr>
          <w:rFonts w:eastAsia="PMingLiU"/>
        </w:rPr>
        <w:t>.</w:t>
      </w:r>
      <w:r w:rsidRPr="009D5DBE">
        <w:rPr>
          <w:rFonts w:eastAsia="PMingLiU" w:cstheme="minorHAnsi"/>
          <w:vertAlign w:val="superscript"/>
        </w:rPr>
        <w:footnoteReference w:id="45"/>
      </w:r>
      <w:r w:rsidRPr="009D5DBE">
        <w:rPr>
          <w:rFonts w:eastAsia="PMingLiU"/>
        </w:rPr>
        <w:t xml:space="preserve"> Clinical </w:t>
      </w:r>
      <w:r w:rsidRPr="009861B3">
        <w:rPr>
          <w:rFonts w:eastAsia="PMingLiU"/>
        </w:rPr>
        <w:t xml:space="preserve">providers will be able to communicate with non-clinical support that will help coordinate social care services based on SDOH screens. Utilization of a single medical record not only enhances the communication and coordination of health care services but will also provide opportunities for communication with social service departments and staff for a more holistic approach to patient wellness. As </w:t>
      </w:r>
      <w:r w:rsidR="000C27ED" w:rsidRPr="009861B3">
        <w:rPr>
          <w:rFonts w:eastAsia="PMingLiU"/>
        </w:rPr>
        <w:t xml:space="preserve">the </w:t>
      </w:r>
      <w:r w:rsidR="00893266" w:rsidRPr="009861B3">
        <w:rPr>
          <w:rFonts w:eastAsia="PMingLiU"/>
        </w:rPr>
        <w:t xml:space="preserve">list of community resources added to and available through </w:t>
      </w:r>
      <w:proofErr w:type="spellStart"/>
      <w:r w:rsidRPr="009861B3">
        <w:rPr>
          <w:rFonts w:eastAsia="PMingLiU"/>
        </w:rPr>
        <w:t>CommunityHelp</w:t>
      </w:r>
      <w:proofErr w:type="spellEnd"/>
      <w:r w:rsidR="000C27ED" w:rsidRPr="009861B3">
        <w:rPr>
          <w:rStyle w:val="FootnoteReference"/>
          <w:rFonts w:eastAsia="PMingLiU"/>
          <w:szCs w:val="21"/>
        </w:rPr>
        <w:footnoteReference w:id="46"/>
      </w:r>
      <w:r w:rsidRPr="009861B3">
        <w:rPr>
          <w:rFonts w:eastAsia="PMingLiU"/>
        </w:rPr>
        <w:t xml:space="preserve"> continue</w:t>
      </w:r>
      <w:r w:rsidR="00B460CC" w:rsidRPr="009861B3">
        <w:rPr>
          <w:rFonts w:eastAsia="PMingLiU"/>
        </w:rPr>
        <w:t>s</w:t>
      </w:r>
      <w:r w:rsidRPr="009861B3">
        <w:rPr>
          <w:rFonts w:eastAsia="PMingLiU"/>
        </w:rPr>
        <w:t xml:space="preserve"> to </w:t>
      </w:r>
      <w:r w:rsidR="00893266" w:rsidRPr="009861B3">
        <w:rPr>
          <w:rFonts w:eastAsia="PMingLiU"/>
        </w:rPr>
        <w:t>grow</w:t>
      </w:r>
      <w:r w:rsidRPr="009861B3">
        <w:rPr>
          <w:rFonts w:eastAsia="PMingLiU"/>
        </w:rPr>
        <w:t>, th</w:t>
      </w:r>
      <w:r w:rsidR="00B460CC" w:rsidRPr="009861B3">
        <w:rPr>
          <w:rFonts w:eastAsia="PMingLiU"/>
        </w:rPr>
        <w:t>e unified medical</w:t>
      </w:r>
      <w:r w:rsidR="00B460CC" w:rsidRPr="00A97BC1">
        <w:rPr>
          <w:rFonts w:eastAsia="PMingLiU"/>
        </w:rPr>
        <w:t xml:space="preserve"> record </w:t>
      </w:r>
      <w:r w:rsidRPr="00A97BC1">
        <w:rPr>
          <w:rFonts w:eastAsia="PMingLiU"/>
        </w:rPr>
        <w:t>will</w:t>
      </w:r>
      <w:r w:rsidRPr="009D5DBE">
        <w:rPr>
          <w:rFonts w:eastAsia="PMingLiU"/>
        </w:rPr>
        <w:t xml:space="preserve"> be especially helpful to connect patients with the highest needs with social service agencies that can assist.</w:t>
      </w:r>
    </w:p>
    <w:p w14:paraId="67160B6C" w14:textId="77777777" w:rsidR="001130C0" w:rsidRPr="009D5DBE" w:rsidRDefault="001130C0" w:rsidP="00231FC7">
      <w:pPr>
        <w:pStyle w:val="HBh"/>
        <w:spacing w:after="240"/>
      </w:pPr>
      <w:r w:rsidRPr="009D5DBE">
        <w:t>F1.d</w:t>
      </w:r>
      <w:r w:rsidRPr="009D5DBE">
        <w:rPr>
          <w:spacing w:val="80"/>
        </w:rPr>
        <w:t xml:space="preserve"> </w:t>
      </w:r>
      <w:r w:rsidRPr="009D5DBE">
        <w:rPr>
          <w:spacing w:val="80"/>
        </w:rPr>
        <w:tab/>
      </w:r>
      <w:r w:rsidRPr="009D5DBE">
        <w:rPr>
          <w:i/>
          <w:iCs/>
        </w:rPr>
        <w:t>Provide evidence of consultation, both prior to and after the Filing Date, with all Government Agencies with relevant licensure, certification, or other regulatory oversight of the Applicant or the Proposed Project.</w:t>
      </w:r>
    </w:p>
    <w:p w14:paraId="53C12B4A" w14:textId="10C680F2" w:rsidR="001130C0" w:rsidRPr="009D5DBE" w:rsidRDefault="001130C0" w:rsidP="00231FC7">
      <w:pPr>
        <w:pStyle w:val="HBblj"/>
        <w:rPr>
          <w:rFonts w:eastAsia="Arial"/>
        </w:rPr>
      </w:pPr>
      <w:r w:rsidRPr="009D5DBE">
        <w:lastRenderedPageBreak/>
        <w:t xml:space="preserve">The </w:t>
      </w:r>
      <w:r w:rsidRPr="009D5DBE">
        <w:rPr>
          <w:spacing w:val="-2"/>
        </w:rPr>
        <w:t>Applicant carried out a</w:t>
      </w:r>
      <w:r w:rsidRPr="009D5DBE">
        <w:rPr>
          <w:spacing w:val="-5"/>
        </w:rPr>
        <w:t xml:space="preserve"> </w:t>
      </w:r>
      <w:r w:rsidRPr="009D5DBE">
        <w:rPr>
          <w:spacing w:val="-2"/>
        </w:rPr>
        <w:t>diverse</w:t>
      </w:r>
      <w:r w:rsidRPr="009D5DBE">
        <w:rPr>
          <w:spacing w:val="-6"/>
        </w:rPr>
        <w:t xml:space="preserve"> </w:t>
      </w:r>
      <w:r w:rsidRPr="009D5DBE">
        <w:rPr>
          <w:spacing w:val="-2"/>
        </w:rPr>
        <w:t>consultative</w:t>
      </w:r>
      <w:r w:rsidRPr="009D5DBE">
        <w:rPr>
          <w:spacing w:val="-6"/>
        </w:rPr>
        <w:t xml:space="preserve"> </w:t>
      </w:r>
      <w:r w:rsidRPr="009D5DBE">
        <w:t xml:space="preserve">process with individuals at various regulatory agencies and departments regarding the Proposed </w:t>
      </w:r>
      <w:r w:rsidR="000E2C21" w:rsidRPr="009D5DBE">
        <w:t>Merger</w:t>
      </w:r>
      <w:r w:rsidRPr="009D5DBE">
        <w:t xml:space="preserve">. </w:t>
      </w:r>
      <w:r w:rsidRPr="009D5DBE">
        <w:rPr>
          <w:rFonts w:eastAsia="Arial"/>
        </w:rPr>
        <w:t xml:space="preserve">The following individuals and agencies are some of those consulted regarding this </w:t>
      </w:r>
      <w:r w:rsidR="000E2C21" w:rsidRPr="009D5DBE">
        <w:rPr>
          <w:rFonts w:eastAsia="Arial"/>
        </w:rPr>
        <w:t>Application</w:t>
      </w:r>
      <w:r w:rsidRPr="009D5DBE">
        <w:rPr>
          <w:rFonts w:eastAsia="Arial"/>
        </w:rPr>
        <w:t>:</w:t>
      </w:r>
    </w:p>
    <w:p w14:paraId="55CC8CE3" w14:textId="4F963D23" w:rsidR="004C195F" w:rsidRPr="009D5DBE" w:rsidRDefault="004C195F" w:rsidP="004C195F">
      <w:pPr>
        <w:pStyle w:val="ListParagraph"/>
        <w:numPr>
          <w:ilvl w:val="0"/>
          <w:numId w:val="5"/>
        </w:numPr>
        <w:suppressAutoHyphens w:val="0"/>
        <w:spacing w:after="120"/>
        <w:contextualSpacing w:val="0"/>
        <w:rPr>
          <w:rFonts w:cs="Arial"/>
          <w:szCs w:val="21"/>
        </w:rPr>
      </w:pPr>
      <w:r w:rsidRPr="009D5DBE">
        <w:rPr>
          <w:rFonts w:cs="Arial"/>
          <w:szCs w:val="21"/>
        </w:rPr>
        <w:t>Emily Daily, Chief of Staff to DPH Commission</w:t>
      </w:r>
      <w:r w:rsidR="002E53B4">
        <w:rPr>
          <w:rFonts w:cs="Arial"/>
          <w:szCs w:val="21"/>
        </w:rPr>
        <w:t>er</w:t>
      </w:r>
      <w:r w:rsidRPr="009D5DBE">
        <w:rPr>
          <w:rFonts w:cs="Arial"/>
          <w:szCs w:val="21"/>
        </w:rPr>
        <w:t xml:space="preserve"> Goldstein </w:t>
      </w:r>
    </w:p>
    <w:p w14:paraId="2345C685" w14:textId="77777777" w:rsidR="004C195F" w:rsidRPr="009D5DBE" w:rsidRDefault="004C195F" w:rsidP="004C195F">
      <w:pPr>
        <w:pStyle w:val="ListParagraph"/>
        <w:numPr>
          <w:ilvl w:val="0"/>
          <w:numId w:val="5"/>
        </w:numPr>
        <w:suppressAutoHyphens w:val="0"/>
        <w:spacing w:after="120"/>
        <w:contextualSpacing w:val="0"/>
        <w:rPr>
          <w:rFonts w:cs="Arial"/>
          <w:szCs w:val="21"/>
        </w:rPr>
      </w:pPr>
      <w:r w:rsidRPr="009D5DBE">
        <w:rPr>
          <w:rFonts w:cs="Arial"/>
          <w:szCs w:val="21"/>
        </w:rPr>
        <w:t>Dennis Renaud, Director Determination of Need Program, DPH</w:t>
      </w:r>
    </w:p>
    <w:p w14:paraId="46DD9EED" w14:textId="77777777" w:rsidR="004C195F" w:rsidRPr="009D5DBE" w:rsidRDefault="004C195F" w:rsidP="004C195F">
      <w:pPr>
        <w:pStyle w:val="ListParagraph"/>
        <w:numPr>
          <w:ilvl w:val="0"/>
          <w:numId w:val="5"/>
        </w:numPr>
        <w:suppressAutoHyphens w:val="0"/>
        <w:spacing w:after="120"/>
        <w:contextualSpacing w:val="0"/>
        <w:rPr>
          <w:rFonts w:cs="Arial"/>
          <w:szCs w:val="21"/>
        </w:rPr>
      </w:pPr>
      <w:r w:rsidRPr="009D5DBE">
        <w:rPr>
          <w:rFonts w:cs="Arial"/>
          <w:szCs w:val="21"/>
        </w:rPr>
        <w:t>Jaclyn Gagne, Esq., Chief Deputy General Counsel Health Care Licensure, DPH</w:t>
      </w:r>
    </w:p>
    <w:p w14:paraId="3F26D64B" w14:textId="77777777" w:rsidR="004C195F" w:rsidRPr="009D5DBE" w:rsidRDefault="004C195F" w:rsidP="004C195F">
      <w:pPr>
        <w:pStyle w:val="ListParagraph"/>
        <w:numPr>
          <w:ilvl w:val="0"/>
          <w:numId w:val="5"/>
        </w:numPr>
        <w:suppressAutoHyphens w:val="0"/>
        <w:spacing w:after="120"/>
        <w:contextualSpacing w:val="0"/>
        <w:rPr>
          <w:rFonts w:cs="Arial"/>
          <w:szCs w:val="21"/>
        </w:rPr>
      </w:pPr>
      <w:r w:rsidRPr="009D5DBE">
        <w:rPr>
          <w:rFonts w:cs="Arial"/>
          <w:szCs w:val="21"/>
        </w:rPr>
        <w:t xml:space="preserve">Steven Davis, Director Division of Health Care Facility Licensure and Certification, DPH </w:t>
      </w:r>
    </w:p>
    <w:p w14:paraId="4FF7E02D" w14:textId="77777777" w:rsidR="004C195F" w:rsidRPr="009D5DBE" w:rsidRDefault="004C195F" w:rsidP="004C195F">
      <w:pPr>
        <w:pStyle w:val="ListParagraph"/>
        <w:numPr>
          <w:ilvl w:val="0"/>
          <w:numId w:val="5"/>
        </w:numPr>
        <w:suppressAutoHyphens w:val="0"/>
        <w:spacing w:after="120"/>
        <w:contextualSpacing w:val="0"/>
        <w:rPr>
          <w:rFonts w:cs="Arial"/>
          <w:szCs w:val="21"/>
        </w:rPr>
      </w:pPr>
      <w:r w:rsidRPr="009D5DBE">
        <w:rPr>
          <w:rFonts w:cs="Arial"/>
          <w:szCs w:val="21"/>
        </w:rPr>
        <w:t>Walter Mackie, JD, Manager State Health Inspection Unit, DPH</w:t>
      </w:r>
    </w:p>
    <w:p w14:paraId="735FEB85" w14:textId="77777777" w:rsidR="004C195F" w:rsidRPr="009D5DBE" w:rsidRDefault="004C195F" w:rsidP="004C195F">
      <w:pPr>
        <w:pStyle w:val="ListParagraph"/>
        <w:numPr>
          <w:ilvl w:val="0"/>
          <w:numId w:val="5"/>
        </w:numPr>
        <w:suppressAutoHyphens w:val="0"/>
        <w:spacing w:after="120"/>
        <w:contextualSpacing w:val="0"/>
        <w:rPr>
          <w:rFonts w:cs="Arial"/>
          <w:szCs w:val="21"/>
        </w:rPr>
      </w:pPr>
      <w:r w:rsidRPr="009D5DBE">
        <w:rPr>
          <w:rFonts w:cs="Arial"/>
          <w:szCs w:val="21"/>
        </w:rPr>
        <w:t xml:space="preserve">Chris Harding, Chief of Staff to EOHHS Secretary Walsh </w:t>
      </w:r>
    </w:p>
    <w:p w14:paraId="41DB50F7" w14:textId="77777777" w:rsidR="004C195F" w:rsidRPr="009D5DBE" w:rsidRDefault="004C195F" w:rsidP="004C195F">
      <w:pPr>
        <w:pStyle w:val="ListParagraph"/>
        <w:numPr>
          <w:ilvl w:val="0"/>
          <w:numId w:val="5"/>
        </w:numPr>
        <w:suppressAutoHyphens w:val="0"/>
        <w:spacing w:after="120"/>
        <w:contextualSpacing w:val="0"/>
        <w:jc w:val="both"/>
        <w:rPr>
          <w:rFonts w:cs="Arial"/>
          <w:szCs w:val="21"/>
        </w:rPr>
      </w:pPr>
      <w:r w:rsidRPr="009D5DBE">
        <w:rPr>
          <w:rFonts w:cs="Arial"/>
          <w:szCs w:val="21"/>
        </w:rPr>
        <w:t>Lois Johnson, Health Policy Commission</w:t>
      </w:r>
    </w:p>
    <w:p w14:paraId="15BDF31E" w14:textId="77777777" w:rsidR="004C195F" w:rsidRPr="009D5DBE" w:rsidRDefault="004C195F" w:rsidP="004C195F">
      <w:pPr>
        <w:pStyle w:val="ListParagraph"/>
        <w:numPr>
          <w:ilvl w:val="0"/>
          <w:numId w:val="5"/>
        </w:numPr>
        <w:suppressAutoHyphens w:val="0"/>
        <w:spacing w:after="120"/>
        <w:contextualSpacing w:val="0"/>
        <w:jc w:val="both"/>
        <w:rPr>
          <w:rFonts w:cs="Arial"/>
          <w:szCs w:val="21"/>
        </w:rPr>
      </w:pPr>
      <w:r w:rsidRPr="009D5DBE">
        <w:rPr>
          <w:rFonts w:cs="Arial"/>
          <w:szCs w:val="21"/>
        </w:rPr>
        <w:t xml:space="preserve">Sandy </w:t>
      </w:r>
      <w:proofErr w:type="spellStart"/>
      <w:r w:rsidRPr="009D5DBE">
        <w:rPr>
          <w:rFonts w:cs="Arial"/>
          <w:szCs w:val="21"/>
        </w:rPr>
        <w:t>Wolitzsky</w:t>
      </w:r>
      <w:proofErr w:type="spellEnd"/>
      <w:r w:rsidRPr="009D5DBE">
        <w:rPr>
          <w:rFonts w:cs="Arial"/>
          <w:szCs w:val="21"/>
        </w:rPr>
        <w:t>, Massachusetts Attorney General’s Office</w:t>
      </w:r>
    </w:p>
    <w:p w14:paraId="33248224" w14:textId="77777777" w:rsidR="004C195F" w:rsidRPr="009D5DBE" w:rsidRDefault="004C195F" w:rsidP="004C195F">
      <w:pPr>
        <w:pStyle w:val="ListParagraph"/>
        <w:numPr>
          <w:ilvl w:val="0"/>
          <w:numId w:val="5"/>
        </w:numPr>
        <w:suppressAutoHyphens w:val="0"/>
        <w:spacing w:after="120"/>
        <w:contextualSpacing w:val="0"/>
        <w:jc w:val="both"/>
        <w:rPr>
          <w:rFonts w:cs="Arial"/>
          <w:szCs w:val="21"/>
        </w:rPr>
      </w:pPr>
      <w:r w:rsidRPr="009D5DBE">
        <w:rPr>
          <w:rFonts w:cs="Arial"/>
          <w:szCs w:val="21"/>
        </w:rPr>
        <w:t xml:space="preserve">Center for Health Information and Analysis </w:t>
      </w:r>
    </w:p>
    <w:p w14:paraId="3FE21E75" w14:textId="7EF2B1D4" w:rsidR="004C195F" w:rsidRDefault="004C195F" w:rsidP="004C195F">
      <w:pPr>
        <w:pStyle w:val="ListParagraph"/>
        <w:numPr>
          <w:ilvl w:val="0"/>
          <w:numId w:val="5"/>
        </w:numPr>
        <w:suppressAutoHyphens w:val="0"/>
        <w:spacing w:after="120"/>
        <w:contextualSpacing w:val="0"/>
        <w:jc w:val="both"/>
        <w:rPr>
          <w:rFonts w:cs="Arial"/>
          <w:szCs w:val="21"/>
        </w:rPr>
      </w:pPr>
      <w:r w:rsidRPr="009D5DBE">
        <w:rPr>
          <w:rFonts w:cs="Arial"/>
          <w:szCs w:val="21"/>
        </w:rPr>
        <w:t xml:space="preserve">The Centers for Medicare &amp; Medicaid Services </w:t>
      </w:r>
    </w:p>
    <w:p w14:paraId="22F6AB65" w14:textId="5C67E8E6" w:rsidR="002E53B4" w:rsidRPr="009D5DBE" w:rsidRDefault="002E53B4" w:rsidP="004C195F">
      <w:pPr>
        <w:pStyle w:val="ListParagraph"/>
        <w:numPr>
          <w:ilvl w:val="0"/>
          <w:numId w:val="5"/>
        </w:numPr>
        <w:suppressAutoHyphens w:val="0"/>
        <w:spacing w:after="120"/>
        <w:contextualSpacing w:val="0"/>
        <w:jc w:val="both"/>
        <w:rPr>
          <w:rFonts w:cs="Arial"/>
          <w:szCs w:val="21"/>
        </w:rPr>
      </w:pPr>
      <w:r>
        <w:rPr>
          <w:rFonts w:cs="Arial"/>
          <w:szCs w:val="21"/>
        </w:rPr>
        <w:t>MassHealth</w:t>
      </w:r>
    </w:p>
    <w:p w14:paraId="60B74232" w14:textId="79CECB62" w:rsidR="004C195F" w:rsidRPr="00231FC7" w:rsidRDefault="004C195F" w:rsidP="00231FC7">
      <w:pPr>
        <w:pStyle w:val="HBh"/>
        <w:rPr>
          <w:b/>
          <w:bCs/>
        </w:rPr>
      </w:pPr>
      <w:r w:rsidRPr="009D5DBE">
        <w:t xml:space="preserve">F1.e.i </w:t>
      </w:r>
      <w:r w:rsidRPr="009D5DBE">
        <w:tab/>
      </w:r>
      <w:r w:rsidRPr="00231FC7">
        <w:rPr>
          <w:b/>
          <w:bCs/>
        </w:rPr>
        <w:t>Process for Determining Need/Evidence of Community Engagement</w:t>
      </w:r>
    </w:p>
    <w:p w14:paraId="7173743E" w14:textId="77777777" w:rsidR="004C195F" w:rsidRPr="009D5DBE" w:rsidRDefault="004C195F" w:rsidP="00231FC7">
      <w:pPr>
        <w:pStyle w:val="HBbl1j"/>
        <w:rPr>
          <w:rFonts w:eastAsia="PMingLiU"/>
        </w:rPr>
      </w:pPr>
      <w:r w:rsidRPr="009D5DBE">
        <w:rPr>
          <w:rFonts w:eastAsia="PMingLiU"/>
        </w:rPr>
        <w:t>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753F66EE" w14:textId="77777777" w:rsidR="004C195F" w:rsidRPr="009D5DBE" w:rsidRDefault="004C195F" w:rsidP="00231FC7">
      <w:pPr>
        <w:pStyle w:val="HBblj"/>
        <w:rPr>
          <w:rFonts w:eastAsia="PMingLiU"/>
        </w:rPr>
      </w:pPr>
      <w:r w:rsidRPr="009D5DBE">
        <w:rPr>
          <w:rFonts w:eastAsia="PMingLiU"/>
        </w:rPr>
        <w:t>As more fully described in Section F1.</w:t>
      </w:r>
      <w:proofErr w:type="gramStart"/>
      <w:r w:rsidRPr="009D5DBE">
        <w:rPr>
          <w:rFonts w:eastAsia="PMingLiU"/>
        </w:rPr>
        <w:t>a.ii</w:t>
      </w:r>
      <w:proofErr w:type="gramEnd"/>
      <w:r w:rsidRPr="009D5DBE">
        <w:rPr>
          <w:rFonts w:eastAsia="PMingLiU"/>
        </w:rPr>
        <w:t xml:space="preserve">, the Applicant determined the need for the Proposed Merger in response to the challenges impacting the long-term success of MH as a small community hospital. Following the decision to merge MH with UMMMC, the hospitals in coordination with UMass Memorial developed a comprehensive, multi-faceted community engagement plan to ensure robust communication to and with patients, employees, community members, partners, and other relevant stakeholders. The final strategy implemented included:  </w:t>
      </w:r>
    </w:p>
    <w:p w14:paraId="16EA4E50" w14:textId="77777777" w:rsidR="00DD265A" w:rsidRPr="00DD265A" w:rsidRDefault="00DD265A" w:rsidP="00231FC7">
      <w:pPr>
        <w:pStyle w:val="HBhd"/>
        <w:rPr>
          <w:rFonts w:eastAsia="PMingLiU"/>
        </w:rPr>
      </w:pPr>
      <w:r w:rsidRPr="00DD265A">
        <w:rPr>
          <w:rFonts w:eastAsia="PMingLiU"/>
        </w:rPr>
        <w:t>1.</w:t>
      </w:r>
      <w:r w:rsidRPr="00DD265A">
        <w:rPr>
          <w:rFonts w:eastAsia="PMingLiU"/>
        </w:rPr>
        <w:tab/>
        <w:t xml:space="preserve">Identifying a detailed list of internal and external stakeholders and appropriate communication channels to ensure broad community engagement. </w:t>
      </w:r>
    </w:p>
    <w:p w14:paraId="35CB0B8F" w14:textId="77777777" w:rsidR="00DD265A" w:rsidRPr="00DD265A" w:rsidRDefault="00DD265A" w:rsidP="00231FC7">
      <w:pPr>
        <w:pStyle w:val="HBhd"/>
        <w:rPr>
          <w:rFonts w:eastAsia="PMingLiU"/>
        </w:rPr>
      </w:pPr>
      <w:r w:rsidRPr="00DD265A">
        <w:rPr>
          <w:rFonts w:eastAsia="PMingLiU"/>
        </w:rPr>
        <w:t>2.</w:t>
      </w:r>
      <w:r w:rsidRPr="00DD265A">
        <w:rPr>
          <w:rFonts w:eastAsia="PMingLiU"/>
        </w:rPr>
        <w:tab/>
        <w:t xml:space="preserve">Developing appropriate education materials to fully describe the benefits of the Proposed Merger to all parties. </w:t>
      </w:r>
    </w:p>
    <w:p w14:paraId="49874524" w14:textId="77777777" w:rsidR="00DD265A" w:rsidRPr="00DD265A" w:rsidRDefault="00DD265A" w:rsidP="00231FC7">
      <w:pPr>
        <w:pStyle w:val="HBhd"/>
        <w:rPr>
          <w:rFonts w:eastAsia="PMingLiU"/>
        </w:rPr>
      </w:pPr>
      <w:r w:rsidRPr="00DD265A">
        <w:rPr>
          <w:rFonts w:eastAsia="PMingLiU"/>
        </w:rPr>
        <w:t>3.</w:t>
      </w:r>
      <w:r w:rsidRPr="00DD265A">
        <w:rPr>
          <w:rFonts w:eastAsia="PMingLiU"/>
        </w:rPr>
        <w:tab/>
        <w:t xml:space="preserve">Facilitating conversations with patients, employees, and community leaders and organizations.  </w:t>
      </w:r>
    </w:p>
    <w:p w14:paraId="657447E6" w14:textId="77777777" w:rsidR="00DD265A" w:rsidRPr="00DD265A" w:rsidRDefault="00DD265A" w:rsidP="00231FC7">
      <w:pPr>
        <w:pStyle w:val="HBhd"/>
        <w:rPr>
          <w:rFonts w:eastAsia="PMingLiU"/>
        </w:rPr>
      </w:pPr>
      <w:r w:rsidRPr="00DD265A">
        <w:rPr>
          <w:rFonts w:eastAsia="PMingLiU"/>
        </w:rPr>
        <w:t>4.</w:t>
      </w:r>
      <w:r w:rsidRPr="00DD265A">
        <w:rPr>
          <w:rFonts w:eastAsia="PMingLiU"/>
        </w:rPr>
        <w:tab/>
        <w:t xml:space="preserve">Presenting the Proposed Merger to hospital-based groups including the hospitals, Community Benefits Advisory Councils (CBACs) and Patient Family Advisory Council (PFACs); and </w:t>
      </w:r>
    </w:p>
    <w:p w14:paraId="6A48DD74" w14:textId="7125FB8E" w:rsidR="00DD265A" w:rsidRDefault="00DD265A" w:rsidP="00231FC7">
      <w:pPr>
        <w:pStyle w:val="HBhd"/>
        <w:rPr>
          <w:rFonts w:eastAsia="PMingLiU"/>
        </w:rPr>
      </w:pPr>
      <w:r w:rsidRPr="00DD265A">
        <w:rPr>
          <w:rFonts w:eastAsia="PMingLiU"/>
        </w:rPr>
        <w:t>5.</w:t>
      </w:r>
      <w:r w:rsidRPr="00DD265A">
        <w:rPr>
          <w:rFonts w:eastAsia="PMingLiU"/>
        </w:rPr>
        <w:tab/>
        <w:t xml:space="preserve">Ongoing messaging and outreach leveraging UMass Memorial’s social media footprint and other media for equitable community access and education. </w:t>
      </w:r>
    </w:p>
    <w:p w14:paraId="3637029F" w14:textId="6842EB46" w:rsidR="004C195F" w:rsidRPr="009D5DBE" w:rsidRDefault="004C195F" w:rsidP="00231FC7">
      <w:pPr>
        <w:pStyle w:val="HBblj"/>
        <w:rPr>
          <w:rFonts w:eastAsia="PMingLiU"/>
        </w:rPr>
      </w:pPr>
      <w:r w:rsidRPr="009D5DBE">
        <w:rPr>
          <w:rFonts w:eastAsia="PMingLiU"/>
        </w:rPr>
        <w:lastRenderedPageBreak/>
        <w:t>UMass Memorial, UMMMC, and MH continue to work together to facilitate community awareness and involvement regarding the Proposed Merger through ongoing engagements. To date, these efforts include the following activities:</w:t>
      </w:r>
    </w:p>
    <w:p w14:paraId="776C6BB8" w14:textId="77777777" w:rsidR="004C195F" w:rsidRPr="009D5DBE" w:rsidRDefault="004C195F" w:rsidP="00231FC7">
      <w:pPr>
        <w:pStyle w:val="ListBullet2"/>
        <w:rPr>
          <w:rFonts w:eastAsia="PMingLiU"/>
        </w:rPr>
      </w:pPr>
      <w:r w:rsidRPr="009D5DBE">
        <w:rPr>
          <w:rFonts w:eastAsia="PMingLiU"/>
        </w:rPr>
        <w:t xml:space="preserve">January 3, 2025: Phone call to Marlborough City Councilors Mike </w:t>
      </w:r>
      <w:proofErr w:type="spellStart"/>
      <w:r w:rsidRPr="009D5DBE">
        <w:rPr>
          <w:rFonts w:eastAsia="PMingLiU"/>
        </w:rPr>
        <w:t>Ossing</w:t>
      </w:r>
      <w:proofErr w:type="spellEnd"/>
      <w:r w:rsidRPr="009D5DBE">
        <w:rPr>
          <w:rFonts w:eastAsia="PMingLiU"/>
        </w:rPr>
        <w:t xml:space="preserve"> and Trey Fuccillo, and Marlborough Economic Development Corporation Executive Director Meredith Harris</w:t>
      </w:r>
    </w:p>
    <w:p w14:paraId="156D6982" w14:textId="77777777" w:rsidR="004C195F" w:rsidRPr="009D5DBE" w:rsidRDefault="004C195F" w:rsidP="00231FC7">
      <w:pPr>
        <w:pStyle w:val="ListBullet2"/>
        <w:rPr>
          <w:rFonts w:eastAsia="PMingLiU"/>
        </w:rPr>
      </w:pPr>
      <w:r w:rsidRPr="009D5DBE">
        <w:rPr>
          <w:rFonts w:eastAsia="PMingLiU"/>
        </w:rPr>
        <w:t>January 6, 2025: Phone calls with Marlborough Mayor Dumais, Senator Eldridge and Representative Gregoire</w:t>
      </w:r>
    </w:p>
    <w:p w14:paraId="217556DA" w14:textId="77777777" w:rsidR="004C195F" w:rsidRPr="009D5DBE" w:rsidRDefault="004C195F" w:rsidP="00231FC7">
      <w:pPr>
        <w:pStyle w:val="ListBullet2"/>
        <w:rPr>
          <w:rFonts w:eastAsia="PMingLiU"/>
        </w:rPr>
      </w:pPr>
      <w:r w:rsidRPr="009D5DBE">
        <w:rPr>
          <w:rFonts w:eastAsia="PMingLiU"/>
        </w:rPr>
        <w:t>January 7, 2025: Meeting with UMMMC Chairs and Executive Team</w:t>
      </w:r>
    </w:p>
    <w:p w14:paraId="2D91ACA2" w14:textId="77777777" w:rsidR="004C195F" w:rsidRPr="009D5DBE" w:rsidRDefault="004C195F" w:rsidP="00231FC7">
      <w:pPr>
        <w:pStyle w:val="ListBullet2"/>
        <w:rPr>
          <w:rFonts w:eastAsia="PMingLiU"/>
        </w:rPr>
      </w:pPr>
      <w:r w:rsidRPr="009D5DBE">
        <w:rPr>
          <w:rFonts w:eastAsia="PMingLiU"/>
        </w:rPr>
        <w:t>January 8, 2025: Email to Marlborough Hospital Medical Staff</w:t>
      </w:r>
    </w:p>
    <w:p w14:paraId="4898889C" w14:textId="77777777" w:rsidR="004C195F" w:rsidRPr="009D5DBE" w:rsidRDefault="004C195F" w:rsidP="00231FC7">
      <w:pPr>
        <w:pStyle w:val="ListBullet2"/>
        <w:rPr>
          <w:rFonts w:eastAsia="PMingLiU"/>
        </w:rPr>
      </w:pPr>
      <w:r w:rsidRPr="009D5DBE">
        <w:rPr>
          <w:rFonts w:eastAsia="PMingLiU"/>
        </w:rPr>
        <w:t>January 8, 2025: Phone calls to Marlborough State Legislators, Other Elected Officials, Other Health Systems, Insurers, MHA, Healthcare for All, and unions</w:t>
      </w:r>
    </w:p>
    <w:p w14:paraId="1EBDA6A2" w14:textId="77777777" w:rsidR="004C195F" w:rsidRPr="009D5DBE" w:rsidRDefault="004C195F" w:rsidP="00231FC7">
      <w:pPr>
        <w:pStyle w:val="ListBullet2"/>
        <w:rPr>
          <w:rFonts w:eastAsia="PMingLiU"/>
        </w:rPr>
      </w:pPr>
      <w:r w:rsidRPr="009D5DBE">
        <w:rPr>
          <w:rFonts w:eastAsia="PMingLiU"/>
        </w:rPr>
        <w:t>January 8, 2025: In-person meetings with SHARE and MNA leadership</w:t>
      </w:r>
    </w:p>
    <w:p w14:paraId="6CAE6625" w14:textId="77777777" w:rsidR="004C195F" w:rsidRPr="009D5DBE" w:rsidRDefault="004C195F" w:rsidP="00231FC7">
      <w:pPr>
        <w:pStyle w:val="ListBullet2"/>
        <w:rPr>
          <w:rFonts w:eastAsia="PMingLiU"/>
        </w:rPr>
      </w:pPr>
      <w:r w:rsidRPr="009D5DBE">
        <w:rPr>
          <w:rFonts w:eastAsia="PMingLiU"/>
        </w:rPr>
        <w:t>January 9, 2025: Town Hall Virtual Meeting with Marlborough Caregivers</w:t>
      </w:r>
    </w:p>
    <w:p w14:paraId="79919CB6" w14:textId="77777777" w:rsidR="004C195F" w:rsidRPr="009D5DBE" w:rsidRDefault="004C195F" w:rsidP="00231FC7">
      <w:pPr>
        <w:pStyle w:val="ListBullet2"/>
        <w:rPr>
          <w:rFonts w:eastAsia="PMingLiU"/>
        </w:rPr>
      </w:pPr>
      <w:r w:rsidRPr="009D5DBE">
        <w:rPr>
          <w:rFonts w:eastAsia="PMingLiU"/>
        </w:rPr>
        <w:t>January 15, 2025: In-person and virtual meetings with MH’s CBAC and PFAC and Marlborough Business Leaders</w:t>
      </w:r>
    </w:p>
    <w:p w14:paraId="6235FB4F" w14:textId="6E42CFBE" w:rsidR="004C195F" w:rsidRPr="009D5DBE" w:rsidRDefault="004C195F" w:rsidP="00231FC7">
      <w:pPr>
        <w:pStyle w:val="ListBullet2"/>
        <w:rPr>
          <w:rFonts w:eastAsia="PMingLiU"/>
        </w:rPr>
      </w:pPr>
      <w:r w:rsidRPr="009D5DBE">
        <w:rPr>
          <w:rFonts w:eastAsia="PMingLiU"/>
        </w:rPr>
        <w:t xml:space="preserve">January 16, 2025: </w:t>
      </w:r>
      <w:r w:rsidR="001E58C5" w:rsidRPr="009D5DBE">
        <w:rPr>
          <w:rFonts w:eastAsia="PMingLiU"/>
        </w:rPr>
        <w:t>P</w:t>
      </w:r>
      <w:r w:rsidRPr="009D5DBE">
        <w:rPr>
          <w:rFonts w:eastAsia="PMingLiU"/>
        </w:rPr>
        <w:t xml:space="preserve">ublication </w:t>
      </w:r>
      <w:r w:rsidR="001E58C5" w:rsidRPr="009D5DBE">
        <w:rPr>
          <w:rFonts w:eastAsia="PMingLiU"/>
        </w:rPr>
        <w:t>in UMass Memorial’s newsletter,</w:t>
      </w:r>
      <w:r w:rsidRPr="009D5DBE">
        <w:rPr>
          <w:rFonts w:eastAsia="PMingLiU"/>
        </w:rPr>
        <w:t xml:space="preserve"> The Thread</w:t>
      </w:r>
    </w:p>
    <w:p w14:paraId="4BF6F604" w14:textId="77777777" w:rsidR="004C195F" w:rsidRPr="009D5DBE" w:rsidRDefault="004C195F" w:rsidP="00231FC7">
      <w:pPr>
        <w:pStyle w:val="ListBullet2"/>
        <w:rPr>
          <w:rFonts w:eastAsia="PMingLiU"/>
        </w:rPr>
      </w:pPr>
      <w:r w:rsidRPr="009D5DBE">
        <w:rPr>
          <w:rFonts w:eastAsia="PMingLiU"/>
        </w:rPr>
        <w:t xml:space="preserve">January 17, 2025: Email to the Worcester CBAC </w:t>
      </w:r>
    </w:p>
    <w:p w14:paraId="5C48DC01" w14:textId="77777777" w:rsidR="004C195F" w:rsidRPr="009D5DBE" w:rsidRDefault="004C195F" w:rsidP="00231FC7">
      <w:pPr>
        <w:pStyle w:val="ListBullet2"/>
        <w:rPr>
          <w:rFonts w:eastAsia="PMingLiU"/>
        </w:rPr>
      </w:pPr>
      <w:r w:rsidRPr="009D5DBE">
        <w:rPr>
          <w:rFonts w:eastAsia="PMingLiU"/>
        </w:rPr>
        <w:t>January 21 and 23, 2025: Public Forums at MH</w:t>
      </w:r>
    </w:p>
    <w:p w14:paraId="722D096C" w14:textId="77777777" w:rsidR="004C195F" w:rsidRPr="009D5DBE" w:rsidRDefault="004C195F" w:rsidP="00231FC7">
      <w:pPr>
        <w:pStyle w:val="ListBullet2"/>
        <w:rPr>
          <w:rFonts w:eastAsia="PMingLiU"/>
        </w:rPr>
      </w:pPr>
      <w:r w:rsidRPr="009D5DBE">
        <w:rPr>
          <w:rFonts w:eastAsia="PMingLiU"/>
        </w:rPr>
        <w:t xml:space="preserve">January 23, 2025: Presentations and discussions with Worcester Together and the Marlborough Economic Development Corporation. </w:t>
      </w:r>
    </w:p>
    <w:p w14:paraId="44CF6620" w14:textId="77777777" w:rsidR="004C195F" w:rsidRPr="009D5DBE" w:rsidRDefault="004C195F" w:rsidP="00231FC7">
      <w:pPr>
        <w:pStyle w:val="ListBullet2"/>
        <w:rPr>
          <w:rFonts w:eastAsia="PMingLiU"/>
        </w:rPr>
      </w:pPr>
      <w:r w:rsidRPr="009D5DBE">
        <w:rPr>
          <w:rFonts w:eastAsia="PMingLiU"/>
        </w:rPr>
        <w:t xml:space="preserve">January 28, 2025: In-person and virtual </w:t>
      </w:r>
      <w:proofErr w:type="gramStart"/>
      <w:r w:rsidRPr="009D5DBE">
        <w:rPr>
          <w:rFonts w:eastAsia="PMingLiU"/>
        </w:rPr>
        <w:t>meeting</w:t>
      </w:r>
      <w:proofErr w:type="gramEnd"/>
      <w:r w:rsidRPr="009D5DBE">
        <w:rPr>
          <w:rFonts w:eastAsia="PMingLiU"/>
        </w:rPr>
        <w:t xml:space="preserve"> with the Worcester PFAC</w:t>
      </w:r>
    </w:p>
    <w:p w14:paraId="638DB70F" w14:textId="77777777" w:rsidR="004C195F" w:rsidRPr="009D5DBE" w:rsidRDefault="004C195F" w:rsidP="00231FC7">
      <w:pPr>
        <w:pStyle w:val="HBblj"/>
        <w:rPr>
          <w:rFonts w:eastAsia="PMingLiU"/>
        </w:rPr>
      </w:pPr>
      <w:r w:rsidRPr="009D5DBE">
        <w:rPr>
          <w:rFonts w:eastAsia="PMingLiU"/>
          <w:color w:val="000000"/>
        </w:rPr>
        <w:t xml:space="preserve">Lastly, throughout the months of January and February, the Applicant conducted additional </w:t>
      </w:r>
      <w:r w:rsidRPr="009D5DBE">
        <w:rPr>
          <w:rFonts w:eastAsia="PMingLiU"/>
        </w:rPr>
        <w:t>outreach to the Health Foundation of Central MA, Thrive Communities, Coalition for a Healthy Greater Worcester, United Way of Tri-County, Chamber of Commerce, Marlborough Economic Development Council, 495 Partnership and Corridor 9.</w:t>
      </w:r>
    </w:p>
    <w:p w14:paraId="4EB4A7B2" w14:textId="77777777" w:rsidR="004C195F" w:rsidRPr="009D5DBE" w:rsidRDefault="004C195F" w:rsidP="00231FC7">
      <w:pPr>
        <w:pStyle w:val="HBblj"/>
        <w:rPr>
          <w:rFonts w:eastAsia="PMingLiU"/>
        </w:rPr>
      </w:pPr>
      <w:r w:rsidRPr="009D5DBE">
        <w:rPr>
          <w:rFonts w:eastAsia="PMingLiU"/>
        </w:rPr>
        <w:t xml:space="preserve">The overwhelming response to these activities has been positive with strong support for the Proposed Merger. Stakeholders expressed support for UMass Memorial’s commitment to and investment in the region, providing local, accessible care for patients and families, and ensuring access to specialty providers in the community. </w:t>
      </w:r>
    </w:p>
    <w:p w14:paraId="03922B10" w14:textId="29A9F410" w:rsidR="004C195F" w:rsidRPr="009D5DBE" w:rsidRDefault="004C195F" w:rsidP="00231FC7">
      <w:pPr>
        <w:pStyle w:val="HBblj"/>
        <w:rPr>
          <w:rFonts w:eastAsia="PMingLiU"/>
        </w:rPr>
      </w:pPr>
      <w:r w:rsidRPr="009D5DBE">
        <w:rPr>
          <w:rFonts w:eastAsia="PMingLiU"/>
        </w:rPr>
        <w:t xml:space="preserve">The Applicant will continue to offer Marlborough employees listening sessions and provide updates at key meetings including manager meetings and all-employee town halls. As part of these updates, employees will be encouraged to ask questions and share concerns. In response to any such questions and concerns, FAQs and other messaging as needed will be developed and shared with employees. Across UMass Memorial, updates and the opportunity to share questions and concerns will be offered through </w:t>
      </w:r>
      <w:r w:rsidRPr="009D5DBE">
        <w:rPr>
          <w:rFonts w:eastAsia="PMingLiU"/>
        </w:rPr>
        <w:lastRenderedPageBreak/>
        <w:t xml:space="preserve">systemwide communications channels including town halls and newsletters. The Proposed Merger will be </w:t>
      </w:r>
      <w:r w:rsidR="00F07E1B">
        <w:rPr>
          <w:rFonts w:eastAsia="PMingLiU"/>
        </w:rPr>
        <w:t xml:space="preserve">a </w:t>
      </w:r>
      <w:r w:rsidRPr="009D5DBE">
        <w:rPr>
          <w:rFonts w:eastAsia="PMingLiU"/>
        </w:rPr>
        <w:t>standing agenda item on future Marlborough CBAC and PFAC meetings, as well as at other meetings with community leaders such as the Marlborough Economic Development Corporation and the 495/MetroWest Partnership.  </w:t>
      </w:r>
    </w:p>
    <w:p w14:paraId="198ABEA9" w14:textId="77777777" w:rsidR="004C195F" w:rsidRPr="009D5DBE" w:rsidRDefault="004C195F" w:rsidP="004C195F">
      <w:pPr>
        <w:spacing w:after="120"/>
        <w:ind w:left="1440" w:hanging="1440"/>
        <w:jc w:val="both"/>
        <w:rPr>
          <w:rFonts w:eastAsia="PMingLiU"/>
          <w:i/>
          <w:iCs/>
          <w:szCs w:val="21"/>
        </w:rPr>
      </w:pPr>
      <w:r w:rsidRPr="009D5DBE">
        <w:rPr>
          <w:rFonts w:eastAsia="PMingLiU"/>
          <w:szCs w:val="21"/>
        </w:rPr>
        <w:t>F1.</w:t>
      </w:r>
      <w:proofErr w:type="gramStart"/>
      <w:r w:rsidRPr="009D5DBE">
        <w:rPr>
          <w:rFonts w:eastAsia="PMingLiU"/>
          <w:szCs w:val="21"/>
        </w:rPr>
        <w:t>e.ii</w:t>
      </w:r>
      <w:proofErr w:type="gramEnd"/>
      <w:r w:rsidRPr="009D5DBE">
        <w:rPr>
          <w:rFonts w:eastAsia="PMingLiU"/>
          <w:b/>
          <w:bCs/>
          <w:i/>
          <w:iCs/>
          <w:szCs w:val="21"/>
        </w:rPr>
        <w:t xml:space="preserve"> </w:t>
      </w:r>
      <w:r w:rsidRPr="009D5DBE">
        <w:rPr>
          <w:rFonts w:eastAsia="PMingLiU"/>
          <w:b/>
          <w:bCs/>
          <w:i/>
          <w:iCs/>
          <w:szCs w:val="21"/>
        </w:rPr>
        <w:tab/>
      </w:r>
      <w:r w:rsidRPr="009D5DBE">
        <w:rPr>
          <w:rFonts w:eastAsia="PMingLiU"/>
          <w:i/>
          <w:iCs/>
          <w:szCs w:val="21"/>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7AC1158F" w14:textId="77777777" w:rsidR="004C195F" w:rsidRPr="009D5DBE" w:rsidRDefault="004C195F" w:rsidP="00231FC7">
      <w:pPr>
        <w:pStyle w:val="HBblj"/>
      </w:pPr>
      <w:r w:rsidRPr="009D5DBE">
        <w:t>As described in the previous section, the Applicant executed a robust communication and outreach strategy to ensure patients, employees, community leaders, and community members of both hospitals were informed of the need for the Proposed Merger, as well as the benefits of it, and feedback was solicited.</w:t>
      </w:r>
    </w:p>
    <w:p w14:paraId="38B4603A" w14:textId="335A9C70" w:rsidR="00076798" w:rsidRPr="009D5DBE" w:rsidRDefault="00904461" w:rsidP="00231FC7">
      <w:pPr>
        <w:pStyle w:val="HBblj"/>
      </w:pPr>
      <w:r>
        <w:t>In addition</w:t>
      </w:r>
      <w:r w:rsidR="004C195F" w:rsidRPr="009D5DBE">
        <w:t xml:space="preserve">, the Applicant published a legal notice for the Proposed Merger in </w:t>
      </w:r>
      <w:r w:rsidR="004C195F" w:rsidRPr="009D5DBE">
        <w:rPr>
          <w:i/>
          <w:iCs/>
        </w:rPr>
        <w:t>The Telegram &amp; Gazette</w:t>
      </w:r>
      <w:r w:rsidR="004C195F" w:rsidRPr="009D5DBE">
        <w:t xml:space="preserve"> and </w:t>
      </w:r>
      <w:r w:rsidR="004C195F" w:rsidRPr="009D5DBE">
        <w:rPr>
          <w:i/>
          <w:iCs/>
        </w:rPr>
        <w:t>MetroWest Daily News</w:t>
      </w:r>
      <w:r w:rsidR="004C195F" w:rsidRPr="009D5DBE">
        <w:t xml:space="preserve"> on January 20, 2025. A copy of the legal notice was posted prominently on both hospital’s websites.</w:t>
      </w:r>
    </w:p>
    <w:sectPr w:rsidR="00076798" w:rsidRPr="009D5DBE">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FF25" w14:textId="77777777" w:rsidR="000A5579" w:rsidRDefault="000A5579" w:rsidP="00227915">
      <w:r>
        <w:separator/>
      </w:r>
    </w:p>
  </w:endnote>
  <w:endnote w:type="continuationSeparator" w:id="0">
    <w:p w14:paraId="717310D1" w14:textId="77777777" w:rsidR="000A5579" w:rsidRDefault="000A5579" w:rsidP="0022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6FDD" w14:textId="06CAB329" w:rsidR="00BE4378" w:rsidRPr="004C17AA" w:rsidRDefault="00BE4378" w:rsidP="004C1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40E1" w14:textId="31E39EB9" w:rsidR="00BE4378" w:rsidRPr="004C17AA" w:rsidRDefault="00BE4378" w:rsidP="004C1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69CC" w14:textId="06625E5C" w:rsidR="00BE4378" w:rsidRPr="004C17AA" w:rsidRDefault="00BE4378" w:rsidP="004C1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FE78" w14:textId="77777777" w:rsidR="000A5579" w:rsidRDefault="000A5579" w:rsidP="00227915">
      <w:r>
        <w:separator/>
      </w:r>
    </w:p>
  </w:footnote>
  <w:footnote w:type="continuationSeparator" w:id="0">
    <w:p w14:paraId="5E398018" w14:textId="77777777" w:rsidR="000A5579" w:rsidRDefault="000A5579" w:rsidP="00227915">
      <w:r>
        <w:continuationSeparator/>
      </w:r>
    </w:p>
  </w:footnote>
  <w:footnote w:id="1">
    <w:p w14:paraId="3155835B" w14:textId="4D8590A6" w:rsidR="00BE4378" w:rsidRPr="004C195F" w:rsidRDefault="00BE4378">
      <w:pPr>
        <w:pStyle w:val="FootnoteText"/>
        <w:rPr>
          <w:sz w:val="16"/>
          <w:szCs w:val="16"/>
        </w:rPr>
      </w:pPr>
      <w:r w:rsidRPr="004C195F">
        <w:rPr>
          <w:rStyle w:val="FootnoteReference"/>
          <w:sz w:val="16"/>
          <w:szCs w:val="16"/>
        </w:rPr>
        <w:footnoteRef/>
      </w:r>
      <w:r w:rsidRPr="004C195F">
        <w:rPr>
          <w:sz w:val="16"/>
          <w:szCs w:val="16"/>
        </w:rPr>
        <w:t xml:space="preserve"> UMass Memorial Health -</w:t>
      </w:r>
      <w:r w:rsidR="001B14F9">
        <w:rPr>
          <w:sz w:val="16"/>
          <w:szCs w:val="16"/>
        </w:rPr>
        <w:t xml:space="preserve"> </w:t>
      </w:r>
      <w:r w:rsidRPr="004C195F">
        <w:rPr>
          <w:sz w:val="16"/>
          <w:szCs w:val="16"/>
        </w:rPr>
        <w:t xml:space="preserve">Harrington Hospital, UMass Memorial HealthAlliance - Clinton Hospital, Marlborough Hospital, UMass Memorial Health-Milford Regional Medical Center. </w:t>
      </w:r>
    </w:p>
  </w:footnote>
  <w:footnote w:id="2">
    <w:p w14:paraId="5E9275A0" w14:textId="77777777" w:rsidR="009D5DBE" w:rsidRPr="00D00F15" w:rsidRDefault="009D5DBE" w:rsidP="009D5DBE">
      <w:pPr>
        <w:pStyle w:val="FootnoteText"/>
        <w:rPr>
          <w:rFonts w:asciiTheme="minorHAnsi" w:hAnsiTheme="minorHAnsi"/>
        </w:rPr>
      </w:pPr>
      <w:r w:rsidRPr="009C4DCE">
        <w:rPr>
          <w:rStyle w:val="FootnoteReference"/>
          <w:rFonts w:asciiTheme="minorHAnsi" w:hAnsiTheme="minorHAnsi"/>
          <w:sz w:val="16"/>
          <w:szCs w:val="16"/>
        </w:rPr>
        <w:footnoteRef/>
      </w:r>
      <w:r w:rsidRPr="009C4DCE">
        <w:rPr>
          <w:rFonts w:asciiTheme="minorHAnsi" w:hAnsiTheme="minorHAnsi"/>
          <w:sz w:val="16"/>
          <w:szCs w:val="16"/>
        </w:rPr>
        <w:t xml:space="preserve"> FY22 and FY23 do not include Harrington Hospital due to potential overlap. FY24 does include Harrington Hospital. </w:t>
      </w:r>
    </w:p>
  </w:footnote>
  <w:footnote w:id="3">
    <w:p w14:paraId="7DCAB0EF" w14:textId="7C59E737" w:rsidR="00BE4378" w:rsidRPr="00BC1098" w:rsidRDefault="00BE4378" w:rsidP="00104191">
      <w:pPr>
        <w:pStyle w:val="FootnoteText"/>
        <w:rPr>
          <w:rFonts w:asciiTheme="minorHAnsi" w:hAnsiTheme="minorHAnsi"/>
          <w:sz w:val="16"/>
          <w:szCs w:val="16"/>
        </w:rPr>
      </w:pPr>
      <w:r w:rsidRPr="00BC1098">
        <w:rPr>
          <w:rStyle w:val="FootnoteReference"/>
          <w:rFonts w:asciiTheme="minorHAnsi" w:hAnsiTheme="minorHAnsi"/>
          <w:sz w:val="16"/>
          <w:szCs w:val="16"/>
        </w:rPr>
        <w:footnoteRef/>
      </w:r>
      <w:r w:rsidRPr="00BC1098">
        <w:rPr>
          <w:rFonts w:asciiTheme="minorHAnsi" w:hAnsiTheme="minorHAnsi"/>
          <w:sz w:val="16"/>
          <w:szCs w:val="16"/>
        </w:rPr>
        <w:t xml:space="preserve"> CHIA FY22 Cost Report, plus North Adams Regional Hospital which opened in 2024.</w:t>
      </w:r>
    </w:p>
  </w:footnote>
  <w:footnote w:id="4">
    <w:p w14:paraId="63F2B93B" w14:textId="200821FE" w:rsidR="00BE4378" w:rsidRPr="00BC1098" w:rsidRDefault="00BE4378" w:rsidP="00104191">
      <w:pPr>
        <w:pStyle w:val="FootnoteText"/>
        <w:rPr>
          <w:rFonts w:asciiTheme="minorHAnsi" w:hAnsiTheme="minorHAnsi"/>
          <w:sz w:val="16"/>
          <w:szCs w:val="16"/>
        </w:rPr>
      </w:pPr>
      <w:r w:rsidRPr="00BC1098">
        <w:rPr>
          <w:rStyle w:val="FootnoteReference"/>
          <w:rFonts w:asciiTheme="minorHAnsi" w:hAnsiTheme="minorHAnsi"/>
          <w:sz w:val="16"/>
          <w:szCs w:val="16"/>
        </w:rPr>
        <w:footnoteRef/>
      </w:r>
      <w:r w:rsidRPr="00BC1098">
        <w:rPr>
          <w:rFonts w:asciiTheme="minorHAnsi" w:hAnsiTheme="minorHAnsi"/>
          <w:sz w:val="16"/>
          <w:szCs w:val="16"/>
        </w:rPr>
        <w:t xml:space="preserve"> Dana Farber Cancer Institute, Massachusetts Eye and Ear Infirmary and Shriners Hospitals for Children – Boston.</w:t>
      </w:r>
    </w:p>
  </w:footnote>
  <w:footnote w:id="5">
    <w:p w14:paraId="71B908BD" w14:textId="005F82C0" w:rsidR="00BE4378" w:rsidRPr="00BC1098" w:rsidRDefault="00BE4378" w:rsidP="00104191">
      <w:pPr>
        <w:pStyle w:val="FootnoteText"/>
        <w:rPr>
          <w:rFonts w:asciiTheme="minorHAnsi" w:hAnsiTheme="minorHAnsi"/>
          <w:sz w:val="16"/>
          <w:szCs w:val="16"/>
        </w:rPr>
      </w:pPr>
      <w:r w:rsidRPr="00BC1098">
        <w:rPr>
          <w:rStyle w:val="FootnoteReference"/>
          <w:rFonts w:asciiTheme="minorHAnsi" w:hAnsiTheme="minorHAnsi"/>
          <w:sz w:val="16"/>
          <w:szCs w:val="16"/>
        </w:rPr>
        <w:footnoteRef/>
      </w:r>
      <w:r w:rsidRPr="00BC1098">
        <w:rPr>
          <w:rFonts w:asciiTheme="minorHAnsi" w:hAnsiTheme="minorHAnsi"/>
          <w:sz w:val="16"/>
          <w:szCs w:val="16"/>
        </w:rPr>
        <w:t xml:space="preserve"> Athol Memorial Hospital, Fairlawn Hospital, Martha’s Vineyard Hospital and North Adams Regional Hospital.</w:t>
      </w:r>
    </w:p>
  </w:footnote>
  <w:footnote w:id="6">
    <w:p w14:paraId="6291219C" w14:textId="77777777" w:rsidR="00BE4378" w:rsidRPr="00BC1098" w:rsidRDefault="00BE4378" w:rsidP="00104191">
      <w:pPr>
        <w:pStyle w:val="FootnoteText"/>
        <w:rPr>
          <w:rFonts w:asciiTheme="minorHAnsi" w:hAnsiTheme="minorHAnsi"/>
          <w:sz w:val="16"/>
          <w:szCs w:val="16"/>
        </w:rPr>
      </w:pPr>
      <w:r w:rsidRPr="00BC1098">
        <w:rPr>
          <w:rStyle w:val="FootnoteReference"/>
          <w:rFonts w:asciiTheme="minorHAnsi" w:hAnsiTheme="minorHAnsi"/>
          <w:sz w:val="16"/>
          <w:szCs w:val="16"/>
        </w:rPr>
        <w:footnoteRef/>
      </w:r>
      <w:r w:rsidRPr="00BC1098">
        <w:rPr>
          <w:rFonts w:asciiTheme="minorHAnsi" w:hAnsiTheme="minorHAnsi"/>
          <w:sz w:val="16"/>
          <w:szCs w:val="16"/>
        </w:rPr>
        <w:t xml:space="preserve"> Nashoba Valley Medical Center.</w:t>
      </w:r>
    </w:p>
  </w:footnote>
  <w:footnote w:id="7">
    <w:p w14:paraId="0046A58A" w14:textId="50218815" w:rsidR="00BE4378" w:rsidRPr="00BC1098" w:rsidRDefault="00BE4378">
      <w:pPr>
        <w:pStyle w:val="FootnoteText"/>
        <w:rPr>
          <w:rFonts w:asciiTheme="minorHAnsi" w:hAnsiTheme="minorHAnsi"/>
          <w:sz w:val="16"/>
          <w:szCs w:val="16"/>
        </w:rPr>
      </w:pPr>
      <w:r w:rsidRPr="00BC1098">
        <w:rPr>
          <w:rStyle w:val="FootnoteReference"/>
          <w:rFonts w:asciiTheme="minorHAnsi" w:hAnsiTheme="minorHAnsi"/>
          <w:sz w:val="16"/>
          <w:szCs w:val="16"/>
        </w:rPr>
        <w:footnoteRef/>
      </w:r>
      <w:r w:rsidRPr="00BC1098">
        <w:rPr>
          <w:rFonts w:asciiTheme="minorHAnsi" w:hAnsiTheme="minorHAnsi"/>
          <w:sz w:val="16"/>
          <w:szCs w:val="16"/>
        </w:rPr>
        <w:t xml:space="preserve"> </w:t>
      </w:r>
      <w:r w:rsidRPr="004C195F">
        <w:rPr>
          <w:rFonts w:asciiTheme="minorHAnsi" w:hAnsiTheme="minorHAnsi" w:cs="Arial"/>
          <w:sz w:val="16"/>
          <w:szCs w:val="16"/>
        </w:rPr>
        <w:t>MH, Beth Israel Deaconess Hospital- Needham, Baystate Noble Hospital, Baystate Franklin Hospital, Baystate Wing Hospital</w:t>
      </w:r>
      <w:r w:rsidR="00BC1098" w:rsidRPr="00BC1098">
        <w:rPr>
          <w:rFonts w:asciiTheme="minorHAnsi" w:hAnsiTheme="minorHAnsi" w:cs="Arial"/>
          <w:sz w:val="16"/>
          <w:szCs w:val="16"/>
        </w:rPr>
        <w:t xml:space="preserve">, Falmouth Hospital, and Nantucket Cottage Hospital. </w:t>
      </w:r>
    </w:p>
  </w:footnote>
  <w:footnote w:id="8">
    <w:p w14:paraId="6F024790" w14:textId="79E30230" w:rsidR="001B14F9" w:rsidRDefault="001B14F9">
      <w:pPr>
        <w:pStyle w:val="FootnoteText"/>
      </w:pPr>
      <w:r w:rsidRPr="009D5DBE">
        <w:rPr>
          <w:rStyle w:val="FootnoteReference"/>
        </w:rPr>
        <w:footnoteRef/>
      </w:r>
      <w:r w:rsidRPr="009D5DBE">
        <w:rPr>
          <w:rStyle w:val="FootnoteReference"/>
        </w:rPr>
        <w:t xml:space="preserve"> </w:t>
      </w:r>
      <w:r w:rsidRPr="00BC1098">
        <w:rPr>
          <w:rFonts w:asciiTheme="minorHAnsi" w:hAnsiTheme="minorHAnsi" w:cs="Arial"/>
          <w:sz w:val="16"/>
          <w:szCs w:val="16"/>
        </w:rPr>
        <w:t xml:space="preserve">MH’s license also includes 22 adult psychiatric beds, </w:t>
      </w:r>
      <w:r w:rsidR="009D5DBE">
        <w:rPr>
          <w:rFonts w:asciiTheme="minorHAnsi" w:hAnsiTheme="minorHAnsi" w:cs="Arial"/>
          <w:sz w:val="16"/>
          <w:szCs w:val="16"/>
        </w:rPr>
        <w:t>for</w:t>
      </w:r>
      <w:r w:rsidRPr="00BC1098">
        <w:rPr>
          <w:rFonts w:asciiTheme="minorHAnsi" w:hAnsiTheme="minorHAnsi" w:cs="Arial"/>
          <w:sz w:val="16"/>
          <w:szCs w:val="16"/>
        </w:rPr>
        <w:t xml:space="preserve"> a total of 79 licensed beds.</w:t>
      </w:r>
      <w:r>
        <w:t xml:space="preserve"> </w:t>
      </w:r>
    </w:p>
  </w:footnote>
  <w:footnote w:id="9">
    <w:p w14:paraId="3B191944" w14:textId="7F71C8DB" w:rsidR="00BE4378" w:rsidRPr="00235373" w:rsidRDefault="00BE4378">
      <w:pPr>
        <w:pStyle w:val="FootnoteText"/>
      </w:pPr>
      <w:r w:rsidRPr="00235373">
        <w:rPr>
          <w:rStyle w:val="FootnoteReference"/>
          <w:sz w:val="16"/>
          <w:szCs w:val="16"/>
        </w:rPr>
        <w:footnoteRef/>
      </w:r>
      <w:r w:rsidRPr="00235373">
        <w:rPr>
          <w:sz w:val="16"/>
          <w:szCs w:val="16"/>
        </w:rPr>
        <w:t xml:space="preserve"> This does not apply to unstable ED patients who must be transferred</w:t>
      </w:r>
      <w:r>
        <w:rPr>
          <w:sz w:val="16"/>
          <w:szCs w:val="16"/>
        </w:rPr>
        <w:t xml:space="preserve"> emergently.</w:t>
      </w:r>
    </w:p>
  </w:footnote>
  <w:footnote w:id="10">
    <w:p w14:paraId="01E45930" w14:textId="69E9D264" w:rsidR="00BE4378" w:rsidRPr="006E4A4D" w:rsidRDefault="00BE4378" w:rsidP="00D4244B">
      <w:pPr>
        <w:pStyle w:val="FootnoteText"/>
        <w:rPr>
          <w:rFonts w:asciiTheme="minorHAnsi" w:hAnsiTheme="minorHAnsi"/>
        </w:rPr>
      </w:pPr>
      <w:r w:rsidRPr="0031094F">
        <w:rPr>
          <w:rStyle w:val="FootnoteReference"/>
          <w:rFonts w:asciiTheme="minorHAnsi" w:hAnsiTheme="minorHAnsi"/>
          <w:sz w:val="16"/>
          <w:szCs w:val="16"/>
        </w:rPr>
        <w:footnoteRef/>
      </w:r>
      <w:r w:rsidRPr="0031094F">
        <w:rPr>
          <w:rFonts w:asciiTheme="minorHAnsi" w:hAnsiTheme="minorHAnsi"/>
          <w:sz w:val="16"/>
          <w:szCs w:val="16"/>
        </w:rPr>
        <w:t xml:space="preserve"> Providers who do not have privileges at MH cannot provide care to MH patients. Therefore, MH patients who require a consultation by a UMMMC specialist must be transported to UMMMC to receive care in person, either for an office visit or be admitted to UMMMC for the remainder of their inpatient admission.</w:t>
      </w:r>
    </w:p>
  </w:footnote>
  <w:footnote w:id="11">
    <w:p w14:paraId="0A1E92C7" w14:textId="38E74E0A" w:rsidR="00BE4378" w:rsidRPr="006E4A4D" w:rsidRDefault="00BE4378">
      <w:pPr>
        <w:pStyle w:val="FootnoteText"/>
        <w:rPr>
          <w:rFonts w:asciiTheme="minorHAnsi" w:hAnsiTheme="minorHAnsi"/>
        </w:rPr>
      </w:pPr>
      <w:r w:rsidRPr="001E58C5">
        <w:rPr>
          <w:rStyle w:val="FootnoteReference"/>
          <w:rFonts w:asciiTheme="minorHAnsi" w:hAnsiTheme="minorHAnsi"/>
          <w:sz w:val="16"/>
          <w:szCs w:val="16"/>
        </w:rPr>
        <w:footnoteRef/>
      </w:r>
      <w:r w:rsidRPr="001E58C5">
        <w:rPr>
          <w:rFonts w:asciiTheme="minorHAnsi" w:hAnsiTheme="minorHAnsi"/>
          <w:sz w:val="16"/>
          <w:szCs w:val="16"/>
        </w:rPr>
        <w:t xml:space="preserve"> University and Memorial Campuses. </w:t>
      </w:r>
    </w:p>
  </w:footnote>
  <w:footnote w:id="12">
    <w:p w14:paraId="702D5527" w14:textId="1F9BA048" w:rsidR="00BE4378" w:rsidRPr="009D5DBE" w:rsidRDefault="00BE4378">
      <w:pPr>
        <w:pStyle w:val="FootnoteText"/>
        <w:rPr>
          <w:sz w:val="16"/>
          <w:szCs w:val="16"/>
        </w:rPr>
      </w:pPr>
      <w:r w:rsidRPr="009D5DBE">
        <w:rPr>
          <w:rStyle w:val="FootnoteReference"/>
          <w:sz w:val="16"/>
          <w:szCs w:val="16"/>
        </w:rPr>
        <w:footnoteRef/>
      </w:r>
      <w:r w:rsidRPr="009D5DBE">
        <w:rPr>
          <w:sz w:val="16"/>
          <w:szCs w:val="16"/>
        </w:rPr>
        <w:t xml:space="preserve">  </w:t>
      </w:r>
      <w:hyperlink r:id="rId1" w:history="1">
        <w:r w:rsidRPr="009D5DBE">
          <w:rPr>
            <w:rStyle w:val="Hyperlink"/>
            <w:sz w:val="16"/>
            <w:szCs w:val="16"/>
          </w:rPr>
          <w:t>https://www.chiamass.gov/assets/docs/r/hospital-profiles/2023/marlboro.pdf</w:t>
        </w:r>
      </w:hyperlink>
      <w:r w:rsidRPr="009D5DBE">
        <w:rPr>
          <w:sz w:val="16"/>
          <w:szCs w:val="16"/>
        </w:rPr>
        <w:t xml:space="preserve"> ; </w:t>
      </w:r>
      <w:hyperlink r:id="rId2" w:history="1">
        <w:r w:rsidRPr="009D5DBE">
          <w:rPr>
            <w:rStyle w:val="Hyperlink"/>
            <w:sz w:val="16"/>
            <w:szCs w:val="16"/>
          </w:rPr>
          <w:t>https://www.chiamass.gov/assets/docs/r/hospital-profiles/2023/ummc.pdf</w:t>
        </w:r>
      </w:hyperlink>
      <w:r w:rsidRPr="009D5DBE">
        <w:rPr>
          <w:sz w:val="16"/>
          <w:szCs w:val="16"/>
        </w:rPr>
        <w:t xml:space="preserve"> </w:t>
      </w:r>
    </w:p>
  </w:footnote>
  <w:footnote w:id="13">
    <w:p w14:paraId="11D4BC17" w14:textId="07E1586C" w:rsidR="00BE4378" w:rsidRDefault="00BE4378">
      <w:pPr>
        <w:pStyle w:val="FootnoteText"/>
      </w:pPr>
      <w:r w:rsidRPr="009D5DBE">
        <w:rPr>
          <w:rStyle w:val="FootnoteReference"/>
          <w:sz w:val="16"/>
          <w:szCs w:val="16"/>
        </w:rPr>
        <w:footnoteRef/>
      </w:r>
      <w:r w:rsidRPr="009D5DBE">
        <w:rPr>
          <w:sz w:val="16"/>
          <w:szCs w:val="16"/>
        </w:rPr>
        <w:t xml:space="preserve"> </w:t>
      </w:r>
      <w:hyperlink r:id="rId3" w:history="1">
        <w:r w:rsidRPr="009D5DBE">
          <w:rPr>
            <w:rStyle w:val="Hyperlink"/>
            <w:sz w:val="16"/>
            <w:szCs w:val="16"/>
          </w:rPr>
          <w:t>https://www.medicaid.gov/medicaid/financial-management/medicaid-disproportionate-share-hospital-dsh-payments/index.html</w:t>
        </w:r>
      </w:hyperlink>
      <w:r>
        <w:t xml:space="preserve"> </w:t>
      </w:r>
    </w:p>
  </w:footnote>
  <w:footnote w:id="14">
    <w:p w14:paraId="307A8260" w14:textId="34F19C0D" w:rsidR="00BE4378" w:rsidRPr="00474D42" w:rsidRDefault="00BE4378" w:rsidP="00076798">
      <w:pPr>
        <w:pStyle w:val="FootnoteText"/>
        <w:rPr>
          <w:rFonts w:asciiTheme="minorHAnsi" w:hAnsiTheme="minorHAnsi"/>
          <w:sz w:val="16"/>
          <w:szCs w:val="16"/>
        </w:rPr>
      </w:pPr>
      <w:r w:rsidRPr="00474D42">
        <w:rPr>
          <w:rStyle w:val="FootnoteReference"/>
          <w:rFonts w:asciiTheme="minorHAnsi" w:hAnsiTheme="minorHAnsi"/>
          <w:sz w:val="16"/>
          <w:szCs w:val="16"/>
        </w:rPr>
        <w:footnoteRef/>
      </w:r>
      <w:r w:rsidRPr="00474D42">
        <w:rPr>
          <w:rFonts w:asciiTheme="minorHAnsi" w:hAnsiTheme="minorHAnsi"/>
          <w:sz w:val="16"/>
          <w:szCs w:val="16"/>
        </w:rPr>
        <w:t xml:space="preserve"> Monica </w:t>
      </w:r>
      <w:proofErr w:type="spellStart"/>
      <w:r w:rsidRPr="00474D42">
        <w:rPr>
          <w:rFonts w:asciiTheme="minorHAnsi" w:hAnsiTheme="minorHAnsi"/>
          <w:sz w:val="16"/>
          <w:szCs w:val="16"/>
        </w:rPr>
        <w:t>Giancotti</w:t>
      </w:r>
      <w:proofErr w:type="spellEnd"/>
      <w:r w:rsidRPr="00474D42">
        <w:rPr>
          <w:rFonts w:asciiTheme="minorHAnsi" w:hAnsiTheme="minorHAnsi"/>
          <w:sz w:val="16"/>
          <w:szCs w:val="16"/>
        </w:rPr>
        <w:t xml:space="preserve"> </w:t>
      </w:r>
      <w:r w:rsidRPr="00474D42">
        <w:rPr>
          <w:rFonts w:asciiTheme="minorHAnsi" w:hAnsiTheme="minorHAnsi"/>
          <w:i/>
          <w:iCs/>
          <w:sz w:val="16"/>
          <w:szCs w:val="16"/>
        </w:rPr>
        <w:t>et al.</w:t>
      </w:r>
      <w:r w:rsidRPr="00474D42">
        <w:rPr>
          <w:rFonts w:asciiTheme="minorHAnsi" w:hAnsiTheme="minorHAnsi"/>
          <w:sz w:val="16"/>
          <w:szCs w:val="16"/>
        </w:rPr>
        <w:t xml:space="preserve">, </w:t>
      </w:r>
      <w:hyperlink r:id="rId4" w:history="1">
        <w:r w:rsidRPr="00784B14">
          <w:rPr>
            <w:rStyle w:val="Hyperlink"/>
            <w:rFonts w:asciiTheme="minorHAnsi" w:hAnsiTheme="minorHAnsi"/>
            <w:i/>
            <w:iCs/>
            <w:color w:val="000000" w:themeColor="text1"/>
            <w:sz w:val="16"/>
            <w:szCs w:val="16"/>
            <w:u w:val="none"/>
          </w:rPr>
          <w:t>Efficiency And Optimal Size Of Hospitals: Results Of A Systematic Search</w:t>
        </w:r>
        <w:r w:rsidRPr="00784B14">
          <w:rPr>
            <w:rStyle w:val="Hyperlink"/>
            <w:rFonts w:asciiTheme="minorHAnsi" w:hAnsiTheme="minorHAnsi"/>
            <w:color w:val="000000" w:themeColor="text1"/>
            <w:sz w:val="16"/>
            <w:szCs w:val="16"/>
            <w:u w:val="none"/>
          </w:rPr>
          <w:t>,</w:t>
        </w:r>
      </w:hyperlink>
      <w:r w:rsidRPr="00784B14">
        <w:rPr>
          <w:rFonts w:asciiTheme="minorHAnsi" w:hAnsiTheme="minorHAnsi"/>
          <w:color w:val="000000" w:themeColor="text1"/>
          <w:sz w:val="16"/>
          <w:szCs w:val="16"/>
        </w:rPr>
        <w:t xml:space="preserve"> </w:t>
      </w:r>
      <w:proofErr w:type="spellStart"/>
      <w:r w:rsidRPr="00784B14">
        <w:rPr>
          <w:rFonts w:asciiTheme="minorHAnsi" w:hAnsiTheme="minorHAnsi"/>
          <w:smallCaps/>
          <w:color w:val="000000" w:themeColor="text1"/>
          <w:sz w:val="16"/>
          <w:szCs w:val="16"/>
        </w:rPr>
        <w:t>PLoS</w:t>
      </w:r>
      <w:proofErr w:type="spellEnd"/>
      <w:r w:rsidRPr="00784B14">
        <w:rPr>
          <w:rFonts w:asciiTheme="minorHAnsi" w:hAnsiTheme="minorHAnsi"/>
          <w:smallCaps/>
          <w:color w:val="000000" w:themeColor="text1"/>
          <w:sz w:val="16"/>
          <w:szCs w:val="16"/>
        </w:rPr>
        <w:t xml:space="preserve"> </w:t>
      </w:r>
      <w:r w:rsidRPr="00474D42">
        <w:rPr>
          <w:rFonts w:asciiTheme="minorHAnsi" w:hAnsiTheme="minorHAnsi"/>
          <w:smallCaps/>
          <w:sz w:val="16"/>
          <w:szCs w:val="16"/>
        </w:rPr>
        <w:t>ONE</w:t>
      </w:r>
      <w:r w:rsidRPr="00474D42">
        <w:rPr>
          <w:rFonts w:asciiTheme="minorHAnsi" w:hAnsiTheme="minorHAnsi"/>
          <w:sz w:val="16"/>
          <w:szCs w:val="16"/>
        </w:rPr>
        <w:t xml:space="preserve"> (Mar. 29, 2017), </w:t>
      </w:r>
      <w:hyperlink r:id="rId5" w:history="1">
        <w:r w:rsidRPr="00474D42">
          <w:rPr>
            <w:rStyle w:val="Hyperlink"/>
            <w:rFonts w:asciiTheme="minorHAnsi" w:hAnsiTheme="minorHAnsi"/>
            <w:sz w:val="16"/>
            <w:szCs w:val="16"/>
          </w:rPr>
          <w:t>https://journals.plos.org/plosone/article?id=10.1371/journal.pone.0174533</w:t>
        </w:r>
      </w:hyperlink>
      <w:r w:rsidRPr="00474D42">
        <w:rPr>
          <w:rFonts w:asciiTheme="minorHAnsi" w:hAnsiTheme="minorHAnsi"/>
          <w:sz w:val="16"/>
          <w:szCs w:val="16"/>
        </w:rPr>
        <w:t xml:space="preserve">.  </w:t>
      </w:r>
    </w:p>
  </w:footnote>
  <w:footnote w:id="15">
    <w:p w14:paraId="66E86CE5" w14:textId="2B488CC3" w:rsidR="00BE4378" w:rsidRPr="00474D42" w:rsidRDefault="00BE4378" w:rsidP="00076798">
      <w:pPr>
        <w:pStyle w:val="FootnoteText"/>
        <w:rPr>
          <w:rFonts w:asciiTheme="minorHAnsi" w:hAnsiTheme="minorHAnsi"/>
          <w:sz w:val="16"/>
          <w:szCs w:val="16"/>
        </w:rPr>
      </w:pPr>
      <w:r w:rsidRPr="00474D42">
        <w:rPr>
          <w:rStyle w:val="FootnoteReference"/>
          <w:rFonts w:asciiTheme="minorHAnsi" w:hAnsiTheme="minorHAnsi"/>
          <w:sz w:val="16"/>
          <w:szCs w:val="16"/>
        </w:rPr>
        <w:footnoteRef/>
      </w:r>
      <w:r w:rsidRPr="00474D42">
        <w:rPr>
          <w:rFonts w:asciiTheme="minorHAnsi" w:hAnsiTheme="minorHAnsi"/>
          <w:sz w:val="16"/>
          <w:szCs w:val="16"/>
        </w:rPr>
        <w:t xml:space="preserve"> </w:t>
      </w:r>
      <w:r w:rsidRPr="00474D42">
        <w:rPr>
          <w:rFonts w:asciiTheme="minorHAnsi" w:hAnsiTheme="minorHAnsi"/>
          <w:i/>
          <w:iCs/>
          <w:sz w:val="16"/>
          <w:szCs w:val="16"/>
        </w:rPr>
        <w:t xml:space="preserve">See, e.g., </w:t>
      </w:r>
      <w:r w:rsidRPr="00474D42">
        <w:rPr>
          <w:rFonts w:asciiTheme="minorHAnsi" w:hAnsiTheme="minorHAnsi"/>
          <w:sz w:val="16"/>
          <w:szCs w:val="16"/>
        </w:rPr>
        <w:t xml:space="preserve">Joanna Jiang </w:t>
      </w:r>
      <w:r w:rsidRPr="00474D42">
        <w:rPr>
          <w:rFonts w:asciiTheme="minorHAnsi" w:hAnsiTheme="minorHAnsi"/>
          <w:i/>
          <w:iCs/>
          <w:sz w:val="16"/>
          <w:szCs w:val="16"/>
        </w:rPr>
        <w:t>et al.</w:t>
      </w:r>
      <w:r w:rsidRPr="00474D42">
        <w:rPr>
          <w:rFonts w:asciiTheme="minorHAnsi" w:hAnsiTheme="minorHAnsi"/>
          <w:sz w:val="16"/>
          <w:szCs w:val="16"/>
        </w:rPr>
        <w:t xml:space="preserve">, </w:t>
      </w:r>
      <w:hyperlink r:id="rId6" w:history="1">
        <w:r w:rsidRPr="005D28B3">
          <w:rPr>
            <w:rStyle w:val="Hyperlink"/>
            <w:rFonts w:asciiTheme="minorHAnsi" w:hAnsiTheme="minorHAnsi"/>
            <w:i/>
            <w:iCs/>
            <w:color w:val="000000" w:themeColor="text1"/>
            <w:sz w:val="16"/>
            <w:szCs w:val="16"/>
            <w:u w:val="none"/>
          </w:rPr>
          <w:t>Quality Of Care Before And After Mergers And Acquisitions Of Rural Hospitals</w:t>
        </w:r>
        <w:r w:rsidRPr="005D28B3">
          <w:rPr>
            <w:rStyle w:val="Hyperlink"/>
            <w:rFonts w:asciiTheme="minorHAnsi" w:hAnsiTheme="minorHAnsi"/>
            <w:color w:val="000000" w:themeColor="text1"/>
            <w:sz w:val="16"/>
            <w:szCs w:val="16"/>
            <w:u w:val="none"/>
          </w:rPr>
          <w:t>,</w:t>
        </w:r>
      </w:hyperlink>
      <w:r w:rsidRPr="005D28B3">
        <w:rPr>
          <w:rFonts w:asciiTheme="minorHAnsi" w:hAnsiTheme="minorHAnsi"/>
          <w:color w:val="000000" w:themeColor="text1"/>
          <w:sz w:val="16"/>
          <w:szCs w:val="16"/>
        </w:rPr>
        <w:t xml:space="preserve"> JAMA </w:t>
      </w:r>
      <w:r w:rsidRPr="00474D42">
        <w:rPr>
          <w:rFonts w:asciiTheme="minorHAnsi" w:hAnsiTheme="minorHAnsi"/>
          <w:sz w:val="16"/>
          <w:szCs w:val="16"/>
        </w:rPr>
        <w:t xml:space="preserve">(Sept. 20, 2021), </w:t>
      </w:r>
      <w:hyperlink r:id="rId7" w:history="1">
        <w:r w:rsidRPr="00474D42">
          <w:rPr>
            <w:rStyle w:val="Hyperlink"/>
            <w:rFonts w:asciiTheme="minorHAnsi" w:hAnsiTheme="minorHAnsi"/>
            <w:sz w:val="16"/>
            <w:szCs w:val="16"/>
          </w:rPr>
          <w:t>https://jamanetwork.com/journals/jamanetworkopen/article-abstract/2784342</w:t>
        </w:r>
      </w:hyperlink>
      <w:r w:rsidRPr="00474D42">
        <w:rPr>
          <w:rFonts w:asciiTheme="minorHAnsi" w:hAnsiTheme="minorHAnsi"/>
          <w:sz w:val="16"/>
          <w:szCs w:val="16"/>
        </w:rPr>
        <w:t xml:space="preserve">. </w:t>
      </w:r>
      <w:r w:rsidRPr="00474D42">
        <w:rPr>
          <w:rFonts w:asciiTheme="minorHAnsi" w:hAnsiTheme="minorHAnsi"/>
          <w:i/>
          <w:iCs/>
          <w:sz w:val="16"/>
          <w:szCs w:val="16"/>
        </w:rPr>
        <w:t>See also</w:t>
      </w:r>
      <w:r w:rsidRPr="00474D42">
        <w:rPr>
          <w:rFonts w:asciiTheme="minorHAnsi" w:hAnsiTheme="minorHAnsi"/>
          <w:sz w:val="16"/>
          <w:szCs w:val="16"/>
        </w:rPr>
        <w:t xml:space="preserve"> Sean May </w:t>
      </w:r>
      <w:r w:rsidRPr="00474D42">
        <w:rPr>
          <w:rFonts w:asciiTheme="minorHAnsi" w:hAnsiTheme="minorHAnsi"/>
          <w:i/>
          <w:iCs/>
          <w:sz w:val="16"/>
          <w:szCs w:val="16"/>
        </w:rPr>
        <w:t>et al.</w:t>
      </w:r>
      <w:r w:rsidRPr="00474D42">
        <w:rPr>
          <w:rFonts w:asciiTheme="minorHAnsi" w:hAnsiTheme="minorHAnsi"/>
          <w:sz w:val="16"/>
          <w:szCs w:val="16"/>
        </w:rPr>
        <w:t xml:space="preserve">, </w:t>
      </w:r>
      <w:hyperlink r:id="rId8" w:history="1">
        <w:r w:rsidRPr="005D28B3">
          <w:rPr>
            <w:rStyle w:val="Hyperlink"/>
            <w:rFonts w:asciiTheme="minorHAnsi" w:hAnsiTheme="minorHAnsi"/>
            <w:i/>
            <w:iCs/>
            <w:color w:val="000000" w:themeColor="text1"/>
            <w:sz w:val="16"/>
            <w:szCs w:val="16"/>
            <w:u w:val="none"/>
          </w:rPr>
          <w:t>Hospital Merger Benefits: An Economic Analysis Revisited</w:t>
        </w:r>
        <w:r w:rsidRPr="005D28B3">
          <w:rPr>
            <w:rStyle w:val="Hyperlink"/>
            <w:rFonts w:asciiTheme="minorHAnsi" w:hAnsiTheme="minorHAnsi"/>
            <w:color w:val="000000" w:themeColor="text1"/>
            <w:sz w:val="16"/>
            <w:szCs w:val="16"/>
            <w:u w:val="none"/>
          </w:rPr>
          <w:t>,</w:t>
        </w:r>
      </w:hyperlink>
      <w:r w:rsidRPr="005D28B3">
        <w:rPr>
          <w:rFonts w:asciiTheme="minorHAnsi" w:hAnsiTheme="minorHAnsi"/>
          <w:color w:val="000000" w:themeColor="text1"/>
          <w:sz w:val="16"/>
          <w:szCs w:val="16"/>
        </w:rPr>
        <w:t xml:space="preserve"> </w:t>
      </w:r>
      <w:r w:rsidRPr="005D28B3">
        <w:rPr>
          <w:rFonts w:asciiTheme="minorHAnsi" w:hAnsiTheme="minorHAnsi"/>
          <w:smallCaps/>
          <w:color w:val="000000" w:themeColor="text1"/>
          <w:sz w:val="16"/>
          <w:szCs w:val="16"/>
        </w:rPr>
        <w:t xml:space="preserve">American </w:t>
      </w:r>
      <w:r w:rsidRPr="00474D42">
        <w:rPr>
          <w:rFonts w:asciiTheme="minorHAnsi" w:hAnsiTheme="minorHAnsi"/>
          <w:smallCaps/>
          <w:sz w:val="16"/>
          <w:szCs w:val="16"/>
        </w:rPr>
        <w:t>Hospital Association</w:t>
      </w:r>
      <w:r w:rsidRPr="00474D42">
        <w:rPr>
          <w:rFonts w:asciiTheme="minorHAnsi" w:hAnsiTheme="minorHAnsi"/>
          <w:sz w:val="16"/>
          <w:szCs w:val="16"/>
        </w:rPr>
        <w:t xml:space="preserve"> (Aug. 2021), </w:t>
      </w:r>
      <w:hyperlink r:id="rId9" w:history="1">
        <w:r w:rsidRPr="00474D42">
          <w:rPr>
            <w:rStyle w:val="Hyperlink"/>
            <w:rFonts w:asciiTheme="minorHAnsi" w:hAnsiTheme="minorHAnsi"/>
            <w:sz w:val="16"/>
            <w:szCs w:val="16"/>
          </w:rPr>
          <w:t>https://www.aha.org/guidesreports/2021-08-18-hospital-merger-benefits-econometric-analysis-revisited-executive-summary</w:t>
        </w:r>
      </w:hyperlink>
      <w:r w:rsidRPr="00474D42">
        <w:rPr>
          <w:rFonts w:asciiTheme="minorHAnsi" w:hAnsiTheme="minorHAnsi"/>
          <w:sz w:val="16"/>
          <w:szCs w:val="16"/>
        </w:rPr>
        <w:t xml:space="preserve">.  </w:t>
      </w:r>
    </w:p>
  </w:footnote>
  <w:footnote w:id="16">
    <w:p w14:paraId="0A0CBE2E" w14:textId="77777777" w:rsidR="00BE4378" w:rsidRPr="00D77CC4" w:rsidRDefault="00BE4378" w:rsidP="00AB6C92">
      <w:pPr>
        <w:pStyle w:val="FootnoteText"/>
        <w:rPr>
          <w:rFonts w:asciiTheme="minorHAnsi" w:hAnsiTheme="minorHAnsi" w:cs="Calibri"/>
          <w:sz w:val="16"/>
          <w:szCs w:val="16"/>
          <w:u w:val="single"/>
        </w:rPr>
      </w:pPr>
      <w:r w:rsidRPr="00D77CC4">
        <w:rPr>
          <w:rStyle w:val="FootnoteReference"/>
          <w:rFonts w:asciiTheme="minorHAnsi" w:hAnsiTheme="minorHAnsi" w:cs="Calibri"/>
          <w:sz w:val="16"/>
          <w:szCs w:val="16"/>
        </w:rPr>
        <w:footnoteRef/>
      </w:r>
      <w:r w:rsidRPr="00D77CC4">
        <w:rPr>
          <w:rFonts w:asciiTheme="minorHAnsi" w:hAnsiTheme="minorHAnsi" w:cs="Calibri"/>
          <w:sz w:val="16"/>
          <w:szCs w:val="16"/>
        </w:rPr>
        <w:t xml:space="preserve"> </w:t>
      </w:r>
      <w:hyperlink r:id="rId10" w:history="1">
        <w:r w:rsidRPr="00D77CC4">
          <w:rPr>
            <w:rStyle w:val="Hyperlink1"/>
            <w:rFonts w:asciiTheme="minorHAnsi" w:hAnsiTheme="minorHAnsi" w:cs="Calibri"/>
            <w:sz w:val="16"/>
            <w:szCs w:val="16"/>
          </w:rPr>
          <w:t>Health Policy Commission, Community Hospitals at a Crossroads</w:t>
        </w:r>
      </w:hyperlink>
      <w:r w:rsidRPr="00D77CC4">
        <w:rPr>
          <w:rFonts w:asciiTheme="minorHAnsi" w:hAnsiTheme="minorHAnsi" w:cs="Calibri"/>
          <w:sz w:val="16"/>
          <w:szCs w:val="16"/>
        </w:rPr>
        <w:t xml:space="preserve"> (March 2016),  </w:t>
      </w:r>
      <w:hyperlink r:id="rId11" w:history="1">
        <w:r w:rsidRPr="00D77CC4">
          <w:rPr>
            <w:rStyle w:val="Hyperlink1"/>
            <w:rFonts w:asciiTheme="minorHAnsi" w:hAnsiTheme="minorHAnsi" w:cs="Calibri"/>
            <w:sz w:val="16"/>
            <w:szCs w:val="16"/>
          </w:rPr>
          <w:t>https://www.mass.gov/doc/community-hospitals-at-a-crossroads-findings-from-an-examination-of-the-massachusetts-health/download</w:t>
        </w:r>
      </w:hyperlink>
      <w:r w:rsidRPr="00D77CC4">
        <w:rPr>
          <w:rFonts w:asciiTheme="minorHAnsi" w:hAnsiTheme="minorHAnsi" w:cs="Calibri"/>
          <w:sz w:val="16"/>
          <w:szCs w:val="16"/>
          <w:u w:val="single"/>
        </w:rPr>
        <w:t xml:space="preserve">.  </w:t>
      </w:r>
    </w:p>
  </w:footnote>
  <w:footnote w:id="17">
    <w:p w14:paraId="25E8AB3A" w14:textId="77777777" w:rsidR="00BE4378" w:rsidRPr="00D77CC4" w:rsidRDefault="00BE4378" w:rsidP="00AB6C92">
      <w:pPr>
        <w:pStyle w:val="FootnoteText"/>
        <w:rPr>
          <w:rFonts w:asciiTheme="minorHAnsi" w:hAnsiTheme="minorHAnsi" w:cs="Calibri"/>
          <w:sz w:val="16"/>
          <w:szCs w:val="16"/>
          <w:u w:val="single"/>
        </w:rPr>
      </w:pPr>
      <w:r w:rsidRPr="00D77CC4">
        <w:rPr>
          <w:rStyle w:val="FootnoteReference"/>
          <w:rFonts w:asciiTheme="minorHAnsi" w:hAnsiTheme="minorHAnsi" w:cs="Calibri"/>
          <w:sz w:val="16"/>
          <w:szCs w:val="16"/>
        </w:rPr>
        <w:footnoteRef/>
      </w:r>
      <w:r w:rsidRPr="00D77CC4">
        <w:rPr>
          <w:rFonts w:asciiTheme="minorHAnsi" w:hAnsiTheme="minorHAnsi" w:cs="Calibri"/>
          <w:sz w:val="16"/>
          <w:szCs w:val="16"/>
        </w:rPr>
        <w:t xml:space="preserve"> </w:t>
      </w:r>
      <w:r w:rsidRPr="00F22072">
        <w:rPr>
          <w:rFonts w:asciiTheme="minorHAnsi" w:hAnsiTheme="minorHAnsi" w:cs="Calibri"/>
          <w:i/>
          <w:iCs/>
          <w:sz w:val="16"/>
          <w:szCs w:val="16"/>
          <w:u w:val="single"/>
        </w:rPr>
        <w:t>Id.</w:t>
      </w:r>
    </w:p>
  </w:footnote>
  <w:footnote w:id="18">
    <w:p w14:paraId="797FADE1" w14:textId="77777777" w:rsidR="00BE4378" w:rsidRPr="00D77CC4" w:rsidRDefault="00BE4378" w:rsidP="00076798">
      <w:pPr>
        <w:pStyle w:val="FootnoteText"/>
        <w:rPr>
          <w:rFonts w:asciiTheme="minorHAnsi" w:hAnsiTheme="minorHAnsi" w:cs="Calibri"/>
          <w:sz w:val="16"/>
          <w:szCs w:val="16"/>
          <w:u w:val="single"/>
        </w:rPr>
      </w:pPr>
      <w:r w:rsidRPr="00D77CC4">
        <w:rPr>
          <w:rStyle w:val="FootnoteReference"/>
          <w:rFonts w:asciiTheme="minorHAnsi" w:hAnsiTheme="minorHAnsi" w:cs="Calibri"/>
          <w:sz w:val="16"/>
          <w:szCs w:val="16"/>
        </w:rPr>
        <w:footnoteRef/>
      </w:r>
      <w:r w:rsidRPr="00D77CC4">
        <w:rPr>
          <w:rFonts w:asciiTheme="minorHAnsi" w:hAnsiTheme="minorHAnsi" w:cs="Calibri"/>
          <w:sz w:val="16"/>
          <w:szCs w:val="16"/>
        </w:rPr>
        <w:t xml:space="preserve"> HealthyPeople.gov, </w:t>
      </w:r>
      <w:hyperlink r:id="rId12" w:history="1">
        <w:r w:rsidRPr="00D77CC4">
          <w:rPr>
            <w:rStyle w:val="Hyperlink1"/>
            <w:rFonts w:asciiTheme="minorHAnsi" w:hAnsiTheme="minorHAnsi" w:cs="Calibri"/>
            <w:sz w:val="16"/>
            <w:szCs w:val="16"/>
          </w:rPr>
          <w:t>Access to Health Services</w:t>
        </w:r>
      </w:hyperlink>
      <w:r w:rsidRPr="00D77CC4">
        <w:rPr>
          <w:rFonts w:asciiTheme="minorHAnsi" w:hAnsiTheme="minorHAnsi" w:cs="Calibri"/>
          <w:sz w:val="16"/>
          <w:szCs w:val="16"/>
        </w:rPr>
        <w:t xml:space="preserve"> (2020), </w:t>
      </w:r>
      <w:hyperlink r:id="rId13" w:history="1">
        <w:r w:rsidRPr="00D77CC4">
          <w:rPr>
            <w:rStyle w:val="Hyperlink1"/>
            <w:rFonts w:asciiTheme="minorHAnsi" w:hAnsiTheme="minorHAnsi" w:cs="Calibri"/>
            <w:sz w:val="16"/>
            <w:szCs w:val="16"/>
          </w:rPr>
          <w:t>https://wayback.archive-it.org/5774/20220413202227/https://www.healthypeople.gov/2020/topics-objectives/topic/Access-to-Health-Services</w:t>
        </w:r>
      </w:hyperlink>
      <w:r w:rsidRPr="00D77CC4">
        <w:rPr>
          <w:rFonts w:asciiTheme="minorHAnsi" w:hAnsiTheme="minorHAnsi" w:cs="Calibri"/>
          <w:sz w:val="16"/>
          <w:szCs w:val="16"/>
          <w:u w:val="single"/>
        </w:rPr>
        <w:t>.</w:t>
      </w:r>
      <w:hyperlink w:history="1"/>
    </w:p>
  </w:footnote>
  <w:footnote w:id="19">
    <w:p w14:paraId="323E7AC3" w14:textId="4CC65141" w:rsidR="00BE4378" w:rsidRPr="008F451E" w:rsidRDefault="00BE4378" w:rsidP="00076798">
      <w:pPr>
        <w:pStyle w:val="FootnoteText"/>
        <w:rPr>
          <w:rFonts w:asciiTheme="minorHAnsi" w:hAnsiTheme="minorHAnsi"/>
          <w:sz w:val="16"/>
          <w:szCs w:val="16"/>
        </w:rPr>
      </w:pPr>
      <w:r w:rsidRPr="008F451E">
        <w:rPr>
          <w:rStyle w:val="FootnoteReference"/>
          <w:rFonts w:asciiTheme="minorHAnsi" w:hAnsiTheme="minorHAnsi"/>
          <w:sz w:val="16"/>
          <w:szCs w:val="16"/>
        </w:rPr>
        <w:footnoteRef/>
      </w:r>
      <w:r w:rsidRPr="008F451E">
        <w:rPr>
          <w:rFonts w:asciiTheme="minorHAnsi" w:hAnsiTheme="minorHAnsi"/>
          <w:sz w:val="16"/>
          <w:szCs w:val="16"/>
        </w:rPr>
        <w:t xml:space="preserve"> </w:t>
      </w:r>
      <w:hyperlink r:id="rId14" w:history="1">
        <w:r w:rsidRPr="00F016EF">
          <w:rPr>
            <w:rStyle w:val="Hyperlink"/>
            <w:rFonts w:asciiTheme="minorHAnsi" w:hAnsiTheme="minorHAnsi"/>
            <w:i/>
            <w:iCs/>
            <w:color w:val="000000" w:themeColor="text1"/>
            <w:sz w:val="16"/>
            <w:szCs w:val="16"/>
            <w:u w:val="none"/>
          </w:rPr>
          <w:t>Top Issues Confronting Hospitals</w:t>
        </w:r>
      </w:hyperlink>
      <w:r w:rsidRPr="00F016EF">
        <w:rPr>
          <w:rFonts w:asciiTheme="minorHAnsi" w:hAnsiTheme="minorHAnsi"/>
          <w:color w:val="000000" w:themeColor="text1"/>
          <w:sz w:val="16"/>
          <w:szCs w:val="16"/>
        </w:rPr>
        <w:t xml:space="preserve">, </w:t>
      </w:r>
      <w:r w:rsidRPr="008F451E">
        <w:rPr>
          <w:rFonts w:asciiTheme="minorHAnsi" w:hAnsiTheme="minorHAnsi"/>
          <w:smallCaps/>
          <w:sz w:val="16"/>
          <w:szCs w:val="16"/>
        </w:rPr>
        <w:t>American College of Healthcare Executives</w:t>
      </w:r>
      <w:r w:rsidRPr="008F451E">
        <w:rPr>
          <w:rFonts w:asciiTheme="minorHAnsi" w:hAnsiTheme="minorHAnsi"/>
          <w:sz w:val="16"/>
          <w:szCs w:val="16"/>
        </w:rPr>
        <w:t xml:space="preserve"> (2023), </w:t>
      </w:r>
      <w:hyperlink r:id="rId15" w:history="1">
        <w:r w:rsidRPr="008F451E">
          <w:rPr>
            <w:rStyle w:val="Hyperlink"/>
            <w:rFonts w:asciiTheme="minorHAnsi" w:hAnsiTheme="minorHAnsi"/>
            <w:sz w:val="16"/>
            <w:szCs w:val="16"/>
          </w:rPr>
          <w:t>https://www.ache.org/learning-center/research/about-the-field/top-issues-confronting-hospitals</w:t>
        </w:r>
      </w:hyperlink>
      <w:r w:rsidRPr="008F451E">
        <w:rPr>
          <w:rFonts w:asciiTheme="minorHAnsi" w:hAnsiTheme="minorHAnsi"/>
          <w:sz w:val="16"/>
          <w:szCs w:val="16"/>
        </w:rPr>
        <w:t xml:space="preserve">. </w:t>
      </w:r>
    </w:p>
  </w:footnote>
  <w:footnote w:id="20">
    <w:p w14:paraId="21F86595" w14:textId="77777777" w:rsidR="00BE4378" w:rsidRPr="00D77CC4" w:rsidRDefault="00BE4378" w:rsidP="00076798">
      <w:pPr>
        <w:pStyle w:val="FootnoteText"/>
        <w:rPr>
          <w:rFonts w:asciiTheme="minorHAnsi" w:hAnsiTheme="minorHAnsi" w:cs="Calibri"/>
          <w:sz w:val="16"/>
          <w:szCs w:val="16"/>
          <w:lang w:val="es-MX"/>
        </w:rPr>
      </w:pPr>
      <w:r w:rsidRPr="00D77CC4">
        <w:rPr>
          <w:rStyle w:val="FootnoteReference"/>
          <w:rFonts w:asciiTheme="minorHAnsi" w:hAnsiTheme="minorHAnsi" w:cs="Calibri"/>
          <w:sz w:val="16"/>
          <w:szCs w:val="16"/>
        </w:rPr>
        <w:footnoteRef/>
      </w:r>
      <w:r w:rsidRPr="00FE358E">
        <w:rPr>
          <w:rFonts w:asciiTheme="minorHAnsi" w:hAnsiTheme="minorHAnsi" w:cs="Calibri"/>
          <w:sz w:val="16"/>
          <w:szCs w:val="16"/>
          <w:lang w:val="de-DE"/>
        </w:rPr>
        <w:t xml:space="preserve"> </w:t>
      </w:r>
      <w:r w:rsidRPr="00FE358E">
        <w:rPr>
          <w:rFonts w:asciiTheme="minorHAnsi" w:hAnsiTheme="minorHAnsi" w:cs="Calibri"/>
          <w:i/>
          <w:iCs/>
          <w:sz w:val="16"/>
          <w:szCs w:val="16"/>
          <w:lang w:val="de-DE"/>
        </w:rPr>
        <w:t xml:space="preserve">See </w:t>
      </w:r>
      <w:r w:rsidRPr="00FE358E">
        <w:rPr>
          <w:rFonts w:asciiTheme="minorHAnsi" w:hAnsiTheme="minorHAnsi" w:cs="Calibri"/>
          <w:sz w:val="16"/>
          <w:szCs w:val="16"/>
          <w:lang w:val="de-DE"/>
        </w:rPr>
        <w:t>J</w:t>
      </w:r>
      <w:r w:rsidRPr="00FE358E">
        <w:rPr>
          <w:rFonts w:asciiTheme="minorHAnsi" w:hAnsiTheme="minorHAnsi" w:cs="Calibri"/>
          <w:color w:val="333333"/>
          <w:sz w:val="16"/>
          <w:szCs w:val="16"/>
          <w:shd w:val="clear" w:color="auto" w:fill="FFFFFF"/>
          <w:lang w:val="de-DE"/>
        </w:rPr>
        <w:t>iang HJ</w:t>
      </w:r>
      <w:r w:rsidRPr="00FE358E">
        <w:rPr>
          <w:rStyle w:val="al-author-delim"/>
          <w:rFonts w:asciiTheme="minorHAnsi" w:hAnsiTheme="minorHAnsi" w:cs="Calibri"/>
          <w:color w:val="333333"/>
          <w:sz w:val="16"/>
          <w:szCs w:val="16"/>
          <w:shd w:val="clear" w:color="auto" w:fill="FFFFFF"/>
          <w:lang w:val="de-DE"/>
        </w:rPr>
        <w:t>, </w:t>
      </w:r>
      <w:r w:rsidRPr="00FE358E">
        <w:rPr>
          <w:rFonts w:asciiTheme="minorHAnsi" w:hAnsiTheme="minorHAnsi" w:cs="Calibri"/>
          <w:color w:val="333333"/>
          <w:sz w:val="16"/>
          <w:szCs w:val="16"/>
          <w:shd w:val="clear" w:color="auto" w:fill="FFFFFF"/>
          <w:lang w:val="de-DE"/>
        </w:rPr>
        <w:t>Fingar KR</w:t>
      </w:r>
      <w:r w:rsidRPr="00FE358E">
        <w:rPr>
          <w:rStyle w:val="al-author-delim"/>
          <w:rFonts w:asciiTheme="minorHAnsi" w:hAnsiTheme="minorHAnsi" w:cs="Calibri"/>
          <w:color w:val="333333"/>
          <w:sz w:val="16"/>
          <w:szCs w:val="16"/>
          <w:shd w:val="clear" w:color="auto" w:fill="FFFFFF"/>
          <w:lang w:val="de-DE"/>
        </w:rPr>
        <w:t>, </w:t>
      </w:r>
      <w:r w:rsidRPr="00FE358E">
        <w:rPr>
          <w:rFonts w:asciiTheme="minorHAnsi" w:hAnsiTheme="minorHAnsi" w:cs="Calibri"/>
          <w:color w:val="333333"/>
          <w:sz w:val="16"/>
          <w:szCs w:val="16"/>
          <w:shd w:val="clear" w:color="auto" w:fill="FFFFFF"/>
          <w:lang w:val="de-DE"/>
        </w:rPr>
        <w:t>Liang L</w:t>
      </w:r>
      <w:r w:rsidRPr="00FE358E">
        <w:rPr>
          <w:rStyle w:val="al-author-delim"/>
          <w:rFonts w:asciiTheme="minorHAnsi" w:hAnsiTheme="minorHAnsi" w:cs="Calibri"/>
          <w:color w:val="333333"/>
          <w:sz w:val="16"/>
          <w:szCs w:val="16"/>
          <w:shd w:val="clear" w:color="auto" w:fill="FFFFFF"/>
          <w:lang w:val="de-DE"/>
        </w:rPr>
        <w:t>, </w:t>
      </w:r>
      <w:r w:rsidRPr="00FE358E">
        <w:rPr>
          <w:rFonts w:asciiTheme="minorHAnsi" w:hAnsiTheme="minorHAnsi" w:cs="Calibri"/>
          <w:color w:val="333333"/>
          <w:sz w:val="16"/>
          <w:szCs w:val="16"/>
          <w:shd w:val="clear" w:color="auto" w:fill="FFFFFF"/>
          <w:lang w:val="de-DE"/>
        </w:rPr>
        <w:t>Henke RM</w:t>
      </w:r>
      <w:r w:rsidRPr="00FE358E">
        <w:rPr>
          <w:rStyle w:val="al-author-delim"/>
          <w:rFonts w:asciiTheme="minorHAnsi" w:hAnsiTheme="minorHAnsi" w:cs="Calibri"/>
          <w:color w:val="333333"/>
          <w:sz w:val="16"/>
          <w:szCs w:val="16"/>
          <w:shd w:val="clear" w:color="auto" w:fill="FFFFFF"/>
          <w:lang w:val="de-DE"/>
        </w:rPr>
        <w:t>, </w:t>
      </w:r>
      <w:r w:rsidRPr="00FE358E">
        <w:rPr>
          <w:rFonts w:asciiTheme="minorHAnsi" w:hAnsiTheme="minorHAnsi" w:cs="Calibri"/>
          <w:color w:val="333333"/>
          <w:sz w:val="16"/>
          <w:szCs w:val="16"/>
          <w:shd w:val="clear" w:color="auto" w:fill="FFFFFF"/>
          <w:lang w:val="de-DE"/>
        </w:rPr>
        <w:t xml:space="preserve">Gibson TP. </w:t>
      </w:r>
      <w:hyperlink r:id="rId16" w:history="1">
        <w:r w:rsidRPr="00D77CC4">
          <w:rPr>
            <w:rStyle w:val="Hyperlink1"/>
            <w:rFonts w:asciiTheme="minorHAnsi" w:hAnsiTheme="minorHAnsi" w:cs="Calibri"/>
            <w:sz w:val="16"/>
            <w:szCs w:val="16"/>
            <w:shd w:val="clear" w:color="auto" w:fill="FFFFFF"/>
          </w:rPr>
          <w:t>Quality of Care Before and After Mergers and Acquisitions of Rural Hospitals</w:t>
        </w:r>
      </w:hyperlink>
      <w:r w:rsidRPr="00D77CC4">
        <w:rPr>
          <w:rFonts w:asciiTheme="minorHAnsi" w:hAnsiTheme="minorHAnsi" w:cs="Calibri"/>
          <w:sz w:val="16"/>
          <w:szCs w:val="16"/>
          <w:shd w:val="clear" w:color="auto" w:fill="FFFFFF"/>
        </w:rPr>
        <w:t>. </w:t>
      </w:r>
      <w:r w:rsidRPr="00D77CC4">
        <w:rPr>
          <w:rStyle w:val="Emphasis"/>
          <w:rFonts w:asciiTheme="minorHAnsi" w:hAnsiTheme="minorHAnsi" w:cs="Calibri"/>
          <w:color w:val="333333"/>
          <w:sz w:val="16"/>
          <w:szCs w:val="16"/>
          <w:shd w:val="clear" w:color="auto" w:fill="FFFFFF"/>
          <w:lang w:val="es-MX"/>
        </w:rPr>
        <w:t xml:space="preserve">JAMA </w:t>
      </w:r>
      <w:proofErr w:type="spellStart"/>
      <w:r w:rsidRPr="00D77CC4">
        <w:rPr>
          <w:rStyle w:val="Emphasis"/>
          <w:rFonts w:asciiTheme="minorHAnsi" w:hAnsiTheme="minorHAnsi" w:cs="Calibri"/>
          <w:color w:val="333333"/>
          <w:sz w:val="16"/>
          <w:szCs w:val="16"/>
          <w:shd w:val="clear" w:color="auto" w:fill="FFFFFF"/>
          <w:lang w:val="es-MX"/>
        </w:rPr>
        <w:t>Netw</w:t>
      </w:r>
      <w:proofErr w:type="spellEnd"/>
      <w:r w:rsidRPr="00D77CC4">
        <w:rPr>
          <w:rStyle w:val="Emphasis"/>
          <w:rFonts w:asciiTheme="minorHAnsi" w:hAnsiTheme="minorHAnsi" w:cs="Calibri"/>
          <w:color w:val="333333"/>
          <w:sz w:val="16"/>
          <w:szCs w:val="16"/>
          <w:shd w:val="clear" w:color="auto" w:fill="FFFFFF"/>
          <w:lang w:val="es-MX"/>
        </w:rPr>
        <w:t xml:space="preserve"> Open.</w:t>
      </w:r>
      <w:r w:rsidRPr="00D77CC4">
        <w:rPr>
          <w:rFonts w:asciiTheme="minorHAnsi" w:hAnsiTheme="minorHAnsi" w:cs="Calibri"/>
          <w:color w:val="333333"/>
          <w:sz w:val="16"/>
          <w:szCs w:val="16"/>
          <w:shd w:val="clear" w:color="auto" w:fill="FFFFFF"/>
          <w:lang w:val="es-MX"/>
        </w:rPr>
        <w:t> 2021;4(9</w:t>
      </w:r>
      <w:proofErr w:type="gramStart"/>
      <w:r w:rsidRPr="00D77CC4">
        <w:rPr>
          <w:rFonts w:asciiTheme="minorHAnsi" w:hAnsiTheme="minorHAnsi" w:cs="Calibri"/>
          <w:color w:val="333333"/>
          <w:sz w:val="16"/>
          <w:szCs w:val="16"/>
          <w:shd w:val="clear" w:color="auto" w:fill="FFFFFF"/>
          <w:lang w:val="es-MX"/>
        </w:rPr>
        <w:t>):e</w:t>
      </w:r>
      <w:proofErr w:type="gramEnd"/>
      <w:r w:rsidRPr="00D77CC4">
        <w:rPr>
          <w:rFonts w:asciiTheme="minorHAnsi" w:hAnsiTheme="minorHAnsi" w:cs="Calibri"/>
          <w:color w:val="333333"/>
          <w:sz w:val="16"/>
          <w:szCs w:val="16"/>
          <w:shd w:val="clear" w:color="auto" w:fill="FFFFFF"/>
          <w:lang w:val="es-MX"/>
        </w:rPr>
        <w:t xml:space="preserve">2124662, </w:t>
      </w:r>
      <w:hyperlink r:id="rId17" w:history="1">
        <w:r w:rsidRPr="00D77CC4">
          <w:rPr>
            <w:rStyle w:val="Hyperlink1"/>
            <w:rFonts w:asciiTheme="minorHAnsi" w:hAnsiTheme="minorHAnsi" w:cs="Calibri"/>
            <w:sz w:val="16"/>
            <w:szCs w:val="16"/>
            <w:shd w:val="clear" w:color="auto" w:fill="FFFFFF"/>
            <w:lang w:val="es-MX"/>
          </w:rPr>
          <w:t>https://jamanetwork.com/journals/jamanetworkopen/fullarticle/2784342</w:t>
        </w:r>
      </w:hyperlink>
      <w:r w:rsidRPr="00D77CC4">
        <w:rPr>
          <w:rFonts w:asciiTheme="minorHAnsi" w:hAnsiTheme="minorHAnsi" w:cs="Calibri"/>
          <w:color w:val="333333"/>
          <w:sz w:val="16"/>
          <w:szCs w:val="16"/>
          <w:shd w:val="clear" w:color="auto" w:fill="FFFFFF"/>
          <w:lang w:val="es-MX"/>
        </w:rPr>
        <w:t xml:space="preserve">. </w:t>
      </w:r>
    </w:p>
  </w:footnote>
  <w:footnote w:id="21">
    <w:p w14:paraId="59ACE56E" w14:textId="0EF7BA03" w:rsidR="00BE4378" w:rsidRPr="008F451E" w:rsidRDefault="00BE4378" w:rsidP="00076798">
      <w:pPr>
        <w:pStyle w:val="FootnoteText"/>
        <w:rPr>
          <w:rFonts w:asciiTheme="minorHAnsi" w:hAnsiTheme="minorHAnsi"/>
          <w:sz w:val="16"/>
          <w:szCs w:val="16"/>
        </w:rPr>
      </w:pPr>
      <w:r w:rsidRPr="008F451E">
        <w:rPr>
          <w:rStyle w:val="FootnoteReference"/>
          <w:rFonts w:asciiTheme="minorHAnsi" w:hAnsiTheme="minorHAnsi"/>
          <w:sz w:val="16"/>
          <w:szCs w:val="16"/>
        </w:rPr>
        <w:footnoteRef/>
      </w:r>
      <w:r w:rsidRPr="008F451E">
        <w:rPr>
          <w:rFonts w:asciiTheme="minorHAnsi" w:hAnsiTheme="minorHAnsi"/>
          <w:sz w:val="16"/>
          <w:szCs w:val="16"/>
        </w:rPr>
        <w:t xml:space="preserve"> Gianfranco Damiani et al., </w:t>
      </w:r>
      <w:hyperlink r:id="rId18" w:history="1">
        <w:r w:rsidRPr="00E365FF">
          <w:rPr>
            <w:rStyle w:val="Hyperlink"/>
            <w:rFonts w:asciiTheme="minorHAnsi" w:hAnsiTheme="minorHAnsi"/>
            <w:i/>
            <w:iCs/>
            <w:color w:val="000000" w:themeColor="text1"/>
            <w:sz w:val="16"/>
            <w:szCs w:val="16"/>
            <w:u w:val="none"/>
          </w:rPr>
          <w:t>The Short Stay Unit as a new option for hospitals: A review of the scientific literature</w:t>
        </w:r>
        <w:r w:rsidRPr="00E365FF">
          <w:rPr>
            <w:rStyle w:val="Hyperlink"/>
            <w:rFonts w:asciiTheme="minorHAnsi" w:hAnsiTheme="minorHAnsi"/>
            <w:color w:val="000000" w:themeColor="text1"/>
            <w:sz w:val="16"/>
            <w:szCs w:val="16"/>
            <w:u w:val="none"/>
          </w:rPr>
          <w:t>,</w:t>
        </w:r>
      </w:hyperlink>
      <w:r w:rsidRPr="00E365FF">
        <w:rPr>
          <w:rFonts w:asciiTheme="minorHAnsi" w:hAnsiTheme="minorHAnsi"/>
          <w:color w:val="000000" w:themeColor="text1"/>
          <w:sz w:val="16"/>
          <w:szCs w:val="16"/>
        </w:rPr>
        <w:t xml:space="preserve"> 17 MEDICAL SCIENCE MONITOR SR15 (2011), </w:t>
      </w:r>
      <w:r w:rsidRPr="00E365FF">
        <w:rPr>
          <w:rFonts w:asciiTheme="minorHAnsi" w:hAnsiTheme="minorHAnsi"/>
          <w:i/>
          <w:iCs/>
          <w:color w:val="000000" w:themeColor="text1"/>
          <w:sz w:val="16"/>
          <w:szCs w:val="16"/>
        </w:rPr>
        <w:t xml:space="preserve">available at </w:t>
      </w:r>
      <w:hyperlink r:id="rId19" w:history="1">
        <w:r w:rsidR="006504B6" w:rsidRPr="00E365FF">
          <w:rPr>
            <w:rStyle w:val="Hyperlink"/>
            <w:rFonts w:asciiTheme="minorHAnsi" w:hAnsiTheme="minorHAnsi"/>
            <w:color w:val="000000" w:themeColor="text1"/>
            <w:sz w:val="16"/>
            <w:szCs w:val="16"/>
            <w:u w:val="none"/>
          </w:rPr>
          <w:t>https://www.ncbi.nlm.nih.gov/pmc/articles/PMC3539545/</w:t>
        </w:r>
      </w:hyperlink>
      <w:r w:rsidR="006504B6" w:rsidRPr="00E365FF">
        <w:rPr>
          <w:rFonts w:asciiTheme="minorHAnsi" w:hAnsiTheme="minorHAnsi"/>
          <w:color w:val="000000" w:themeColor="text1"/>
          <w:sz w:val="16"/>
          <w:szCs w:val="16"/>
        </w:rPr>
        <w:t xml:space="preserve"> </w:t>
      </w:r>
      <w:r w:rsidRPr="00E365FF">
        <w:rPr>
          <w:rFonts w:asciiTheme="minorHAnsi" w:hAnsiTheme="minorHAnsi"/>
          <w:color w:val="000000" w:themeColor="text1"/>
          <w:sz w:val="16"/>
          <w:szCs w:val="16"/>
        </w:rPr>
        <w:t>.</w:t>
      </w:r>
    </w:p>
  </w:footnote>
  <w:footnote w:id="22">
    <w:p w14:paraId="58EA9B2E" w14:textId="77777777" w:rsidR="00BE4378" w:rsidRPr="008F451E" w:rsidRDefault="00BE4378" w:rsidP="00076798">
      <w:pPr>
        <w:pStyle w:val="FootnoteText"/>
        <w:rPr>
          <w:rFonts w:asciiTheme="minorHAnsi" w:hAnsiTheme="minorHAnsi"/>
          <w:sz w:val="16"/>
          <w:szCs w:val="16"/>
        </w:rPr>
      </w:pPr>
      <w:r w:rsidRPr="008F451E">
        <w:rPr>
          <w:rStyle w:val="FootnoteReference"/>
          <w:rFonts w:asciiTheme="minorHAnsi" w:hAnsiTheme="minorHAnsi"/>
          <w:sz w:val="16"/>
          <w:szCs w:val="16"/>
        </w:rPr>
        <w:footnoteRef/>
      </w:r>
      <w:r w:rsidRPr="008F451E">
        <w:rPr>
          <w:rFonts w:asciiTheme="minorHAnsi" w:hAnsiTheme="minorHAnsi"/>
          <w:sz w:val="16"/>
          <w:szCs w:val="16"/>
        </w:rPr>
        <w:t xml:space="preserve"> </w:t>
      </w:r>
      <w:r w:rsidRPr="008F451E">
        <w:rPr>
          <w:rFonts w:asciiTheme="minorHAnsi" w:hAnsiTheme="minorHAnsi"/>
          <w:i/>
          <w:iCs/>
          <w:sz w:val="16"/>
          <w:szCs w:val="16"/>
        </w:rPr>
        <w:t>Id.</w:t>
      </w:r>
    </w:p>
  </w:footnote>
  <w:footnote w:id="23">
    <w:p w14:paraId="3B5014F8" w14:textId="79E17751" w:rsidR="00BE4378" w:rsidRPr="008F451E" w:rsidRDefault="00BE4378" w:rsidP="00076798">
      <w:pPr>
        <w:pStyle w:val="FootnoteText"/>
        <w:rPr>
          <w:rFonts w:asciiTheme="minorHAnsi" w:hAnsiTheme="minorHAnsi"/>
          <w:sz w:val="16"/>
          <w:szCs w:val="16"/>
        </w:rPr>
      </w:pPr>
      <w:r w:rsidRPr="008F451E">
        <w:rPr>
          <w:rStyle w:val="FootnoteReference"/>
          <w:rFonts w:asciiTheme="minorHAnsi" w:hAnsiTheme="minorHAnsi"/>
          <w:sz w:val="16"/>
          <w:szCs w:val="16"/>
        </w:rPr>
        <w:footnoteRef/>
      </w:r>
      <w:r w:rsidRPr="008F451E">
        <w:rPr>
          <w:rFonts w:asciiTheme="minorHAnsi" w:hAnsiTheme="minorHAnsi"/>
          <w:sz w:val="16"/>
          <w:szCs w:val="16"/>
        </w:rPr>
        <w:t xml:space="preserve"> E.P. </w:t>
      </w:r>
      <w:proofErr w:type="spellStart"/>
      <w:r w:rsidRPr="008F451E">
        <w:rPr>
          <w:rFonts w:asciiTheme="minorHAnsi" w:hAnsiTheme="minorHAnsi"/>
          <w:sz w:val="16"/>
          <w:szCs w:val="16"/>
        </w:rPr>
        <w:t>Mseke</w:t>
      </w:r>
      <w:proofErr w:type="spellEnd"/>
      <w:r w:rsidRPr="008F451E">
        <w:rPr>
          <w:rFonts w:asciiTheme="minorHAnsi" w:hAnsiTheme="minorHAnsi"/>
          <w:sz w:val="16"/>
          <w:szCs w:val="16"/>
        </w:rPr>
        <w:t xml:space="preserve"> et al., </w:t>
      </w:r>
      <w:hyperlink r:id="rId20" w:history="1">
        <w:r w:rsidRPr="00557AA7">
          <w:rPr>
            <w:rStyle w:val="Hyperlink"/>
            <w:rFonts w:asciiTheme="minorHAnsi" w:hAnsiTheme="minorHAnsi"/>
            <w:i/>
            <w:iCs/>
            <w:color w:val="000000" w:themeColor="text1"/>
            <w:sz w:val="16"/>
            <w:szCs w:val="16"/>
            <w:u w:val="none"/>
          </w:rPr>
          <w:t>Impact Of Distance And/Or Travel Time On Healthcare Service Access In Rural And Remote Areas: A Scoping Review</w:t>
        </w:r>
      </w:hyperlink>
      <w:r w:rsidRPr="00557AA7">
        <w:rPr>
          <w:rFonts w:asciiTheme="minorHAnsi" w:hAnsiTheme="minorHAnsi"/>
          <w:color w:val="000000" w:themeColor="text1"/>
          <w:sz w:val="16"/>
          <w:szCs w:val="16"/>
        </w:rPr>
        <w:t xml:space="preserve">, </w:t>
      </w:r>
      <w:r w:rsidRPr="008F451E">
        <w:rPr>
          <w:rFonts w:asciiTheme="minorHAnsi" w:hAnsiTheme="minorHAnsi"/>
          <w:sz w:val="16"/>
          <w:szCs w:val="16"/>
        </w:rPr>
        <w:t xml:space="preserve">37 Journal of Transport &amp; Health 101819 (July 2024), </w:t>
      </w:r>
      <w:hyperlink r:id="rId21" w:history="1">
        <w:r w:rsidRPr="008F451E">
          <w:rPr>
            <w:rStyle w:val="Hyperlink"/>
            <w:rFonts w:asciiTheme="minorHAnsi" w:hAnsiTheme="minorHAnsi"/>
            <w:sz w:val="16"/>
            <w:szCs w:val="16"/>
          </w:rPr>
          <w:t>https://www.sciencedirect.com/science/article/pii/S2214140524000653</w:t>
        </w:r>
      </w:hyperlink>
      <w:r>
        <w:rPr>
          <w:rFonts w:asciiTheme="minorHAnsi" w:hAnsiTheme="minorHAnsi"/>
          <w:sz w:val="16"/>
          <w:szCs w:val="16"/>
        </w:rPr>
        <w:t xml:space="preserve">; </w:t>
      </w:r>
      <w:r>
        <w:rPr>
          <w:rFonts w:asciiTheme="minorHAnsi" w:hAnsiTheme="minorHAnsi"/>
          <w:i/>
          <w:iCs/>
          <w:sz w:val="16"/>
          <w:szCs w:val="16"/>
        </w:rPr>
        <w:t xml:space="preserve">see also </w:t>
      </w:r>
      <w:hyperlink r:id="rId22" w:anchor=":~:text=Traveling%20to%20receive%20healthcare%20services,ability%20to%20access%20healthcare%20services" w:history="1">
        <w:r w:rsidRPr="00557AA7">
          <w:rPr>
            <w:rStyle w:val="Hyperlink"/>
            <w:rFonts w:asciiTheme="minorHAnsi" w:hAnsiTheme="minorHAnsi"/>
            <w:i/>
            <w:iCs/>
            <w:color w:val="000000" w:themeColor="text1"/>
            <w:sz w:val="16"/>
            <w:szCs w:val="16"/>
            <w:u w:val="none"/>
          </w:rPr>
          <w:t>Healthcare Access In Rural Communities</w:t>
        </w:r>
      </w:hyperlink>
      <w:r w:rsidRPr="00557AA7">
        <w:rPr>
          <w:rFonts w:asciiTheme="minorHAnsi" w:hAnsiTheme="minorHAnsi"/>
          <w:color w:val="000000" w:themeColor="text1"/>
          <w:sz w:val="16"/>
          <w:szCs w:val="16"/>
        </w:rPr>
        <w:t xml:space="preserve">, </w:t>
      </w:r>
      <w:proofErr w:type="spellStart"/>
      <w:r w:rsidRPr="00557AA7">
        <w:rPr>
          <w:rFonts w:asciiTheme="minorHAnsi" w:hAnsiTheme="minorHAnsi"/>
          <w:smallCaps/>
          <w:color w:val="000000" w:themeColor="text1"/>
          <w:sz w:val="16"/>
          <w:szCs w:val="16"/>
        </w:rPr>
        <w:t>RHIhub</w:t>
      </w:r>
      <w:proofErr w:type="spellEnd"/>
      <w:r w:rsidRPr="00557AA7">
        <w:rPr>
          <w:rFonts w:asciiTheme="minorHAnsi" w:hAnsiTheme="minorHAnsi"/>
          <w:color w:val="000000" w:themeColor="text1"/>
          <w:sz w:val="16"/>
          <w:szCs w:val="16"/>
        </w:rPr>
        <w:t xml:space="preserve"> </w:t>
      </w:r>
      <w:r>
        <w:rPr>
          <w:rFonts w:asciiTheme="minorHAnsi" w:hAnsiTheme="minorHAnsi"/>
          <w:sz w:val="16"/>
          <w:szCs w:val="16"/>
        </w:rPr>
        <w:t xml:space="preserve">(Dec. 19, 2024), </w:t>
      </w:r>
      <w:hyperlink r:id="rId23" w:history="1">
        <w:r w:rsidR="00557AA7" w:rsidRPr="001B01D2">
          <w:rPr>
            <w:rStyle w:val="Hyperlink"/>
            <w:rFonts w:asciiTheme="minorHAnsi" w:hAnsiTheme="minorHAnsi"/>
            <w:sz w:val="16"/>
            <w:szCs w:val="16"/>
          </w:rPr>
          <w:t>https://www.ruralhealthinfo.org/topics/healthcare-access#:~:text=Traveling%20to%20receive%20healthcare%20services,ability%20to%20access%20healthcare%20services</w:t>
        </w:r>
      </w:hyperlink>
      <w:r w:rsidR="00557AA7">
        <w:rPr>
          <w:rFonts w:asciiTheme="minorHAnsi" w:hAnsiTheme="minorHAnsi"/>
          <w:sz w:val="16"/>
          <w:szCs w:val="16"/>
        </w:rPr>
        <w:t xml:space="preserve"> </w:t>
      </w:r>
      <w:r w:rsidRPr="00C755B4">
        <w:rPr>
          <w:rFonts w:asciiTheme="minorHAnsi" w:hAnsiTheme="minorHAnsi"/>
          <w:sz w:val="16"/>
          <w:szCs w:val="16"/>
        </w:rPr>
        <w:t>.</w:t>
      </w:r>
    </w:p>
  </w:footnote>
  <w:footnote w:id="24">
    <w:p w14:paraId="0A413F18" w14:textId="52729ED2" w:rsidR="00BE4378" w:rsidRPr="008F451E" w:rsidRDefault="00BE4378" w:rsidP="00076798">
      <w:pPr>
        <w:pStyle w:val="FootnoteText"/>
        <w:rPr>
          <w:rFonts w:asciiTheme="minorHAnsi" w:hAnsiTheme="minorHAnsi"/>
          <w:sz w:val="16"/>
          <w:szCs w:val="16"/>
        </w:rPr>
      </w:pPr>
      <w:r w:rsidRPr="008F451E">
        <w:rPr>
          <w:rStyle w:val="FootnoteReference"/>
          <w:rFonts w:asciiTheme="minorHAnsi" w:hAnsiTheme="minorHAnsi"/>
          <w:sz w:val="16"/>
          <w:szCs w:val="16"/>
        </w:rPr>
        <w:footnoteRef/>
      </w:r>
      <w:r w:rsidRPr="008F451E">
        <w:rPr>
          <w:rFonts w:asciiTheme="minorHAnsi" w:hAnsiTheme="minorHAnsi"/>
          <w:sz w:val="16"/>
          <w:szCs w:val="16"/>
        </w:rPr>
        <w:t xml:space="preserve"> </w:t>
      </w:r>
      <w:hyperlink r:id="rId24" w:history="1">
        <w:r w:rsidRPr="00574D3E">
          <w:rPr>
            <w:rStyle w:val="Hyperlink"/>
            <w:rFonts w:asciiTheme="minorHAnsi" w:hAnsiTheme="minorHAnsi"/>
            <w:i/>
            <w:iCs/>
            <w:color w:val="000000" w:themeColor="text1"/>
            <w:sz w:val="16"/>
            <w:szCs w:val="16"/>
            <w:u w:val="none"/>
          </w:rPr>
          <w:t>New Flexibility Under the Medicare Conditions of Participation: A Single Medical Staff Option For A Multi-Hospital System And Other Changes</w:t>
        </w:r>
      </w:hyperlink>
      <w:r w:rsidRPr="00574D3E">
        <w:rPr>
          <w:rFonts w:asciiTheme="minorHAnsi" w:hAnsiTheme="minorHAnsi"/>
          <w:color w:val="000000" w:themeColor="text1"/>
          <w:sz w:val="16"/>
          <w:szCs w:val="16"/>
        </w:rPr>
        <w:t xml:space="preserve">, </w:t>
      </w:r>
      <w:r w:rsidRPr="00574D3E">
        <w:rPr>
          <w:rFonts w:asciiTheme="minorHAnsi" w:hAnsiTheme="minorHAnsi"/>
          <w:smallCaps/>
          <w:color w:val="000000" w:themeColor="text1"/>
          <w:sz w:val="16"/>
          <w:szCs w:val="16"/>
        </w:rPr>
        <w:t xml:space="preserve">JD </w:t>
      </w:r>
      <w:r w:rsidRPr="008F451E">
        <w:rPr>
          <w:rFonts w:asciiTheme="minorHAnsi" w:hAnsiTheme="minorHAnsi"/>
          <w:smallCaps/>
          <w:sz w:val="16"/>
          <w:szCs w:val="16"/>
        </w:rPr>
        <w:t>Supra</w:t>
      </w:r>
      <w:r w:rsidRPr="008F451E">
        <w:rPr>
          <w:rFonts w:asciiTheme="minorHAnsi" w:hAnsiTheme="minorHAnsi"/>
          <w:sz w:val="16"/>
          <w:szCs w:val="16"/>
        </w:rPr>
        <w:t xml:space="preserve"> (Jul. 16, 2014), </w:t>
      </w:r>
      <w:hyperlink r:id="rId25" w:history="1">
        <w:r w:rsidRPr="008F451E">
          <w:rPr>
            <w:rStyle w:val="Hyperlink"/>
            <w:rFonts w:asciiTheme="minorHAnsi" w:hAnsiTheme="minorHAnsi"/>
            <w:sz w:val="16"/>
            <w:szCs w:val="16"/>
          </w:rPr>
          <w:t>https://www.jdsupra.com/legalnews/new-flexibility-under-the-medicare-condi-15734/</w:t>
        </w:r>
      </w:hyperlink>
      <w:r w:rsidRPr="008F451E">
        <w:rPr>
          <w:rFonts w:asciiTheme="minorHAnsi" w:hAnsiTheme="minorHAnsi"/>
          <w:sz w:val="16"/>
          <w:szCs w:val="16"/>
        </w:rPr>
        <w:t xml:space="preserve">. </w:t>
      </w:r>
    </w:p>
  </w:footnote>
  <w:footnote w:id="25">
    <w:p w14:paraId="041E3CC3" w14:textId="387ABE23" w:rsidR="00BE4378" w:rsidRPr="00474D42" w:rsidRDefault="00BE4378" w:rsidP="00076798">
      <w:pPr>
        <w:pStyle w:val="FootnoteText"/>
        <w:rPr>
          <w:rFonts w:asciiTheme="minorHAnsi" w:hAnsiTheme="minorHAnsi"/>
          <w:sz w:val="16"/>
          <w:szCs w:val="16"/>
        </w:rPr>
      </w:pPr>
      <w:r w:rsidRPr="00474D42">
        <w:rPr>
          <w:rStyle w:val="FootnoteReference"/>
          <w:rFonts w:asciiTheme="minorHAnsi" w:hAnsiTheme="minorHAnsi"/>
          <w:sz w:val="16"/>
          <w:szCs w:val="16"/>
        </w:rPr>
        <w:footnoteRef/>
      </w:r>
      <w:r w:rsidRPr="00474D42">
        <w:rPr>
          <w:rFonts w:asciiTheme="minorHAnsi" w:hAnsiTheme="minorHAnsi"/>
          <w:sz w:val="16"/>
          <w:szCs w:val="16"/>
        </w:rPr>
        <w:t xml:space="preserve"> Deborah A. Datte and Robin Lock</w:t>
      </w:r>
      <w:r w:rsidRPr="00FA39E0">
        <w:rPr>
          <w:rFonts w:asciiTheme="minorHAnsi" w:hAnsiTheme="minorHAnsi"/>
          <w:color w:val="000000" w:themeColor="text1"/>
          <w:sz w:val="16"/>
          <w:szCs w:val="16"/>
        </w:rPr>
        <w:t xml:space="preserve">e Nagele, </w:t>
      </w:r>
      <w:hyperlink r:id="rId26" w:history="1">
        <w:r w:rsidRPr="00FA39E0">
          <w:rPr>
            <w:rStyle w:val="Hyperlink"/>
            <w:rFonts w:asciiTheme="minorHAnsi" w:hAnsiTheme="minorHAnsi"/>
            <w:i/>
            <w:iCs/>
            <w:color w:val="000000" w:themeColor="text1"/>
            <w:sz w:val="16"/>
            <w:szCs w:val="16"/>
            <w:u w:val="none"/>
          </w:rPr>
          <w:t>Legal And Practical Challenges Of Maintaining A Unified Medical Staff In A Multi-Hospital System</w:t>
        </w:r>
      </w:hyperlink>
      <w:r w:rsidRPr="00FA39E0">
        <w:rPr>
          <w:rFonts w:asciiTheme="minorHAnsi" w:hAnsiTheme="minorHAnsi"/>
          <w:color w:val="000000" w:themeColor="text1"/>
          <w:sz w:val="16"/>
          <w:szCs w:val="16"/>
        </w:rPr>
        <w:t xml:space="preserve">, </w:t>
      </w:r>
      <w:r w:rsidRPr="00FA39E0">
        <w:rPr>
          <w:rFonts w:asciiTheme="minorHAnsi" w:hAnsiTheme="minorHAnsi"/>
          <w:smallCaps/>
          <w:color w:val="000000" w:themeColor="text1"/>
          <w:sz w:val="16"/>
          <w:szCs w:val="16"/>
        </w:rPr>
        <w:t xml:space="preserve">Bloomberg </w:t>
      </w:r>
      <w:r w:rsidRPr="00474D42">
        <w:rPr>
          <w:rFonts w:asciiTheme="minorHAnsi" w:hAnsiTheme="minorHAnsi"/>
          <w:smallCaps/>
          <w:sz w:val="16"/>
          <w:szCs w:val="16"/>
        </w:rPr>
        <w:t>Law</w:t>
      </w:r>
      <w:r w:rsidRPr="00474D42">
        <w:rPr>
          <w:rFonts w:asciiTheme="minorHAnsi" w:hAnsiTheme="minorHAnsi"/>
          <w:sz w:val="16"/>
          <w:szCs w:val="16"/>
        </w:rPr>
        <w:t xml:space="preserve"> (Jan. 2017), </w:t>
      </w:r>
      <w:hyperlink r:id="rId27" w:history="1">
        <w:r w:rsidRPr="00474D42">
          <w:rPr>
            <w:rStyle w:val="Hyperlink"/>
            <w:rFonts w:asciiTheme="minorHAnsi" w:hAnsiTheme="minorHAnsi"/>
            <w:sz w:val="16"/>
            <w:szCs w:val="16"/>
          </w:rPr>
          <w:t>https://www.bloomberglaw.com/external/document/XEN73QDK000000/health-care-operations-compliance-professional-perspective-legal</w:t>
        </w:r>
      </w:hyperlink>
      <w:r w:rsidRPr="00474D42">
        <w:rPr>
          <w:rFonts w:asciiTheme="minorHAnsi" w:hAnsiTheme="minorHAnsi"/>
          <w:sz w:val="16"/>
          <w:szCs w:val="16"/>
        </w:rPr>
        <w:t>.</w:t>
      </w:r>
    </w:p>
  </w:footnote>
  <w:footnote w:id="26">
    <w:p w14:paraId="170DAB6E" w14:textId="77777777" w:rsidR="00BE4378" w:rsidRPr="00474D42" w:rsidRDefault="00BE4378" w:rsidP="00076798">
      <w:pPr>
        <w:pStyle w:val="FootnoteText"/>
        <w:rPr>
          <w:rFonts w:asciiTheme="minorHAnsi" w:hAnsiTheme="minorHAnsi"/>
          <w:sz w:val="16"/>
          <w:szCs w:val="16"/>
        </w:rPr>
      </w:pPr>
      <w:r w:rsidRPr="00474D42">
        <w:rPr>
          <w:rStyle w:val="FootnoteReference"/>
          <w:rFonts w:asciiTheme="minorHAnsi" w:hAnsiTheme="minorHAnsi"/>
          <w:sz w:val="16"/>
          <w:szCs w:val="16"/>
        </w:rPr>
        <w:footnoteRef/>
      </w:r>
      <w:r w:rsidRPr="00474D42">
        <w:rPr>
          <w:rFonts w:asciiTheme="minorHAnsi" w:hAnsiTheme="minorHAnsi"/>
          <w:sz w:val="16"/>
          <w:szCs w:val="16"/>
        </w:rPr>
        <w:t xml:space="preserve"> </w:t>
      </w:r>
      <w:r w:rsidRPr="008F451E">
        <w:rPr>
          <w:rFonts w:asciiTheme="minorHAnsi" w:hAnsiTheme="minorHAnsi"/>
          <w:i/>
          <w:iCs/>
          <w:sz w:val="16"/>
          <w:szCs w:val="16"/>
        </w:rPr>
        <w:t>Id.</w:t>
      </w:r>
    </w:p>
  </w:footnote>
  <w:footnote w:id="27">
    <w:p w14:paraId="02766359" w14:textId="183BDA55" w:rsidR="00BE4378" w:rsidRPr="00474D42" w:rsidRDefault="00BE4378" w:rsidP="00076798">
      <w:pPr>
        <w:pStyle w:val="FootnoteText"/>
        <w:rPr>
          <w:rFonts w:asciiTheme="minorHAnsi" w:hAnsiTheme="minorHAnsi"/>
          <w:sz w:val="16"/>
          <w:szCs w:val="16"/>
        </w:rPr>
      </w:pPr>
      <w:r w:rsidRPr="00474D42">
        <w:rPr>
          <w:rStyle w:val="FootnoteReference"/>
          <w:rFonts w:asciiTheme="minorHAnsi" w:hAnsiTheme="minorHAnsi"/>
          <w:sz w:val="16"/>
          <w:szCs w:val="16"/>
        </w:rPr>
        <w:footnoteRef/>
      </w:r>
      <w:r w:rsidRPr="00474D42">
        <w:rPr>
          <w:rFonts w:asciiTheme="minorHAnsi" w:hAnsiTheme="minorHAnsi"/>
          <w:sz w:val="16"/>
          <w:szCs w:val="16"/>
        </w:rPr>
        <w:t xml:space="preserve"> Sally Pelletier and Mary Hoppa, </w:t>
      </w:r>
      <w:hyperlink r:id="rId28" w:history="1">
        <w:r w:rsidRPr="002F5FD4">
          <w:rPr>
            <w:rStyle w:val="Hyperlink"/>
            <w:rFonts w:asciiTheme="minorHAnsi" w:hAnsiTheme="minorHAnsi"/>
            <w:i/>
            <w:iCs/>
            <w:color w:val="000000" w:themeColor="text1"/>
            <w:sz w:val="16"/>
            <w:szCs w:val="16"/>
            <w:u w:val="none"/>
          </w:rPr>
          <w:t>Simplifying Administrative Requirements To Benefit Patients, Physicians, And Systems</w:t>
        </w:r>
      </w:hyperlink>
      <w:r w:rsidRPr="002F5FD4">
        <w:rPr>
          <w:rFonts w:asciiTheme="minorHAnsi" w:hAnsiTheme="minorHAnsi"/>
          <w:color w:val="000000" w:themeColor="text1"/>
          <w:sz w:val="16"/>
          <w:szCs w:val="16"/>
        </w:rPr>
        <w:t xml:space="preserve">, </w:t>
      </w:r>
      <w:r w:rsidRPr="002F5FD4">
        <w:rPr>
          <w:rFonts w:asciiTheme="minorHAnsi" w:hAnsiTheme="minorHAnsi"/>
          <w:smallCaps/>
          <w:color w:val="000000" w:themeColor="text1"/>
          <w:sz w:val="16"/>
          <w:szCs w:val="16"/>
        </w:rPr>
        <w:t>Greeley</w:t>
      </w:r>
      <w:r w:rsidRPr="002F5FD4">
        <w:rPr>
          <w:rFonts w:asciiTheme="minorHAnsi" w:hAnsiTheme="minorHAnsi"/>
          <w:color w:val="000000" w:themeColor="text1"/>
          <w:sz w:val="16"/>
          <w:szCs w:val="16"/>
        </w:rPr>
        <w:t xml:space="preserve"> </w:t>
      </w:r>
      <w:r w:rsidRPr="00474D42">
        <w:rPr>
          <w:rFonts w:asciiTheme="minorHAnsi" w:hAnsiTheme="minorHAnsi"/>
          <w:sz w:val="16"/>
          <w:szCs w:val="16"/>
        </w:rPr>
        <w:t xml:space="preserve">(2024), </w:t>
      </w:r>
      <w:hyperlink r:id="rId29" w:history="1">
        <w:r w:rsidR="00CD57FC" w:rsidRPr="001B01D2">
          <w:rPr>
            <w:rStyle w:val="Hyperlink"/>
            <w:rFonts w:asciiTheme="minorHAnsi" w:hAnsiTheme="minorHAnsi"/>
            <w:sz w:val="16"/>
            <w:szCs w:val="16"/>
          </w:rPr>
          <w:t>https://www.greeley.com/insights/system-wide-medical-staff-integration</w:t>
        </w:r>
      </w:hyperlink>
      <w:r w:rsidR="00CD57FC">
        <w:rPr>
          <w:rFonts w:asciiTheme="minorHAnsi" w:hAnsiTheme="minorHAnsi"/>
          <w:sz w:val="16"/>
          <w:szCs w:val="16"/>
        </w:rPr>
        <w:t xml:space="preserve"> </w:t>
      </w:r>
      <w:r w:rsidRPr="00474D42">
        <w:rPr>
          <w:rFonts w:asciiTheme="minorHAnsi" w:hAnsiTheme="minorHAnsi"/>
          <w:sz w:val="16"/>
          <w:szCs w:val="16"/>
        </w:rPr>
        <w:t>.</w:t>
      </w:r>
    </w:p>
  </w:footnote>
  <w:footnote w:id="28">
    <w:p w14:paraId="12CDEC48" w14:textId="4E88796A" w:rsidR="00BE4378" w:rsidRPr="00474D42" w:rsidRDefault="00BE4378" w:rsidP="00076798">
      <w:pPr>
        <w:pStyle w:val="FootnoteText"/>
        <w:rPr>
          <w:rFonts w:asciiTheme="minorHAnsi" w:hAnsiTheme="minorHAnsi"/>
          <w:sz w:val="16"/>
          <w:szCs w:val="16"/>
        </w:rPr>
      </w:pPr>
      <w:r w:rsidRPr="00474D42">
        <w:rPr>
          <w:rStyle w:val="FootnoteReference"/>
          <w:rFonts w:asciiTheme="minorHAnsi" w:hAnsiTheme="minorHAnsi"/>
          <w:sz w:val="16"/>
          <w:szCs w:val="16"/>
        </w:rPr>
        <w:footnoteRef/>
      </w:r>
      <w:r w:rsidRPr="00474D42">
        <w:rPr>
          <w:rFonts w:asciiTheme="minorHAnsi" w:hAnsiTheme="minorHAnsi"/>
          <w:sz w:val="16"/>
          <w:szCs w:val="16"/>
        </w:rPr>
        <w:t xml:space="preserve"> </w:t>
      </w:r>
      <w:hyperlink r:id="rId30" w:history="1">
        <w:r w:rsidRPr="002F5FD4">
          <w:rPr>
            <w:rStyle w:val="Hyperlink"/>
            <w:rFonts w:asciiTheme="minorHAnsi" w:hAnsiTheme="minorHAnsi"/>
            <w:i/>
            <w:iCs/>
            <w:color w:val="000000" w:themeColor="text1"/>
            <w:sz w:val="16"/>
            <w:szCs w:val="16"/>
            <w:u w:val="none"/>
          </w:rPr>
          <w:t>The Value Of Hospital-At-Home Programs For Healthcare Systems And Payers</w:t>
        </w:r>
        <w:r w:rsidRPr="002F5FD4">
          <w:rPr>
            <w:rStyle w:val="Hyperlink"/>
            <w:rFonts w:asciiTheme="minorHAnsi" w:hAnsiTheme="minorHAnsi"/>
            <w:color w:val="000000" w:themeColor="text1"/>
            <w:sz w:val="16"/>
            <w:szCs w:val="16"/>
            <w:u w:val="none"/>
          </w:rPr>
          <w:t>,</w:t>
        </w:r>
      </w:hyperlink>
      <w:r w:rsidRPr="002F5FD4">
        <w:rPr>
          <w:rFonts w:asciiTheme="minorHAnsi" w:hAnsiTheme="minorHAnsi"/>
          <w:color w:val="000000" w:themeColor="text1"/>
          <w:sz w:val="16"/>
          <w:szCs w:val="16"/>
        </w:rPr>
        <w:t xml:space="preserve"> </w:t>
      </w:r>
      <w:r w:rsidRPr="002F5FD4">
        <w:rPr>
          <w:rFonts w:asciiTheme="minorHAnsi" w:hAnsiTheme="minorHAnsi"/>
          <w:smallCaps/>
          <w:color w:val="000000" w:themeColor="text1"/>
          <w:sz w:val="16"/>
          <w:szCs w:val="16"/>
        </w:rPr>
        <w:t xml:space="preserve">Inbound </w:t>
      </w:r>
      <w:r w:rsidRPr="00474D42">
        <w:rPr>
          <w:rFonts w:asciiTheme="minorHAnsi" w:hAnsiTheme="minorHAnsi"/>
          <w:smallCaps/>
          <w:sz w:val="16"/>
          <w:szCs w:val="16"/>
        </w:rPr>
        <w:t>Health</w:t>
      </w:r>
      <w:r w:rsidRPr="00474D42">
        <w:rPr>
          <w:rFonts w:asciiTheme="minorHAnsi" w:hAnsiTheme="minorHAnsi"/>
          <w:sz w:val="16"/>
          <w:szCs w:val="16"/>
        </w:rPr>
        <w:t xml:space="preserve"> (Sept. 6, 2024), </w:t>
      </w:r>
      <w:hyperlink r:id="rId31" w:history="1">
        <w:r w:rsidRPr="00474D42">
          <w:rPr>
            <w:rStyle w:val="Hyperlink"/>
            <w:rFonts w:asciiTheme="minorHAnsi" w:hAnsiTheme="minorHAnsi"/>
            <w:sz w:val="16"/>
            <w:szCs w:val="16"/>
          </w:rPr>
          <w:t>https://inboundhealth.com/the-value-of-hospital-at-home-programs-for-healthcare-systems-and-payers/</w:t>
        </w:r>
      </w:hyperlink>
      <w:r w:rsidRPr="00474D42">
        <w:rPr>
          <w:rFonts w:asciiTheme="minorHAnsi" w:hAnsiTheme="minorHAnsi"/>
          <w:sz w:val="16"/>
          <w:szCs w:val="16"/>
        </w:rPr>
        <w:t xml:space="preserve">. </w:t>
      </w:r>
    </w:p>
  </w:footnote>
  <w:footnote w:id="29">
    <w:p w14:paraId="00EE3A50" w14:textId="6403FAB6" w:rsidR="00BE4378" w:rsidRPr="00474D42" w:rsidRDefault="00BE4378" w:rsidP="00076798">
      <w:pPr>
        <w:pStyle w:val="FootnoteText"/>
        <w:rPr>
          <w:rFonts w:asciiTheme="minorHAnsi" w:hAnsiTheme="minorHAnsi"/>
          <w:sz w:val="16"/>
          <w:szCs w:val="16"/>
        </w:rPr>
      </w:pPr>
      <w:r w:rsidRPr="00474D42">
        <w:rPr>
          <w:rStyle w:val="FootnoteReference"/>
          <w:rFonts w:asciiTheme="minorHAnsi" w:hAnsiTheme="minorHAnsi"/>
          <w:sz w:val="16"/>
          <w:szCs w:val="16"/>
        </w:rPr>
        <w:footnoteRef/>
      </w:r>
      <w:r w:rsidRPr="00474D42">
        <w:rPr>
          <w:rFonts w:asciiTheme="minorHAnsi" w:hAnsiTheme="minorHAnsi"/>
          <w:sz w:val="16"/>
          <w:szCs w:val="16"/>
        </w:rPr>
        <w:t xml:space="preserve"> Aditya Achanta and David E. Velasquez, </w:t>
      </w:r>
      <w:hyperlink r:id="rId32" w:history="1">
        <w:r w:rsidRPr="00D85E6B">
          <w:rPr>
            <w:rStyle w:val="Hyperlink"/>
            <w:rFonts w:asciiTheme="minorHAnsi" w:hAnsiTheme="minorHAnsi"/>
            <w:i/>
            <w:iCs/>
            <w:color w:val="000000" w:themeColor="text1"/>
            <w:sz w:val="16"/>
            <w:szCs w:val="16"/>
            <w:u w:val="none"/>
          </w:rPr>
          <w:t>Hospital At Home: Paying For What It's Worth</w:t>
        </w:r>
        <w:r w:rsidRPr="00D85E6B">
          <w:rPr>
            <w:rStyle w:val="Hyperlink"/>
            <w:rFonts w:asciiTheme="minorHAnsi" w:hAnsiTheme="minorHAnsi"/>
            <w:color w:val="000000" w:themeColor="text1"/>
            <w:sz w:val="16"/>
            <w:szCs w:val="16"/>
            <w:u w:val="none"/>
          </w:rPr>
          <w:t>,</w:t>
        </w:r>
      </w:hyperlink>
      <w:r w:rsidRPr="00D85E6B">
        <w:rPr>
          <w:rFonts w:asciiTheme="minorHAnsi" w:hAnsiTheme="minorHAnsi"/>
          <w:color w:val="000000" w:themeColor="text1"/>
          <w:sz w:val="16"/>
          <w:szCs w:val="16"/>
        </w:rPr>
        <w:t xml:space="preserve"> </w:t>
      </w:r>
      <w:r w:rsidRPr="00D85E6B">
        <w:rPr>
          <w:rFonts w:asciiTheme="minorHAnsi" w:hAnsiTheme="minorHAnsi"/>
          <w:smallCaps/>
          <w:color w:val="000000" w:themeColor="text1"/>
          <w:sz w:val="16"/>
          <w:szCs w:val="16"/>
        </w:rPr>
        <w:t xml:space="preserve">American </w:t>
      </w:r>
      <w:r w:rsidRPr="00474D42">
        <w:rPr>
          <w:rFonts w:asciiTheme="minorHAnsi" w:hAnsiTheme="minorHAnsi"/>
          <w:smallCaps/>
          <w:sz w:val="16"/>
          <w:szCs w:val="16"/>
        </w:rPr>
        <w:t>Journal of Managed Care</w:t>
      </w:r>
      <w:r w:rsidRPr="00474D42">
        <w:rPr>
          <w:rFonts w:asciiTheme="minorHAnsi" w:hAnsiTheme="minorHAnsi"/>
          <w:sz w:val="16"/>
          <w:szCs w:val="16"/>
        </w:rPr>
        <w:t xml:space="preserve"> (Sept. 10, 2021), </w:t>
      </w:r>
      <w:hyperlink r:id="rId33" w:history="1">
        <w:r w:rsidRPr="00474D42">
          <w:rPr>
            <w:rStyle w:val="Hyperlink"/>
            <w:rFonts w:asciiTheme="minorHAnsi" w:hAnsiTheme="minorHAnsi"/>
            <w:sz w:val="16"/>
            <w:szCs w:val="16"/>
          </w:rPr>
          <w:t>https://www.ajmc.com/view/hospital-at-home-paying-for-what-it-s-worth</w:t>
        </w:r>
      </w:hyperlink>
      <w:r w:rsidRPr="00474D42">
        <w:rPr>
          <w:rFonts w:asciiTheme="minorHAnsi" w:hAnsiTheme="minorHAnsi"/>
          <w:sz w:val="16"/>
          <w:szCs w:val="16"/>
        </w:rPr>
        <w:t>.</w:t>
      </w:r>
    </w:p>
  </w:footnote>
  <w:footnote w:id="30">
    <w:p w14:paraId="4E3FC35D" w14:textId="168A8C6B" w:rsidR="00BE4378" w:rsidRPr="00474D42" w:rsidRDefault="00BE4378" w:rsidP="00076798">
      <w:pPr>
        <w:pStyle w:val="FootnoteText"/>
        <w:rPr>
          <w:rFonts w:asciiTheme="minorHAnsi" w:hAnsiTheme="minorHAnsi"/>
          <w:sz w:val="16"/>
          <w:szCs w:val="16"/>
        </w:rPr>
      </w:pPr>
      <w:r w:rsidRPr="00474D42">
        <w:rPr>
          <w:rStyle w:val="FootnoteReference"/>
          <w:rFonts w:asciiTheme="minorHAnsi" w:hAnsiTheme="minorHAnsi"/>
          <w:sz w:val="16"/>
          <w:szCs w:val="16"/>
        </w:rPr>
        <w:footnoteRef/>
      </w:r>
      <w:r w:rsidRPr="00474D42">
        <w:rPr>
          <w:rFonts w:asciiTheme="minorHAnsi" w:hAnsiTheme="minorHAnsi"/>
          <w:sz w:val="16"/>
          <w:szCs w:val="16"/>
        </w:rPr>
        <w:t xml:space="preserve"> </w:t>
      </w:r>
      <w:hyperlink r:id="rId34" w:history="1">
        <w:r w:rsidRPr="00884D27">
          <w:rPr>
            <w:rStyle w:val="Hyperlink"/>
            <w:rFonts w:asciiTheme="minorHAnsi" w:hAnsiTheme="minorHAnsi"/>
            <w:i/>
            <w:iCs/>
            <w:color w:val="000000" w:themeColor="text1"/>
            <w:sz w:val="16"/>
            <w:szCs w:val="16"/>
            <w:u w:val="none"/>
          </w:rPr>
          <w:t>Hospital At Home</w:t>
        </w:r>
        <w:r w:rsidRPr="00884D27">
          <w:rPr>
            <w:rStyle w:val="Hyperlink"/>
            <w:rFonts w:asciiTheme="minorHAnsi" w:hAnsiTheme="minorHAnsi"/>
            <w:color w:val="000000" w:themeColor="text1"/>
            <w:sz w:val="16"/>
            <w:szCs w:val="16"/>
            <w:u w:val="none"/>
          </w:rPr>
          <w:t>,</w:t>
        </w:r>
      </w:hyperlink>
      <w:r w:rsidRPr="00884D27">
        <w:rPr>
          <w:rFonts w:asciiTheme="minorHAnsi" w:hAnsiTheme="minorHAnsi"/>
          <w:color w:val="000000" w:themeColor="text1"/>
          <w:sz w:val="16"/>
          <w:szCs w:val="16"/>
        </w:rPr>
        <w:t xml:space="preserve"> </w:t>
      </w:r>
      <w:r w:rsidRPr="00884D27">
        <w:rPr>
          <w:rFonts w:asciiTheme="minorHAnsi" w:hAnsiTheme="minorHAnsi"/>
          <w:smallCaps/>
          <w:color w:val="000000" w:themeColor="text1"/>
          <w:sz w:val="16"/>
          <w:szCs w:val="16"/>
        </w:rPr>
        <w:t xml:space="preserve">Johns </w:t>
      </w:r>
      <w:r w:rsidRPr="00474D42">
        <w:rPr>
          <w:rFonts w:asciiTheme="minorHAnsi" w:hAnsiTheme="minorHAnsi"/>
          <w:smallCaps/>
          <w:sz w:val="16"/>
          <w:szCs w:val="16"/>
        </w:rPr>
        <w:t>Hopkins Medicine</w:t>
      </w:r>
      <w:r w:rsidRPr="00474D42">
        <w:rPr>
          <w:rFonts w:asciiTheme="minorHAnsi" w:hAnsiTheme="minorHAnsi"/>
          <w:sz w:val="16"/>
          <w:szCs w:val="16"/>
        </w:rPr>
        <w:t xml:space="preserve">, </w:t>
      </w:r>
      <w:hyperlink r:id="rId35" w:history="1">
        <w:r w:rsidR="00884D27" w:rsidRPr="001B01D2">
          <w:rPr>
            <w:rStyle w:val="Hyperlink"/>
            <w:rFonts w:asciiTheme="minorHAnsi" w:hAnsiTheme="minorHAnsi"/>
            <w:sz w:val="16"/>
            <w:szCs w:val="16"/>
          </w:rPr>
          <w:t>https://www.johnshopkinssolutions.com/solution/hospital-at-home/</w:t>
        </w:r>
      </w:hyperlink>
      <w:r w:rsidR="00884D27">
        <w:rPr>
          <w:rFonts w:asciiTheme="minorHAnsi" w:hAnsiTheme="minorHAnsi"/>
          <w:sz w:val="16"/>
          <w:szCs w:val="16"/>
        </w:rPr>
        <w:t xml:space="preserve"> </w:t>
      </w:r>
      <w:r w:rsidRPr="00474D42">
        <w:rPr>
          <w:rFonts w:asciiTheme="minorHAnsi" w:hAnsiTheme="minorHAnsi"/>
          <w:sz w:val="16"/>
          <w:szCs w:val="16"/>
        </w:rPr>
        <w:t>.</w:t>
      </w:r>
    </w:p>
  </w:footnote>
  <w:footnote w:id="31">
    <w:p w14:paraId="7F369861" w14:textId="0C73A947" w:rsidR="00BE4378" w:rsidRPr="00474D42" w:rsidRDefault="00BE4378" w:rsidP="00076798">
      <w:pPr>
        <w:pStyle w:val="FootnoteText"/>
        <w:rPr>
          <w:rFonts w:asciiTheme="minorHAnsi" w:hAnsiTheme="minorHAnsi"/>
          <w:sz w:val="16"/>
          <w:szCs w:val="16"/>
        </w:rPr>
      </w:pPr>
      <w:r w:rsidRPr="00474D42">
        <w:rPr>
          <w:rStyle w:val="FootnoteReference"/>
          <w:rFonts w:asciiTheme="minorHAnsi" w:hAnsiTheme="minorHAnsi"/>
          <w:sz w:val="16"/>
          <w:szCs w:val="16"/>
        </w:rPr>
        <w:footnoteRef/>
      </w:r>
      <w:r w:rsidRPr="00474D42">
        <w:rPr>
          <w:rFonts w:asciiTheme="minorHAnsi" w:hAnsiTheme="minorHAnsi"/>
          <w:sz w:val="16"/>
          <w:szCs w:val="16"/>
        </w:rPr>
        <w:t xml:space="preserve"> </w:t>
      </w:r>
      <w:hyperlink r:id="rId36" w:history="1">
        <w:r w:rsidRPr="00E57958">
          <w:rPr>
            <w:rStyle w:val="Hyperlink"/>
            <w:rFonts w:asciiTheme="minorHAnsi" w:hAnsiTheme="minorHAnsi"/>
            <w:i/>
            <w:iCs/>
            <w:color w:val="000000" w:themeColor="text1"/>
            <w:sz w:val="16"/>
            <w:szCs w:val="16"/>
            <w:u w:val="none"/>
          </w:rPr>
          <w:t>The Value Of Hospital-At-Home Programs For Healthcare Systems And Payers</w:t>
        </w:r>
        <w:r w:rsidRPr="00E57958">
          <w:rPr>
            <w:rStyle w:val="Hyperlink"/>
            <w:rFonts w:asciiTheme="minorHAnsi" w:hAnsiTheme="minorHAnsi"/>
            <w:color w:val="000000" w:themeColor="text1"/>
            <w:sz w:val="16"/>
            <w:szCs w:val="16"/>
            <w:u w:val="none"/>
          </w:rPr>
          <w:t>,</w:t>
        </w:r>
      </w:hyperlink>
      <w:r w:rsidRPr="00E57958">
        <w:rPr>
          <w:rFonts w:asciiTheme="minorHAnsi" w:hAnsiTheme="minorHAnsi"/>
          <w:color w:val="000000" w:themeColor="text1"/>
          <w:sz w:val="16"/>
          <w:szCs w:val="16"/>
        </w:rPr>
        <w:t xml:space="preserve"> </w:t>
      </w:r>
      <w:r w:rsidRPr="00E57958">
        <w:rPr>
          <w:rFonts w:asciiTheme="minorHAnsi" w:hAnsiTheme="minorHAnsi"/>
          <w:smallCaps/>
          <w:color w:val="000000" w:themeColor="text1"/>
          <w:sz w:val="16"/>
          <w:szCs w:val="16"/>
        </w:rPr>
        <w:t xml:space="preserve">Inbound </w:t>
      </w:r>
      <w:r w:rsidRPr="00474D42">
        <w:rPr>
          <w:rFonts w:asciiTheme="minorHAnsi" w:hAnsiTheme="minorHAnsi"/>
          <w:smallCaps/>
          <w:sz w:val="16"/>
          <w:szCs w:val="16"/>
        </w:rPr>
        <w:t>Health</w:t>
      </w:r>
      <w:r w:rsidRPr="00474D42">
        <w:rPr>
          <w:rFonts w:asciiTheme="minorHAnsi" w:hAnsiTheme="minorHAnsi"/>
          <w:sz w:val="16"/>
          <w:szCs w:val="16"/>
        </w:rPr>
        <w:t xml:space="preserve"> (Sept. 6, 2024), </w:t>
      </w:r>
      <w:hyperlink r:id="rId37" w:history="1">
        <w:r w:rsidRPr="00474D42">
          <w:rPr>
            <w:rStyle w:val="Hyperlink"/>
            <w:rFonts w:asciiTheme="minorHAnsi" w:hAnsiTheme="minorHAnsi"/>
            <w:sz w:val="16"/>
            <w:szCs w:val="16"/>
          </w:rPr>
          <w:t>https://inboundhealth.com/the-value-of-hospital-at-home-programs-for-healthcare-systems-and-payers/</w:t>
        </w:r>
      </w:hyperlink>
      <w:r w:rsidRPr="00474D42">
        <w:rPr>
          <w:rFonts w:asciiTheme="minorHAnsi" w:hAnsiTheme="minorHAnsi"/>
          <w:sz w:val="16"/>
          <w:szCs w:val="16"/>
        </w:rPr>
        <w:t>.</w:t>
      </w:r>
    </w:p>
  </w:footnote>
  <w:footnote w:id="32">
    <w:p w14:paraId="6C80C57C" w14:textId="121F197A" w:rsidR="00BE4378" w:rsidRPr="00474D42" w:rsidRDefault="00BE4378" w:rsidP="00076798">
      <w:pPr>
        <w:pStyle w:val="FootnoteText"/>
        <w:rPr>
          <w:rFonts w:asciiTheme="minorHAnsi" w:hAnsiTheme="minorHAnsi"/>
          <w:sz w:val="16"/>
          <w:szCs w:val="16"/>
        </w:rPr>
      </w:pPr>
      <w:r w:rsidRPr="00474D42">
        <w:rPr>
          <w:rStyle w:val="FootnoteReference"/>
          <w:rFonts w:asciiTheme="minorHAnsi" w:hAnsiTheme="minorHAnsi"/>
          <w:sz w:val="16"/>
          <w:szCs w:val="16"/>
        </w:rPr>
        <w:footnoteRef/>
      </w:r>
      <w:r w:rsidRPr="00474D42">
        <w:rPr>
          <w:rFonts w:asciiTheme="minorHAnsi" w:hAnsiTheme="minorHAnsi"/>
          <w:sz w:val="16"/>
          <w:szCs w:val="16"/>
        </w:rPr>
        <w:t xml:space="preserve"> </w:t>
      </w:r>
      <w:hyperlink r:id="rId38" w:history="1">
        <w:r w:rsidRPr="00684774">
          <w:rPr>
            <w:rStyle w:val="Hyperlink"/>
            <w:rFonts w:asciiTheme="minorHAnsi" w:hAnsiTheme="minorHAnsi"/>
            <w:i/>
            <w:iCs/>
            <w:color w:val="000000" w:themeColor="text1"/>
            <w:sz w:val="16"/>
            <w:szCs w:val="16"/>
            <w:u w:val="none"/>
          </w:rPr>
          <w:t>Providers Betting Big On Future Of Hospital At Home</w:t>
        </w:r>
      </w:hyperlink>
      <w:r w:rsidRPr="00684774">
        <w:rPr>
          <w:rFonts w:asciiTheme="minorHAnsi" w:hAnsiTheme="minorHAnsi"/>
          <w:color w:val="000000" w:themeColor="text1"/>
          <w:sz w:val="16"/>
          <w:szCs w:val="16"/>
        </w:rPr>
        <w:t xml:space="preserve">, </w:t>
      </w:r>
      <w:r w:rsidRPr="00684774">
        <w:rPr>
          <w:rFonts w:asciiTheme="minorHAnsi" w:hAnsiTheme="minorHAnsi"/>
          <w:smallCaps/>
          <w:color w:val="000000" w:themeColor="text1"/>
          <w:sz w:val="16"/>
          <w:szCs w:val="16"/>
        </w:rPr>
        <w:t xml:space="preserve">American </w:t>
      </w:r>
      <w:r w:rsidRPr="00474D42">
        <w:rPr>
          <w:rFonts w:asciiTheme="minorHAnsi" w:hAnsiTheme="minorHAnsi"/>
          <w:smallCaps/>
          <w:sz w:val="16"/>
          <w:szCs w:val="16"/>
        </w:rPr>
        <w:t>Hospital Association</w:t>
      </w:r>
      <w:r w:rsidRPr="00474D42">
        <w:rPr>
          <w:rFonts w:asciiTheme="minorHAnsi" w:hAnsiTheme="minorHAnsi"/>
          <w:sz w:val="16"/>
          <w:szCs w:val="16"/>
        </w:rPr>
        <w:t xml:space="preserve">, </w:t>
      </w:r>
      <w:hyperlink r:id="rId39" w:history="1">
        <w:r w:rsidR="00684774" w:rsidRPr="001B01D2">
          <w:rPr>
            <w:rStyle w:val="Hyperlink"/>
            <w:rFonts w:asciiTheme="minorHAnsi" w:hAnsiTheme="minorHAnsi"/>
            <w:sz w:val="16"/>
            <w:szCs w:val="16"/>
          </w:rPr>
          <w:t>https://www.aha.org/aha-center-health-innovation-market-scan/2024-04-09-providers-betting-big-future-hospital-home</w:t>
        </w:r>
      </w:hyperlink>
      <w:r w:rsidR="00684774">
        <w:rPr>
          <w:rFonts w:asciiTheme="minorHAnsi" w:hAnsiTheme="minorHAnsi"/>
          <w:sz w:val="16"/>
          <w:szCs w:val="16"/>
        </w:rPr>
        <w:t xml:space="preserve"> </w:t>
      </w:r>
      <w:r w:rsidRPr="00474D42">
        <w:rPr>
          <w:rFonts w:asciiTheme="minorHAnsi" w:hAnsiTheme="minorHAnsi"/>
          <w:sz w:val="16"/>
          <w:szCs w:val="16"/>
        </w:rPr>
        <w:t>.</w:t>
      </w:r>
    </w:p>
  </w:footnote>
  <w:footnote w:id="33">
    <w:p w14:paraId="232516D1" w14:textId="10A8C22E" w:rsidR="00BE4378" w:rsidRPr="00474D42" w:rsidRDefault="00BE4378" w:rsidP="00076798">
      <w:pPr>
        <w:pStyle w:val="FootnoteText"/>
        <w:rPr>
          <w:rFonts w:asciiTheme="minorHAnsi" w:hAnsiTheme="minorHAnsi"/>
          <w:sz w:val="16"/>
          <w:szCs w:val="16"/>
        </w:rPr>
      </w:pPr>
      <w:r w:rsidRPr="00474D42">
        <w:rPr>
          <w:rStyle w:val="FootnoteReference"/>
          <w:rFonts w:asciiTheme="minorHAnsi" w:hAnsiTheme="minorHAnsi"/>
          <w:sz w:val="16"/>
          <w:szCs w:val="16"/>
        </w:rPr>
        <w:footnoteRef/>
      </w:r>
      <w:r w:rsidRPr="00474D42">
        <w:rPr>
          <w:rFonts w:asciiTheme="minorHAnsi" w:hAnsiTheme="minorHAnsi"/>
          <w:sz w:val="16"/>
          <w:szCs w:val="16"/>
        </w:rPr>
        <w:t xml:space="preserve"> </w:t>
      </w:r>
      <w:r w:rsidRPr="00474D42">
        <w:rPr>
          <w:rFonts w:asciiTheme="minorHAnsi" w:hAnsiTheme="minorHAnsi"/>
          <w:i/>
          <w:iCs/>
          <w:sz w:val="16"/>
          <w:szCs w:val="16"/>
        </w:rPr>
        <w:t>Id</w:t>
      </w:r>
      <w:r w:rsidRPr="00474D42">
        <w:rPr>
          <w:rFonts w:asciiTheme="minorHAnsi" w:hAnsiTheme="minorHAnsi"/>
          <w:sz w:val="16"/>
          <w:szCs w:val="16"/>
        </w:rPr>
        <w:t xml:space="preserve">; </w:t>
      </w:r>
      <w:r w:rsidRPr="00474D42">
        <w:rPr>
          <w:rFonts w:asciiTheme="minorHAnsi" w:hAnsiTheme="minorHAnsi"/>
          <w:i/>
          <w:iCs/>
          <w:sz w:val="16"/>
          <w:szCs w:val="16"/>
        </w:rPr>
        <w:t xml:space="preserve">see also </w:t>
      </w:r>
      <w:r w:rsidRPr="00474D42">
        <w:rPr>
          <w:rFonts w:asciiTheme="minorHAnsi" w:hAnsiTheme="minorHAnsi"/>
          <w:sz w:val="16"/>
          <w:szCs w:val="16"/>
        </w:rPr>
        <w:t xml:space="preserve">Bruce Leff </w:t>
      </w:r>
      <w:r w:rsidRPr="00474D42">
        <w:rPr>
          <w:rFonts w:asciiTheme="minorHAnsi" w:hAnsiTheme="minorHAnsi"/>
          <w:i/>
          <w:iCs/>
          <w:sz w:val="16"/>
          <w:szCs w:val="16"/>
        </w:rPr>
        <w:t>et al.</w:t>
      </w:r>
      <w:r w:rsidRPr="00474D42">
        <w:rPr>
          <w:rFonts w:asciiTheme="minorHAnsi" w:hAnsiTheme="minorHAnsi"/>
          <w:sz w:val="16"/>
          <w:szCs w:val="16"/>
        </w:rPr>
        <w:t>,</w:t>
      </w:r>
      <w:r w:rsidRPr="00684774">
        <w:rPr>
          <w:rFonts w:asciiTheme="minorHAnsi" w:hAnsiTheme="minorHAnsi"/>
          <w:color w:val="000000" w:themeColor="text1"/>
          <w:sz w:val="16"/>
          <w:szCs w:val="16"/>
        </w:rPr>
        <w:t xml:space="preserve"> </w:t>
      </w:r>
      <w:hyperlink r:id="rId40" w:history="1">
        <w:r w:rsidRPr="00684774">
          <w:rPr>
            <w:rStyle w:val="Hyperlink"/>
            <w:rFonts w:asciiTheme="minorHAnsi" w:hAnsiTheme="minorHAnsi"/>
            <w:i/>
            <w:iCs/>
            <w:color w:val="000000" w:themeColor="text1"/>
            <w:sz w:val="16"/>
            <w:szCs w:val="16"/>
            <w:u w:val="none"/>
          </w:rPr>
          <w:t>Hospital at Home: Feasibility and Outcomes of a Program to Provide Hospital-Level Care At Home For Acutely Ill Older Patients</w:t>
        </w:r>
      </w:hyperlink>
      <w:r w:rsidRPr="00684774">
        <w:rPr>
          <w:rFonts w:asciiTheme="minorHAnsi" w:hAnsiTheme="minorHAnsi"/>
          <w:color w:val="000000" w:themeColor="text1"/>
          <w:sz w:val="16"/>
          <w:szCs w:val="16"/>
        </w:rPr>
        <w:t xml:space="preserve">, </w:t>
      </w:r>
      <w:r w:rsidRPr="00684774">
        <w:rPr>
          <w:rFonts w:asciiTheme="minorHAnsi" w:hAnsiTheme="minorHAnsi"/>
          <w:smallCaps/>
          <w:color w:val="000000" w:themeColor="text1"/>
          <w:sz w:val="16"/>
          <w:szCs w:val="16"/>
        </w:rPr>
        <w:t xml:space="preserve">Annals </w:t>
      </w:r>
      <w:r w:rsidRPr="00474D42">
        <w:rPr>
          <w:rFonts w:asciiTheme="minorHAnsi" w:hAnsiTheme="minorHAnsi"/>
          <w:smallCaps/>
          <w:sz w:val="16"/>
          <w:szCs w:val="16"/>
        </w:rPr>
        <w:t>of Internal Medicine</w:t>
      </w:r>
      <w:r w:rsidRPr="00474D42">
        <w:rPr>
          <w:rFonts w:asciiTheme="minorHAnsi" w:hAnsiTheme="minorHAnsi"/>
          <w:sz w:val="16"/>
          <w:szCs w:val="16"/>
        </w:rPr>
        <w:t xml:space="preserve"> (Dec. 6, 2005), </w:t>
      </w:r>
      <w:hyperlink r:id="rId41" w:history="1">
        <w:r w:rsidRPr="00474D42">
          <w:rPr>
            <w:rStyle w:val="Hyperlink"/>
            <w:rFonts w:asciiTheme="minorHAnsi" w:hAnsiTheme="minorHAnsi"/>
            <w:sz w:val="16"/>
            <w:szCs w:val="16"/>
          </w:rPr>
          <w:t>https://pubmed.ncbi.nlm.nih.gov/16330791/</w:t>
        </w:r>
      </w:hyperlink>
      <w:r w:rsidRPr="00474D42">
        <w:rPr>
          <w:rFonts w:asciiTheme="minorHAnsi" w:hAnsiTheme="minorHAnsi"/>
          <w:sz w:val="16"/>
          <w:szCs w:val="16"/>
        </w:rPr>
        <w:t xml:space="preserve">; Gideon A Caplan et al., </w:t>
      </w:r>
      <w:hyperlink r:id="rId42" w:history="1">
        <w:r w:rsidRPr="009B700A">
          <w:rPr>
            <w:rStyle w:val="Hyperlink"/>
            <w:rFonts w:asciiTheme="minorHAnsi" w:hAnsiTheme="minorHAnsi"/>
            <w:i/>
            <w:iCs/>
            <w:color w:val="000000" w:themeColor="text1"/>
            <w:sz w:val="16"/>
            <w:szCs w:val="16"/>
            <w:u w:val="none"/>
          </w:rPr>
          <w:t>A Meta-Analysis of "Hospital In The Home"</w:t>
        </w:r>
        <w:r w:rsidRPr="009B700A">
          <w:rPr>
            <w:rStyle w:val="Hyperlink"/>
            <w:rFonts w:asciiTheme="minorHAnsi" w:hAnsiTheme="minorHAnsi"/>
            <w:color w:val="000000" w:themeColor="text1"/>
            <w:sz w:val="16"/>
            <w:szCs w:val="16"/>
            <w:u w:val="none"/>
          </w:rPr>
          <w:t>,</w:t>
        </w:r>
      </w:hyperlink>
      <w:r w:rsidRPr="009B700A">
        <w:rPr>
          <w:rFonts w:asciiTheme="minorHAnsi" w:hAnsiTheme="minorHAnsi"/>
          <w:color w:val="000000" w:themeColor="text1"/>
          <w:sz w:val="16"/>
          <w:szCs w:val="16"/>
        </w:rPr>
        <w:t xml:space="preserve"> </w:t>
      </w:r>
      <w:r w:rsidRPr="009B700A">
        <w:rPr>
          <w:rFonts w:asciiTheme="minorHAnsi" w:hAnsiTheme="minorHAnsi"/>
          <w:smallCaps/>
          <w:color w:val="000000" w:themeColor="text1"/>
          <w:sz w:val="16"/>
          <w:szCs w:val="16"/>
        </w:rPr>
        <w:t xml:space="preserve">Medical </w:t>
      </w:r>
      <w:r w:rsidRPr="00474D42">
        <w:rPr>
          <w:rFonts w:asciiTheme="minorHAnsi" w:hAnsiTheme="minorHAnsi"/>
          <w:smallCaps/>
          <w:sz w:val="16"/>
          <w:szCs w:val="16"/>
        </w:rPr>
        <w:t>Journal of Australia</w:t>
      </w:r>
      <w:r w:rsidRPr="00474D42">
        <w:rPr>
          <w:rFonts w:asciiTheme="minorHAnsi" w:hAnsiTheme="minorHAnsi"/>
          <w:sz w:val="16"/>
          <w:szCs w:val="16"/>
        </w:rPr>
        <w:t xml:space="preserve"> (Nov. 5, 2012), </w:t>
      </w:r>
      <w:hyperlink r:id="rId43" w:history="1">
        <w:r w:rsidRPr="00474D42">
          <w:rPr>
            <w:rStyle w:val="Hyperlink"/>
            <w:rFonts w:asciiTheme="minorHAnsi" w:hAnsiTheme="minorHAnsi"/>
            <w:sz w:val="16"/>
            <w:szCs w:val="16"/>
          </w:rPr>
          <w:t>https://onlinelibrary.wiley.com/doi/full/10.5694/mja12.10480</w:t>
        </w:r>
      </w:hyperlink>
      <w:r w:rsidRPr="00474D42">
        <w:rPr>
          <w:rFonts w:asciiTheme="minorHAnsi" w:hAnsiTheme="minorHAnsi"/>
          <w:sz w:val="16"/>
          <w:szCs w:val="16"/>
        </w:rPr>
        <w:t>.</w:t>
      </w:r>
    </w:p>
  </w:footnote>
  <w:footnote w:id="34">
    <w:p w14:paraId="20EE3812" w14:textId="167E8526" w:rsidR="006A4DF4" w:rsidRPr="006A4DF4" w:rsidRDefault="006A4DF4">
      <w:pPr>
        <w:pStyle w:val="FootnoteText"/>
      </w:pPr>
      <w:r w:rsidRPr="006A4DF4">
        <w:rPr>
          <w:rStyle w:val="FootnoteReference"/>
          <w:sz w:val="16"/>
          <w:szCs w:val="16"/>
        </w:rPr>
        <w:footnoteRef/>
      </w:r>
      <w:r w:rsidRPr="006A4DF4">
        <w:rPr>
          <w:sz w:val="16"/>
          <w:szCs w:val="16"/>
        </w:rPr>
        <w:t xml:space="preserve"> </w:t>
      </w:r>
      <w:r>
        <w:rPr>
          <w:sz w:val="16"/>
          <w:szCs w:val="16"/>
        </w:rPr>
        <w:t xml:space="preserve">All baselines provided reflect </w:t>
      </w:r>
      <w:r w:rsidRPr="006A4DF4">
        <w:rPr>
          <w:sz w:val="16"/>
          <w:szCs w:val="16"/>
        </w:rPr>
        <w:t>FY2024</w:t>
      </w:r>
      <w:r>
        <w:rPr>
          <w:sz w:val="16"/>
          <w:szCs w:val="16"/>
        </w:rPr>
        <w:t xml:space="preserve"> results. </w:t>
      </w:r>
    </w:p>
  </w:footnote>
  <w:footnote w:id="35">
    <w:p w14:paraId="7E84F236" w14:textId="2EC59A13" w:rsidR="00BE4378" w:rsidRPr="00E05B20" w:rsidRDefault="00BE4378" w:rsidP="00076798">
      <w:pPr>
        <w:pStyle w:val="FootnoteText"/>
        <w:rPr>
          <w:rFonts w:cstheme="minorHAnsi"/>
          <w:sz w:val="16"/>
          <w:szCs w:val="16"/>
          <w:u w:val="single"/>
        </w:rPr>
      </w:pPr>
      <w:r w:rsidRPr="00E05B20">
        <w:rPr>
          <w:rStyle w:val="FootnoteReference"/>
          <w:rFonts w:cstheme="minorHAnsi"/>
          <w:sz w:val="16"/>
          <w:szCs w:val="16"/>
        </w:rPr>
        <w:footnoteRef/>
      </w:r>
      <w:r w:rsidRPr="00E05B20">
        <w:rPr>
          <w:rFonts w:cstheme="minorHAnsi"/>
          <w:sz w:val="16"/>
          <w:szCs w:val="16"/>
        </w:rPr>
        <w:t xml:space="preserve"> </w:t>
      </w:r>
      <w:r w:rsidRPr="00E05B20">
        <w:rPr>
          <w:rFonts w:cstheme="minorHAnsi"/>
          <w:i/>
          <w:iCs/>
          <w:sz w:val="16"/>
          <w:szCs w:val="16"/>
        </w:rPr>
        <w:t>See</w:t>
      </w:r>
      <w:r w:rsidRPr="00E05B20">
        <w:rPr>
          <w:rFonts w:cstheme="minorHAnsi"/>
          <w:sz w:val="16"/>
          <w:szCs w:val="16"/>
        </w:rPr>
        <w:t xml:space="preserve"> </w:t>
      </w:r>
      <w:hyperlink r:id="rId44" w:history="1">
        <w:r w:rsidRPr="005214E6">
          <w:rPr>
            <w:rFonts w:asciiTheme="minorHAnsi" w:eastAsia="PMingLiU" w:hAnsiTheme="minorHAnsi"/>
            <w:sz w:val="21"/>
            <w:szCs w:val="21"/>
          </w:rPr>
          <w:t xml:space="preserve"> </w:t>
        </w:r>
        <w:r w:rsidRPr="005214E6">
          <w:rPr>
            <w:rFonts w:asciiTheme="minorHAnsi" w:eastAsia="PMingLiU" w:hAnsiTheme="minorHAnsi"/>
            <w:sz w:val="16"/>
            <w:szCs w:val="16"/>
          </w:rPr>
          <w:t>UMass Memorial</w:t>
        </w:r>
        <w:r w:rsidRPr="00E05B20">
          <w:rPr>
            <w:rStyle w:val="Hyperlink"/>
            <w:rFonts w:cstheme="minorHAnsi"/>
            <w:sz w:val="16"/>
            <w:szCs w:val="16"/>
          </w:rPr>
          <w:t>, Anchor Mission</w:t>
        </w:r>
      </w:hyperlink>
      <w:r w:rsidRPr="00E05B20">
        <w:rPr>
          <w:rFonts w:cstheme="minorHAnsi"/>
          <w:sz w:val="16"/>
          <w:szCs w:val="16"/>
        </w:rPr>
        <w:t xml:space="preserve">, </w:t>
      </w:r>
      <w:hyperlink r:id="rId45" w:history="1">
        <w:r w:rsidRPr="00E05B20">
          <w:rPr>
            <w:rStyle w:val="Hyperlink"/>
            <w:rFonts w:cstheme="minorHAnsi"/>
            <w:sz w:val="16"/>
            <w:szCs w:val="16"/>
          </w:rPr>
          <w:t>https://www.ummhealth.org/anchor-mission</w:t>
        </w:r>
      </w:hyperlink>
      <w:r w:rsidRPr="00E05B20">
        <w:rPr>
          <w:rFonts w:cstheme="minorHAnsi"/>
          <w:sz w:val="16"/>
          <w:szCs w:val="16"/>
          <w:u w:val="single"/>
        </w:rPr>
        <w:t>;</w:t>
      </w:r>
      <w:r w:rsidRPr="00E05B20">
        <w:rPr>
          <w:rFonts w:cstheme="minorHAnsi"/>
          <w:sz w:val="16"/>
          <w:szCs w:val="16"/>
        </w:rPr>
        <w:t xml:space="preserve"> </w:t>
      </w:r>
      <w:r w:rsidRPr="00E05B20">
        <w:rPr>
          <w:rFonts w:cstheme="minorHAnsi"/>
          <w:i/>
          <w:iCs/>
          <w:sz w:val="16"/>
          <w:szCs w:val="16"/>
        </w:rPr>
        <w:t>see also</w:t>
      </w:r>
      <w:r w:rsidRPr="00E05B20">
        <w:rPr>
          <w:rFonts w:cstheme="minorHAnsi"/>
          <w:sz w:val="16"/>
          <w:szCs w:val="16"/>
        </w:rPr>
        <w:t xml:space="preserve">, Harvard Chan School of Public Health, </w:t>
      </w:r>
      <w:hyperlink r:id="rId46" w:history="1">
        <w:r w:rsidRPr="00E05B20">
          <w:rPr>
            <w:rStyle w:val="Hyperlink"/>
            <w:rFonts w:cstheme="minorHAnsi"/>
            <w:sz w:val="16"/>
            <w:szCs w:val="16"/>
          </w:rPr>
          <w:t xml:space="preserve">2019 Case Study, </w:t>
        </w:r>
        <w:r w:rsidRPr="00E05B20">
          <w:rPr>
            <w:rStyle w:val="Hyperlink"/>
            <w:rFonts w:cstheme="minorHAnsi"/>
            <w:kern w:val="24"/>
            <w:sz w:val="16"/>
            <w:szCs w:val="16"/>
          </w:rPr>
          <w:t>Anchor Health Beyond Clinical Care: UMass Memorial Health Care’s Anchor Mission Project</w:t>
        </w:r>
      </w:hyperlink>
      <w:r w:rsidRPr="00E05B20">
        <w:rPr>
          <w:rFonts w:cstheme="minorHAnsi"/>
          <w:kern w:val="24"/>
          <w:sz w:val="16"/>
          <w:szCs w:val="16"/>
        </w:rPr>
        <w:t xml:space="preserve">, </w:t>
      </w:r>
      <w:hyperlink r:id="rId47" w:history="1">
        <w:r w:rsidRPr="00E05B20">
          <w:rPr>
            <w:rStyle w:val="Hyperlink"/>
            <w:rFonts w:cstheme="minorHAnsi"/>
            <w:sz w:val="16"/>
            <w:szCs w:val="16"/>
          </w:rPr>
          <w:t>https://alumni.sph.harvard.edu/s/1319/images/gid2/editor_documents/mhcm_alumni/ummhc_case_study.final_formatted.pdf?gid=2&amp;pgid=61&amp;sessionid=6ab760ce-c187-4c0a-9199-35743be650cc&amp;cc=1</w:t>
        </w:r>
      </w:hyperlink>
      <w:r w:rsidRPr="00E05B20">
        <w:rPr>
          <w:rStyle w:val="Hyperlink"/>
          <w:rFonts w:cstheme="minorHAnsi"/>
          <w:sz w:val="16"/>
          <w:szCs w:val="16"/>
        </w:rPr>
        <w:t xml:space="preserve">; </w:t>
      </w:r>
      <w:r w:rsidRPr="00E05B20">
        <w:rPr>
          <w:rStyle w:val="Hyperlink"/>
          <w:rFonts w:cstheme="minorHAnsi"/>
          <w:iCs/>
          <w:sz w:val="16"/>
          <w:szCs w:val="16"/>
        </w:rPr>
        <w:t>see generally</w:t>
      </w:r>
      <w:r w:rsidRPr="00E05B20">
        <w:rPr>
          <w:rStyle w:val="Hyperlink"/>
          <w:rFonts w:cstheme="minorHAnsi"/>
          <w:sz w:val="16"/>
          <w:szCs w:val="16"/>
        </w:rPr>
        <w:t>, Healthcare Anchor Network, Resources for the Anchor Mission, https://healthcareanchor.network/anchor-mission-resources/.</w:t>
      </w:r>
    </w:p>
  </w:footnote>
  <w:footnote w:id="36">
    <w:p w14:paraId="4D4D027E" w14:textId="77777777" w:rsidR="00BE4378" w:rsidRDefault="00BE4378" w:rsidP="00076798">
      <w:pPr>
        <w:pStyle w:val="CommentText"/>
        <w:rPr>
          <w:rFonts w:asciiTheme="minorHAnsi" w:hAnsiTheme="minorHAnsi" w:cstheme="minorHAnsi"/>
          <w:u w:val="single"/>
        </w:rPr>
      </w:pPr>
      <w:r w:rsidRPr="00E05B20">
        <w:rPr>
          <w:rStyle w:val="Hyperlink"/>
          <w:rFonts w:cstheme="minorHAnsi"/>
          <w:sz w:val="16"/>
          <w:szCs w:val="16"/>
          <w:vertAlign w:val="superscript"/>
        </w:rPr>
        <w:footnoteRef/>
      </w:r>
      <w:r w:rsidRPr="00E05B20">
        <w:rPr>
          <w:rFonts w:cstheme="minorHAnsi"/>
          <w:sz w:val="16"/>
          <w:szCs w:val="16"/>
          <w:vertAlign w:val="superscript"/>
        </w:rPr>
        <w:t xml:space="preserve"> </w:t>
      </w:r>
      <w:r w:rsidRPr="00E05B20">
        <w:rPr>
          <w:rFonts w:cstheme="minorHAnsi"/>
          <w:spacing w:val="5"/>
          <w:sz w:val="16"/>
          <w:szCs w:val="16"/>
          <w:shd w:val="clear" w:color="auto" w:fill="FFFFFF"/>
        </w:rPr>
        <w:t xml:space="preserve">Berry, L.L, Letchuman, S., Khaldun J., Hole, M., </w:t>
      </w:r>
      <w:hyperlink r:id="rId48" w:history="1">
        <w:r w:rsidRPr="00E05B20">
          <w:rPr>
            <w:rStyle w:val="Hyperlink"/>
            <w:rFonts w:cstheme="minorHAnsi"/>
            <w:spacing w:val="5"/>
            <w:sz w:val="16"/>
            <w:szCs w:val="16"/>
            <w:shd w:val="clear" w:color="auto" w:fill="FFFFFF"/>
          </w:rPr>
          <w:t>NEJM Catal Innov Care Deliv</w:t>
        </w:r>
        <w:r w:rsidRPr="00E05B20">
          <w:rPr>
            <w:rStyle w:val="Hyperlink"/>
            <w:rFonts w:cstheme="minorHAnsi"/>
            <w:sz w:val="16"/>
            <w:szCs w:val="16"/>
          </w:rPr>
          <w:t> 2023</w:t>
        </w:r>
      </w:hyperlink>
      <w:r w:rsidRPr="00E05B20">
        <w:rPr>
          <w:rFonts w:cstheme="minorHAnsi"/>
          <w:sz w:val="16"/>
          <w:szCs w:val="16"/>
        </w:rPr>
        <w:t>;4(4)</w:t>
      </w:r>
      <w:r w:rsidRPr="00E05B20">
        <w:rPr>
          <w:rFonts w:cstheme="minorHAnsi"/>
          <w:sz w:val="16"/>
          <w:szCs w:val="16"/>
          <w:u w:val="single"/>
        </w:rPr>
        <w:t xml:space="preserve">, </w:t>
      </w:r>
      <w:hyperlink r:id="rId49" w:history="1">
        <w:r w:rsidRPr="00E05B20">
          <w:rPr>
            <w:rStyle w:val="Hyperlink"/>
            <w:rFonts w:cstheme="minorHAnsi"/>
            <w:sz w:val="16"/>
            <w:szCs w:val="16"/>
          </w:rPr>
          <w:t>https://catalyst.nejm.org/doi/full/10.1056/CAT.22.0329</w:t>
        </w:r>
      </w:hyperlink>
      <w:r w:rsidRPr="00E05B20">
        <w:rPr>
          <w:rFonts w:cstheme="minorHAnsi"/>
          <w:sz w:val="16"/>
          <w:szCs w:val="16"/>
        </w:rPr>
        <w:t xml:space="preserve"> (indicating that </w:t>
      </w:r>
      <w:r w:rsidRPr="00E05B20">
        <w:rPr>
          <w:rFonts w:cstheme="minorHAnsi"/>
          <w:spacing w:val="5"/>
          <w:sz w:val="16"/>
          <w:szCs w:val="16"/>
          <w:shd w:val="clear" w:color="auto" w:fill="FFFFFF"/>
        </w:rPr>
        <w:t>hospitals that invest in community health equity can benefit and advance the entire hospital).</w:t>
      </w:r>
    </w:p>
  </w:footnote>
  <w:footnote w:id="37">
    <w:p w14:paraId="1E6585CD" w14:textId="231C44DD" w:rsidR="00BE4378" w:rsidRPr="00B67A5A" w:rsidRDefault="00BE4378" w:rsidP="00076798">
      <w:pPr>
        <w:textAlignment w:val="baseline"/>
        <w:rPr>
          <w:rFonts w:asciiTheme="minorHAnsi" w:hAnsiTheme="minorHAnsi" w:cstheme="minorHAnsi"/>
          <w:sz w:val="16"/>
          <w:szCs w:val="16"/>
          <w:u w:val="single"/>
        </w:rPr>
      </w:pPr>
      <w:r w:rsidRPr="00B67A5A">
        <w:rPr>
          <w:rStyle w:val="FootnoteReference"/>
          <w:rFonts w:asciiTheme="minorHAnsi" w:hAnsiTheme="minorHAnsi" w:cstheme="minorHAnsi"/>
          <w:sz w:val="16"/>
          <w:szCs w:val="16"/>
        </w:rPr>
        <w:footnoteRef/>
      </w:r>
      <w:r w:rsidRPr="00B67A5A">
        <w:rPr>
          <w:rFonts w:asciiTheme="minorHAnsi" w:hAnsiTheme="minorHAnsi" w:cstheme="minorHAnsi"/>
          <w:sz w:val="16"/>
          <w:szCs w:val="16"/>
        </w:rPr>
        <w:t xml:space="preserve"> </w:t>
      </w:r>
      <w:hyperlink r:id="rId50" w:history="1">
        <w:r w:rsidRPr="005214E6">
          <w:rPr>
            <w:rFonts w:asciiTheme="minorHAnsi" w:eastAsia="PMingLiU" w:hAnsiTheme="minorHAnsi"/>
            <w:szCs w:val="21"/>
          </w:rPr>
          <w:t xml:space="preserve"> </w:t>
        </w:r>
        <w:r w:rsidRPr="005214E6">
          <w:rPr>
            <w:rFonts w:asciiTheme="minorHAnsi" w:eastAsia="PMingLiU" w:hAnsiTheme="minorHAnsi"/>
            <w:sz w:val="16"/>
            <w:szCs w:val="16"/>
          </w:rPr>
          <w:t>UMass Memorial</w:t>
        </w:r>
        <w:r w:rsidRPr="00B67A5A">
          <w:rPr>
            <w:rStyle w:val="Hyperlink"/>
            <w:rFonts w:asciiTheme="minorHAnsi" w:hAnsiTheme="minorHAnsi" w:cstheme="minorHAnsi"/>
            <w:sz w:val="16"/>
            <w:szCs w:val="16"/>
          </w:rPr>
          <w:t>, Diversity and Cultural Awareness, Programming and Education</w:t>
        </w:r>
      </w:hyperlink>
      <w:r w:rsidRPr="00B67A5A">
        <w:rPr>
          <w:rFonts w:asciiTheme="minorHAnsi" w:hAnsiTheme="minorHAnsi" w:cstheme="minorHAnsi"/>
          <w:sz w:val="16"/>
          <w:szCs w:val="16"/>
        </w:rPr>
        <w:t xml:space="preserve">, </w:t>
      </w:r>
      <w:hyperlink r:id="rId51" w:history="1">
        <w:r w:rsidRPr="00B67A5A">
          <w:rPr>
            <w:rStyle w:val="Hyperlink"/>
            <w:rFonts w:asciiTheme="minorHAnsi" w:hAnsiTheme="minorHAnsi" w:cstheme="minorHAnsi"/>
            <w:sz w:val="16"/>
            <w:szCs w:val="16"/>
          </w:rPr>
          <w:t>https://www.ummhealth.org/umass-memorial-medical-center/about-us/diversity-and-cultural-awareness/programming-and-education</w:t>
        </w:r>
      </w:hyperlink>
      <w:r w:rsidRPr="00B67A5A">
        <w:rPr>
          <w:rFonts w:asciiTheme="minorHAnsi" w:hAnsiTheme="minorHAnsi" w:cstheme="minorHAnsi"/>
          <w:sz w:val="16"/>
          <w:szCs w:val="16"/>
          <w:u w:val="single"/>
        </w:rPr>
        <w:t xml:space="preserve">. </w:t>
      </w:r>
    </w:p>
  </w:footnote>
  <w:footnote w:id="38">
    <w:p w14:paraId="37CABDC6" w14:textId="43558075" w:rsidR="00BE4378" w:rsidRPr="00B67A5A" w:rsidRDefault="00BE4378" w:rsidP="00076798">
      <w:pPr>
        <w:pStyle w:val="CommentText"/>
        <w:rPr>
          <w:rFonts w:asciiTheme="minorHAnsi" w:hAnsiTheme="minorHAnsi" w:cstheme="minorHAnsi"/>
          <w:sz w:val="16"/>
          <w:szCs w:val="16"/>
        </w:rPr>
      </w:pPr>
      <w:r w:rsidRPr="00B67A5A">
        <w:rPr>
          <w:rFonts w:asciiTheme="minorHAnsi" w:hAnsiTheme="minorHAnsi" w:cstheme="minorHAnsi"/>
          <w:sz w:val="16"/>
          <w:szCs w:val="16"/>
          <w:vertAlign w:val="superscript"/>
        </w:rPr>
        <w:footnoteRef/>
      </w:r>
      <w:r w:rsidRPr="00B67A5A">
        <w:rPr>
          <w:rFonts w:asciiTheme="minorHAnsi" w:hAnsiTheme="minorHAnsi" w:cstheme="minorHAnsi"/>
          <w:sz w:val="16"/>
          <w:szCs w:val="16"/>
          <w:vertAlign w:val="superscript"/>
        </w:rPr>
        <w:t xml:space="preserve"> </w:t>
      </w:r>
      <w:r w:rsidRPr="00B67A5A">
        <w:rPr>
          <w:rFonts w:asciiTheme="minorHAnsi" w:hAnsiTheme="minorHAnsi" w:cstheme="minorHAnsi"/>
          <w:i/>
          <w:iCs/>
          <w:sz w:val="16"/>
          <w:szCs w:val="16"/>
        </w:rPr>
        <w:t xml:space="preserve">See </w:t>
      </w:r>
      <w:r w:rsidRPr="005214E6">
        <w:rPr>
          <w:rFonts w:asciiTheme="minorHAnsi" w:hAnsiTheme="minorHAnsi" w:cstheme="minorHAnsi"/>
          <w:sz w:val="16"/>
          <w:szCs w:val="16"/>
        </w:rPr>
        <w:t>UMass Memorial</w:t>
      </w:r>
      <w:r w:rsidRPr="00B67A5A">
        <w:rPr>
          <w:rFonts w:asciiTheme="minorHAnsi" w:hAnsiTheme="minorHAnsi" w:cstheme="minorHAnsi"/>
          <w:sz w:val="16"/>
          <w:szCs w:val="16"/>
        </w:rPr>
        <w:t xml:space="preserve">, </w:t>
      </w:r>
      <w:hyperlink r:id="rId52" w:history="1">
        <w:r w:rsidRPr="00CB61C2">
          <w:rPr>
            <w:rStyle w:val="Hyperlink"/>
            <w:rFonts w:asciiTheme="minorHAnsi" w:hAnsiTheme="minorHAnsi" w:cstheme="minorHAnsi"/>
            <w:color w:val="000000" w:themeColor="text1"/>
            <w:sz w:val="16"/>
            <w:szCs w:val="16"/>
            <w:u w:val="none"/>
          </w:rPr>
          <w:t>New Doula Program Aims to Address Maternal Health Inequities</w:t>
        </w:r>
      </w:hyperlink>
      <w:r w:rsidRPr="00CB61C2">
        <w:rPr>
          <w:rFonts w:asciiTheme="minorHAnsi" w:hAnsiTheme="minorHAnsi" w:cstheme="minorHAnsi"/>
          <w:color w:val="000000" w:themeColor="text1"/>
          <w:sz w:val="16"/>
          <w:szCs w:val="16"/>
        </w:rPr>
        <w:t xml:space="preserve"> (Feb</w:t>
      </w:r>
      <w:r w:rsidRPr="00B67A5A">
        <w:rPr>
          <w:rFonts w:asciiTheme="minorHAnsi" w:hAnsiTheme="minorHAnsi" w:cstheme="minorHAnsi"/>
          <w:sz w:val="16"/>
          <w:szCs w:val="16"/>
        </w:rPr>
        <w:t xml:space="preserve">. 28, 2023), </w:t>
      </w:r>
      <w:hyperlink r:id="rId53" w:history="1">
        <w:r w:rsidRPr="00B67A5A">
          <w:rPr>
            <w:rStyle w:val="Hyperlink"/>
            <w:rFonts w:asciiTheme="minorHAnsi" w:hAnsiTheme="minorHAnsi" w:cstheme="minorHAnsi"/>
            <w:sz w:val="16"/>
            <w:szCs w:val="16"/>
          </w:rPr>
          <w:t>https://pursuit.ummhealth.org/articles/new-doula-program-aims-address-maternal-health-inequities</w:t>
        </w:r>
      </w:hyperlink>
      <w:r w:rsidRPr="00B67A5A">
        <w:rPr>
          <w:rFonts w:asciiTheme="minorHAnsi" w:hAnsiTheme="minorHAnsi" w:cstheme="minorHAnsi"/>
          <w:sz w:val="16"/>
          <w:szCs w:val="16"/>
        </w:rPr>
        <w:t xml:space="preserve">; </w:t>
      </w:r>
      <w:r w:rsidRPr="00B67A5A">
        <w:rPr>
          <w:rFonts w:asciiTheme="minorHAnsi" w:hAnsiTheme="minorHAnsi" w:cstheme="minorHAnsi"/>
          <w:color w:val="212121"/>
          <w:sz w:val="16"/>
          <w:szCs w:val="16"/>
          <w:shd w:val="clear" w:color="auto" w:fill="FFFFFF"/>
        </w:rPr>
        <w:t>Sobczak A, Taylor L, Solomon S, Ho J, Kemper S, Phillips B, Jacobson K, Castellano C, Ring A, C</w:t>
      </w:r>
      <w:r w:rsidRPr="00B67A5A">
        <w:rPr>
          <w:rFonts w:asciiTheme="minorHAnsi" w:hAnsiTheme="minorHAnsi" w:cstheme="minorHAnsi"/>
          <w:sz w:val="16"/>
          <w:szCs w:val="16"/>
          <w:shd w:val="clear" w:color="auto" w:fill="FFFFFF"/>
        </w:rPr>
        <w:t xml:space="preserve">astellano B, Jacobs RJ. </w:t>
      </w:r>
      <w:hyperlink r:id="rId54" w:anchor=":~:text=The%20results%20of%20the%20study,to%20initiate%20breastfeeding%20%5B31%5D" w:history="1">
        <w:r w:rsidRPr="00B67A5A">
          <w:rPr>
            <w:rStyle w:val="Hyperlink"/>
            <w:rFonts w:asciiTheme="minorHAnsi" w:hAnsiTheme="minorHAnsi" w:cstheme="minorHAnsi"/>
            <w:sz w:val="16"/>
            <w:szCs w:val="16"/>
            <w:shd w:val="clear" w:color="auto" w:fill="FFFFFF"/>
          </w:rPr>
          <w:t>The Effect of Doulas on Maternal and Birth Outcomes: A Scoping Review</w:t>
        </w:r>
      </w:hyperlink>
      <w:r w:rsidRPr="00B67A5A">
        <w:rPr>
          <w:rFonts w:asciiTheme="minorHAnsi" w:hAnsiTheme="minorHAnsi" w:cstheme="minorHAnsi"/>
          <w:sz w:val="16"/>
          <w:szCs w:val="16"/>
          <w:shd w:val="clear" w:color="auto" w:fill="FFFFFF"/>
        </w:rPr>
        <w:t xml:space="preserve">. </w:t>
      </w:r>
      <w:proofErr w:type="spellStart"/>
      <w:r w:rsidRPr="00B67A5A">
        <w:rPr>
          <w:rFonts w:asciiTheme="minorHAnsi" w:hAnsiTheme="minorHAnsi" w:cstheme="minorHAnsi"/>
          <w:color w:val="212121"/>
          <w:sz w:val="16"/>
          <w:szCs w:val="16"/>
          <w:shd w:val="clear" w:color="auto" w:fill="FFFFFF"/>
        </w:rPr>
        <w:t>Cureus</w:t>
      </w:r>
      <w:proofErr w:type="spellEnd"/>
      <w:r w:rsidRPr="00B67A5A">
        <w:rPr>
          <w:rFonts w:asciiTheme="minorHAnsi" w:hAnsiTheme="minorHAnsi" w:cstheme="minorHAnsi"/>
          <w:color w:val="212121"/>
          <w:sz w:val="16"/>
          <w:szCs w:val="16"/>
          <w:shd w:val="clear" w:color="auto" w:fill="FFFFFF"/>
        </w:rPr>
        <w:t xml:space="preserve">. 2023 May 24;15(5):e39451, </w:t>
      </w:r>
      <w:hyperlink r:id="rId55" w:anchor=":~:text=The%20results%20of%20the%20study,to%20initiate%20breastfeeding%20%5B31%5D" w:history="1">
        <w:r w:rsidRPr="00B67A5A">
          <w:rPr>
            <w:rStyle w:val="Hyperlink"/>
            <w:rFonts w:asciiTheme="minorHAnsi" w:hAnsiTheme="minorHAnsi" w:cstheme="minorHAnsi"/>
            <w:sz w:val="16"/>
            <w:szCs w:val="16"/>
          </w:rPr>
          <w:t>https://www.ncbi.nlm.nih.gov/pmc/articles/PMC10292163/#:~:text=The%20results%20of%20the%20study,to%20initiate%20breastfeeding%20%5B31%5D</w:t>
        </w:r>
      </w:hyperlink>
      <w:r w:rsidRPr="00B67A5A">
        <w:rPr>
          <w:rFonts w:asciiTheme="minorHAnsi" w:hAnsiTheme="minorHAnsi" w:cstheme="minorHAnsi"/>
          <w:sz w:val="16"/>
          <w:szCs w:val="16"/>
        </w:rPr>
        <w:t>.</w:t>
      </w:r>
    </w:p>
  </w:footnote>
  <w:footnote w:id="39">
    <w:p w14:paraId="77DF2686" w14:textId="77777777" w:rsidR="00BE4378" w:rsidRPr="00D36A52" w:rsidRDefault="00BE4378" w:rsidP="00076798">
      <w:pPr>
        <w:pStyle w:val="FootnoteText"/>
        <w:rPr>
          <w:rFonts w:asciiTheme="minorHAnsi" w:eastAsia="Calibri" w:hAnsiTheme="minorHAnsi" w:cstheme="minorHAnsi"/>
          <w:color w:val="000000"/>
          <w:spacing w:val="-1"/>
          <w:sz w:val="16"/>
          <w:szCs w:val="16"/>
          <w:u w:val="single"/>
        </w:rPr>
      </w:pPr>
      <w:r w:rsidRPr="00D36A52">
        <w:rPr>
          <w:rStyle w:val="FootnoteReference"/>
          <w:rFonts w:asciiTheme="minorHAnsi" w:hAnsiTheme="minorHAnsi" w:cstheme="minorHAnsi"/>
          <w:sz w:val="16"/>
          <w:szCs w:val="16"/>
        </w:rPr>
        <w:footnoteRef/>
      </w:r>
      <w:r w:rsidRPr="00D36A52">
        <w:rPr>
          <w:rFonts w:asciiTheme="minorHAnsi" w:hAnsiTheme="minorHAnsi" w:cstheme="minorHAnsi"/>
          <w:sz w:val="16"/>
          <w:szCs w:val="16"/>
        </w:rPr>
        <w:t xml:space="preserve"> The Joint Commission, The Joint Commission, </w:t>
      </w:r>
      <w:hyperlink r:id="rId56" w:history="1">
        <w:r w:rsidRPr="00D36A52">
          <w:rPr>
            <w:rStyle w:val="Hyperlink"/>
            <w:rFonts w:asciiTheme="minorHAnsi" w:hAnsiTheme="minorHAnsi" w:cstheme="minorHAnsi"/>
            <w:sz w:val="16"/>
            <w:szCs w:val="16"/>
          </w:rPr>
          <w:t>Kaiser Permanente name first recipient of Bernard J. Tyson National Award for Excellence in Pursuit of Healthcare Equity</w:t>
        </w:r>
      </w:hyperlink>
      <w:r w:rsidRPr="00D36A52">
        <w:rPr>
          <w:rFonts w:asciiTheme="minorHAnsi" w:hAnsiTheme="minorHAnsi" w:cstheme="minorHAnsi"/>
          <w:sz w:val="16"/>
          <w:szCs w:val="16"/>
        </w:rPr>
        <w:t xml:space="preserve">, Nov. 2, 2021, </w:t>
      </w:r>
      <w:hyperlink r:id="rId57" w:history="1">
        <w:r w:rsidRPr="00D36A52">
          <w:rPr>
            <w:rStyle w:val="Hyperlink"/>
            <w:rFonts w:asciiTheme="minorHAnsi" w:eastAsia="Calibri" w:hAnsiTheme="minorHAnsi" w:cstheme="minorHAnsi"/>
            <w:spacing w:val="-1"/>
            <w:sz w:val="16"/>
            <w:szCs w:val="16"/>
          </w:rPr>
          <w:t>https://www.globenewswire.com/en/news-release/2021/11/02/2325630/0/en/The-Joint-Commission-Kaiser-Permanente-name-first-recipient-of-Bernard-J-Tyson-National-Award-for-Excellence-in-Pursuit-of-Healthcare-Equity.html</w:t>
        </w:r>
      </w:hyperlink>
      <w:r w:rsidRPr="00D36A52">
        <w:rPr>
          <w:rFonts w:asciiTheme="minorHAnsi" w:eastAsia="Calibri" w:hAnsiTheme="minorHAnsi" w:cstheme="minorHAnsi"/>
          <w:color w:val="000000"/>
          <w:spacing w:val="-1"/>
          <w:sz w:val="16"/>
          <w:szCs w:val="16"/>
        </w:rPr>
        <w:t xml:space="preserve">; Arvin Garg, Tracey Wilkie, Alison LeBlanc, Rulan Lyu, Thomas </w:t>
      </w:r>
      <w:proofErr w:type="spellStart"/>
      <w:r w:rsidRPr="00D36A52">
        <w:rPr>
          <w:rFonts w:asciiTheme="minorHAnsi" w:eastAsia="Calibri" w:hAnsiTheme="minorHAnsi" w:cstheme="minorHAnsi"/>
          <w:color w:val="000000"/>
          <w:spacing w:val="-1"/>
          <w:sz w:val="16"/>
          <w:szCs w:val="16"/>
        </w:rPr>
        <w:t>Scornavacca</w:t>
      </w:r>
      <w:proofErr w:type="spellEnd"/>
      <w:r w:rsidRPr="00D36A52">
        <w:rPr>
          <w:rFonts w:asciiTheme="minorHAnsi" w:eastAsia="Calibri" w:hAnsiTheme="minorHAnsi" w:cstheme="minorHAnsi"/>
          <w:color w:val="000000"/>
          <w:spacing w:val="-1"/>
          <w:sz w:val="16"/>
          <w:szCs w:val="16"/>
        </w:rPr>
        <w:t xml:space="preserve">, Josephine Fowler, Lawrence Rhein, Eric Alper, </w:t>
      </w:r>
      <w:hyperlink r:id="rId58" w:history="1">
        <w:r w:rsidRPr="00D36A52">
          <w:rPr>
            <w:rStyle w:val="Hyperlink"/>
            <w:rFonts w:asciiTheme="minorHAnsi" w:eastAsia="Calibri" w:hAnsiTheme="minorHAnsi" w:cstheme="minorHAnsi"/>
            <w:spacing w:val="-1"/>
            <w:sz w:val="16"/>
            <w:szCs w:val="16"/>
          </w:rPr>
          <w:t>Prioritizing Child Health: Promoting Adherence to Well-Child Visits in an Urban, Safety-Net Health System During the COVID-19 Pandemic,</w:t>
        </w:r>
      </w:hyperlink>
      <w:r w:rsidRPr="00D36A52">
        <w:rPr>
          <w:rFonts w:asciiTheme="minorHAnsi" w:eastAsia="Calibri" w:hAnsiTheme="minorHAnsi" w:cstheme="minorHAnsi"/>
          <w:spacing w:val="-1"/>
          <w:sz w:val="16"/>
          <w:szCs w:val="16"/>
        </w:rPr>
        <w:t xml:space="preserve"> </w:t>
      </w:r>
      <w:r w:rsidRPr="00D36A52">
        <w:rPr>
          <w:rFonts w:asciiTheme="minorHAnsi" w:eastAsia="Calibri" w:hAnsiTheme="minorHAnsi" w:cstheme="minorHAnsi"/>
          <w:color w:val="000000"/>
          <w:spacing w:val="-1"/>
          <w:sz w:val="16"/>
          <w:szCs w:val="16"/>
        </w:rPr>
        <w:t>The Joint Commission Journal on Quality and Patient Safety, Volume 48, Issue 4, 2022, Pages 189-195,</w:t>
      </w:r>
      <w:r w:rsidRPr="00D36A52">
        <w:rPr>
          <w:rFonts w:asciiTheme="minorHAnsi" w:eastAsia="Calibri" w:hAnsiTheme="minorHAnsi" w:cstheme="minorHAnsi"/>
          <w:color w:val="000000"/>
          <w:spacing w:val="-1"/>
          <w:sz w:val="16"/>
          <w:szCs w:val="16"/>
          <w:u w:val="single"/>
        </w:rPr>
        <w:t xml:space="preserve"> </w:t>
      </w:r>
      <w:hyperlink r:id="rId59" w:history="1">
        <w:r w:rsidRPr="00D36A52">
          <w:rPr>
            <w:rStyle w:val="Hyperlink"/>
            <w:rFonts w:asciiTheme="minorHAnsi" w:eastAsia="Calibri" w:hAnsiTheme="minorHAnsi" w:cstheme="minorHAnsi"/>
            <w:spacing w:val="-1"/>
            <w:sz w:val="16"/>
            <w:szCs w:val="16"/>
          </w:rPr>
          <w:t>https://www.jointcommissionjournal.com/article/S1553-7250(22)00028-9/fulltext</w:t>
        </w:r>
      </w:hyperlink>
      <w:r w:rsidRPr="00D36A52">
        <w:rPr>
          <w:rFonts w:asciiTheme="minorHAnsi" w:eastAsia="Calibri" w:hAnsiTheme="minorHAnsi" w:cstheme="minorHAnsi"/>
          <w:color w:val="000000"/>
          <w:spacing w:val="-1"/>
          <w:sz w:val="16"/>
          <w:szCs w:val="16"/>
          <w:u w:val="single"/>
        </w:rPr>
        <w:t>.</w:t>
      </w:r>
    </w:p>
  </w:footnote>
  <w:footnote w:id="40">
    <w:p w14:paraId="46D5DB77" w14:textId="77777777" w:rsidR="00BE4378" w:rsidRPr="00D36A52" w:rsidRDefault="00BE4378" w:rsidP="00076798">
      <w:pPr>
        <w:pStyle w:val="FootnoteText"/>
        <w:rPr>
          <w:rFonts w:asciiTheme="minorHAnsi" w:hAnsiTheme="minorHAnsi" w:cstheme="minorHAnsi"/>
          <w:sz w:val="16"/>
          <w:szCs w:val="16"/>
          <w:u w:val="single"/>
        </w:rPr>
      </w:pPr>
      <w:r w:rsidRPr="00D36A52">
        <w:rPr>
          <w:rStyle w:val="FootnoteReference"/>
          <w:rFonts w:asciiTheme="minorHAnsi" w:hAnsiTheme="minorHAnsi" w:cstheme="minorHAnsi"/>
          <w:sz w:val="16"/>
          <w:szCs w:val="16"/>
        </w:rPr>
        <w:footnoteRef/>
      </w:r>
      <w:r w:rsidRPr="00D36A52">
        <w:rPr>
          <w:rFonts w:asciiTheme="minorHAnsi" w:hAnsiTheme="minorHAnsi" w:cstheme="minorHAnsi"/>
          <w:sz w:val="16"/>
          <w:szCs w:val="16"/>
        </w:rPr>
        <w:t xml:space="preserve"> Garg, A., </w:t>
      </w:r>
      <w:hyperlink r:id="rId60" w:history="1">
        <w:r w:rsidRPr="00D36A52">
          <w:rPr>
            <w:rStyle w:val="Hyperlink"/>
            <w:rFonts w:asciiTheme="minorHAnsi" w:hAnsiTheme="minorHAnsi" w:cstheme="minorHAnsi"/>
            <w:sz w:val="16"/>
            <w:szCs w:val="16"/>
          </w:rPr>
          <w:t>Improving Health Equity at UMass Memorial Health</w:t>
        </w:r>
      </w:hyperlink>
      <w:r w:rsidRPr="00D36A52">
        <w:rPr>
          <w:rFonts w:asciiTheme="minorHAnsi" w:hAnsiTheme="minorHAnsi" w:cstheme="minorHAnsi"/>
          <w:sz w:val="16"/>
          <w:szCs w:val="16"/>
        </w:rPr>
        <w:t xml:space="preserve">,  </w:t>
      </w:r>
      <w:hyperlink r:id="rId61" w:history="1">
        <w:r w:rsidRPr="00D36A52">
          <w:rPr>
            <w:rStyle w:val="Hyperlink"/>
            <w:rFonts w:asciiTheme="minorHAnsi" w:hAnsiTheme="minorHAnsi" w:cstheme="minorHAnsi"/>
            <w:sz w:val="16"/>
            <w:szCs w:val="16"/>
          </w:rPr>
          <w:t>https://www.ummhealth.org/sites/default/files/eNewsletter_Files/Quality_Matters/qm23_09/Infographic%20Improving_Health_Equity_083023.pdf</w:t>
        </w:r>
      </w:hyperlink>
      <w:r w:rsidRPr="00D36A52">
        <w:rPr>
          <w:rFonts w:asciiTheme="minorHAnsi" w:hAnsiTheme="minorHAnsi" w:cstheme="minorHAnsi"/>
          <w:sz w:val="16"/>
          <w:szCs w:val="16"/>
          <w:u w:val="single"/>
        </w:rPr>
        <w:t>.</w:t>
      </w:r>
    </w:p>
  </w:footnote>
  <w:footnote w:id="41">
    <w:p w14:paraId="269D35F1" w14:textId="77777777" w:rsidR="00BE4378" w:rsidRPr="009B323E" w:rsidRDefault="00BE4378" w:rsidP="009B323E">
      <w:pPr>
        <w:pStyle w:val="FootnoteText"/>
        <w:rPr>
          <w:rFonts w:asciiTheme="minorHAnsi" w:hAnsiTheme="minorHAnsi"/>
          <w:sz w:val="16"/>
          <w:szCs w:val="16"/>
        </w:rPr>
      </w:pPr>
      <w:r w:rsidRPr="00D36A52">
        <w:rPr>
          <w:rStyle w:val="FootnoteReference"/>
          <w:rFonts w:asciiTheme="minorHAnsi" w:hAnsiTheme="minorHAnsi"/>
          <w:sz w:val="16"/>
          <w:szCs w:val="16"/>
        </w:rPr>
        <w:footnoteRef/>
      </w:r>
      <w:r w:rsidRPr="00D36A52">
        <w:rPr>
          <w:rFonts w:asciiTheme="minorHAnsi" w:hAnsiTheme="minorHAnsi"/>
          <w:sz w:val="16"/>
          <w:szCs w:val="16"/>
        </w:rPr>
        <w:t xml:space="preserve"> </w:t>
      </w:r>
      <w:r w:rsidRPr="00D36A52">
        <w:rPr>
          <w:rFonts w:asciiTheme="minorHAnsi" w:hAnsiTheme="minorHAnsi"/>
          <w:i/>
          <w:iCs/>
          <w:sz w:val="16"/>
          <w:szCs w:val="16"/>
        </w:rPr>
        <w:t xml:space="preserve">See </w:t>
      </w:r>
      <w:r w:rsidRPr="00D36A52">
        <w:rPr>
          <w:rFonts w:asciiTheme="minorHAnsi" w:hAnsiTheme="minorHAnsi"/>
          <w:sz w:val="16"/>
          <w:szCs w:val="16"/>
        </w:rPr>
        <w:t xml:space="preserve">MassHealth, </w:t>
      </w:r>
      <w:hyperlink r:id="rId62" w:history="1">
        <w:r w:rsidRPr="00D36A52">
          <w:rPr>
            <w:rStyle w:val="Hyperlink"/>
            <w:rFonts w:asciiTheme="minorHAnsi" w:hAnsiTheme="minorHAnsi"/>
            <w:sz w:val="16"/>
            <w:szCs w:val="16"/>
          </w:rPr>
          <w:t>Health Equity Incentives Program RFI, Appendix A; MassHealth RELD, Sex &amp; SOGI Data Standards (</w:t>
        </w:r>
      </w:hyperlink>
      <w:r w:rsidRPr="00D36A52">
        <w:rPr>
          <w:rFonts w:asciiTheme="minorHAnsi" w:hAnsiTheme="minorHAnsi"/>
          <w:sz w:val="16"/>
          <w:szCs w:val="16"/>
        </w:rPr>
        <w:t xml:space="preserve">October 2021), </w:t>
      </w:r>
      <w:hyperlink r:id="rId63" w:history="1">
        <w:r w:rsidRPr="00D36A52">
          <w:rPr>
            <w:rStyle w:val="Hyperlink"/>
            <w:rFonts w:asciiTheme="minorHAnsi" w:hAnsiTheme="minorHAnsi"/>
            <w:sz w:val="16"/>
            <w:szCs w:val="16"/>
          </w:rPr>
          <w:t>https://www.mass.gov/doc/health-equity-incentives-rfi-appendix-a-0/download</w:t>
        </w:r>
      </w:hyperlink>
      <w:r w:rsidRPr="00D36A52">
        <w:rPr>
          <w:rFonts w:asciiTheme="minorHAnsi" w:hAnsiTheme="minorHAnsi"/>
          <w:sz w:val="16"/>
          <w:szCs w:val="16"/>
        </w:rPr>
        <w:t>.</w:t>
      </w:r>
    </w:p>
  </w:footnote>
  <w:footnote w:id="42">
    <w:p w14:paraId="15513694" w14:textId="77777777" w:rsidR="00BE4378" w:rsidRPr="009B323E" w:rsidRDefault="00BE4378" w:rsidP="00076798">
      <w:pPr>
        <w:pStyle w:val="FootnoteText"/>
        <w:rPr>
          <w:rFonts w:asciiTheme="minorHAnsi" w:hAnsiTheme="minorHAnsi" w:cstheme="minorHAnsi"/>
          <w:sz w:val="16"/>
          <w:szCs w:val="16"/>
          <w:u w:val="single"/>
        </w:rPr>
      </w:pPr>
      <w:r w:rsidRPr="009B323E">
        <w:rPr>
          <w:rStyle w:val="FootnoteReference"/>
          <w:rFonts w:asciiTheme="minorHAnsi" w:hAnsiTheme="minorHAnsi" w:cstheme="minorHAnsi"/>
          <w:sz w:val="16"/>
          <w:szCs w:val="16"/>
        </w:rPr>
        <w:footnoteRef/>
      </w:r>
      <w:r w:rsidRPr="009B323E">
        <w:rPr>
          <w:rFonts w:asciiTheme="minorHAnsi" w:hAnsiTheme="minorHAnsi" w:cstheme="minorHAnsi"/>
          <w:sz w:val="16"/>
          <w:szCs w:val="16"/>
        </w:rPr>
        <w:t xml:space="preserve"> See </w:t>
      </w:r>
      <w:hyperlink r:id="rId64" w:history="1">
        <w:r w:rsidRPr="009B323E">
          <w:rPr>
            <w:rStyle w:val="Hyperlink"/>
            <w:rFonts w:asciiTheme="minorHAnsi" w:hAnsiTheme="minorHAnsi" w:cstheme="minorHAnsi"/>
            <w:sz w:val="16"/>
            <w:szCs w:val="16"/>
          </w:rPr>
          <w:t>https://www.communityhelp.net</w:t>
        </w:r>
      </w:hyperlink>
      <w:r w:rsidRPr="009B323E">
        <w:rPr>
          <w:rFonts w:asciiTheme="minorHAnsi" w:hAnsiTheme="minorHAnsi" w:cstheme="minorHAnsi"/>
          <w:sz w:val="16"/>
          <w:szCs w:val="16"/>
          <w:u w:val="single"/>
        </w:rPr>
        <w:t>.</w:t>
      </w:r>
    </w:p>
  </w:footnote>
  <w:footnote w:id="43">
    <w:p w14:paraId="67A79724" w14:textId="77777777" w:rsidR="00BE4378" w:rsidRDefault="00BE4378" w:rsidP="00076798">
      <w:pPr>
        <w:pStyle w:val="FootnoteText"/>
        <w:rPr>
          <w:rFonts w:asciiTheme="minorHAnsi" w:hAnsiTheme="minorHAnsi" w:cstheme="minorHAnsi"/>
          <w:u w:val="single"/>
        </w:rPr>
      </w:pPr>
      <w:r w:rsidRPr="009B323E">
        <w:rPr>
          <w:rStyle w:val="FootnoteReference"/>
          <w:rFonts w:asciiTheme="minorHAnsi" w:hAnsiTheme="minorHAnsi" w:cstheme="minorHAnsi"/>
          <w:sz w:val="16"/>
          <w:szCs w:val="16"/>
        </w:rPr>
        <w:footnoteRef/>
      </w:r>
      <w:r w:rsidRPr="009B323E">
        <w:rPr>
          <w:rFonts w:asciiTheme="minorHAnsi" w:hAnsiTheme="minorHAnsi" w:cstheme="minorHAnsi"/>
          <w:sz w:val="16"/>
          <w:szCs w:val="16"/>
        </w:rPr>
        <w:t xml:space="preserve"> See </w:t>
      </w:r>
      <w:hyperlink r:id="rId65" w:history="1">
        <w:r w:rsidRPr="009B323E">
          <w:rPr>
            <w:rStyle w:val="Hyperlink"/>
            <w:rFonts w:asciiTheme="minorHAnsi" w:hAnsiTheme="minorHAnsi" w:cstheme="minorHAnsi"/>
            <w:sz w:val="16"/>
            <w:szCs w:val="16"/>
          </w:rPr>
          <w:t>https://www.getwellnetwork.com/why-get-well/</w:t>
        </w:r>
      </w:hyperlink>
      <w:r w:rsidRPr="009B323E">
        <w:rPr>
          <w:rFonts w:asciiTheme="minorHAnsi" w:hAnsiTheme="minorHAnsi" w:cstheme="minorHAnsi"/>
          <w:sz w:val="16"/>
          <w:szCs w:val="16"/>
          <w:u w:val="single"/>
        </w:rPr>
        <w:t>.</w:t>
      </w:r>
    </w:p>
  </w:footnote>
  <w:footnote w:id="44">
    <w:p w14:paraId="04DBE8E0" w14:textId="31A029AB" w:rsidR="00BE4378" w:rsidRPr="007C6204" w:rsidRDefault="00BE4378">
      <w:pPr>
        <w:pStyle w:val="FootnoteText"/>
      </w:pPr>
      <w:r>
        <w:rPr>
          <w:rStyle w:val="FootnoteReference"/>
        </w:rPr>
        <w:footnoteRef/>
      </w:r>
      <w:r w:rsidRPr="007C6204">
        <w:t xml:space="preserve"> </w:t>
      </w:r>
      <w:hyperlink r:id="rId66" w:history="1">
        <w:r w:rsidRPr="0081645F">
          <w:rPr>
            <w:rStyle w:val="Hyperlink"/>
            <w:sz w:val="16"/>
            <w:szCs w:val="16"/>
          </w:rPr>
          <w:t>https://www.healthcareitnews.com/news/umass-memorial-health-proves-rpm-virtual-sitting-effective-person-care</w:t>
        </w:r>
      </w:hyperlink>
      <w:r>
        <w:rPr>
          <w:sz w:val="16"/>
          <w:szCs w:val="16"/>
        </w:rPr>
        <w:t xml:space="preserve"> </w:t>
      </w:r>
    </w:p>
  </w:footnote>
  <w:footnote w:id="45">
    <w:p w14:paraId="235E35F1" w14:textId="77777777" w:rsidR="00BE4378" w:rsidRPr="00D36A52" w:rsidRDefault="00BE4378" w:rsidP="00076798">
      <w:pPr>
        <w:pStyle w:val="FootnoteText"/>
        <w:rPr>
          <w:rFonts w:asciiTheme="minorHAnsi" w:hAnsiTheme="minorHAnsi" w:cstheme="minorHAnsi"/>
          <w:sz w:val="16"/>
          <w:szCs w:val="16"/>
          <w:u w:val="single"/>
        </w:rPr>
      </w:pPr>
      <w:r w:rsidRPr="00D36A52">
        <w:rPr>
          <w:rStyle w:val="FootnoteReference"/>
          <w:rFonts w:asciiTheme="minorHAnsi" w:hAnsiTheme="minorHAnsi" w:cstheme="minorHAnsi"/>
          <w:sz w:val="16"/>
          <w:szCs w:val="16"/>
        </w:rPr>
        <w:footnoteRef/>
      </w:r>
      <w:r w:rsidRPr="00D36A52">
        <w:rPr>
          <w:rFonts w:asciiTheme="minorHAnsi" w:hAnsiTheme="minorHAnsi" w:cstheme="minorHAnsi"/>
          <w:color w:val="212121"/>
          <w:sz w:val="16"/>
          <w:szCs w:val="16"/>
          <w:shd w:val="clear" w:color="auto" w:fill="FFFFFF"/>
          <w:lang w:val="es-MX"/>
        </w:rPr>
        <w:t xml:space="preserve"> Chen M, Tan X, </w:t>
      </w:r>
      <w:proofErr w:type="spellStart"/>
      <w:r w:rsidRPr="00D36A52">
        <w:rPr>
          <w:rFonts w:asciiTheme="minorHAnsi" w:hAnsiTheme="minorHAnsi" w:cstheme="minorHAnsi"/>
          <w:color w:val="212121"/>
          <w:sz w:val="16"/>
          <w:szCs w:val="16"/>
          <w:shd w:val="clear" w:color="auto" w:fill="FFFFFF"/>
          <w:lang w:val="es-MX"/>
        </w:rPr>
        <w:t>Padman</w:t>
      </w:r>
      <w:proofErr w:type="spellEnd"/>
      <w:r w:rsidRPr="00D36A52">
        <w:rPr>
          <w:rFonts w:asciiTheme="minorHAnsi" w:hAnsiTheme="minorHAnsi" w:cstheme="minorHAnsi"/>
          <w:color w:val="212121"/>
          <w:sz w:val="16"/>
          <w:szCs w:val="16"/>
          <w:shd w:val="clear" w:color="auto" w:fill="FFFFFF"/>
          <w:lang w:val="es-MX"/>
        </w:rPr>
        <w:t xml:space="preserve"> R. </w:t>
      </w:r>
      <w:hyperlink r:id="rId67" w:history="1">
        <w:r w:rsidRPr="00D36A52">
          <w:rPr>
            <w:rStyle w:val="Hyperlink"/>
            <w:rFonts w:asciiTheme="minorHAnsi" w:hAnsiTheme="minorHAnsi" w:cstheme="minorHAnsi"/>
            <w:sz w:val="16"/>
            <w:szCs w:val="16"/>
            <w:shd w:val="clear" w:color="auto" w:fill="FFFFFF"/>
          </w:rPr>
          <w:t>Social determinants of health in electronic health records and their impact on analysis and risk prediction: A systematic review.</w:t>
        </w:r>
      </w:hyperlink>
      <w:r w:rsidRPr="00D36A52">
        <w:rPr>
          <w:rFonts w:asciiTheme="minorHAnsi" w:hAnsiTheme="minorHAnsi" w:cstheme="minorHAnsi"/>
          <w:sz w:val="16"/>
          <w:szCs w:val="16"/>
          <w:shd w:val="clear" w:color="auto" w:fill="FFFFFF"/>
        </w:rPr>
        <w:t xml:space="preserve"> </w:t>
      </w:r>
      <w:r w:rsidRPr="00D36A52">
        <w:rPr>
          <w:rFonts w:asciiTheme="minorHAnsi" w:hAnsiTheme="minorHAnsi" w:cstheme="minorHAnsi"/>
          <w:color w:val="212121"/>
          <w:sz w:val="16"/>
          <w:szCs w:val="16"/>
          <w:shd w:val="clear" w:color="auto" w:fill="FFFFFF"/>
        </w:rPr>
        <w:t>J Am Med Inform Assoc. 2020 Nov 1;27(11):1764-1773,</w:t>
      </w:r>
      <w:r w:rsidRPr="00D36A52">
        <w:rPr>
          <w:rFonts w:asciiTheme="minorHAnsi" w:hAnsiTheme="minorHAnsi" w:cstheme="minorHAnsi"/>
          <w:color w:val="212121"/>
          <w:sz w:val="16"/>
          <w:szCs w:val="16"/>
          <w:u w:val="single"/>
          <w:shd w:val="clear" w:color="auto" w:fill="FFFFFF"/>
        </w:rPr>
        <w:t xml:space="preserve"> </w:t>
      </w:r>
      <w:hyperlink r:id="rId68" w:history="1">
        <w:r w:rsidRPr="00D36A52">
          <w:rPr>
            <w:rStyle w:val="Hyperlink"/>
            <w:rFonts w:asciiTheme="minorHAnsi" w:hAnsiTheme="minorHAnsi" w:cstheme="minorHAnsi"/>
            <w:sz w:val="16"/>
            <w:szCs w:val="16"/>
          </w:rPr>
          <w:t>https://www.ncbi.nlm.nih.gov/pmc/articles/PMC7671639/</w:t>
        </w:r>
      </w:hyperlink>
      <w:r w:rsidRPr="00D36A52">
        <w:rPr>
          <w:rFonts w:asciiTheme="minorHAnsi" w:hAnsiTheme="minorHAnsi" w:cstheme="minorHAnsi"/>
          <w:sz w:val="16"/>
          <w:szCs w:val="16"/>
          <w:u w:val="single"/>
        </w:rPr>
        <w:t xml:space="preserve"> </w:t>
      </w:r>
      <w:r w:rsidRPr="00D36A52">
        <w:rPr>
          <w:rFonts w:asciiTheme="minorHAnsi" w:hAnsiTheme="minorHAnsi" w:cstheme="minorHAnsi"/>
          <w:sz w:val="16"/>
          <w:szCs w:val="16"/>
        </w:rPr>
        <w:t xml:space="preserve">(providing a literature review demonstrating </w:t>
      </w:r>
      <w:r w:rsidRPr="00D36A52">
        <w:rPr>
          <w:rFonts w:asciiTheme="minorHAnsi" w:hAnsiTheme="minorHAnsi" w:cstheme="minorHAnsi"/>
          <w:color w:val="212121"/>
          <w:sz w:val="16"/>
          <w:szCs w:val="16"/>
          <w:shd w:val="clear" w:color="auto" w:fill="FFFFFF"/>
        </w:rPr>
        <w:t xml:space="preserve">“early and rapidly growing evidence that integrating individual-level </w:t>
      </w:r>
      <w:proofErr w:type="spellStart"/>
      <w:r w:rsidRPr="00D36A52">
        <w:rPr>
          <w:rFonts w:asciiTheme="minorHAnsi" w:hAnsiTheme="minorHAnsi" w:cstheme="minorHAnsi"/>
          <w:color w:val="212121"/>
          <w:sz w:val="16"/>
          <w:szCs w:val="16"/>
          <w:shd w:val="clear" w:color="auto" w:fill="FFFFFF"/>
        </w:rPr>
        <w:t>SDoH</w:t>
      </w:r>
      <w:proofErr w:type="spellEnd"/>
      <w:r w:rsidRPr="00D36A52">
        <w:rPr>
          <w:rFonts w:asciiTheme="minorHAnsi" w:hAnsiTheme="minorHAnsi" w:cstheme="minorHAnsi"/>
          <w:color w:val="212121"/>
          <w:sz w:val="16"/>
          <w:szCs w:val="16"/>
          <w:shd w:val="clear" w:color="auto" w:fill="FFFFFF"/>
        </w:rPr>
        <w:t xml:space="preserve"> into EHRs can assist in risk assessment and predicting healthcare utilization and health outcomes, which further motivates efforts to collect and standardize patient-level </w:t>
      </w:r>
      <w:proofErr w:type="spellStart"/>
      <w:r w:rsidRPr="00D36A52">
        <w:rPr>
          <w:rFonts w:asciiTheme="minorHAnsi" w:hAnsiTheme="minorHAnsi" w:cstheme="minorHAnsi"/>
          <w:color w:val="212121"/>
          <w:sz w:val="16"/>
          <w:szCs w:val="16"/>
          <w:shd w:val="clear" w:color="auto" w:fill="FFFFFF"/>
        </w:rPr>
        <w:t>SDoH</w:t>
      </w:r>
      <w:proofErr w:type="spellEnd"/>
      <w:r w:rsidRPr="00D36A52">
        <w:rPr>
          <w:rFonts w:asciiTheme="minorHAnsi" w:hAnsiTheme="minorHAnsi" w:cstheme="minorHAnsi"/>
          <w:color w:val="212121"/>
          <w:sz w:val="16"/>
          <w:szCs w:val="16"/>
          <w:shd w:val="clear" w:color="auto" w:fill="FFFFFF"/>
        </w:rPr>
        <w:t xml:space="preserve"> information”).</w:t>
      </w:r>
    </w:p>
  </w:footnote>
  <w:footnote w:id="46">
    <w:p w14:paraId="65C4C78D" w14:textId="4DDB5E80" w:rsidR="00BE4378" w:rsidRDefault="00BE4378">
      <w:pPr>
        <w:pStyle w:val="FootnoteText"/>
      </w:pPr>
      <w:r>
        <w:rPr>
          <w:rStyle w:val="FootnoteReference"/>
        </w:rPr>
        <w:footnoteRef/>
      </w:r>
      <w:r>
        <w:t xml:space="preserve"> </w:t>
      </w:r>
      <w:proofErr w:type="spellStart"/>
      <w:r w:rsidRPr="000C27ED">
        <w:rPr>
          <w:sz w:val="16"/>
          <w:szCs w:val="16"/>
        </w:rPr>
        <w:t>CommunityHELP</w:t>
      </w:r>
      <w:proofErr w:type="spellEnd"/>
      <w:r w:rsidRPr="000C27ED">
        <w:rPr>
          <w:sz w:val="16"/>
          <w:szCs w:val="16"/>
        </w:rPr>
        <w:t xml:space="preserve"> is a collaborative effort between </w:t>
      </w:r>
      <w:r w:rsidRPr="005214E6">
        <w:rPr>
          <w:rFonts w:eastAsia="PMingLiU"/>
          <w:sz w:val="16"/>
          <w:szCs w:val="16"/>
        </w:rPr>
        <w:t>UMass Memorial</w:t>
      </w:r>
      <w:r w:rsidRPr="000C27ED">
        <w:rPr>
          <w:rFonts w:eastAsia="PMingLiU"/>
          <w:sz w:val="16"/>
          <w:szCs w:val="16"/>
        </w:rPr>
        <w:t xml:space="preserve"> and Reliant Medical Group to </w:t>
      </w:r>
      <w:r>
        <w:rPr>
          <w:rFonts w:eastAsia="PMingLiU"/>
          <w:sz w:val="16"/>
          <w:szCs w:val="16"/>
        </w:rPr>
        <w:t xml:space="preserve">create a live resource repository of community providers across the care continuum.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B57E" w14:textId="77777777" w:rsidR="00BE4378" w:rsidRDefault="00BE4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5215" w14:textId="77777777" w:rsidR="00BE4378" w:rsidRDefault="00BE4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1E37" w14:textId="77777777" w:rsidR="00BE4378" w:rsidRDefault="00BE4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A215C2"/>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9B80EF2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8C2FFB"/>
    <w:multiLevelType w:val="hybridMultilevel"/>
    <w:tmpl w:val="F328EA70"/>
    <w:lvl w:ilvl="0" w:tplc="64DCA46A">
      <w:start w:val="1"/>
      <w:numFmt w:val="bullet"/>
      <w:lvlText w:val="-"/>
      <w:lvlJc w:val="left"/>
      <w:pPr>
        <w:ind w:left="720" w:hanging="360"/>
      </w:pPr>
      <w:rPr>
        <w:rFonts w:ascii="Aptos" w:eastAsia="PMingLiU"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04AB8"/>
    <w:multiLevelType w:val="hybridMultilevel"/>
    <w:tmpl w:val="2AEC2630"/>
    <w:lvl w:ilvl="0" w:tplc="E6EA55F6">
      <w:start w:val="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7F4B63"/>
    <w:multiLevelType w:val="hybridMultilevel"/>
    <w:tmpl w:val="9E34C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53170F9"/>
    <w:multiLevelType w:val="hybridMultilevel"/>
    <w:tmpl w:val="8F2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26664"/>
    <w:multiLevelType w:val="hybridMultilevel"/>
    <w:tmpl w:val="9F003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8587E"/>
    <w:multiLevelType w:val="hybridMultilevel"/>
    <w:tmpl w:val="4EE0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D5926"/>
    <w:multiLevelType w:val="hybridMultilevel"/>
    <w:tmpl w:val="9C584E10"/>
    <w:lvl w:ilvl="0" w:tplc="3132C45C">
      <w:numFmt w:val="bullet"/>
      <w:lvlText w:val=""/>
      <w:lvlJc w:val="left"/>
      <w:pPr>
        <w:ind w:left="720" w:hanging="360"/>
      </w:pPr>
      <w:rPr>
        <w:rFonts w:ascii="Symbol" w:eastAsia="PMingLiU" w:hAnsi="Symbol"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141489">
    <w:abstractNumId w:val="3"/>
  </w:num>
  <w:num w:numId="2" w16cid:durableId="382171880">
    <w:abstractNumId w:val="2"/>
  </w:num>
  <w:num w:numId="3" w16cid:durableId="464742022">
    <w:abstractNumId w:val="4"/>
  </w:num>
  <w:num w:numId="4" w16cid:durableId="363093937">
    <w:abstractNumId w:val="6"/>
  </w:num>
  <w:num w:numId="5" w16cid:durableId="637952286">
    <w:abstractNumId w:val="7"/>
  </w:num>
  <w:num w:numId="6" w16cid:durableId="1929537665">
    <w:abstractNumId w:val="5"/>
  </w:num>
  <w:num w:numId="7" w16cid:durableId="1863204380">
    <w:abstractNumId w:val="8"/>
  </w:num>
  <w:num w:numId="8" w16cid:durableId="1919367391">
    <w:abstractNumId w:val="9"/>
  </w:num>
  <w:num w:numId="9" w16cid:durableId="1028405942">
    <w:abstractNumId w:val="10"/>
  </w:num>
  <w:num w:numId="10" w16cid:durableId="1109351642">
    <w:abstractNumId w:val="0"/>
  </w:num>
  <w:num w:numId="11" w16cid:durableId="1030297269">
    <w:abstractNumId w:val="0"/>
  </w:num>
  <w:num w:numId="12" w16cid:durableId="1409881067">
    <w:abstractNumId w:val="0"/>
  </w:num>
  <w:num w:numId="13" w16cid:durableId="1607539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15"/>
    <w:rsid w:val="00007FD1"/>
    <w:rsid w:val="00025BEA"/>
    <w:rsid w:val="00025EC3"/>
    <w:rsid w:val="0003361F"/>
    <w:rsid w:val="00062486"/>
    <w:rsid w:val="00062BD2"/>
    <w:rsid w:val="00076798"/>
    <w:rsid w:val="000A5579"/>
    <w:rsid w:val="000C27ED"/>
    <w:rsid w:val="000E2C21"/>
    <w:rsid w:val="0010037A"/>
    <w:rsid w:val="00101EF4"/>
    <w:rsid w:val="00104191"/>
    <w:rsid w:val="001123CD"/>
    <w:rsid w:val="001130C0"/>
    <w:rsid w:val="001321BA"/>
    <w:rsid w:val="00133BAC"/>
    <w:rsid w:val="001459B0"/>
    <w:rsid w:val="00151DB1"/>
    <w:rsid w:val="00153E54"/>
    <w:rsid w:val="001879F1"/>
    <w:rsid w:val="001944D6"/>
    <w:rsid w:val="00194BA2"/>
    <w:rsid w:val="00196C0F"/>
    <w:rsid w:val="00197B42"/>
    <w:rsid w:val="001A25BF"/>
    <w:rsid w:val="001B14F9"/>
    <w:rsid w:val="001B790D"/>
    <w:rsid w:val="001E58C5"/>
    <w:rsid w:val="0020538F"/>
    <w:rsid w:val="00221053"/>
    <w:rsid w:val="00223845"/>
    <w:rsid w:val="00227915"/>
    <w:rsid w:val="00231FC7"/>
    <w:rsid w:val="00235373"/>
    <w:rsid w:val="002413F0"/>
    <w:rsid w:val="00242FD0"/>
    <w:rsid w:val="00243522"/>
    <w:rsid w:val="00245DD1"/>
    <w:rsid w:val="00251BA5"/>
    <w:rsid w:val="002529A8"/>
    <w:rsid w:val="002546EF"/>
    <w:rsid w:val="002632CC"/>
    <w:rsid w:val="00270763"/>
    <w:rsid w:val="00272729"/>
    <w:rsid w:val="00281B5C"/>
    <w:rsid w:val="0028254B"/>
    <w:rsid w:val="00284893"/>
    <w:rsid w:val="00290B30"/>
    <w:rsid w:val="00292AFD"/>
    <w:rsid w:val="002964E4"/>
    <w:rsid w:val="002B368F"/>
    <w:rsid w:val="002B5CB3"/>
    <w:rsid w:val="002B6B62"/>
    <w:rsid w:val="002D26CC"/>
    <w:rsid w:val="002D6673"/>
    <w:rsid w:val="002E0E13"/>
    <w:rsid w:val="002E53B4"/>
    <w:rsid w:val="002E726B"/>
    <w:rsid w:val="002F42E1"/>
    <w:rsid w:val="002F5FD4"/>
    <w:rsid w:val="0031094F"/>
    <w:rsid w:val="003430E5"/>
    <w:rsid w:val="00343638"/>
    <w:rsid w:val="00352060"/>
    <w:rsid w:val="00353E92"/>
    <w:rsid w:val="003908BA"/>
    <w:rsid w:val="003B3A60"/>
    <w:rsid w:val="003C3C59"/>
    <w:rsid w:val="00404241"/>
    <w:rsid w:val="004223B0"/>
    <w:rsid w:val="00430F6A"/>
    <w:rsid w:val="004327E0"/>
    <w:rsid w:val="00455148"/>
    <w:rsid w:val="00475755"/>
    <w:rsid w:val="004B27F2"/>
    <w:rsid w:val="004C17AA"/>
    <w:rsid w:val="004C195F"/>
    <w:rsid w:val="004D4D53"/>
    <w:rsid w:val="004E125A"/>
    <w:rsid w:val="004F3485"/>
    <w:rsid w:val="005214E6"/>
    <w:rsid w:val="00527B52"/>
    <w:rsid w:val="005379E1"/>
    <w:rsid w:val="005469B6"/>
    <w:rsid w:val="00547C98"/>
    <w:rsid w:val="00557AA7"/>
    <w:rsid w:val="00557B4F"/>
    <w:rsid w:val="00563FE2"/>
    <w:rsid w:val="00574D3E"/>
    <w:rsid w:val="00576FA0"/>
    <w:rsid w:val="005A6BBE"/>
    <w:rsid w:val="005B3381"/>
    <w:rsid w:val="005D28B3"/>
    <w:rsid w:val="005F359E"/>
    <w:rsid w:val="005F39FF"/>
    <w:rsid w:val="0061017B"/>
    <w:rsid w:val="006323D3"/>
    <w:rsid w:val="0063472D"/>
    <w:rsid w:val="006504B6"/>
    <w:rsid w:val="0066069B"/>
    <w:rsid w:val="00684774"/>
    <w:rsid w:val="00690A53"/>
    <w:rsid w:val="006A1572"/>
    <w:rsid w:val="006A4DF4"/>
    <w:rsid w:val="006B1619"/>
    <w:rsid w:val="006B398A"/>
    <w:rsid w:val="006C3A0F"/>
    <w:rsid w:val="006E4A4D"/>
    <w:rsid w:val="006F4BAD"/>
    <w:rsid w:val="00720735"/>
    <w:rsid w:val="007215AF"/>
    <w:rsid w:val="007577D8"/>
    <w:rsid w:val="00757AD6"/>
    <w:rsid w:val="00760969"/>
    <w:rsid w:val="00770320"/>
    <w:rsid w:val="00784B14"/>
    <w:rsid w:val="007A259C"/>
    <w:rsid w:val="007A3835"/>
    <w:rsid w:val="007A39F9"/>
    <w:rsid w:val="007B5991"/>
    <w:rsid w:val="007C6204"/>
    <w:rsid w:val="007D4BE8"/>
    <w:rsid w:val="008034F8"/>
    <w:rsid w:val="00804AAF"/>
    <w:rsid w:val="00805462"/>
    <w:rsid w:val="008110DD"/>
    <w:rsid w:val="00811C75"/>
    <w:rsid w:val="00813614"/>
    <w:rsid w:val="00821AC3"/>
    <w:rsid w:val="00827C3F"/>
    <w:rsid w:val="00844E12"/>
    <w:rsid w:val="00855BCD"/>
    <w:rsid w:val="00884D27"/>
    <w:rsid w:val="0089178B"/>
    <w:rsid w:val="00893266"/>
    <w:rsid w:val="008A52FB"/>
    <w:rsid w:val="008F3C0F"/>
    <w:rsid w:val="0090276C"/>
    <w:rsid w:val="00904461"/>
    <w:rsid w:val="00907AE0"/>
    <w:rsid w:val="00924FC6"/>
    <w:rsid w:val="009350DA"/>
    <w:rsid w:val="009554C9"/>
    <w:rsid w:val="0096536B"/>
    <w:rsid w:val="009670B5"/>
    <w:rsid w:val="00973C0F"/>
    <w:rsid w:val="009861B3"/>
    <w:rsid w:val="009930F5"/>
    <w:rsid w:val="009A711F"/>
    <w:rsid w:val="009B323E"/>
    <w:rsid w:val="009B437D"/>
    <w:rsid w:val="009B700A"/>
    <w:rsid w:val="009C4DCE"/>
    <w:rsid w:val="009D1CD5"/>
    <w:rsid w:val="009D5DBE"/>
    <w:rsid w:val="009E005B"/>
    <w:rsid w:val="009E5C15"/>
    <w:rsid w:val="009E7B34"/>
    <w:rsid w:val="00A02C52"/>
    <w:rsid w:val="00A04173"/>
    <w:rsid w:val="00A4239C"/>
    <w:rsid w:val="00A5423F"/>
    <w:rsid w:val="00A55BBF"/>
    <w:rsid w:val="00A874CB"/>
    <w:rsid w:val="00A92A91"/>
    <w:rsid w:val="00A97BC1"/>
    <w:rsid w:val="00AB6C92"/>
    <w:rsid w:val="00AE170D"/>
    <w:rsid w:val="00AE6997"/>
    <w:rsid w:val="00B11868"/>
    <w:rsid w:val="00B12BDC"/>
    <w:rsid w:val="00B2226D"/>
    <w:rsid w:val="00B26D0B"/>
    <w:rsid w:val="00B27C21"/>
    <w:rsid w:val="00B30532"/>
    <w:rsid w:val="00B37CA2"/>
    <w:rsid w:val="00B41D6E"/>
    <w:rsid w:val="00B441E6"/>
    <w:rsid w:val="00B460CC"/>
    <w:rsid w:val="00B67A5A"/>
    <w:rsid w:val="00B73410"/>
    <w:rsid w:val="00B8365D"/>
    <w:rsid w:val="00B861F3"/>
    <w:rsid w:val="00BC1098"/>
    <w:rsid w:val="00BD1E61"/>
    <w:rsid w:val="00BD7263"/>
    <w:rsid w:val="00BE4378"/>
    <w:rsid w:val="00BE5781"/>
    <w:rsid w:val="00BF185D"/>
    <w:rsid w:val="00C10023"/>
    <w:rsid w:val="00C205A2"/>
    <w:rsid w:val="00C31B08"/>
    <w:rsid w:val="00C322D5"/>
    <w:rsid w:val="00C37847"/>
    <w:rsid w:val="00C5597B"/>
    <w:rsid w:val="00C74DA5"/>
    <w:rsid w:val="00C82408"/>
    <w:rsid w:val="00CB61C2"/>
    <w:rsid w:val="00CC096F"/>
    <w:rsid w:val="00CC4987"/>
    <w:rsid w:val="00CD57FC"/>
    <w:rsid w:val="00CE1F5F"/>
    <w:rsid w:val="00CF70FC"/>
    <w:rsid w:val="00D00F15"/>
    <w:rsid w:val="00D014BA"/>
    <w:rsid w:val="00D0158D"/>
    <w:rsid w:val="00D01679"/>
    <w:rsid w:val="00D36A52"/>
    <w:rsid w:val="00D374F1"/>
    <w:rsid w:val="00D40057"/>
    <w:rsid w:val="00D4244B"/>
    <w:rsid w:val="00D627CB"/>
    <w:rsid w:val="00D6329E"/>
    <w:rsid w:val="00D6729F"/>
    <w:rsid w:val="00D80815"/>
    <w:rsid w:val="00D85E6B"/>
    <w:rsid w:val="00D96C03"/>
    <w:rsid w:val="00DB3F70"/>
    <w:rsid w:val="00DD0627"/>
    <w:rsid w:val="00DD265A"/>
    <w:rsid w:val="00DD7C8E"/>
    <w:rsid w:val="00E05B20"/>
    <w:rsid w:val="00E1629D"/>
    <w:rsid w:val="00E365FF"/>
    <w:rsid w:val="00E57958"/>
    <w:rsid w:val="00E74E7A"/>
    <w:rsid w:val="00E922C6"/>
    <w:rsid w:val="00E93DD1"/>
    <w:rsid w:val="00E9783A"/>
    <w:rsid w:val="00EA432E"/>
    <w:rsid w:val="00EB1A1A"/>
    <w:rsid w:val="00EC1E3E"/>
    <w:rsid w:val="00ED29CF"/>
    <w:rsid w:val="00ED6F5F"/>
    <w:rsid w:val="00F00880"/>
    <w:rsid w:val="00F016EF"/>
    <w:rsid w:val="00F07E1B"/>
    <w:rsid w:val="00F22072"/>
    <w:rsid w:val="00F22418"/>
    <w:rsid w:val="00F37267"/>
    <w:rsid w:val="00F43653"/>
    <w:rsid w:val="00F451F4"/>
    <w:rsid w:val="00F65CC9"/>
    <w:rsid w:val="00F67F2D"/>
    <w:rsid w:val="00FA39E0"/>
    <w:rsid w:val="00FB6050"/>
    <w:rsid w:val="00FC03FB"/>
    <w:rsid w:val="00FF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D7CB"/>
  <w15:chartTrackingRefBased/>
  <w15:docId w15:val="{F7B0F117-453A-4C48-9ECB-E090228D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5A"/>
    <w:pPr>
      <w:suppressAutoHyphens/>
      <w:spacing w:after="0" w:line="240" w:lineRule="auto"/>
    </w:pPr>
    <w:rPr>
      <w:rFonts w:ascii="Aptos" w:hAnsi="Aptos" w:cs="Times New Roman"/>
      <w:sz w:val="21"/>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DD265A"/>
    <w:pPr>
      <w:spacing w:after="240"/>
      <w:ind w:left="1440"/>
      <w:jc w:val="both"/>
    </w:pPr>
    <w:rPr>
      <w:i/>
    </w:r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DD265A"/>
    <w:pPr>
      <w:spacing w:after="240"/>
      <w:ind w:left="720"/>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DD265A"/>
    <w:pPr>
      <w:tabs>
        <w:tab w:val="left" w:pos="1440"/>
      </w:tabs>
      <w:suppressAutoHyphens w:val="0"/>
      <w:ind w:left="1440" w:hanging="1440"/>
      <w:jc w:val="both"/>
    </w:pPr>
    <w:rPr>
      <w:rFonts w:eastAsia="PMingLiU"/>
      <w:kern w:val="0"/>
      <w:szCs w:val="21"/>
      <w14:ligatures w14:val="none"/>
    </w:rPr>
  </w:style>
  <w:style w:type="paragraph" w:customStyle="1" w:styleId="HBhd">
    <w:name w:val="HBhd"/>
    <w:basedOn w:val="Normal"/>
    <w:uiPriority w:val="1"/>
    <w:qFormat/>
    <w:rsid w:val="00DD265A"/>
    <w:pPr>
      <w:spacing w:after="240"/>
      <w:ind w:left="1440" w:hanging="720"/>
      <w:jc w:val="both"/>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Subtitle">
    <w:name w:val="Subtitle"/>
    <w:basedOn w:val="Normal"/>
    <w:next w:val="Normal"/>
    <w:link w:val="SubtitleChar"/>
    <w:uiPriority w:val="11"/>
    <w:qFormat/>
    <w:rsid w:val="002279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9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7915"/>
    <w:rPr>
      <w:rFonts w:ascii="Times New Roman" w:hAnsi="Times New Roman" w:cs="Times New Roman"/>
      <w:i/>
      <w:iCs/>
      <w:color w:val="404040" w:themeColor="text1" w:themeTint="BF"/>
      <w:sz w:val="24"/>
      <w:szCs w:val="24"/>
    </w:rPr>
  </w:style>
  <w:style w:type="paragraph" w:styleId="ListParagraph">
    <w:name w:val="List Paragraph"/>
    <w:basedOn w:val="Normal"/>
    <w:link w:val="ListParagraphChar"/>
    <w:uiPriority w:val="34"/>
    <w:qFormat/>
    <w:rsid w:val="00227915"/>
    <w:pPr>
      <w:ind w:left="720"/>
      <w:contextualSpacing/>
    </w:pPr>
  </w:style>
  <w:style w:type="character" w:styleId="IntenseEmphasis">
    <w:name w:val="Intense Emphasis"/>
    <w:basedOn w:val="DefaultParagraphFont"/>
    <w:uiPriority w:val="21"/>
    <w:qFormat/>
    <w:rsid w:val="00227915"/>
    <w:rPr>
      <w:i/>
      <w:iCs/>
      <w:color w:val="0F4761" w:themeColor="accent1" w:themeShade="BF"/>
    </w:rPr>
  </w:style>
  <w:style w:type="paragraph" w:styleId="IntenseQuote">
    <w:name w:val="Intense Quote"/>
    <w:basedOn w:val="Normal"/>
    <w:next w:val="Normal"/>
    <w:link w:val="IntenseQuoteChar"/>
    <w:uiPriority w:val="30"/>
    <w:qFormat/>
    <w:rsid w:val="00227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915"/>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227915"/>
    <w:rPr>
      <w:b/>
      <w:bCs/>
      <w:smallCaps/>
      <w:color w:val="0F4761" w:themeColor="accent1" w:themeShade="BF"/>
      <w:spacing w:val="5"/>
    </w:rPr>
  </w:style>
  <w:style w:type="character" w:styleId="CommentReference">
    <w:name w:val="annotation reference"/>
    <w:basedOn w:val="DefaultParagraphFont"/>
    <w:uiPriority w:val="99"/>
    <w:semiHidden/>
    <w:unhideWhenUsed/>
    <w:rsid w:val="00227915"/>
    <w:rPr>
      <w:sz w:val="16"/>
      <w:szCs w:val="16"/>
    </w:rPr>
  </w:style>
  <w:style w:type="paragraph" w:styleId="CommentText">
    <w:name w:val="annotation text"/>
    <w:basedOn w:val="Normal"/>
    <w:link w:val="CommentTextChar"/>
    <w:uiPriority w:val="99"/>
    <w:unhideWhenUsed/>
    <w:rsid w:val="00227915"/>
    <w:rPr>
      <w:sz w:val="20"/>
      <w:szCs w:val="20"/>
    </w:rPr>
  </w:style>
  <w:style w:type="character" w:customStyle="1" w:styleId="CommentTextChar">
    <w:name w:val="Comment Text Char"/>
    <w:basedOn w:val="DefaultParagraphFont"/>
    <w:link w:val="CommentText"/>
    <w:uiPriority w:val="99"/>
    <w:rsid w:val="00227915"/>
    <w:rPr>
      <w:rFonts w:ascii="Times New Roman" w:hAnsi="Times New Roman" w:cs="Times New Roman"/>
      <w:sz w:val="20"/>
      <w:szCs w:val="20"/>
    </w:rPr>
  </w:style>
  <w:style w:type="table" w:styleId="TableGrid">
    <w:name w:val="Table Grid"/>
    <w:basedOn w:val="TableNormal"/>
    <w:uiPriority w:val="39"/>
    <w:rsid w:val="0022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27915"/>
    <w:rPr>
      <w:kern w:val="0"/>
      <w:sz w:val="20"/>
      <w:szCs w:val="20"/>
      <w14:ligatures w14:val="none"/>
    </w:rPr>
  </w:style>
  <w:style w:type="character" w:customStyle="1" w:styleId="FootnoteTextChar">
    <w:name w:val="Footnote Text Char"/>
    <w:basedOn w:val="DefaultParagraphFont"/>
    <w:link w:val="FootnoteText"/>
    <w:uiPriority w:val="99"/>
    <w:semiHidden/>
    <w:rsid w:val="00227915"/>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227915"/>
    <w:rPr>
      <w:vertAlign w:val="superscript"/>
    </w:rPr>
  </w:style>
  <w:style w:type="character" w:styleId="Hyperlink">
    <w:name w:val="Hyperlink"/>
    <w:basedOn w:val="DefaultParagraphFont"/>
    <w:uiPriority w:val="99"/>
    <w:unhideWhenUsed/>
    <w:rsid w:val="00227915"/>
    <w:rPr>
      <w:color w:val="467886" w:themeColor="hyperlink"/>
      <w:u w:val="single"/>
    </w:rPr>
  </w:style>
  <w:style w:type="table" w:customStyle="1" w:styleId="TableGrid1">
    <w:name w:val="Table Grid1"/>
    <w:basedOn w:val="TableNormal"/>
    <w:uiPriority w:val="39"/>
    <w:rsid w:val="00227915"/>
    <w:pPr>
      <w:spacing w:after="0" w:line="240" w:lineRule="auto"/>
    </w:pPr>
    <w:rPr>
      <w:rFonts w:eastAsiaTheme="minorHAns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semiHidden/>
    <w:unhideWhenUsed/>
    <w:rsid w:val="00076798"/>
    <w:rPr>
      <w:color w:val="0563C1"/>
      <w:u w:val="single"/>
    </w:rPr>
  </w:style>
  <w:style w:type="character" w:customStyle="1" w:styleId="al-author-delim">
    <w:name w:val="al-author-delim"/>
    <w:basedOn w:val="DefaultParagraphFont"/>
    <w:rsid w:val="00076798"/>
  </w:style>
  <w:style w:type="character" w:styleId="Emphasis">
    <w:name w:val="Emphasis"/>
    <w:basedOn w:val="DefaultParagraphFont"/>
    <w:uiPriority w:val="20"/>
    <w:qFormat/>
    <w:rsid w:val="00076798"/>
    <w:rPr>
      <w:i/>
      <w:iCs/>
    </w:rPr>
  </w:style>
  <w:style w:type="character" w:customStyle="1" w:styleId="ListParagraphChar">
    <w:name w:val="List Paragraph Char"/>
    <w:basedOn w:val="DefaultParagraphFont"/>
    <w:link w:val="ListParagraph"/>
    <w:uiPriority w:val="34"/>
    <w:rsid w:val="001130C0"/>
    <w:rPr>
      <w:rFonts w:ascii="Times New Roman" w:hAnsi="Times New Roman" w:cs="Times New Roman"/>
      <w:sz w:val="24"/>
      <w:szCs w:val="24"/>
    </w:rPr>
  </w:style>
  <w:style w:type="paragraph" w:styleId="Header">
    <w:name w:val="header"/>
    <w:basedOn w:val="Normal"/>
    <w:link w:val="HeaderChar"/>
    <w:uiPriority w:val="99"/>
    <w:unhideWhenUsed/>
    <w:rsid w:val="00D40057"/>
    <w:pPr>
      <w:tabs>
        <w:tab w:val="center" w:pos="4680"/>
        <w:tab w:val="right" w:pos="9360"/>
      </w:tabs>
    </w:pPr>
  </w:style>
  <w:style w:type="character" w:customStyle="1" w:styleId="HeaderChar">
    <w:name w:val="Header Char"/>
    <w:basedOn w:val="DefaultParagraphFont"/>
    <w:link w:val="Header"/>
    <w:uiPriority w:val="99"/>
    <w:rsid w:val="00D40057"/>
    <w:rPr>
      <w:rFonts w:ascii="Times New Roman" w:hAnsi="Times New Roman" w:cs="Times New Roman"/>
      <w:sz w:val="24"/>
      <w:szCs w:val="24"/>
    </w:rPr>
  </w:style>
  <w:style w:type="paragraph" w:styleId="Footer">
    <w:name w:val="footer"/>
    <w:basedOn w:val="Normal"/>
    <w:link w:val="FooterChar"/>
    <w:uiPriority w:val="99"/>
    <w:unhideWhenUsed/>
    <w:rsid w:val="00D40057"/>
    <w:pPr>
      <w:tabs>
        <w:tab w:val="center" w:pos="4680"/>
        <w:tab w:val="right" w:pos="9360"/>
      </w:tabs>
    </w:pPr>
  </w:style>
  <w:style w:type="character" w:customStyle="1" w:styleId="FooterChar">
    <w:name w:val="Footer Char"/>
    <w:basedOn w:val="DefaultParagraphFont"/>
    <w:link w:val="Footer"/>
    <w:uiPriority w:val="99"/>
    <w:rsid w:val="00D40057"/>
    <w:rPr>
      <w:rFonts w:ascii="Times New Roman" w:hAnsi="Times New Roman" w:cs="Times New Roman"/>
      <w:sz w:val="24"/>
      <w:szCs w:val="24"/>
    </w:rPr>
  </w:style>
  <w:style w:type="paragraph" w:styleId="Revision">
    <w:name w:val="Revision"/>
    <w:hidden/>
    <w:uiPriority w:val="99"/>
    <w:semiHidden/>
    <w:rsid w:val="003B3A60"/>
    <w:pPr>
      <w:spacing w:after="0" w:line="240" w:lineRule="auto"/>
    </w:pPr>
    <w:rPr>
      <w:rFonts w:ascii="Times New Roman" w:hAnsi="Times New Roman" w:cs="Times New Roman"/>
      <w:sz w:val="24"/>
      <w:szCs w:val="24"/>
    </w:rPr>
  </w:style>
  <w:style w:type="paragraph" w:customStyle="1" w:styleId="DocID">
    <w:name w:val="DocID"/>
    <w:basedOn w:val="Normal"/>
    <w:qFormat/>
    <w:rsid w:val="001123CD"/>
    <w:rPr>
      <w:kern w:val="0"/>
      <w:sz w:val="16"/>
      <w:szCs w:val="16"/>
      <w14:ligatures w14:val="none"/>
    </w:rPr>
  </w:style>
  <w:style w:type="paragraph" w:styleId="CommentSubject">
    <w:name w:val="annotation subject"/>
    <w:basedOn w:val="CommentText"/>
    <w:next w:val="CommentText"/>
    <w:link w:val="CommentSubjectChar"/>
    <w:uiPriority w:val="99"/>
    <w:semiHidden/>
    <w:unhideWhenUsed/>
    <w:rsid w:val="00B11868"/>
    <w:rPr>
      <w:b/>
      <w:bCs/>
    </w:rPr>
  </w:style>
  <w:style w:type="character" w:customStyle="1" w:styleId="CommentSubjectChar">
    <w:name w:val="Comment Subject Char"/>
    <w:basedOn w:val="CommentTextChar"/>
    <w:link w:val="CommentSubject"/>
    <w:uiPriority w:val="99"/>
    <w:semiHidden/>
    <w:rsid w:val="00B11868"/>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8A52FB"/>
    <w:rPr>
      <w:color w:val="605E5C"/>
      <w:shd w:val="clear" w:color="auto" w:fill="E1DFDD"/>
    </w:rPr>
  </w:style>
  <w:style w:type="character" w:styleId="FollowedHyperlink">
    <w:name w:val="FollowedHyperlink"/>
    <w:basedOn w:val="DefaultParagraphFont"/>
    <w:uiPriority w:val="99"/>
    <w:semiHidden/>
    <w:unhideWhenUsed/>
    <w:rsid w:val="008A52FB"/>
    <w:rPr>
      <w:color w:val="96607D" w:themeColor="followedHyperlink"/>
      <w:u w:val="single"/>
    </w:rPr>
  </w:style>
  <w:style w:type="paragraph" w:styleId="ListNumber2">
    <w:name w:val="List Number 2"/>
    <w:basedOn w:val="Normal"/>
    <w:uiPriority w:val="99"/>
    <w:unhideWhenUsed/>
    <w:rsid w:val="00DD265A"/>
    <w:pPr>
      <w:numPr>
        <w:numId w:val="10"/>
      </w:numPr>
      <w:spacing w:after="240"/>
    </w:pPr>
  </w:style>
  <w:style w:type="paragraph" w:styleId="ListBullet2">
    <w:name w:val="List Bullet 2"/>
    <w:basedOn w:val="Normal"/>
    <w:uiPriority w:val="99"/>
    <w:unhideWhenUsed/>
    <w:rsid w:val="00DD265A"/>
    <w:pPr>
      <w:numPr>
        <w:numId w:val="13"/>
      </w:numPr>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8692">
      <w:bodyDiv w:val="1"/>
      <w:marLeft w:val="0"/>
      <w:marRight w:val="0"/>
      <w:marTop w:val="0"/>
      <w:marBottom w:val="0"/>
      <w:divBdr>
        <w:top w:val="none" w:sz="0" w:space="0" w:color="auto"/>
        <w:left w:val="none" w:sz="0" w:space="0" w:color="auto"/>
        <w:bottom w:val="none" w:sz="0" w:space="0" w:color="auto"/>
        <w:right w:val="none" w:sz="0" w:space="0" w:color="auto"/>
      </w:divBdr>
    </w:div>
    <w:div w:id="65346305">
      <w:bodyDiv w:val="1"/>
      <w:marLeft w:val="0"/>
      <w:marRight w:val="0"/>
      <w:marTop w:val="0"/>
      <w:marBottom w:val="0"/>
      <w:divBdr>
        <w:top w:val="none" w:sz="0" w:space="0" w:color="auto"/>
        <w:left w:val="none" w:sz="0" w:space="0" w:color="auto"/>
        <w:bottom w:val="none" w:sz="0" w:space="0" w:color="auto"/>
        <w:right w:val="none" w:sz="0" w:space="0" w:color="auto"/>
      </w:divBdr>
    </w:div>
    <w:div w:id="83573887">
      <w:bodyDiv w:val="1"/>
      <w:marLeft w:val="0"/>
      <w:marRight w:val="0"/>
      <w:marTop w:val="0"/>
      <w:marBottom w:val="0"/>
      <w:divBdr>
        <w:top w:val="none" w:sz="0" w:space="0" w:color="auto"/>
        <w:left w:val="none" w:sz="0" w:space="0" w:color="auto"/>
        <w:bottom w:val="none" w:sz="0" w:space="0" w:color="auto"/>
        <w:right w:val="none" w:sz="0" w:space="0" w:color="auto"/>
      </w:divBdr>
    </w:div>
    <w:div w:id="200092735">
      <w:bodyDiv w:val="1"/>
      <w:marLeft w:val="0"/>
      <w:marRight w:val="0"/>
      <w:marTop w:val="0"/>
      <w:marBottom w:val="0"/>
      <w:divBdr>
        <w:top w:val="none" w:sz="0" w:space="0" w:color="auto"/>
        <w:left w:val="none" w:sz="0" w:space="0" w:color="auto"/>
        <w:bottom w:val="none" w:sz="0" w:space="0" w:color="auto"/>
        <w:right w:val="none" w:sz="0" w:space="0" w:color="auto"/>
      </w:divBdr>
    </w:div>
    <w:div w:id="1123307408">
      <w:bodyDiv w:val="1"/>
      <w:marLeft w:val="0"/>
      <w:marRight w:val="0"/>
      <w:marTop w:val="0"/>
      <w:marBottom w:val="0"/>
      <w:divBdr>
        <w:top w:val="none" w:sz="0" w:space="0" w:color="auto"/>
        <w:left w:val="none" w:sz="0" w:space="0" w:color="auto"/>
        <w:bottom w:val="none" w:sz="0" w:space="0" w:color="auto"/>
        <w:right w:val="none" w:sz="0" w:space="0" w:color="auto"/>
      </w:divBdr>
    </w:div>
    <w:div w:id="13834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s://www.bloomberglaw.com/external/document/XEN73QDK000000/health-care-operations-compliance-professional-perspective-legal" TargetMode="External"/><Relationship Id="rId21" Type="http://schemas.openxmlformats.org/officeDocument/2006/relationships/hyperlink" Target="https://www.sciencedirect.com/science/article/pii/S2214140524000653" TargetMode="External"/><Relationship Id="rId34" Type="http://schemas.openxmlformats.org/officeDocument/2006/relationships/hyperlink" Target="https://www.johnshopkinssolutions.com/solution/hospital-at-home/" TargetMode="External"/><Relationship Id="rId42" Type="http://schemas.openxmlformats.org/officeDocument/2006/relationships/hyperlink" Target="https://onlinelibrary.wiley.com/doi/full/10.5694/mja12.10480" TargetMode="External"/><Relationship Id="rId47" Type="http://schemas.openxmlformats.org/officeDocument/2006/relationships/hyperlink" Target="https://alumni.sph.harvard.edu/s/1319/images/gid2/editor_documents/mhcm_alumni/ummhc_case_study.final_formatted.pdf?gid=2&amp;pgid=61&amp;sessionid=6ab760ce-c187-4c0a-9199-35743be650cc&amp;cc=1" TargetMode="External"/><Relationship Id="rId50" Type="http://schemas.openxmlformats.org/officeDocument/2006/relationships/hyperlink" Target="https://www.ummhealth.org/umass-memorial-medical-center/about-us/diversity-and-cultural-awareness/programming-and-education." TargetMode="External"/><Relationship Id="rId55" Type="http://schemas.openxmlformats.org/officeDocument/2006/relationships/hyperlink" Target="https://www.ncbi.nlm.nih.gov/pmc/articles/PMC10292163/" TargetMode="External"/><Relationship Id="rId63" Type="http://schemas.openxmlformats.org/officeDocument/2006/relationships/hyperlink" Target="https://www.mass.gov/doc/health-equity-incentives-rfi-appendix-a-0/download" TargetMode="External"/><Relationship Id="rId68" Type="http://schemas.openxmlformats.org/officeDocument/2006/relationships/hyperlink" Target="https://www.ncbi.nlm.nih.gov/pmc/articles/PMC7671639/" TargetMode="External"/><Relationship Id="rId7" Type="http://schemas.openxmlformats.org/officeDocument/2006/relationships/hyperlink" Target="https://jamanetwork.com/journals/jamanetworkopen/article-abstract/2784342" TargetMode="External"/><Relationship Id="rId2" Type="http://schemas.openxmlformats.org/officeDocument/2006/relationships/hyperlink" Target="https://www.chiamass.gov/assets/docs/r/hospital-profiles/2023/ummc.pdf" TargetMode="External"/><Relationship Id="rId16" Type="http://schemas.openxmlformats.org/officeDocument/2006/relationships/hyperlink" Target="https://jamanetwork.com/journals/jamanetworkopen/fullarticle/2784342." TargetMode="External"/><Relationship Id="rId29" Type="http://schemas.openxmlformats.org/officeDocument/2006/relationships/hyperlink" Target="https://www.greeley.com/insights/system-wide-medical-staff-integration" TargetMode="External"/><Relationship Id="rId11" Type="http://schemas.openxmlformats.org/officeDocument/2006/relationships/hyperlink" Target="https://www.mass.gov/doc/community-hospitals-at-a-crossroads-findings-from-an-examination-of-the-massachusetts-health/download" TargetMode="External"/><Relationship Id="rId24" Type="http://schemas.openxmlformats.org/officeDocument/2006/relationships/hyperlink" Target="https://www.jdsupra.com/legalnews/new-flexibility-under-the-medicare-condi-15734/" TargetMode="External"/><Relationship Id="rId32" Type="http://schemas.openxmlformats.org/officeDocument/2006/relationships/hyperlink" Target="https://www.ajmc.com/view/hospital-at-home-paying-for-what-it-s-worth" TargetMode="External"/><Relationship Id="rId37" Type="http://schemas.openxmlformats.org/officeDocument/2006/relationships/hyperlink" Target="https://inboundhealth.com/the-value-of-hospital-at-home-programs-for-healthcare-systems-and-payers/" TargetMode="External"/><Relationship Id="rId40" Type="http://schemas.openxmlformats.org/officeDocument/2006/relationships/hyperlink" Target="https://pubmed.ncbi.nlm.nih.gov/16330791/" TargetMode="External"/><Relationship Id="rId45" Type="http://schemas.openxmlformats.org/officeDocument/2006/relationships/hyperlink" Target="https://www.ummhealth.org/anchor-mission" TargetMode="External"/><Relationship Id="rId53" Type="http://schemas.openxmlformats.org/officeDocument/2006/relationships/hyperlink" Target="https://pursuit.ummhealth.org/articles/new-doula-program-aims-address-maternal-health-inequities" TargetMode="External"/><Relationship Id="rId58" Type="http://schemas.openxmlformats.org/officeDocument/2006/relationships/hyperlink" Target="https://www.jointcommissionjournal.com/article/S1553-7250(22)00028-9/fulltext" TargetMode="External"/><Relationship Id="rId66" Type="http://schemas.openxmlformats.org/officeDocument/2006/relationships/hyperlink" Target="https://www.healthcareitnews.com/news/umass-memorial-health-proves-rpm-virtual-sitting-effective-person-care" TargetMode="External"/><Relationship Id="rId5" Type="http://schemas.openxmlformats.org/officeDocument/2006/relationships/hyperlink" Target="https://journals.plos.org/plosone/article?id=10.1371/journal.pone.0174533" TargetMode="External"/><Relationship Id="rId61" Type="http://schemas.openxmlformats.org/officeDocument/2006/relationships/hyperlink" Target="https://www.ummhealth.org/sites/default/files/eNewsletter_Files/Quality_Matters/qm23_09/Infographic%20Improving_Health_Equity_083023.pdf" TargetMode="External"/><Relationship Id="rId19" Type="http://schemas.openxmlformats.org/officeDocument/2006/relationships/hyperlink" Target="https://www.ncbi.nlm.nih.gov/pmc/articles/PMC3539545/" TargetMode="External"/><Relationship Id="rId14" Type="http://schemas.openxmlformats.org/officeDocument/2006/relationships/hyperlink" Target="https://www.ache.org/learning-center/research/about-the-field/top-issues-confronting-hospitals." TargetMode="External"/><Relationship Id="rId22" Type="http://schemas.openxmlformats.org/officeDocument/2006/relationships/hyperlink" Target="https://www.ruralhealthinfo.org/topics/healthcare-access" TargetMode="External"/><Relationship Id="rId27" Type="http://schemas.openxmlformats.org/officeDocument/2006/relationships/hyperlink" Target="https://www.bloomberglaw.com/external/document/XEN73QDK000000/health-care-operations-compliance-professional-perspective-legal" TargetMode="External"/><Relationship Id="rId30" Type="http://schemas.openxmlformats.org/officeDocument/2006/relationships/hyperlink" Target="https://inboundhealth.com/the-value-of-hospital-at-home-programs-for-healthcare-systems-and-payers/" TargetMode="External"/><Relationship Id="rId35" Type="http://schemas.openxmlformats.org/officeDocument/2006/relationships/hyperlink" Target="https://www.johnshopkinssolutions.com/solution/hospital-at-home/" TargetMode="External"/><Relationship Id="rId43" Type="http://schemas.openxmlformats.org/officeDocument/2006/relationships/hyperlink" Target="https://onlinelibrary.wiley.com/doi/full/10.5694/mja12.10480" TargetMode="External"/><Relationship Id="rId48" Type="http://schemas.openxmlformats.org/officeDocument/2006/relationships/hyperlink" Target="https://catalyst.nejm.org/doi/full/10.1056/CAT.22.0329" TargetMode="External"/><Relationship Id="rId56" Type="http://schemas.openxmlformats.org/officeDocument/2006/relationships/hyperlink" Target="https://www.globenewswire.com/en/news-release/2021/11/02/2325630/0/en/The-Joint-Commission-Kaiser-Permanente-name-first-recipient-of-Bernard-J-Tyson-National-Award-for-Excellence-in-Pursuit-of-Healthcare-Equity.html" TargetMode="External"/><Relationship Id="rId64" Type="http://schemas.openxmlformats.org/officeDocument/2006/relationships/hyperlink" Target="https://www.communityhelp.net" TargetMode="External"/><Relationship Id="rId8" Type="http://schemas.openxmlformats.org/officeDocument/2006/relationships/hyperlink" Target="https://www.aha.org/guidesreports/2021-08-18-hospital-merger-benefits-econometric-analysis-revisited-executive-summary" TargetMode="External"/><Relationship Id="rId51" Type="http://schemas.openxmlformats.org/officeDocument/2006/relationships/hyperlink" Target="https://www.ummhealth.org/umass-memorial-medical-center/about-us/diversity-and-cultural-awareness/programming-and-education" TargetMode="External"/><Relationship Id="rId3" Type="http://schemas.openxmlformats.org/officeDocument/2006/relationships/hyperlink" Target="https://www.medicaid.gov/medicaid/financial-management/medicaid-disproportionate-share-hospital-dsh-payments/index.html" TargetMode="External"/><Relationship Id="rId12" Type="http://schemas.openxmlformats.org/officeDocument/2006/relationships/hyperlink" Target="https://wayback.archive-it.org/5774/20220413202227/https:/www.healthypeople.gov/2020/topics-objectives/topic/Access-to-Health-Services." TargetMode="External"/><Relationship Id="rId17" Type="http://schemas.openxmlformats.org/officeDocument/2006/relationships/hyperlink" Target="https://jamanetwork.com/journals/jamanetworkopen/fullarticle/2784342" TargetMode="External"/><Relationship Id="rId25" Type="http://schemas.openxmlformats.org/officeDocument/2006/relationships/hyperlink" Target="https://www.jdsupra.com/legalnews/new-flexibility-under-the-medicare-condi-15734/" TargetMode="External"/><Relationship Id="rId33" Type="http://schemas.openxmlformats.org/officeDocument/2006/relationships/hyperlink" Target="https://www.ajmc.com/view/hospital-at-home-paying-for-what-it-s-worth" TargetMode="External"/><Relationship Id="rId38" Type="http://schemas.openxmlformats.org/officeDocument/2006/relationships/hyperlink" Target="https://www.aha.org/aha-center-health-innovation-market-scan/2024-04-09-providers-betting-big-future-hospital-home" TargetMode="External"/><Relationship Id="rId46" Type="http://schemas.openxmlformats.org/officeDocument/2006/relationships/hyperlink" Target="https://alumni.sph.harvard.edu/s/1319/images/gid2/editor_documents/mhcm_alumni/ummhc_case_study.final_formatted.pdf?gid=2&amp;pgid=61&amp;sessionid=6ab760ce-c187-4c0a-9199-35743be650cc&amp;cc=1;%20see%20generally,%20Healthcare%20Anchor%20Network,%20Resources%20for%20the%20Anchor%20Mission,%20https://healthcareanchor.network/anchor-mission-resources/." TargetMode="External"/><Relationship Id="rId59" Type="http://schemas.openxmlformats.org/officeDocument/2006/relationships/hyperlink" Target="https://www.jointcommissionjournal.com/article/S1553-7250(22)00028-9/fulltext" TargetMode="External"/><Relationship Id="rId67" Type="http://schemas.openxmlformats.org/officeDocument/2006/relationships/hyperlink" Target="https://www.ncbi.nlm.nih.gov/pmc/articles/PMC7671639/" TargetMode="External"/><Relationship Id="rId20" Type="http://schemas.openxmlformats.org/officeDocument/2006/relationships/hyperlink" Target="https://www.sciencedirect.com/science/article/pii/S2214140524000653" TargetMode="External"/><Relationship Id="rId41" Type="http://schemas.openxmlformats.org/officeDocument/2006/relationships/hyperlink" Target="https://pubmed.ncbi.nlm.nih.gov/16330791/" TargetMode="External"/><Relationship Id="rId54" Type="http://schemas.openxmlformats.org/officeDocument/2006/relationships/hyperlink" Target="https://www.ncbi.nlm.nih.gov/pmc/articles/PMC10292163/" TargetMode="External"/><Relationship Id="rId62" Type="http://schemas.openxmlformats.org/officeDocument/2006/relationships/hyperlink" Target="https://www.mass.gov/doc/health-equity-incentives-rfi-appendix-a-0/download." TargetMode="External"/><Relationship Id="rId1" Type="http://schemas.openxmlformats.org/officeDocument/2006/relationships/hyperlink" Target="https://www.chiamass.gov/assets/docs/r/hospital-profiles/2023/marlboro.pdf" TargetMode="External"/><Relationship Id="rId6" Type="http://schemas.openxmlformats.org/officeDocument/2006/relationships/hyperlink" Target="https://jamanetwork.com/journals/jamanetworkopen/article-abstract/2784342" TargetMode="External"/><Relationship Id="rId15" Type="http://schemas.openxmlformats.org/officeDocument/2006/relationships/hyperlink" Target="https://www.ache.org/learning-center/research/about-the-field/top-issues-confronting-hospitals" TargetMode="External"/><Relationship Id="rId23" Type="http://schemas.openxmlformats.org/officeDocument/2006/relationships/hyperlink" Target="https://www.ruralhealthinfo.org/topics/healthcare-access#:~:text=Traveling%20to%20receive%20healthcare%20services,ability%20to%20access%20healthcare%20services" TargetMode="External"/><Relationship Id="rId28" Type="http://schemas.openxmlformats.org/officeDocument/2006/relationships/hyperlink" Target="https://www.greeley.com/insights/system-wide-medical-staff-integration" TargetMode="External"/><Relationship Id="rId36" Type="http://schemas.openxmlformats.org/officeDocument/2006/relationships/hyperlink" Target="https://inboundhealth.com/the-value-of-hospital-at-home-programs-for-healthcare-systems-and-payers/" TargetMode="External"/><Relationship Id="rId49" Type="http://schemas.openxmlformats.org/officeDocument/2006/relationships/hyperlink" Target="https://catalyst.nejm.org/doi/full/10.1056/CAT.22.0329" TargetMode="External"/><Relationship Id="rId57" Type="http://schemas.openxmlformats.org/officeDocument/2006/relationships/hyperlink" Target="https://www.globenewswire.com/en/news-release/2021/11/02/2325630/0/en/The-Joint-Commission-Kaiser-Permanente-name-first-recipient-of-Bernard-J-Tyson-National-Award-for-Excellence-in-Pursuit-of-Healthcare-Equity.html" TargetMode="External"/><Relationship Id="rId10" Type="http://schemas.openxmlformats.org/officeDocument/2006/relationships/hyperlink" Target="https://www.mass.gov/doc/community-hospitals-at-a-crossroads-findings-from-an-examination-of-the-massachusetts-health/download." TargetMode="External"/><Relationship Id="rId31" Type="http://schemas.openxmlformats.org/officeDocument/2006/relationships/hyperlink" Target="https://inboundhealth.com/the-value-of-hospital-at-home-programs-for-healthcare-systems-and-payers/" TargetMode="External"/><Relationship Id="rId44" Type="http://schemas.openxmlformats.org/officeDocument/2006/relationships/hyperlink" Target="https://www.ummhealth.org/anchor-mission;" TargetMode="External"/><Relationship Id="rId52" Type="http://schemas.openxmlformats.org/officeDocument/2006/relationships/hyperlink" Target="https://pursuit.ummhealth.org/articles/new-doula-program-aims-address-maternal-health-inequities" TargetMode="External"/><Relationship Id="rId60" Type="http://schemas.openxmlformats.org/officeDocument/2006/relationships/hyperlink" Target="https://www.ummhealth.org/sites/default/files/eNewsletter_Files/Quality_Matters/qm23_09/Infographic%20Improving_Health_Equity_083023.pdf" TargetMode="External"/><Relationship Id="rId65" Type="http://schemas.openxmlformats.org/officeDocument/2006/relationships/hyperlink" Target="https://www.getwellnetwork.com/why-get-well/" TargetMode="External"/><Relationship Id="rId4" Type="http://schemas.openxmlformats.org/officeDocument/2006/relationships/hyperlink" Target="https://journals.plos.org/plosone/article?id=10.1371/journal.pone.0174533" TargetMode="External"/><Relationship Id="rId9" Type="http://schemas.openxmlformats.org/officeDocument/2006/relationships/hyperlink" Target="https://www.aha.org/guidesreports/2021-08-18-hospital-merger-benefits-econometric-analysis-revisited-executive-summary" TargetMode="External"/><Relationship Id="rId13" Type="http://schemas.openxmlformats.org/officeDocument/2006/relationships/hyperlink" Target="https://wayback.archive-it.org/5774/20220413202227/https:/www.healthypeople.gov/2020/topics-objectives/topic/Access-to-Health-Services" TargetMode="External"/><Relationship Id="rId18" Type="http://schemas.openxmlformats.org/officeDocument/2006/relationships/hyperlink" Target="https://www.ncbi.nlm.nih.gov/pmc/articles/PMC3539545/" TargetMode="External"/><Relationship Id="rId39" Type="http://schemas.openxmlformats.org/officeDocument/2006/relationships/hyperlink" Target="https://www.aha.org/aha-center-health-innovation-market-scan/2024-04-09-providers-betting-big-future-hospital-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55C55-A482-49A7-AC99-69E60C78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8252</Words>
  <Characters>47037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Terry</dc:creator>
  <cp:keywords/>
  <dc:description/>
  <cp:lastModifiedBy>Marks, Brett (DPH)</cp:lastModifiedBy>
  <cp:revision>24</cp:revision>
  <dcterms:created xsi:type="dcterms:W3CDTF">2025-02-13T17:23:00Z</dcterms:created>
  <dcterms:modified xsi:type="dcterms:W3CDTF">2025-03-12T14:37:00Z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4934-6818-2544.14</vt:lpwstr>
  </property>
  <property fmtid="{D5CDD505-2E9C-101B-9397-08002B2CF9AE}" pid="3" name="DocXFormat">
    <vt:lpwstr>HB DocID w/ver w/HB Label</vt:lpwstr>
  </property>
  <property fmtid="{D5CDD505-2E9C-101B-9397-08002B2CF9AE}" pid="4" name="DocXLocation">
    <vt:lpwstr>EveryPage</vt:lpwstr>
  </property>
  <property fmtid="{D5CDD505-2E9C-101B-9397-08002B2CF9AE}" pid="5" name="ndDocumentId">
    <vt:lpwstr>4934-6818-2544</vt:lpwstr>
  </property>
</Properties>
</file>