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C4EC" w14:textId="77777777" w:rsidR="009F5152" w:rsidRPr="00E97255" w:rsidRDefault="009F5152" w:rsidP="00DA5C8F">
      <w:pPr>
        <w:pStyle w:val="Heading1"/>
        <w:rPr>
          <w:rFonts w:ascii="Aptos" w:hAnsi="Aptos"/>
          <w:sz w:val="20"/>
          <w:szCs w:val="20"/>
        </w:rPr>
      </w:pPr>
      <w:r w:rsidRPr="00E97255">
        <w:rPr>
          <w:rFonts w:ascii="Aptos" w:hAnsi="Aptos"/>
          <w:sz w:val="20"/>
          <w:szCs w:val="20"/>
        </w:rPr>
        <w:t>2. Project Description</w:t>
      </w:r>
    </w:p>
    <w:p w14:paraId="7653EB25" w14:textId="643B64F2" w:rsidR="00B53469" w:rsidRPr="00E97255" w:rsidRDefault="00996C58" w:rsidP="004019C6">
      <w:pPr>
        <w:suppressAutoHyphens w:val="0"/>
        <w:autoSpaceDE w:val="0"/>
        <w:autoSpaceDN w:val="0"/>
        <w:adjustRightInd w:val="0"/>
        <w:spacing w:before="120" w:after="120"/>
        <w:jc w:val="both"/>
        <w:rPr>
          <w:rFonts w:ascii="Aptos" w:hAnsi="Aptos"/>
          <w:sz w:val="20"/>
          <w:szCs w:val="20"/>
        </w:rPr>
      </w:pPr>
      <w:r>
        <w:rPr>
          <w:rFonts w:ascii="Aptos" w:hAnsi="Aptos"/>
          <w:sz w:val="20"/>
          <w:szCs w:val="20"/>
        </w:rPr>
        <w:t>U</w:t>
      </w:r>
      <w:r w:rsidR="00F0324C">
        <w:rPr>
          <w:rFonts w:ascii="Aptos" w:hAnsi="Aptos"/>
          <w:sz w:val="20"/>
          <w:szCs w:val="20"/>
        </w:rPr>
        <w:t>M</w:t>
      </w:r>
      <w:r>
        <w:rPr>
          <w:rFonts w:ascii="Aptos" w:hAnsi="Aptos"/>
          <w:sz w:val="20"/>
          <w:szCs w:val="20"/>
        </w:rPr>
        <w:t>ass Memorial Health</w:t>
      </w:r>
      <w:r w:rsidR="003477C9">
        <w:rPr>
          <w:rFonts w:ascii="Aptos" w:hAnsi="Aptos"/>
          <w:sz w:val="20"/>
          <w:szCs w:val="20"/>
        </w:rPr>
        <w:t xml:space="preserve"> Care</w:t>
      </w:r>
      <w:r>
        <w:rPr>
          <w:rFonts w:ascii="Aptos" w:hAnsi="Aptos"/>
          <w:sz w:val="20"/>
          <w:szCs w:val="20"/>
        </w:rPr>
        <w:t xml:space="preserve">, Inc. </w:t>
      </w:r>
      <w:r w:rsidR="009F5152" w:rsidRPr="00E97255">
        <w:rPr>
          <w:rFonts w:ascii="Aptos" w:hAnsi="Aptos"/>
          <w:sz w:val="20"/>
          <w:szCs w:val="20"/>
        </w:rPr>
        <w:t>(the “Holder” or “</w:t>
      </w:r>
      <w:r w:rsidR="001C100E" w:rsidRPr="00E97255">
        <w:rPr>
          <w:rFonts w:ascii="Aptos" w:hAnsi="Aptos"/>
          <w:sz w:val="20"/>
          <w:szCs w:val="20"/>
        </w:rPr>
        <w:t>UMass Memorial</w:t>
      </w:r>
      <w:r w:rsidR="009F5152" w:rsidRPr="00E97255">
        <w:rPr>
          <w:rFonts w:ascii="Aptos" w:hAnsi="Aptos"/>
          <w:sz w:val="20"/>
          <w:szCs w:val="20"/>
        </w:rPr>
        <w:t>”)</w:t>
      </w:r>
      <w:r w:rsidR="005B4BDC" w:rsidRPr="00E97255">
        <w:rPr>
          <w:rFonts w:ascii="Aptos" w:hAnsi="Aptos"/>
          <w:sz w:val="20"/>
          <w:szCs w:val="20"/>
        </w:rPr>
        <w:t xml:space="preserve"> requests approval for a Significant Change to a previously issued Determination of Need (DoN)</w:t>
      </w:r>
      <w:r w:rsidRPr="00996C58">
        <w:rPr>
          <w:rFonts w:ascii="Aptos" w:hAnsi="Aptos"/>
          <w:sz w:val="20"/>
          <w:szCs w:val="20"/>
        </w:rPr>
        <w:t xml:space="preserve"> </w:t>
      </w:r>
      <w:r w:rsidRPr="00E97255">
        <w:rPr>
          <w:rFonts w:ascii="Aptos" w:hAnsi="Aptos"/>
          <w:sz w:val="20"/>
          <w:szCs w:val="20"/>
        </w:rPr>
        <w:t>(Application #</w:t>
      </w:r>
      <w:r w:rsidRPr="00E97255">
        <w:rPr>
          <w:rFonts w:ascii="Aptos" w:hAnsi="Aptos" w:cstheme="minorHAnsi"/>
          <w:sz w:val="20"/>
          <w:szCs w:val="20"/>
        </w:rPr>
        <w:t>UMMHC-22042514-HE, “Original DoN”</w:t>
      </w:r>
      <w:r w:rsidRPr="00E97255">
        <w:rPr>
          <w:rFonts w:ascii="Aptos" w:hAnsi="Aptos"/>
          <w:sz w:val="20"/>
          <w:szCs w:val="20"/>
        </w:rPr>
        <w:t>)</w:t>
      </w:r>
      <w:r w:rsidRPr="00E97255">
        <w:rPr>
          <w:rFonts w:ascii="Aptos" w:eastAsiaTheme="minorHAnsi" w:hAnsi="Aptos"/>
          <w:sz w:val="20"/>
          <w:szCs w:val="20"/>
        </w:rPr>
        <w:t xml:space="preserve"> </w:t>
      </w:r>
      <w:r>
        <w:rPr>
          <w:rFonts w:ascii="Aptos" w:hAnsi="Aptos"/>
          <w:sz w:val="20"/>
          <w:szCs w:val="20"/>
        </w:rPr>
        <w:t xml:space="preserve"> in order </w:t>
      </w:r>
      <w:r w:rsidR="005B4BDC" w:rsidRPr="00E97255">
        <w:rPr>
          <w:rFonts w:ascii="Aptos" w:hAnsi="Aptos"/>
          <w:sz w:val="20"/>
          <w:szCs w:val="20"/>
        </w:rPr>
        <w:t xml:space="preserve"> to build out approved shell space at </w:t>
      </w:r>
      <w:r w:rsidR="00F5477A">
        <w:rPr>
          <w:rFonts w:ascii="Aptos" w:hAnsi="Aptos"/>
          <w:sz w:val="20"/>
          <w:szCs w:val="20"/>
        </w:rPr>
        <w:t xml:space="preserve">the </w:t>
      </w:r>
      <w:r w:rsidR="005B4BDC" w:rsidRPr="00E97255">
        <w:rPr>
          <w:rFonts w:ascii="Aptos" w:hAnsi="Aptos"/>
          <w:sz w:val="20"/>
          <w:szCs w:val="20"/>
        </w:rPr>
        <w:t xml:space="preserve">North Pavilion </w:t>
      </w:r>
      <w:r w:rsidR="007C528D">
        <w:rPr>
          <w:rFonts w:ascii="Aptos" w:hAnsi="Aptos"/>
          <w:sz w:val="20"/>
          <w:szCs w:val="20"/>
        </w:rPr>
        <w:t>c</w:t>
      </w:r>
      <w:r w:rsidR="005B4BDC" w:rsidRPr="00E97255">
        <w:rPr>
          <w:rFonts w:ascii="Aptos" w:hAnsi="Aptos"/>
          <w:sz w:val="20"/>
          <w:szCs w:val="20"/>
        </w:rPr>
        <w:t>ampus</w:t>
      </w:r>
      <w:r>
        <w:rPr>
          <w:rFonts w:ascii="Aptos" w:hAnsi="Aptos"/>
          <w:sz w:val="20"/>
          <w:szCs w:val="20"/>
        </w:rPr>
        <w:t xml:space="preserve"> of </w:t>
      </w:r>
      <w:r w:rsidR="00F5477A">
        <w:rPr>
          <w:rFonts w:ascii="Aptos" w:hAnsi="Aptos"/>
          <w:sz w:val="20"/>
          <w:szCs w:val="20"/>
        </w:rPr>
        <w:t xml:space="preserve">UMass </w:t>
      </w:r>
      <w:r>
        <w:rPr>
          <w:rFonts w:ascii="Aptos" w:hAnsi="Aptos"/>
          <w:sz w:val="20"/>
          <w:szCs w:val="20"/>
        </w:rPr>
        <w:t>Memorial Medical Center (</w:t>
      </w:r>
      <w:r w:rsidR="00780C3D">
        <w:rPr>
          <w:rFonts w:ascii="Aptos" w:hAnsi="Aptos"/>
          <w:sz w:val="20"/>
          <w:szCs w:val="20"/>
        </w:rPr>
        <w:t>the “Medical Center”</w:t>
      </w:r>
      <w:r>
        <w:rPr>
          <w:rFonts w:ascii="Aptos" w:hAnsi="Aptos"/>
          <w:sz w:val="20"/>
          <w:szCs w:val="20"/>
        </w:rPr>
        <w:t>)</w:t>
      </w:r>
      <w:r w:rsidR="005B4BDC" w:rsidRPr="00E97255">
        <w:rPr>
          <w:rFonts w:ascii="Aptos" w:hAnsi="Aptos"/>
          <w:sz w:val="20"/>
          <w:szCs w:val="20"/>
        </w:rPr>
        <w:t xml:space="preserve"> located at </w:t>
      </w:r>
      <w:r w:rsidR="007222B2" w:rsidRPr="00E97255">
        <w:rPr>
          <w:rFonts w:ascii="Aptos" w:hAnsi="Aptos"/>
          <w:sz w:val="20"/>
          <w:szCs w:val="20"/>
        </w:rPr>
        <w:t>378 Plantation Street, Worcester, MA 01605</w:t>
      </w:r>
      <w:r w:rsidR="005B4BDC" w:rsidRPr="00E97255">
        <w:rPr>
          <w:rFonts w:ascii="Aptos" w:hAnsi="Aptos"/>
          <w:sz w:val="20"/>
          <w:szCs w:val="20"/>
        </w:rPr>
        <w:t>. The proposed build out</w:t>
      </w:r>
      <w:r w:rsidR="00C44491">
        <w:rPr>
          <w:rFonts w:ascii="Aptos" w:hAnsi="Aptos"/>
          <w:sz w:val="20"/>
          <w:szCs w:val="20"/>
        </w:rPr>
        <w:t xml:space="preserve"> of North Pavilion</w:t>
      </w:r>
      <w:r w:rsidR="008602DE">
        <w:rPr>
          <w:rFonts w:ascii="Aptos" w:hAnsi="Aptos"/>
          <w:sz w:val="20"/>
          <w:szCs w:val="20"/>
        </w:rPr>
        <w:t xml:space="preserve"> campus</w:t>
      </w:r>
      <w:r w:rsidR="005B4BDC" w:rsidRPr="00E97255">
        <w:rPr>
          <w:rFonts w:ascii="Aptos" w:hAnsi="Aptos"/>
          <w:sz w:val="20"/>
          <w:szCs w:val="20"/>
        </w:rPr>
        <w:t xml:space="preserve"> will</w:t>
      </w:r>
      <w:r w:rsidR="008602DE">
        <w:rPr>
          <w:rFonts w:ascii="Aptos" w:hAnsi="Aptos"/>
          <w:sz w:val="20"/>
          <w:szCs w:val="20"/>
        </w:rPr>
        <w:t xml:space="preserve"> accommodate</w:t>
      </w:r>
      <w:r w:rsidR="005B4BDC" w:rsidRPr="00E97255">
        <w:rPr>
          <w:rFonts w:ascii="Aptos" w:hAnsi="Aptos"/>
          <w:sz w:val="20"/>
          <w:szCs w:val="20"/>
        </w:rPr>
        <w:t xml:space="preserve"> 24 medical</w:t>
      </w:r>
      <w:r w:rsidR="00BE122A">
        <w:rPr>
          <w:rFonts w:ascii="Aptos" w:hAnsi="Aptos"/>
          <w:sz w:val="20"/>
          <w:szCs w:val="20"/>
        </w:rPr>
        <w:t>/</w:t>
      </w:r>
      <w:r w:rsidR="005B4BDC" w:rsidRPr="00E97255">
        <w:rPr>
          <w:rFonts w:ascii="Aptos" w:hAnsi="Aptos"/>
          <w:sz w:val="20"/>
          <w:szCs w:val="20"/>
        </w:rPr>
        <w:t>surgical</w:t>
      </w:r>
      <w:r>
        <w:rPr>
          <w:rFonts w:ascii="Aptos" w:hAnsi="Aptos"/>
          <w:sz w:val="20"/>
          <w:szCs w:val="20"/>
        </w:rPr>
        <w:t xml:space="preserve"> (M/S)</w:t>
      </w:r>
      <w:r w:rsidR="005B4BDC" w:rsidRPr="00E97255">
        <w:rPr>
          <w:rFonts w:ascii="Aptos" w:hAnsi="Aptos"/>
          <w:sz w:val="20"/>
          <w:szCs w:val="20"/>
        </w:rPr>
        <w:t xml:space="preserve"> beds</w:t>
      </w:r>
      <w:r w:rsidR="007222B2" w:rsidRPr="00E97255">
        <w:rPr>
          <w:rFonts w:ascii="Aptos" w:hAnsi="Aptos"/>
          <w:sz w:val="20"/>
          <w:szCs w:val="20"/>
        </w:rPr>
        <w:t>, consisting of six (6) bed</w:t>
      </w:r>
      <w:r>
        <w:rPr>
          <w:rFonts w:ascii="Aptos" w:hAnsi="Aptos"/>
          <w:sz w:val="20"/>
          <w:szCs w:val="20"/>
        </w:rPr>
        <w:t>s</w:t>
      </w:r>
      <w:r w:rsidR="007222B2" w:rsidRPr="00E97255">
        <w:rPr>
          <w:rFonts w:ascii="Aptos" w:hAnsi="Aptos"/>
          <w:sz w:val="20"/>
          <w:szCs w:val="20"/>
        </w:rPr>
        <w:t xml:space="preserve"> on each of the four (4) inpatient floors </w:t>
      </w:r>
      <w:r w:rsidR="005B4BDC" w:rsidRPr="00E97255">
        <w:rPr>
          <w:rFonts w:ascii="Aptos" w:hAnsi="Aptos"/>
          <w:sz w:val="20"/>
          <w:szCs w:val="20"/>
        </w:rPr>
        <w:t xml:space="preserve">of </w:t>
      </w:r>
      <w:r w:rsidR="00780C3D">
        <w:rPr>
          <w:rFonts w:ascii="Aptos" w:hAnsi="Aptos"/>
          <w:sz w:val="20"/>
          <w:szCs w:val="20"/>
        </w:rPr>
        <w:t xml:space="preserve">the </w:t>
      </w:r>
      <w:r w:rsidR="005B4BDC" w:rsidRPr="00E97255">
        <w:rPr>
          <w:rFonts w:ascii="Aptos" w:hAnsi="Aptos"/>
          <w:sz w:val="20"/>
          <w:szCs w:val="20"/>
        </w:rPr>
        <w:t xml:space="preserve">North Pavilion </w:t>
      </w:r>
      <w:r w:rsidR="00780C3D">
        <w:rPr>
          <w:rFonts w:ascii="Aptos" w:hAnsi="Aptos"/>
          <w:sz w:val="20"/>
          <w:szCs w:val="20"/>
        </w:rPr>
        <w:t>c</w:t>
      </w:r>
      <w:r w:rsidR="005B4BDC" w:rsidRPr="00E97255">
        <w:rPr>
          <w:rFonts w:ascii="Aptos" w:hAnsi="Aptos"/>
          <w:sz w:val="20"/>
          <w:szCs w:val="20"/>
        </w:rPr>
        <w:t xml:space="preserve">ampus building (the “Proposed Change”). </w:t>
      </w:r>
      <w:r>
        <w:rPr>
          <w:rFonts w:ascii="Aptos" w:hAnsi="Aptos"/>
          <w:sz w:val="20"/>
          <w:szCs w:val="20"/>
        </w:rPr>
        <w:t xml:space="preserve">While the Original DoN included the addition of 19 M/S beds at </w:t>
      </w:r>
      <w:r w:rsidR="00780C3D">
        <w:rPr>
          <w:rFonts w:ascii="Aptos" w:hAnsi="Aptos"/>
          <w:sz w:val="20"/>
          <w:szCs w:val="20"/>
        </w:rPr>
        <w:t>the Medical Center</w:t>
      </w:r>
      <w:r>
        <w:rPr>
          <w:rFonts w:ascii="Aptos" w:hAnsi="Aptos"/>
          <w:sz w:val="20"/>
          <w:szCs w:val="20"/>
        </w:rPr>
        <w:t>’s Memorial Campus</w:t>
      </w:r>
      <w:r w:rsidR="00B53469" w:rsidRPr="00E97255">
        <w:rPr>
          <w:rFonts w:ascii="Aptos" w:hAnsi="Aptos"/>
          <w:sz w:val="20"/>
          <w:szCs w:val="20"/>
        </w:rPr>
        <w:t xml:space="preserve"> (“Memorial </w:t>
      </w:r>
      <w:r w:rsidR="003E0A46">
        <w:rPr>
          <w:rFonts w:ascii="Aptos" w:hAnsi="Aptos"/>
          <w:sz w:val="20"/>
          <w:szCs w:val="20"/>
        </w:rPr>
        <w:t>B</w:t>
      </w:r>
      <w:r w:rsidR="003E0A46" w:rsidRPr="00E97255">
        <w:rPr>
          <w:rFonts w:ascii="Aptos" w:hAnsi="Aptos"/>
          <w:sz w:val="20"/>
          <w:szCs w:val="20"/>
        </w:rPr>
        <w:t>eds</w:t>
      </w:r>
      <w:r w:rsidR="00B53469" w:rsidRPr="00E97255">
        <w:rPr>
          <w:rFonts w:ascii="Aptos" w:hAnsi="Aptos"/>
          <w:sz w:val="20"/>
          <w:szCs w:val="20"/>
        </w:rPr>
        <w:t>”)</w:t>
      </w:r>
      <w:r>
        <w:rPr>
          <w:rFonts w:ascii="Aptos" w:hAnsi="Aptos"/>
          <w:sz w:val="20"/>
          <w:szCs w:val="20"/>
        </w:rPr>
        <w:t xml:space="preserve">, the </w:t>
      </w:r>
      <w:r w:rsidR="003E0A46">
        <w:rPr>
          <w:rFonts w:ascii="Aptos" w:hAnsi="Aptos"/>
          <w:sz w:val="20"/>
          <w:szCs w:val="20"/>
        </w:rPr>
        <w:t>Holder since</w:t>
      </w:r>
      <w:r>
        <w:rPr>
          <w:rFonts w:ascii="Aptos" w:hAnsi="Aptos"/>
          <w:sz w:val="20"/>
          <w:szCs w:val="20"/>
        </w:rPr>
        <w:t xml:space="preserve"> determined that the needs of its patient panel would be better met by adding 24 beds at North Pavilion instead of adding the Memorial </w:t>
      </w:r>
      <w:r w:rsidR="008602DE">
        <w:rPr>
          <w:rFonts w:ascii="Aptos" w:hAnsi="Aptos"/>
          <w:sz w:val="20"/>
          <w:szCs w:val="20"/>
        </w:rPr>
        <w:t>Beds.</w:t>
      </w:r>
      <w:r w:rsidR="00F5477A">
        <w:rPr>
          <w:rFonts w:ascii="Aptos" w:hAnsi="Aptos"/>
          <w:sz w:val="20"/>
          <w:szCs w:val="20"/>
        </w:rPr>
        <w:t xml:space="preserve"> </w:t>
      </w:r>
      <w:r w:rsidR="00C17C05" w:rsidRPr="00E97255">
        <w:rPr>
          <w:rFonts w:ascii="Aptos" w:hAnsi="Aptos"/>
          <w:sz w:val="20"/>
          <w:szCs w:val="20"/>
        </w:rPr>
        <w:t xml:space="preserve">As a result, the Proposed Change represents a net increase of five (5) </w:t>
      </w:r>
      <w:r>
        <w:rPr>
          <w:rFonts w:ascii="Aptos" w:hAnsi="Aptos"/>
          <w:sz w:val="20"/>
          <w:szCs w:val="20"/>
        </w:rPr>
        <w:t xml:space="preserve">M/S beds to the </w:t>
      </w:r>
      <w:r w:rsidR="00780C3D">
        <w:rPr>
          <w:rFonts w:ascii="Aptos" w:hAnsi="Aptos"/>
          <w:sz w:val="20"/>
          <w:szCs w:val="20"/>
        </w:rPr>
        <w:t>Medical Center’s</w:t>
      </w:r>
      <w:r>
        <w:rPr>
          <w:rFonts w:ascii="Aptos" w:hAnsi="Aptos"/>
          <w:sz w:val="20"/>
          <w:szCs w:val="20"/>
        </w:rPr>
        <w:t xml:space="preserve"> license compared to </w:t>
      </w:r>
      <w:r w:rsidR="008602DE">
        <w:rPr>
          <w:rFonts w:ascii="Aptos" w:hAnsi="Aptos"/>
          <w:sz w:val="20"/>
          <w:szCs w:val="20"/>
        </w:rPr>
        <w:t>the total number of beds approv</w:t>
      </w:r>
      <w:r>
        <w:rPr>
          <w:rFonts w:ascii="Aptos" w:hAnsi="Aptos"/>
          <w:sz w:val="20"/>
          <w:szCs w:val="20"/>
        </w:rPr>
        <w:t>ed in the Original DoN</w:t>
      </w:r>
      <w:r w:rsidR="00C17C05" w:rsidRPr="00E97255">
        <w:rPr>
          <w:rFonts w:ascii="Aptos" w:hAnsi="Aptos"/>
          <w:sz w:val="20"/>
          <w:szCs w:val="20"/>
        </w:rPr>
        <w:t>.</w:t>
      </w:r>
      <w:r>
        <w:rPr>
          <w:rFonts w:ascii="Aptos" w:hAnsi="Aptos"/>
          <w:sz w:val="20"/>
          <w:szCs w:val="20"/>
        </w:rPr>
        <w:t xml:space="preserve"> The Proposed Change will result in an increase of </w:t>
      </w:r>
      <w:r w:rsidRPr="00E97255">
        <w:rPr>
          <w:rFonts w:ascii="Aptos" w:hAnsi="Aptos"/>
          <w:sz w:val="20"/>
          <w:szCs w:val="20"/>
        </w:rPr>
        <w:t xml:space="preserve">$8,911,590 </w:t>
      </w:r>
      <w:r>
        <w:rPr>
          <w:rFonts w:ascii="Aptos" w:hAnsi="Aptos"/>
          <w:sz w:val="20"/>
          <w:szCs w:val="20"/>
        </w:rPr>
        <w:t>to the approved maximum capital expenditure</w:t>
      </w:r>
      <w:r w:rsidR="00BE122A">
        <w:rPr>
          <w:rFonts w:ascii="Aptos" w:hAnsi="Aptos"/>
          <w:sz w:val="20"/>
          <w:szCs w:val="20"/>
        </w:rPr>
        <w:t xml:space="preserve"> (MCE)</w:t>
      </w:r>
      <w:r>
        <w:rPr>
          <w:rFonts w:ascii="Aptos" w:hAnsi="Aptos"/>
          <w:sz w:val="20"/>
          <w:szCs w:val="20"/>
        </w:rPr>
        <w:t xml:space="preserve">, </w:t>
      </w:r>
      <w:r w:rsidRPr="00E97255">
        <w:rPr>
          <w:rFonts w:ascii="Aptos" w:hAnsi="Aptos"/>
          <w:sz w:val="20"/>
          <w:szCs w:val="20"/>
        </w:rPr>
        <w:t>for a new total MCE of $152,153,757</w:t>
      </w:r>
      <w:r>
        <w:rPr>
          <w:rFonts w:ascii="Aptos" w:hAnsi="Aptos"/>
          <w:sz w:val="20"/>
          <w:szCs w:val="20"/>
        </w:rPr>
        <w:t>.</w:t>
      </w:r>
    </w:p>
    <w:p w14:paraId="41CDC671" w14:textId="77777777" w:rsidR="009F5152" w:rsidRPr="00E97255" w:rsidRDefault="009F5152" w:rsidP="00DA5C8F">
      <w:pPr>
        <w:pStyle w:val="Heading1"/>
        <w:rPr>
          <w:rFonts w:ascii="Aptos" w:hAnsi="Aptos"/>
          <w:sz w:val="20"/>
          <w:szCs w:val="20"/>
        </w:rPr>
      </w:pPr>
      <w:r w:rsidRPr="00E97255">
        <w:rPr>
          <w:rFonts w:ascii="Aptos" w:hAnsi="Aptos"/>
          <w:sz w:val="20"/>
          <w:szCs w:val="20"/>
        </w:rPr>
        <w:t>10. Amendment</w:t>
      </w:r>
    </w:p>
    <w:p w14:paraId="0E42B0D3" w14:textId="77777777" w:rsidR="009F5152" w:rsidRPr="00E97255" w:rsidRDefault="009F5152" w:rsidP="00DA5C8F">
      <w:pPr>
        <w:pStyle w:val="Heading1"/>
        <w:rPr>
          <w:rFonts w:ascii="Aptos" w:hAnsi="Aptos"/>
          <w:sz w:val="20"/>
          <w:szCs w:val="20"/>
        </w:rPr>
      </w:pPr>
      <w:r w:rsidRPr="00E97255">
        <w:rPr>
          <w:rFonts w:ascii="Aptos" w:hAnsi="Aptos"/>
          <w:sz w:val="20"/>
          <w:szCs w:val="20"/>
        </w:rPr>
        <w:t>10.5.a Describe the proposed change.</w:t>
      </w:r>
    </w:p>
    <w:p w14:paraId="0CD34AB5" w14:textId="6EDD0A6B" w:rsidR="00595193" w:rsidRPr="00E97255" w:rsidRDefault="005E1EBE" w:rsidP="009F5152">
      <w:pPr>
        <w:suppressAutoHyphens w:val="0"/>
        <w:autoSpaceDE w:val="0"/>
        <w:autoSpaceDN w:val="0"/>
        <w:adjustRightInd w:val="0"/>
        <w:spacing w:before="120" w:after="120"/>
        <w:jc w:val="both"/>
        <w:rPr>
          <w:rFonts w:ascii="Aptos" w:hAnsi="Aptos"/>
          <w:sz w:val="20"/>
          <w:szCs w:val="20"/>
        </w:rPr>
      </w:pPr>
      <w:r w:rsidRPr="00E97255">
        <w:rPr>
          <w:rFonts w:ascii="Aptos" w:hAnsi="Aptos"/>
          <w:sz w:val="20"/>
          <w:szCs w:val="20"/>
        </w:rPr>
        <w:t xml:space="preserve">The </w:t>
      </w:r>
      <w:r w:rsidR="00996C58">
        <w:rPr>
          <w:rFonts w:ascii="Aptos" w:hAnsi="Aptos"/>
          <w:sz w:val="20"/>
          <w:szCs w:val="20"/>
        </w:rPr>
        <w:t>Original</w:t>
      </w:r>
      <w:r w:rsidRPr="00E97255">
        <w:rPr>
          <w:rFonts w:ascii="Aptos" w:hAnsi="Aptos"/>
          <w:sz w:val="20"/>
          <w:szCs w:val="20"/>
        </w:rPr>
        <w:t xml:space="preserve"> DoN</w:t>
      </w:r>
      <w:r w:rsidR="005B4BDC" w:rsidRPr="00E97255">
        <w:rPr>
          <w:rFonts w:ascii="Aptos" w:hAnsi="Aptos"/>
          <w:sz w:val="20"/>
          <w:szCs w:val="20"/>
        </w:rPr>
        <w:t xml:space="preserve"> </w:t>
      </w:r>
      <w:r w:rsidRPr="00E97255">
        <w:rPr>
          <w:rFonts w:ascii="Aptos" w:hAnsi="Aptos"/>
          <w:sz w:val="20"/>
          <w:szCs w:val="20"/>
        </w:rPr>
        <w:t xml:space="preserve">approved </w:t>
      </w:r>
      <w:bookmarkStart w:id="0" w:name="_Hlk112072944"/>
      <w:r w:rsidR="00595193" w:rsidRPr="00E97255">
        <w:rPr>
          <w:rFonts w:ascii="Aptos" w:hAnsi="Aptos"/>
          <w:sz w:val="20"/>
          <w:szCs w:val="20"/>
        </w:rPr>
        <w:t xml:space="preserve">the renovation of a six-story building adjacent to </w:t>
      </w:r>
      <w:r w:rsidR="00780C3D">
        <w:rPr>
          <w:rFonts w:ascii="Aptos" w:hAnsi="Aptos"/>
          <w:sz w:val="20"/>
          <w:szCs w:val="20"/>
        </w:rPr>
        <w:t>the Medical Center</w:t>
      </w:r>
      <w:r w:rsidR="00595193" w:rsidRPr="00E97255">
        <w:rPr>
          <w:rFonts w:ascii="Aptos" w:hAnsi="Aptos"/>
          <w:sz w:val="20"/>
          <w:szCs w:val="20"/>
        </w:rPr>
        <w:t>’s University Campus to include 72 M/S beds, one computed tomography (CT) unit, and shell space for future build out to accommodate clinical services.</w:t>
      </w:r>
      <w:r w:rsidR="003E0A46">
        <w:rPr>
          <w:rFonts w:ascii="Aptos" w:hAnsi="Aptos"/>
          <w:sz w:val="20"/>
          <w:szCs w:val="20"/>
        </w:rPr>
        <w:t xml:space="preserve"> The new </w:t>
      </w:r>
      <w:r w:rsidR="007C528D">
        <w:rPr>
          <w:rFonts w:ascii="Aptos" w:hAnsi="Aptos"/>
          <w:sz w:val="20"/>
          <w:szCs w:val="20"/>
        </w:rPr>
        <w:t>building</w:t>
      </w:r>
      <w:r w:rsidR="003E0A46">
        <w:rPr>
          <w:rFonts w:ascii="Aptos" w:hAnsi="Aptos"/>
          <w:sz w:val="20"/>
          <w:szCs w:val="20"/>
        </w:rPr>
        <w:t xml:space="preserve"> is known as the North Pavilion campus.</w:t>
      </w:r>
      <w:r w:rsidR="00595193" w:rsidRPr="00E97255">
        <w:rPr>
          <w:rFonts w:ascii="Aptos" w:hAnsi="Aptos"/>
          <w:sz w:val="20"/>
          <w:szCs w:val="20"/>
        </w:rPr>
        <w:t xml:space="preserve"> </w:t>
      </w:r>
      <w:r w:rsidR="00E81A66" w:rsidRPr="00E97255">
        <w:rPr>
          <w:rFonts w:ascii="Aptos" w:hAnsi="Aptos"/>
          <w:sz w:val="20"/>
          <w:szCs w:val="20"/>
        </w:rPr>
        <w:t xml:space="preserve">Additionally, the </w:t>
      </w:r>
      <w:r w:rsidR="00BC1066" w:rsidRPr="00E97255">
        <w:rPr>
          <w:rFonts w:ascii="Aptos" w:hAnsi="Aptos"/>
          <w:sz w:val="20"/>
          <w:szCs w:val="20"/>
        </w:rPr>
        <w:t xml:space="preserve">Original </w:t>
      </w:r>
      <w:r w:rsidR="00E81A66" w:rsidRPr="00E97255">
        <w:rPr>
          <w:rFonts w:ascii="Aptos" w:hAnsi="Aptos"/>
          <w:sz w:val="20"/>
          <w:szCs w:val="20"/>
        </w:rPr>
        <w:t>DoN approved</w:t>
      </w:r>
      <w:r w:rsidR="003E0A46">
        <w:rPr>
          <w:rFonts w:ascii="Aptos" w:hAnsi="Aptos"/>
          <w:sz w:val="20"/>
          <w:szCs w:val="20"/>
        </w:rPr>
        <w:t xml:space="preserve"> the addition of</w:t>
      </w:r>
      <w:r w:rsidR="00E81A66" w:rsidRPr="00E97255">
        <w:rPr>
          <w:rFonts w:ascii="Aptos" w:hAnsi="Aptos"/>
          <w:sz w:val="20"/>
          <w:szCs w:val="20"/>
        </w:rPr>
        <w:t xml:space="preserve"> 19 </w:t>
      </w:r>
      <w:r w:rsidR="005C131C" w:rsidRPr="00E97255">
        <w:rPr>
          <w:rFonts w:ascii="Aptos" w:hAnsi="Aptos"/>
          <w:sz w:val="20"/>
          <w:szCs w:val="20"/>
        </w:rPr>
        <w:t>M/S</w:t>
      </w:r>
      <w:r w:rsidR="00E81A66" w:rsidRPr="00E97255">
        <w:rPr>
          <w:rFonts w:ascii="Aptos" w:hAnsi="Aptos"/>
          <w:sz w:val="20"/>
          <w:szCs w:val="20"/>
        </w:rPr>
        <w:t xml:space="preserve"> beds at </w:t>
      </w:r>
      <w:r w:rsidR="003E0A46">
        <w:rPr>
          <w:rFonts w:ascii="Aptos" w:hAnsi="Aptos"/>
          <w:sz w:val="20"/>
          <w:szCs w:val="20"/>
        </w:rPr>
        <w:t xml:space="preserve">the </w:t>
      </w:r>
      <w:r w:rsidR="00E81A66" w:rsidRPr="00E97255">
        <w:rPr>
          <w:rFonts w:ascii="Aptos" w:hAnsi="Aptos"/>
          <w:sz w:val="20"/>
          <w:szCs w:val="20"/>
        </w:rPr>
        <w:t xml:space="preserve">Memorial Campus. Based on changes to patient need since the filing of the </w:t>
      </w:r>
      <w:r w:rsidR="005C131C" w:rsidRPr="00E97255">
        <w:rPr>
          <w:rFonts w:ascii="Aptos" w:hAnsi="Aptos"/>
          <w:sz w:val="20"/>
          <w:szCs w:val="20"/>
        </w:rPr>
        <w:t xml:space="preserve">Original </w:t>
      </w:r>
      <w:r w:rsidR="00E81A66" w:rsidRPr="00E97255">
        <w:rPr>
          <w:rFonts w:ascii="Aptos" w:hAnsi="Aptos"/>
          <w:sz w:val="20"/>
          <w:szCs w:val="20"/>
        </w:rPr>
        <w:t>DoN, the Holder</w:t>
      </w:r>
      <w:r w:rsidR="003E0A46">
        <w:rPr>
          <w:rFonts w:ascii="Aptos" w:hAnsi="Aptos"/>
          <w:sz w:val="20"/>
          <w:szCs w:val="20"/>
        </w:rPr>
        <w:t xml:space="preserve"> seeks </w:t>
      </w:r>
      <w:r w:rsidR="00E81A66" w:rsidRPr="00E97255">
        <w:rPr>
          <w:rFonts w:ascii="Aptos" w:hAnsi="Aptos"/>
          <w:sz w:val="20"/>
          <w:szCs w:val="20"/>
        </w:rPr>
        <w:t xml:space="preserve">to </w:t>
      </w:r>
      <w:r w:rsidR="005C131C" w:rsidRPr="00E97255">
        <w:rPr>
          <w:rFonts w:ascii="Aptos" w:hAnsi="Aptos"/>
          <w:sz w:val="20"/>
          <w:szCs w:val="20"/>
        </w:rPr>
        <w:t>re-allocate</w:t>
      </w:r>
      <w:r w:rsidR="00BC1066" w:rsidRPr="00E97255">
        <w:rPr>
          <w:rFonts w:ascii="Aptos" w:hAnsi="Aptos"/>
          <w:sz w:val="20"/>
          <w:szCs w:val="20"/>
        </w:rPr>
        <w:t xml:space="preserve"> those 19 beds</w:t>
      </w:r>
      <w:r w:rsidR="00AE24B5" w:rsidRPr="00E97255">
        <w:rPr>
          <w:rFonts w:ascii="Aptos" w:hAnsi="Aptos"/>
          <w:sz w:val="20"/>
          <w:szCs w:val="20"/>
        </w:rPr>
        <w:t>, which have not yet been constructed or licensed,</w:t>
      </w:r>
      <w:r w:rsidR="00BC1066" w:rsidRPr="00E97255">
        <w:rPr>
          <w:rFonts w:ascii="Aptos" w:hAnsi="Aptos"/>
          <w:sz w:val="20"/>
          <w:szCs w:val="20"/>
        </w:rPr>
        <w:t xml:space="preserve"> to the North Pavilion </w:t>
      </w:r>
      <w:r w:rsidR="007C528D">
        <w:rPr>
          <w:rFonts w:ascii="Aptos" w:hAnsi="Aptos"/>
          <w:sz w:val="20"/>
          <w:szCs w:val="20"/>
        </w:rPr>
        <w:t>c</w:t>
      </w:r>
      <w:r w:rsidR="00BC1066" w:rsidRPr="00E97255">
        <w:rPr>
          <w:rFonts w:ascii="Aptos" w:hAnsi="Aptos"/>
          <w:sz w:val="20"/>
          <w:szCs w:val="20"/>
        </w:rPr>
        <w:t xml:space="preserve">ampus. </w:t>
      </w:r>
      <w:r w:rsidR="00780C3D">
        <w:rPr>
          <w:rFonts w:ascii="Aptos" w:hAnsi="Aptos"/>
          <w:sz w:val="20"/>
          <w:szCs w:val="20"/>
        </w:rPr>
        <w:t>The Medical Center</w:t>
      </w:r>
      <w:r w:rsidR="00595193" w:rsidRPr="00E97255">
        <w:rPr>
          <w:rFonts w:ascii="Aptos" w:hAnsi="Aptos"/>
          <w:sz w:val="20"/>
          <w:szCs w:val="20"/>
        </w:rPr>
        <w:t xml:space="preserve"> </w:t>
      </w:r>
      <w:r w:rsidR="00996C58">
        <w:rPr>
          <w:rFonts w:ascii="Aptos" w:hAnsi="Aptos"/>
          <w:sz w:val="20"/>
          <w:szCs w:val="20"/>
        </w:rPr>
        <w:t>proposes</w:t>
      </w:r>
      <w:r w:rsidR="00BC1066" w:rsidRPr="00E97255">
        <w:rPr>
          <w:rFonts w:ascii="Aptos" w:hAnsi="Aptos"/>
          <w:sz w:val="20"/>
          <w:szCs w:val="20"/>
        </w:rPr>
        <w:t xml:space="preserve"> </w:t>
      </w:r>
      <w:proofErr w:type="gramStart"/>
      <w:r w:rsidR="00BC1066" w:rsidRPr="00E97255">
        <w:rPr>
          <w:rFonts w:ascii="Aptos" w:hAnsi="Aptos"/>
          <w:sz w:val="20"/>
          <w:szCs w:val="20"/>
        </w:rPr>
        <w:t xml:space="preserve">to </w:t>
      </w:r>
      <w:r w:rsidR="005B4BDC" w:rsidRPr="00E97255">
        <w:rPr>
          <w:rFonts w:ascii="Aptos" w:hAnsi="Aptos"/>
          <w:sz w:val="20"/>
          <w:szCs w:val="20"/>
        </w:rPr>
        <w:t>build</w:t>
      </w:r>
      <w:proofErr w:type="gramEnd"/>
      <w:r w:rsidR="005B4BDC" w:rsidRPr="00E97255">
        <w:rPr>
          <w:rFonts w:ascii="Aptos" w:hAnsi="Aptos"/>
          <w:sz w:val="20"/>
          <w:szCs w:val="20"/>
        </w:rPr>
        <w:t xml:space="preserve"> out </w:t>
      </w:r>
      <w:r w:rsidR="003E0A46">
        <w:rPr>
          <w:rFonts w:ascii="Aptos" w:hAnsi="Aptos"/>
          <w:sz w:val="20"/>
          <w:szCs w:val="20"/>
        </w:rPr>
        <w:t xml:space="preserve">shell </w:t>
      </w:r>
      <w:r w:rsidR="000D7729" w:rsidRPr="00E97255">
        <w:rPr>
          <w:rFonts w:ascii="Aptos" w:hAnsi="Aptos"/>
          <w:sz w:val="20"/>
          <w:szCs w:val="20"/>
        </w:rPr>
        <w:t xml:space="preserve">space </w:t>
      </w:r>
      <w:r w:rsidR="00BC1066" w:rsidRPr="00E97255">
        <w:rPr>
          <w:rFonts w:ascii="Aptos" w:hAnsi="Aptos"/>
          <w:sz w:val="20"/>
          <w:szCs w:val="20"/>
        </w:rPr>
        <w:t xml:space="preserve">on the North Pavilion </w:t>
      </w:r>
      <w:r w:rsidR="007C528D">
        <w:rPr>
          <w:rFonts w:ascii="Aptos" w:hAnsi="Aptos"/>
          <w:sz w:val="20"/>
          <w:szCs w:val="20"/>
        </w:rPr>
        <w:t>c</w:t>
      </w:r>
      <w:r w:rsidR="00BC1066" w:rsidRPr="00E97255">
        <w:rPr>
          <w:rFonts w:ascii="Aptos" w:hAnsi="Aptos"/>
          <w:sz w:val="20"/>
          <w:szCs w:val="20"/>
        </w:rPr>
        <w:t xml:space="preserve">ampus </w:t>
      </w:r>
      <w:r w:rsidR="005B4BDC" w:rsidRPr="00E97255">
        <w:rPr>
          <w:rFonts w:ascii="Aptos" w:hAnsi="Aptos"/>
          <w:sz w:val="20"/>
          <w:szCs w:val="20"/>
        </w:rPr>
        <w:t xml:space="preserve">to accommodate </w:t>
      </w:r>
      <w:r w:rsidR="004D69F8" w:rsidRPr="00E97255">
        <w:rPr>
          <w:rFonts w:ascii="Aptos" w:hAnsi="Aptos"/>
          <w:sz w:val="20"/>
          <w:szCs w:val="20"/>
        </w:rPr>
        <w:t>six (6) new beds on each floor, for a total of</w:t>
      </w:r>
      <w:r w:rsidR="005B4BDC" w:rsidRPr="00E97255">
        <w:rPr>
          <w:rFonts w:ascii="Aptos" w:hAnsi="Aptos"/>
          <w:sz w:val="20"/>
          <w:szCs w:val="20"/>
        </w:rPr>
        <w:t xml:space="preserve"> 24 </w:t>
      </w:r>
      <w:r w:rsidR="004D69F8" w:rsidRPr="00E97255">
        <w:rPr>
          <w:rFonts w:ascii="Aptos" w:hAnsi="Aptos"/>
          <w:sz w:val="20"/>
          <w:szCs w:val="20"/>
        </w:rPr>
        <w:t xml:space="preserve">new </w:t>
      </w:r>
      <w:r w:rsidR="005C131C" w:rsidRPr="00E97255">
        <w:rPr>
          <w:rFonts w:ascii="Aptos" w:hAnsi="Aptos"/>
          <w:sz w:val="20"/>
          <w:szCs w:val="20"/>
        </w:rPr>
        <w:t>M/S</w:t>
      </w:r>
      <w:r w:rsidR="005B4BDC" w:rsidRPr="00E97255">
        <w:rPr>
          <w:rFonts w:ascii="Aptos" w:hAnsi="Aptos"/>
          <w:sz w:val="20"/>
          <w:szCs w:val="20"/>
        </w:rPr>
        <w:t xml:space="preserve"> beds</w:t>
      </w:r>
      <w:r w:rsidR="004D69F8" w:rsidRPr="00E97255">
        <w:rPr>
          <w:rFonts w:ascii="Aptos" w:hAnsi="Aptos"/>
          <w:sz w:val="20"/>
          <w:szCs w:val="20"/>
        </w:rPr>
        <w:t xml:space="preserve">. As a result of the Proposed Change, </w:t>
      </w:r>
      <w:r w:rsidR="003E0A46">
        <w:rPr>
          <w:rFonts w:ascii="Aptos" w:hAnsi="Aptos"/>
          <w:sz w:val="20"/>
          <w:szCs w:val="20"/>
        </w:rPr>
        <w:t xml:space="preserve">the </w:t>
      </w:r>
      <w:r w:rsidR="005B4BDC" w:rsidRPr="00E97255">
        <w:rPr>
          <w:rFonts w:ascii="Aptos" w:hAnsi="Aptos"/>
          <w:sz w:val="20"/>
          <w:szCs w:val="20"/>
        </w:rPr>
        <w:t xml:space="preserve">North Pavilion </w:t>
      </w:r>
      <w:r w:rsidR="007C528D">
        <w:rPr>
          <w:rFonts w:ascii="Aptos" w:hAnsi="Aptos"/>
          <w:sz w:val="20"/>
          <w:szCs w:val="20"/>
        </w:rPr>
        <w:t>c</w:t>
      </w:r>
      <w:r w:rsidR="005B4BDC" w:rsidRPr="00E97255">
        <w:rPr>
          <w:rFonts w:ascii="Aptos" w:hAnsi="Aptos"/>
          <w:sz w:val="20"/>
          <w:szCs w:val="20"/>
        </w:rPr>
        <w:t>ampus</w:t>
      </w:r>
      <w:r w:rsidR="004D69F8" w:rsidRPr="00E97255">
        <w:rPr>
          <w:rFonts w:ascii="Aptos" w:hAnsi="Aptos"/>
          <w:sz w:val="20"/>
          <w:szCs w:val="20"/>
        </w:rPr>
        <w:t xml:space="preserve"> will have 96 licensed </w:t>
      </w:r>
      <w:r w:rsidR="005C131C" w:rsidRPr="00E97255">
        <w:rPr>
          <w:rFonts w:ascii="Aptos" w:hAnsi="Aptos"/>
          <w:sz w:val="20"/>
          <w:szCs w:val="20"/>
        </w:rPr>
        <w:t>M/S</w:t>
      </w:r>
      <w:r w:rsidR="004D69F8" w:rsidRPr="00E97255">
        <w:rPr>
          <w:rFonts w:ascii="Aptos" w:hAnsi="Aptos"/>
          <w:sz w:val="20"/>
          <w:szCs w:val="20"/>
        </w:rPr>
        <w:t xml:space="preserve"> beds</w:t>
      </w:r>
      <w:bookmarkEnd w:id="0"/>
      <w:r w:rsidR="00BE122A">
        <w:rPr>
          <w:rFonts w:ascii="Aptos" w:hAnsi="Aptos"/>
          <w:sz w:val="20"/>
          <w:szCs w:val="20"/>
        </w:rPr>
        <w:t>, and the</w:t>
      </w:r>
      <w:r w:rsidR="00BC1066" w:rsidRPr="00E97255">
        <w:rPr>
          <w:rFonts w:ascii="Aptos" w:hAnsi="Aptos"/>
          <w:sz w:val="20"/>
          <w:szCs w:val="20"/>
        </w:rPr>
        <w:t xml:space="preserve"> Memorial Campus will remain at</w:t>
      </w:r>
      <w:r w:rsidR="003E0A46">
        <w:rPr>
          <w:rFonts w:ascii="Aptos" w:hAnsi="Aptos"/>
          <w:sz w:val="20"/>
          <w:szCs w:val="20"/>
        </w:rPr>
        <w:t xml:space="preserve"> its original</w:t>
      </w:r>
      <w:r w:rsidR="00BC1066" w:rsidRPr="00E97255">
        <w:rPr>
          <w:rFonts w:ascii="Aptos" w:hAnsi="Aptos"/>
          <w:sz w:val="20"/>
          <w:szCs w:val="20"/>
        </w:rPr>
        <w:t xml:space="preserve"> </w:t>
      </w:r>
      <w:r w:rsidR="00CA2AE7" w:rsidRPr="00E97255">
        <w:rPr>
          <w:rFonts w:ascii="Aptos" w:hAnsi="Aptos"/>
          <w:sz w:val="20"/>
          <w:szCs w:val="20"/>
        </w:rPr>
        <w:t xml:space="preserve">307 </w:t>
      </w:r>
      <w:r w:rsidR="00BC1066" w:rsidRPr="00E97255">
        <w:rPr>
          <w:rFonts w:ascii="Aptos" w:hAnsi="Aptos"/>
          <w:sz w:val="20"/>
          <w:szCs w:val="20"/>
        </w:rPr>
        <w:t>beds</w:t>
      </w:r>
      <w:r w:rsidR="003E0A46">
        <w:rPr>
          <w:rFonts w:ascii="Aptos" w:hAnsi="Aptos"/>
          <w:sz w:val="20"/>
          <w:szCs w:val="20"/>
        </w:rPr>
        <w:t>. Accordingly,</w:t>
      </w:r>
      <w:r w:rsidR="00BC1066" w:rsidRPr="00E97255">
        <w:rPr>
          <w:rFonts w:ascii="Aptos" w:hAnsi="Aptos"/>
          <w:sz w:val="20"/>
          <w:szCs w:val="20"/>
        </w:rPr>
        <w:t xml:space="preserve"> </w:t>
      </w:r>
      <w:r w:rsidR="00780C3D">
        <w:rPr>
          <w:rFonts w:ascii="Aptos" w:hAnsi="Aptos"/>
          <w:sz w:val="20"/>
          <w:szCs w:val="20"/>
        </w:rPr>
        <w:t>the Medical Center</w:t>
      </w:r>
      <w:r w:rsidR="00BC1066" w:rsidRPr="00E97255">
        <w:rPr>
          <w:rFonts w:ascii="Aptos" w:hAnsi="Aptos"/>
          <w:sz w:val="20"/>
          <w:szCs w:val="20"/>
        </w:rPr>
        <w:t xml:space="preserve">’s license will reflect a total of </w:t>
      </w:r>
      <w:r w:rsidR="00CA2AE7" w:rsidRPr="00E97255">
        <w:rPr>
          <w:rFonts w:ascii="Aptos" w:hAnsi="Aptos"/>
          <w:sz w:val="20"/>
          <w:szCs w:val="20"/>
        </w:rPr>
        <w:t>850</w:t>
      </w:r>
      <w:r w:rsidR="00BC1066" w:rsidRPr="00E97255">
        <w:rPr>
          <w:rFonts w:ascii="Aptos" w:hAnsi="Aptos"/>
          <w:sz w:val="20"/>
          <w:szCs w:val="20"/>
        </w:rPr>
        <w:t xml:space="preserve"> </w:t>
      </w:r>
      <w:r w:rsidR="005C131C" w:rsidRPr="00E97255">
        <w:rPr>
          <w:rFonts w:ascii="Aptos" w:hAnsi="Aptos"/>
          <w:sz w:val="20"/>
          <w:szCs w:val="20"/>
        </w:rPr>
        <w:t>M/S</w:t>
      </w:r>
      <w:r w:rsidR="00BC1066" w:rsidRPr="00E97255">
        <w:rPr>
          <w:rFonts w:ascii="Aptos" w:hAnsi="Aptos"/>
          <w:sz w:val="20"/>
          <w:szCs w:val="20"/>
        </w:rPr>
        <w:t xml:space="preserve"> beds</w:t>
      </w:r>
      <w:r w:rsidR="003E0A46">
        <w:rPr>
          <w:rFonts w:ascii="Aptos" w:hAnsi="Aptos"/>
          <w:sz w:val="20"/>
          <w:szCs w:val="20"/>
        </w:rPr>
        <w:t xml:space="preserve"> across all campuses</w:t>
      </w:r>
      <w:r w:rsidR="00BC1066" w:rsidRPr="00E97255">
        <w:rPr>
          <w:rFonts w:ascii="Aptos" w:hAnsi="Aptos"/>
          <w:sz w:val="20"/>
          <w:szCs w:val="20"/>
        </w:rPr>
        <w:t xml:space="preserve">, </w:t>
      </w:r>
      <w:r w:rsidR="003E0A46">
        <w:rPr>
          <w:rFonts w:ascii="Aptos" w:hAnsi="Aptos"/>
          <w:sz w:val="20"/>
          <w:szCs w:val="20"/>
        </w:rPr>
        <w:t>for</w:t>
      </w:r>
      <w:r w:rsidR="000D742A">
        <w:rPr>
          <w:rFonts w:ascii="Aptos" w:hAnsi="Aptos"/>
          <w:sz w:val="20"/>
          <w:szCs w:val="20"/>
        </w:rPr>
        <w:t xml:space="preserve"> </w:t>
      </w:r>
      <w:r w:rsidR="00BC1066" w:rsidRPr="00E97255">
        <w:rPr>
          <w:rFonts w:ascii="Aptos" w:hAnsi="Aptos"/>
          <w:sz w:val="20"/>
          <w:szCs w:val="20"/>
        </w:rPr>
        <w:t xml:space="preserve">a net </w:t>
      </w:r>
      <w:r w:rsidR="003E0A46">
        <w:rPr>
          <w:rFonts w:ascii="Aptos" w:hAnsi="Aptos"/>
          <w:sz w:val="20"/>
          <w:szCs w:val="20"/>
        </w:rPr>
        <w:t xml:space="preserve">increase </w:t>
      </w:r>
      <w:r w:rsidR="00BC1066" w:rsidRPr="00E97255">
        <w:rPr>
          <w:rFonts w:ascii="Aptos" w:hAnsi="Aptos"/>
          <w:sz w:val="20"/>
          <w:szCs w:val="20"/>
        </w:rPr>
        <w:t xml:space="preserve">of five (5) </w:t>
      </w:r>
      <w:r w:rsidR="005C131C" w:rsidRPr="00E97255">
        <w:rPr>
          <w:rFonts w:ascii="Aptos" w:hAnsi="Aptos"/>
          <w:sz w:val="20"/>
          <w:szCs w:val="20"/>
        </w:rPr>
        <w:t>M/S</w:t>
      </w:r>
      <w:r w:rsidR="00BC1066" w:rsidRPr="00E97255">
        <w:rPr>
          <w:rFonts w:ascii="Aptos" w:hAnsi="Aptos"/>
          <w:sz w:val="20"/>
          <w:szCs w:val="20"/>
        </w:rPr>
        <w:t xml:space="preserve"> beds</w:t>
      </w:r>
      <w:r w:rsidR="00C44491">
        <w:rPr>
          <w:rFonts w:ascii="Aptos" w:hAnsi="Aptos"/>
          <w:sz w:val="20"/>
          <w:szCs w:val="20"/>
        </w:rPr>
        <w:t xml:space="preserve"> over the Original DoN approval</w:t>
      </w:r>
      <w:r w:rsidR="00BC1066" w:rsidRPr="00E97255">
        <w:rPr>
          <w:rFonts w:ascii="Aptos" w:hAnsi="Aptos"/>
          <w:sz w:val="20"/>
          <w:szCs w:val="20"/>
        </w:rPr>
        <w:t xml:space="preserve">. </w:t>
      </w:r>
    </w:p>
    <w:p w14:paraId="4D10F8BF" w14:textId="77777777" w:rsidR="009F5152" w:rsidRPr="00E97255" w:rsidRDefault="009F5152" w:rsidP="00DA5C8F">
      <w:pPr>
        <w:pStyle w:val="Heading1"/>
        <w:rPr>
          <w:rFonts w:ascii="Aptos" w:hAnsi="Aptos"/>
          <w:sz w:val="20"/>
          <w:szCs w:val="20"/>
        </w:rPr>
      </w:pPr>
      <w:r w:rsidRPr="00E97255">
        <w:rPr>
          <w:rFonts w:ascii="Aptos" w:hAnsi="Aptos"/>
          <w:sz w:val="20"/>
          <w:szCs w:val="20"/>
        </w:rPr>
        <w:t>10.5.b Describe the associated cost implications to the Holder.</w:t>
      </w:r>
    </w:p>
    <w:p w14:paraId="42082D4E" w14:textId="14589BEF" w:rsidR="00AF312E" w:rsidRDefault="007222B2" w:rsidP="00780C3D">
      <w:pPr>
        <w:spacing w:after="120"/>
        <w:jc w:val="both"/>
        <w:rPr>
          <w:rFonts w:ascii="Aptos" w:hAnsi="Aptos"/>
          <w:sz w:val="20"/>
          <w:szCs w:val="20"/>
        </w:rPr>
      </w:pPr>
      <w:r w:rsidRPr="00E97255">
        <w:rPr>
          <w:rFonts w:ascii="Aptos" w:hAnsi="Aptos"/>
          <w:sz w:val="20"/>
          <w:szCs w:val="20"/>
        </w:rPr>
        <w:t xml:space="preserve">The Proposed Change represents a cost-effective approach </w:t>
      </w:r>
      <w:r w:rsidR="002265DD" w:rsidRPr="00E97255">
        <w:rPr>
          <w:rFonts w:ascii="Aptos" w:hAnsi="Aptos"/>
          <w:sz w:val="20"/>
          <w:szCs w:val="20"/>
        </w:rPr>
        <w:t xml:space="preserve">to create additional inpatient capacity at </w:t>
      </w:r>
      <w:r w:rsidR="00780C3D">
        <w:rPr>
          <w:rFonts w:ascii="Aptos" w:hAnsi="Aptos"/>
          <w:sz w:val="20"/>
          <w:szCs w:val="20"/>
        </w:rPr>
        <w:t>the Medical Center</w:t>
      </w:r>
      <w:r w:rsidRPr="00E97255">
        <w:rPr>
          <w:rFonts w:ascii="Aptos" w:hAnsi="Aptos"/>
          <w:sz w:val="20"/>
          <w:szCs w:val="20"/>
        </w:rPr>
        <w:t xml:space="preserve"> by building out shell space </w:t>
      </w:r>
      <w:r w:rsidR="002265DD" w:rsidRPr="00E97255">
        <w:rPr>
          <w:rFonts w:ascii="Aptos" w:hAnsi="Aptos"/>
          <w:sz w:val="20"/>
          <w:szCs w:val="20"/>
        </w:rPr>
        <w:t>in a recently renovated</w:t>
      </w:r>
      <w:r w:rsidRPr="00E97255">
        <w:rPr>
          <w:rFonts w:ascii="Aptos" w:hAnsi="Aptos"/>
          <w:sz w:val="20"/>
          <w:szCs w:val="20"/>
        </w:rPr>
        <w:t xml:space="preserve"> </w:t>
      </w:r>
      <w:r w:rsidR="00C44491">
        <w:rPr>
          <w:rFonts w:ascii="Aptos" w:hAnsi="Aptos"/>
          <w:sz w:val="20"/>
          <w:szCs w:val="20"/>
        </w:rPr>
        <w:t>facility</w:t>
      </w:r>
      <w:r w:rsidR="00AF312E">
        <w:rPr>
          <w:rFonts w:ascii="Aptos" w:hAnsi="Aptos"/>
          <w:sz w:val="20"/>
          <w:szCs w:val="20"/>
        </w:rPr>
        <w:t xml:space="preserve"> dedicated to </w:t>
      </w:r>
      <w:r w:rsidR="00BE122A">
        <w:rPr>
          <w:rFonts w:ascii="Aptos" w:hAnsi="Aptos"/>
          <w:sz w:val="20"/>
          <w:szCs w:val="20"/>
        </w:rPr>
        <w:t>in</w:t>
      </w:r>
      <w:r w:rsidR="00AF312E">
        <w:rPr>
          <w:rFonts w:ascii="Aptos" w:hAnsi="Aptos"/>
          <w:sz w:val="20"/>
          <w:szCs w:val="20"/>
        </w:rPr>
        <w:t>patients</w:t>
      </w:r>
      <w:r w:rsidRPr="00E97255">
        <w:rPr>
          <w:rFonts w:ascii="Aptos" w:hAnsi="Aptos"/>
          <w:sz w:val="20"/>
          <w:szCs w:val="20"/>
        </w:rPr>
        <w:t xml:space="preserve">. </w:t>
      </w:r>
      <w:r w:rsidR="00A21537">
        <w:rPr>
          <w:rFonts w:ascii="Aptos" w:hAnsi="Aptos"/>
          <w:sz w:val="20"/>
          <w:szCs w:val="20"/>
        </w:rPr>
        <w:t xml:space="preserve">First, the North Pavilion campus represents the best location for additional inpatient capacity because of its </w:t>
      </w:r>
      <w:r w:rsidR="00EE6D69">
        <w:rPr>
          <w:rFonts w:ascii="Aptos" w:hAnsi="Aptos"/>
          <w:sz w:val="20"/>
          <w:szCs w:val="20"/>
        </w:rPr>
        <w:t>proximity</w:t>
      </w:r>
      <w:r w:rsidR="00A21537">
        <w:rPr>
          <w:rFonts w:ascii="Aptos" w:hAnsi="Aptos"/>
          <w:sz w:val="20"/>
          <w:szCs w:val="20"/>
        </w:rPr>
        <w:t xml:space="preserve"> to </w:t>
      </w:r>
      <w:r w:rsidR="008602DE">
        <w:rPr>
          <w:rFonts w:ascii="Aptos" w:hAnsi="Aptos"/>
          <w:sz w:val="20"/>
          <w:szCs w:val="20"/>
        </w:rPr>
        <w:t xml:space="preserve">the </w:t>
      </w:r>
      <w:r w:rsidR="00A21537">
        <w:rPr>
          <w:rFonts w:ascii="Aptos" w:hAnsi="Aptos"/>
          <w:sz w:val="20"/>
          <w:szCs w:val="20"/>
        </w:rPr>
        <w:t xml:space="preserve">University Campus. North Pavilion </w:t>
      </w:r>
      <w:r w:rsidR="00753EC9">
        <w:rPr>
          <w:rFonts w:ascii="Aptos" w:hAnsi="Aptos"/>
          <w:sz w:val="20"/>
          <w:szCs w:val="20"/>
        </w:rPr>
        <w:t>patients</w:t>
      </w:r>
      <w:r w:rsidR="00A21537">
        <w:rPr>
          <w:rFonts w:ascii="Aptos" w:hAnsi="Aptos"/>
          <w:sz w:val="20"/>
          <w:szCs w:val="20"/>
        </w:rPr>
        <w:t xml:space="preserve"> often require services available at University Campus </w:t>
      </w:r>
      <w:r w:rsidR="008602DE">
        <w:rPr>
          <w:rFonts w:ascii="Aptos" w:hAnsi="Aptos"/>
          <w:sz w:val="20"/>
          <w:szCs w:val="20"/>
        </w:rPr>
        <w:t xml:space="preserve">and </w:t>
      </w:r>
      <w:r w:rsidR="00DA7BBE">
        <w:rPr>
          <w:rFonts w:ascii="Aptos" w:hAnsi="Aptos"/>
          <w:sz w:val="20"/>
          <w:szCs w:val="20"/>
        </w:rPr>
        <w:t xml:space="preserve"> the short distance (less than 1,000 feet) between North Pavilion and University </w:t>
      </w:r>
      <w:r w:rsidR="00753EC9">
        <w:rPr>
          <w:rFonts w:ascii="Aptos" w:hAnsi="Aptos"/>
          <w:sz w:val="20"/>
          <w:szCs w:val="20"/>
        </w:rPr>
        <w:t>C</w:t>
      </w:r>
      <w:r w:rsidR="00DA7BBE">
        <w:rPr>
          <w:rFonts w:ascii="Aptos" w:hAnsi="Aptos"/>
          <w:sz w:val="20"/>
          <w:szCs w:val="20"/>
        </w:rPr>
        <w:t>ampus requires</w:t>
      </w:r>
      <w:r w:rsidR="00C44491">
        <w:rPr>
          <w:rFonts w:ascii="Aptos" w:hAnsi="Aptos"/>
          <w:sz w:val="20"/>
          <w:szCs w:val="20"/>
        </w:rPr>
        <w:t xml:space="preserve"> fewer</w:t>
      </w:r>
      <w:r w:rsidR="00DA7BBE">
        <w:rPr>
          <w:rFonts w:ascii="Aptos" w:hAnsi="Aptos"/>
          <w:sz w:val="20"/>
          <w:szCs w:val="20"/>
        </w:rPr>
        <w:t xml:space="preserve"> resources (e.g., staff, ambulance vehicles) </w:t>
      </w:r>
      <w:r w:rsidR="00756C49">
        <w:rPr>
          <w:rFonts w:ascii="Aptos" w:hAnsi="Aptos"/>
          <w:sz w:val="20"/>
          <w:szCs w:val="20"/>
        </w:rPr>
        <w:t>to transport patients</w:t>
      </w:r>
      <w:r w:rsidR="00DA7BBE">
        <w:rPr>
          <w:rFonts w:ascii="Aptos" w:hAnsi="Aptos"/>
          <w:sz w:val="20"/>
          <w:szCs w:val="20"/>
        </w:rPr>
        <w:t xml:space="preserve"> between the campuses, resulting in </w:t>
      </w:r>
      <w:r w:rsidR="00EE6D69">
        <w:rPr>
          <w:rFonts w:ascii="Aptos" w:hAnsi="Aptos"/>
          <w:sz w:val="20"/>
          <w:szCs w:val="20"/>
        </w:rPr>
        <w:t xml:space="preserve">improved </w:t>
      </w:r>
      <w:r w:rsidR="00DA7BBE">
        <w:rPr>
          <w:rFonts w:ascii="Aptos" w:hAnsi="Aptos"/>
          <w:sz w:val="20"/>
          <w:szCs w:val="20"/>
        </w:rPr>
        <w:t xml:space="preserve">patient experience and </w:t>
      </w:r>
      <w:r w:rsidR="00756C49">
        <w:rPr>
          <w:rFonts w:ascii="Aptos" w:hAnsi="Aptos"/>
          <w:sz w:val="20"/>
          <w:szCs w:val="20"/>
        </w:rPr>
        <w:t xml:space="preserve">fewer resources and costs than transporting patients between </w:t>
      </w:r>
      <w:r w:rsidR="00753EC9">
        <w:rPr>
          <w:rFonts w:ascii="Aptos" w:hAnsi="Aptos"/>
          <w:sz w:val="20"/>
          <w:szCs w:val="20"/>
        </w:rPr>
        <w:t xml:space="preserve">the </w:t>
      </w:r>
      <w:r w:rsidR="00756C49">
        <w:rPr>
          <w:rFonts w:ascii="Aptos" w:hAnsi="Aptos"/>
          <w:sz w:val="20"/>
          <w:szCs w:val="20"/>
        </w:rPr>
        <w:t xml:space="preserve">Memorial and University </w:t>
      </w:r>
      <w:r w:rsidR="00753EC9">
        <w:rPr>
          <w:rFonts w:ascii="Aptos" w:hAnsi="Aptos"/>
          <w:sz w:val="20"/>
          <w:szCs w:val="20"/>
        </w:rPr>
        <w:t>c</w:t>
      </w:r>
      <w:r w:rsidR="00756C49">
        <w:rPr>
          <w:rFonts w:ascii="Aptos" w:hAnsi="Aptos"/>
          <w:sz w:val="20"/>
          <w:szCs w:val="20"/>
        </w:rPr>
        <w:t>ampus</w:t>
      </w:r>
      <w:r w:rsidR="00753EC9">
        <w:rPr>
          <w:rFonts w:ascii="Aptos" w:hAnsi="Aptos"/>
          <w:sz w:val="20"/>
          <w:szCs w:val="20"/>
        </w:rPr>
        <w:t>es</w:t>
      </w:r>
      <w:r w:rsidR="00756C49">
        <w:rPr>
          <w:rFonts w:ascii="Aptos" w:hAnsi="Aptos"/>
          <w:sz w:val="20"/>
          <w:szCs w:val="20"/>
        </w:rPr>
        <w:t xml:space="preserve">. </w:t>
      </w:r>
      <w:r w:rsidR="00952C6B">
        <w:rPr>
          <w:rFonts w:ascii="Aptos" w:hAnsi="Aptos"/>
          <w:sz w:val="20"/>
          <w:szCs w:val="20"/>
        </w:rPr>
        <w:t xml:space="preserve">Most significantly, </w:t>
      </w:r>
      <w:r w:rsidR="00952C6B" w:rsidRPr="00E97255">
        <w:rPr>
          <w:rFonts w:ascii="Aptos" w:hAnsi="Aptos"/>
          <w:sz w:val="20"/>
          <w:szCs w:val="20"/>
        </w:rPr>
        <w:t xml:space="preserve">the Proposed Change will not meaningfully increase operating expenses because the proposed beds will be added to existing </w:t>
      </w:r>
      <w:r w:rsidR="00952C6B">
        <w:rPr>
          <w:rFonts w:ascii="Aptos" w:hAnsi="Aptos"/>
          <w:sz w:val="20"/>
          <w:szCs w:val="20"/>
        </w:rPr>
        <w:t>M/S units</w:t>
      </w:r>
      <w:r w:rsidR="00952C6B" w:rsidRPr="00E97255">
        <w:rPr>
          <w:rFonts w:ascii="Aptos" w:hAnsi="Aptos"/>
          <w:sz w:val="20"/>
          <w:szCs w:val="20"/>
        </w:rPr>
        <w:t xml:space="preserve"> and will be able to leverage existing </w:t>
      </w:r>
      <w:r w:rsidR="00952C6B">
        <w:rPr>
          <w:rFonts w:ascii="Aptos" w:hAnsi="Aptos"/>
          <w:sz w:val="20"/>
          <w:szCs w:val="20"/>
        </w:rPr>
        <w:t xml:space="preserve">staff to support the increased number of beds.  </w:t>
      </w:r>
      <w:r w:rsidR="00952C6B" w:rsidRPr="00E97255">
        <w:rPr>
          <w:rFonts w:ascii="Aptos" w:hAnsi="Aptos"/>
          <w:sz w:val="20"/>
          <w:szCs w:val="20"/>
        </w:rPr>
        <w:t xml:space="preserve">By comparison, the Memorial </w:t>
      </w:r>
      <w:r w:rsidR="00952C6B">
        <w:rPr>
          <w:rFonts w:ascii="Aptos" w:hAnsi="Aptos"/>
          <w:sz w:val="20"/>
          <w:szCs w:val="20"/>
        </w:rPr>
        <w:t>B</w:t>
      </w:r>
      <w:r w:rsidR="00952C6B" w:rsidRPr="00E97255">
        <w:rPr>
          <w:rFonts w:ascii="Aptos" w:hAnsi="Aptos"/>
          <w:sz w:val="20"/>
          <w:szCs w:val="20"/>
        </w:rPr>
        <w:t xml:space="preserve">eds would </w:t>
      </w:r>
      <w:r w:rsidR="00952C6B">
        <w:rPr>
          <w:rFonts w:ascii="Aptos" w:hAnsi="Aptos"/>
          <w:sz w:val="20"/>
          <w:szCs w:val="20"/>
        </w:rPr>
        <w:t xml:space="preserve">be a new standalone unit and </w:t>
      </w:r>
      <w:r w:rsidR="00952C6B" w:rsidRPr="00E97255">
        <w:rPr>
          <w:rFonts w:ascii="Aptos" w:hAnsi="Aptos"/>
          <w:sz w:val="20"/>
          <w:szCs w:val="20"/>
        </w:rPr>
        <w:t>require an additional nurse manager, housekeeping staff</w:t>
      </w:r>
      <w:r w:rsidR="00952C6B">
        <w:rPr>
          <w:rFonts w:ascii="Aptos" w:hAnsi="Aptos"/>
          <w:sz w:val="20"/>
          <w:szCs w:val="20"/>
        </w:rPr>
        <w:t>, and unit secretary.</w:t>
      </w:r>
    </w:p>
    <w:p w14:paraId="44881689" w14:textId="5AD5FCD9" w:rsidR="00D95EEF" w:rsidRPr="00E97255" w:rsidRDefault="00AF312E" w:rsidP="002265DD">
      <w:pPr>
        <w:jc w:val="both"/>
        <w:rPr>
          <w:rFonts w:ascii="Aptos" w:hAnsi="Aptos"/>
          <w:sz w:val="20"/>
          <w:szCs w:val="20"/>
        </w:rPr>
      </w:pPr>
      <w:r>
        <w:rPr>
          <w:rFonts w:ascii="Aptos" w:hAnsi="Aptos"/>
          <w:sz w:val="20"/>
          <w:szCs w:val="20"/>
        </w:rPr>
        <w:t>Furthermore, t</w:t>
      </w:r>
      <w:r w:rsidR="003E0A46">
        <w:rPr>
          <w:rFonts w:ascii="Aptos" w:hAnsi="Aptos"/>
          <w:sz w:val="20"/>
          <w:szCs w:val="20"/>
        </w:rPr>
        <w:t xml:space="preserve">he capital expenditure for the Proposed Change is </w:t>
      </w:r>
      <w:r w:rsidRPr="00AF312E">
        <w:rPr>
          <w:rFonts w:ascii="Aptos" w:hAnsi="Aptos"/>
          <w:sz w:val="20"/>
          <w:szCs w:val="20"/>
        </w:rPr>
        <w:t>$16,247,426</w:t>
      </w:r>
      <w:r>
        <w:rPr>
          <w:rFonts w:ascii="Aptos" w:hAnsi="Aptos"/>
          <w:sz w:val="20"/>
          <w:szCs w:val="20"/>
        </w:rPr>
        <w:t xml:space="preserve">. </w:t>
      </w:r>
      <w:r w:rsidR="003E0A46">
        <w:rPr>
          <w:rFonts w:ascii="Aptos" w:hAnsi="Aptos"/>
          <w:sz w:val="20"/>
          <w:szCs w:val="20"/>
        </w:rPr>
        <w:t>Since</w:t>
      </w:r>
      <w:r w:rsidR="00E97255" w:rsidRPr="00E97255">
        <w:rPr>
          <w:rFonts w:ascii="Aptos" w:hAnsi="Aptos"/>
          <w:sz w:val="20"/>
          <w:szCs w:val="20"/>
        </w:rPr>
        <w:t xml:space="preserve"> the Memorial </w:t>
      </w:r>
      <w:r w:rsidR="003E0A46">
        <w:rPr>
          <w:rFonts w:ascii="Aptos" w:hAnsi="Aptos"/>
          <w:sz w:val="20"/>
          <w:szCs w:val="20"/>
        </w:rPr>
        <w:t>B</w:t>
      </w:r>
      <w:r w:rsidR="00E97255" w:rsidRPr="00E97255">
        <w:rPr>
          <w:rFonts w:ascii="Aptos" w:hAnsi="Aptos"/>
          <w:sz w:val="20"/>
          <w:szCs w:val="20"/>
        </w:rPr>
        <w:t xml:space="preserve">eds were not built, $7,335,836 of the Original </w:t>
      </w:r>
      <w:proofErr w:type="spellStart"/>
      <w:r w:rsidR="00E97255" w:rsidRPr="00E97255">
        <w:rPr>
          <w:rFonts w:ascii="Aptos" w:hAnsi="Aptos"/>
          <w:sz w:val="20"/>
          <w:szCs w:val="20"/>
        </w:rPr>
        <w:t>DoN’s</w:t>
      </w:r>
      <w:proofErr w:type="spellEnd"/>
      <w:r w:rsidR="00E97255" w:rsidRPr="00E97255">
        <w:rPr>
          <w:rFonts w:ascii="Aptos" w:hAnsi="Aptos"/>
          <w:sz w:val="20"/>
          <w:szCs w:val="20"/>
        </w:rPr>
        <w:t xml:space="preserve"> maximum capital expenditure was not spent</w:t>
      </w:r>
      <w:r w:rsidR="003E0A46">
        <w:rPr>
          <w:rFonts w:ascii="Aptos" w:hAnsi="Aptos"/>
          <w:sz w:val="20"/>
          <w:szCs w:val="20"/>
        </w:rPr>
        <w:t xml:space="preserve">. This amount will be allocated </w:t>
      </w:r>
      <w:r w:rsidR="00E97255" w:rsidRPr="00E97255">
        <w:rPr>
          <w:rFonts w:ascii="Aptos" w:hAnsi="Aptos"/>
          <w:sz w:val="20"/>
          <w:szCs w:val="20"/>
        </w:rPr>
        <w:t xml:space="preserve"> toward the Proposed Change</w:t>
      </w:r>
      <w:r w:rsidR="00A21537">
        <w:rPr>
          <w:rFonts w:ascii="Aptos" w:hAnsi="Aptos"/>
          <w:sz w:val="20"/>
          <w:szCs w:val="20"/>
        </w:rPr>
        <w:t xml:space="preserve"> resulting in an increase of $</w:t>
      </w:r>
      <w:r w:rsidR="00A21537" w:rsidRPr="007863CF">
        <w:rPr>
          <w:rFonts w:ascii="Aptos" w:hAnsi="Aptos"/>
          <w:sz w:val="20"/>
          <w:szCs w:val="20"/>
        </w:rPr>
        <w:t>8,911,590 to the original MCE</w:t>
      </w:r>
      <w:r w:rsidR="00C44491" w:rsidRPr="007863CF">
        <w:rPr>
          <w:rFonts w:ascii="Aptos" w:hAnsi="Aptos"/>
          <w:sz w:val="20"/>
          <w:szCs w:val="20"/>
        </w:rPr>
        <w:t xml:space="preserve">, for a total MCE of </w:t>
      </w:r>
      <w:r w:rsidR="00C44491" w:rsidRPr="00E97255">
        <w:rPr>
          <w:rFonts w:ascii="Aptos" w:hAnsi="Aptos"/>
          <w:sz w:val="20"/>
          <w:szCs w:val="20"/>
        </w:rPr>
        <w:t>$152,153,757</w:t>
      </w:r>
      <w:r w:rsidR="00E97255" w:rsidRPr="00E97255">
        <w:rPr>
          <w:rFonts w:ascii="Aptos" w:hAnsi="Aptos"/>
          <w:sz w:val="20"/>
          <w:szCs w:val="20"/>
        </w:rPr>
        <w:t xml:space="preserve">. </w:t>
      </w:r>
    </w:p>
    <w:p w14:paraId="31FD35F3" w14:textId="77777777" w:rsidR="009F5152" w:rsidRPr="00E97255" w:rsidRDefault="009F5152" w:rsidP="00DA5C8F">
      <w:pPr>
        <w:pStyle w:val="Heading1"/>
        <w:rPr>
          <w:rFonts w:ascii="Aptos" w:hAnsi="Aptos"/>
          <w:sz w:val="20"/>
          <w:szCs w:val="20"/>
        </w:rPr>
      </w:pPr>
      <w:r w:rsidRPr="00E97255">
        <w:rPr>
          <w:rFonts w:ascii="Aptos" w:hAnsi="Aptos"/>
          <w:sz w:val="20"/>
          <w:szCs w:val="20"/>
        </w:rPr>
        <w:t>10.5</w:t>
      </w:r>
      <w:proofErr w:type="gramStart"/>
      <w:r w:rsidRPr="00E97255">
        <w:rPr>
          <w:rFonts w:ascii="Aptos" w:hAnsi="Aptos"/>
          <w:sz w:val="20"/>
          <w:szCs w:val="20"/>
        </w:rPr>
        <w:t>.c</w:t>
      </w:r>
      <w:proofErr w:type="gramEnd"/>
      <w:r w:rsidRPr="00E97255">
        <w:rPr>
          <w:rFonts w:ascii="Aptos" w:hAnsi="Aptos"/>
          <w:sz w:val="20"/>
          <w:szCs w:val="20"/>
        </w:rPr>
        <w:t xml:space="preserve"> Describe the associated cost implications to the Holder’s existing Patient Panel</w:t>
      </w:r>
    </w:p>
    <w:p w14:paraId="09859DF1" w14:textId="3951CBF7" w:rsidR="007222B2" w:rsidRDefault="007222B2" w:rsidP="000D742A">
      <w:pPr>
        <w:suppressAutoHyphens w:val="0"/>
        <w:autoSpaceDE w:val="0"/>
        <w:autoSpaceDN w:val="0"/>
        <w:adjustRightInd w:val="0"/>
        <w:spacing w:after="120"/>
        <w:jc w:val="both"/>
        <w:rPr>
          <w:rFonts w:ascii="Aptos" w:hAnsi="Aptos"/>
          <w:sz w:val="20"/>
          <w:szCs w:val="20"/>
        </w:rPr>
      </w:pPr>
      <w:r w:rsidRPr="00E97255">
        <w:rPr>
          <w:rFonts w:ascii="Aptos" w:hAnsi="Aptos"/>
          <w:sz w:val="20"/>
          <w:szCs w:val="20"/>
        </w:rPr>
        <w:t xml:space="preserve">The Proposed Change will not increase costs </w:t>
      </w:r>
      <w:r w:rsidR="008151C1">
        <w:rPr>
          <w:rFonts w:ascii="Aptos" w:hAnsi="Aptos"/>
          <w:sz w:val="20"/>
          <w:szCs w:val="20"/>
        </w:rPr>
        <w:t xml:space="preserve">for the Holder’s Panel </w:t>
      </w:r>
      <w:r w:rsidR="008602DE">
        <w:rPr>
          <w:rFonts w:ascii="Aptos" w:hAnsi="Aptos"/>
          <w:sz w:val="20"/>
          <w:szCs w:val="20"/>
        </w:rPr>
        <w:t>because</w:t>
      </w:r>
      <w:r w:rsidR="008151C1">
        <w:rPr>
          <w:rFonts w:ascii="Aptos" w:hAnsi="Aptos"/>
          <w:sz w:val="20"/>
          <w:szCs w:val="20"/>
        </w:rPr>
        <w:t xml:space="preserve"> charges and co-insurance liability will not change due to the expansion of existing services</w:t>
      </w:r>
      <w:r w:rsidRPr="00E97255">
        <w:rPr>
          <w:rFonts w:ascii="Aptos" w:hAnsi="Aptos"/>
          <w:sz w:val="20"/>
          <w:szCs w:val="20"/>
        </w:rPr>
        <w:t xml:space="preserve">. </w:t>
      </w:r>
    </w:p>
    <w:p w14:paraId="41B14FAE" w14:textId="77777777" w:rsidR="00EE6D69" w:rsidRPr="00E97255" w:rsidRDefault="00EE6D69" w:rsidP="000D742A">
      <w:pPr>
        <w:suppressAutoHyphens w:val="0"/>
        <w:autoSpaceDE w:val="0"/>
        <w:autoSpaceDN w:val="0"/>
        <w:adjustRightInd w:val="0"/>
        <w:spacing w:after="120"/>
        <w:jc w:val="both"/>
        <w:rPr>
          <w:rFonts w:ascii="Aptos" w:hAnsi="Aptos"/>
          <w:sz w:val="20"/>
          <w:szCs w:val="20"/>
        </w:rPr>
      </w:pPr>
    </w:p>
    <w:p w14:paraId="07D35801" w14:textId="6A545428" w:rsidR="009F5152" w:rsidRPr="00E97255" w:rsidRDefault="00C05E00" w:rsidP="000D742A">
      <w:pPr>
        <w:pStyle w:val="Heading1"/>
        <w:spacing w:before="0"/>
        <w:rPr>
          <w:rFonts w:ascii="Aptos" w:hAnsi="Aptos"/>
          <w:sz w:val="20"/>
          <w:szCs w:val="20"/>
        </w:rPr>
      </w:pPr>
      <w:r w:rsidRPr="00E97255">
        <w:rPr>
          <w:rFonts w:ascii="Aptos" w:hAnsi="Aptos"/>
          <w:sz w:val="20"/>
          <w:szCs w:val="20"/>
        </w:rPr>
        <w:lastRenderedPageBreak/>
        <w:t>1</w:t>
      </w:r>
      <w:r w:rsidR="009F5152" w:rsidRPr="00E97255">
        <w:rPr>
          <w:rFonts w:ascii="Aptos" w:hAnsi="Aptos"/>
          <w:sz w:val="20"/>
          <w:szCs w:val="20"/>
        </w:rPr>
        <w:t>0.5.d Provide a detailed narrative, comparing the approved project to the proposed Significant Change, and the rationale for such change.</w:t>
      </w:r>
    </w:p>
    <w:p w14:paraId="1B095DFB" w14:textId="53580674" w:rsidR="000D742A" w:rsidRDefault="00051236" w:rsidP="000D742A">
      <w:pPr>
        <w:spacing w:after="120"/>
        <w:jc w:val="both"/>
        <w:rPr>
          <w:rFonts w:ascii="Aptos" w:hAnsi="Aptos"/>
          <w:sz w:val="20"/>
          <w:szCs w:val="20"/>
        </w:rPr>
      </w:pPr>
      <w:r w:rsidRPr="00E97255">
        <w:rPr>
          <w:rFonts w:ascii="Aptos" w:hAnsi="Aptos"/>
          <w:sz w:val="20"/>
          <w:szCs w:val="20"/>
        </w:rPr>
        <w:t xml:space="preserve">In </w:t>
      </w:r>
      <w:r w:rsidR="00EB557F" w:rsidRPr="00E97255">
        <w:rPr>
          <w:rFonts w:ascii="Aptos" w:hAnsi="Aptos"/>
          <w:sz w:val="20"/>
          <w:szCs w:val="20"/>
        </w:rPr>
        <w:t>202</w:t>
      </w:r>
      <w:r w:rsidR="00EB557F">
        <w:rPr>
          <w:rFonts w:ascii="Aptos" w:hAnsi="Aptos"/>
          <w:sz w:val="20"/>
          <w:szCs w:val="20"/>
        </w:rPr>
        <w:t>2</w:t>
      </w:r>
      <w:r w:rsidRPr="00E97255">
        <w:rPr>
          <w:rFonts w:ascii="Aptos" w:hAnsi="Aptos"/>
          <w:sz w:val="20"/>
          <w:szCs w:val="20"/>
        </w:rPr>
        <w:t xml:space="preserve">, </w:t>
      </w:r>
      <w:proofErr w:type="gramStart"/>
      <w:r w:rsidR="00EB557F">
        <w:rPr>
          <w:rFonts w:ascii="Aptos" w:hAnsi="Aptos"/>
          <w:sz w:val="20"/>
          <w:szCs w:val="20"/>
        </w:rPr>
        <w:t>the Holder</w:t>
      </w:r>
      <w:proofErr w:type="gramEnd"/>
      <w:r w:rsidR="00EB557F">
        <w:rPr>
          <w:rFonts w:ascii="Aptos" w:hAnsi="Aptos"/>
          <w:sz w:val="20"/>
          <w:szCs w:val="20"/>
        </w:rPr>
        <w:t xml:space="preserve"> received DoN approval for </w:t>
      </w:r>
      <w:r w:rsidR="00780C3D">
        <w:rPr>
          <w:rFonts w:ascii="Aptos" w:hAnsi="Aptos"/>
          <w:sz w:val="20"/>
          <w:szCs w:val="20"/>
        </w:rPr>
        <w:t>the Medical Center</w:t>
      </w:r>
      <w:r w:rsidR="00EB557F">
        <w:rPr>
          <w:rFonts w:ascii="Aptos" w:hAnsi="Aptos"/>
          <w:sz w:val="20"/>
          <w:szCs w:val="20"/>
        </w:rPr>
        <w:t xml:space="preserve"> to renovate </w:t>
      </w:r>
      <w:r w:rsidRPr="00E97255">
        <w:rPr>
          <w:rFonts w:ascii="Aptos" w:hAnsi="Aptos"/>
          <w:sz w:val="20"/>
          <w:szCs w:val="20"/>
        </w:rPr>
        <w:t>the former Beaumont Rehabilitation and Skilled Nursing Center</w:t>
      </w:r>
      <w:r w:rsidR="00D35E21" w:rsidRPr="00E97255">
        <w:rPr>
          <w:rFonts w:ascii="Aptos" w:hAnsi="Aptos"/>
          <w:sz w:val="20"/>
          <w:szCs w:val="20"/>
        </w:rPr>
        <w:t xml:space="preserve"> to </w:t>
      </w:r>
      <w:r w:rsidR="001858E7" w:rsidRPr="00E97255">
        <w:rPr>
          <w:rFonts w:ascii="Aptos" w:hAnsi="Aptos"/>
          <w:sz w:val="20"/>
          <w:szCs w:val="20"/>
        </w:rPr>
        <w:t>create</w:t>
      </w:r>
      <w:r w:rsidR="00EB557F">
        <w:rPr>
          <w:rFonts w:ascii="Aptos" w:hAnsi="Aptos"/>
          <w:sz w:val="20"/>
          <w:szCs w:val="20"/>
        </w:rPr>
        <w:t xml:space="preserve"> a </w:t>
      </w:r>
      <w:r w:rsidR="00290BF1">
        <w:rPr>
          <w:rFonts w:ascii="Aptos" w:hAnsi="Aptos"/>
          <w:sz w:val="20"/>
          <w:szCs w:val="20"/>
        </w:rPr>
        <w:t>new</w:t>
      </w:r>
      <w:r w:rsidR="00EB557F">
        <w:rPr>
          <w:rFonts w:ascii="Aptos" w:hAnsi="Aptos"/>
          <w:sz w:val="20"/>
          <w:szCs w:val="20"/>
        </w:rPr>
        <w:t xml:space="preserve"> campus with</w:t>
      </w:r>
      <w:r w:rsidR="001858E7" w:rsidRPr="00E97255">
        <w:rPr>
          <w:rFonts w:ascii="Aptos" w:hAnsi="Aptos"/>
          <w:sz w:val="20"/>
          <w:szCs w:val="20"/>
        </w:rPr>
        <w:t xml:space="preserve"> four </w:t>
      </w:r>
      <w:r w:rsidR="00EB557F">
        <w:rPr>
          <w:rFonts w:ascii="Aptos" w:hAnsi="Aptos"/>
          <w:sz w:val="20"/>
          <w:szCs w:val="20"/>
        </w:rPr>
        <w:t xml:space="preserve">(4) </w:t>
      </w:r>
      <w:r w:rsidR="001858E7" w:rsidRPr="00E97255">
        <w:rPr>
          <w:rFonts w:ascii="Aptos" w:hAnsi="Aptos"/>
          <w:sz w:val="20"/>
          <w:szCs w:val="20"/>
        </w:rPr>
        <w:t>floors of private</w:t>
      </w:r>
      <w:r w:rsidR="00D35E21" w:rsidRPr="00E97255">
        <w:rPr>
          <w:rFonts w:ascii="Aptos" w:hAnsi="Aptos"/>
          <w:sz w:val="20"/>
          <w:szCs w:val="20"/>
        </w:rPr>
        <w:t xml:space="preserve"> inpatient </w:t>
      </w:r>
      <w:r w:rsidR="00EB557F">
        <w:rPr>
          <w:rFonts w:ascii="Aptos" w:hAnsi="Aptos"/>
          <w:sz w:val="20"/>
          <w:szCs w:val="20"/>
        </w:rPr>
        <w:t>M/S</w:t>
      </w:r>
      <w:r w:rsidR="001858E7" w:rsidRPr="00E97255">
        <w:rPr>
          <w:rFonts w:ascii="Aptos" w:hAnsi="Aptos"/>
          <w:sz w:val="20"/>
          <w:szCs w:val="20"/>
        </w:rPr>
        <w:t xml:space="preserve"> </w:t>
      </w:r>
      <w:r w:rsidR="00D35E21" w:rsidRPr="00E97255">
        <w:rPr>
          <w:rFonts w:ascii="Aptos" w:hAnsi="Aptos"/>
          <w:sz w:val="20"/>
          <w:szCs w:val="20"/>
        </w:rPr>
        <w:t>beds</w:t>
      </w:r>
      <w:r w:rsidR="00C44491">
        <w:rPr>
          <w:rFonts w:ascii="Aptos" w:hAnsi="Aptos"/>
          <w:sz w:val="20"/>
          <w:szCs w:val="20"/>
        </w:rPr>
        <w:t xml:space="preserve"> with 72 beds and shell space</w:t>
      </w:r>
      <w:r w:rsidR="001858E7" w:rsidRPr="00E97255">
        <w:rPr>
          <w:rFonts w:ascii="Aptos" w:hAnsi="Aptos"/>
          <w:sz w:val="20"/>
          <w:szCs w:val="20"/>
        </w:rPr>
        <w:t xml:space="preserve">. </w:t>
      </w:r>
      <w:r w:rsidR="00952C6B">
        <w:rPr>
          <w:rFonts w:ascii="Aptos" w:hAnsi="Aptos"/>
          <w:sz w:val="20"/>
          <w:szCs w:val="20"/>
        </w:rPr>
        <w:t>The</w:t>
      </w:r>
      <w:r w:rsidR="00952C6B" w:rsidRPr="00E97255">
        <w:rPr>
          <w:rFonts w:ascii="Aptos" w:hAnsi="Aptos"/>
          <w:sz w:val="20"/>
          <w:szCs w:val="20"/>
        </w:rPr>
        <w:t xml:space="preserve"> new building </w:t>
      </w:r>
      <w:r w:rsidR="00952C6B">
        <w:rPr>
          <w:rFonts w:ascii="Aptos" w:hAnsi="Aptos"/>
          <w:sz w:val="20"/>
          <w:szCs w:val="20"/>
        </w:rPr>
        <w:t>was designed to serve patients who are admitted from the University Campus ED with</w:t>
      </w:r>
      <w:r w:rsidR="00952C6B" w:rsidRPr="00E97255">
        <w:rPr>
          <w:rFonts w:ascii="Aptos" w:hAnsi="Aptos"/>
          <w:sz w:val="20"/>
          <w:szCs w:val="20"/>
        </w:rPr>
        <w:t xml:space="preserve"> </w:t>
      </w:r>
      <w:r w:rsidR="00952C6B">
        <w:rPr>
          <w:rFonts w:ascii="Aptos" w:hAnsi="Aptos"/>
          <w:sz w:val="20"/>
          <w:szCs w:val="20"/>
        </w:rPr>
        <w:t>common conditions</w:t>
      </w:r>
      <w:r w:rsidR="00952C6B">
        <w:rPr>
          <w:rStyle w:val="FootnoteReference"/>
          <w:rFonts w:ascii="Aptos" w:hAnsi="Aptos"/>
          <w:sz w:val="20"/>
          <w:szCs w:val="20"/>
        </w:rPr>
        <w:footnoteReference w:id="1"/>
      </w:r>
      <w:r w:rsidR="00952C6B">
        <w:rPr>
          <w:rFonts w:ascii="Aptos" w:hAnsi="Aptos"/>
          <w:sz w:val="20"/>
          <w:szCs w:val="20"/>
        </w:rPr>
        <w:t xml:space="preserve"> that have high rates of inpatient admissions and account for </w:t>
      </w:r>
      <w:proofErr w:type="gramStart"/>
      <w:r w:rsidR="00952C6B">
        <w:rPr>
          <w:rFonts w:ascii="Aptos" w:hAnsi="Aptos"/>
          <w:sz w:val="20"/>
          <w:szCs w:val="20"/>
        </w:rPr>
        <w:t>the majority of</w:t>
      </w:r>
      <w:proofErr w:type="gramEnd"/>
      <w:r w:rsidR="00952C6B">
        <w:rPr>
          <w:rFonts w:ascii="Aptos" w:hAnsi="Aptos"/>
          <w:sz w:val="20"/>
          <w:szCs w:val="20"/>
        </w:rPr>
        <w:t xml:space="preserve"> inpatient admissions in the United States</w:t>
      </w:r>
      <w:r w:rsidR="00952C6B">
        <w:rPr>
          <w:rStyle w:val="FootnoteReference"/>
          <w:rFonts w:ascii="Aptos" w:hAnsi="Aptos"/>
          <w:sz w:val="20"/>
          <w:szCs w:val="20"/>
        </w:rPr>
        <w:footnoteReference w:id="2"/>
      </w:r>
      <w:r w:rsidR="00952C6B">
        <w:rPr>
          <w:rFonts w:ascii="Aptos" w:hAnsi="Aptos"/>
          <w:sz w:val="20"/>
          <w:szCs w:val="20"/>
        </w:rPr>
        <w:t xml:space="preserve"> and similarly at </w:t>
      </w:r>
      <w:r w:rsidR="00290BF1">
        <w:rPr>
          <w:rFonts w:ascii="Aptos" w:hAnsi="Aptos"/>
          <w:sz w:val="20"/>
          <w:szCs w:val="20"/>
        </w:rPr>
        <w:t>the Medical Center</w:t>
      </w:r>
      <w:r w:rsidR="00EE6D69">
        <w:rPr>
          <w:rFonts w:ascii="Aptos" w:hAnsi="Aptos"/>
          <w:sz w:val="20"/>
          <w:szCs w:val="20"/>
        </w:rPr>
        <w:t xml:space="preserve">. </w:t>
      </w:r>
      <w:r w:rsidR="005F4A41">
        <w:rPr>
          <w:rFonts w:ascii="Aptos" w:hAnsi="Aptos"/>
          <w:sz w:val="20"/>
          <w:szCs w:val="20"/>
        </w:rPr>
        <w:t xml:space="preserve"> </w:t>
      </w:r>
      <w:r w:rsidR="00C17C05" w:rsidRPr="00E97255">
        <w:rPr>
          <w:rFonts w:ascii="Aptos" w:hAnsi="Aptos"/>
          <w:sz w:val="20"/>
          <w:szCs w:val="20"/>
        </w:rPr>
        <w:t xml:space="preserve">In January </w:t>
      </w:r>
      <w:r w:rsidR="00496C80" w:rsidRPr="00E97255">
        <w:rPr>
          <w:rFonts w:ascii="Aptos" w:hAnsi="Aptos"/>
          <w:sz w:val="20"/>
          <w:szCs w:val="20"/>
        </w:rPr>
        <w:t>2025, the</w:t>
      </w:r>
      <w:r w:rsidR="002D57F8" w:rsidRPr="00E97255">
        <w:rPr>
          <w:rFonts w:ascii="Aptos" w:hAnsi="Aptos"/>
          <w:sz w:val="20"/>
          <w:szCs w:val="20"/>
        </w:rPr>
        <w:t xml:space="preserve"> North Pavilion </w:t>
      </w:r>
      <w:r w:rsidR="007C528D">
        <w:rPr>
          <w:rFonts w:ascii="Aptos" w:hAnsi="Aptos"/>
          <w:sz w:val="20"/>
          <w:szCs w:val="20"/>
        </w:rPr>
        <w:t>c</w:t>
      </w:r>
      <w:r w:rsidR="002D57F8" w:rsidRPr="00E97255">
        <w:rPr>
          <w:rFonts w:ascii="Aptos" w:hAnsi="Aptos"/>
          <w:sz w:val="20"/>
          <w:szCs w:val="20"/>
        </w:rPr>
        <w:t xml:space="preserve">ampus </w:t>
      </w:r>
      <w:r w:rsidR="00496C80" w:rsidRPr="00E97255">
        <w:rPr>
          <w:rFonts w:ascii="Aptos" w:hAnsi="Aptos"/>
          <w:sz w:val="20"/>
          <w:szCs w:val="20"/>
        </w:rPr>
        <w:t xml:space="preserve">opened to patients. </w:t>
      </w:r>
      <w:r w:rsidR="00C27DB0" w:rsidRPr="00E97255">
        <w:rPr>
          <w:rFonts w:ascii="Aptos" w:hAnsi="Aptos"/>
          <w:sz w:val="20"/>
          <w:szCs w:val="20"/>
        </w:rPr>
        <w:t xml:space="preserve">As the Holder anticipated, the </w:t>
      </w:r>
      <w:r w:rsidR="00C44491">
        <w:rPr>
          <w:rFonts w:ascii="Aptos" w:hAnsi="Aptos"/>
          <w:sz w:val="20"/>
          <w:szCs w:val="20"/>
        </w:rPr>
        <w:t>campus has successfully provided</w:t>
      </w:r>
      <w:r w:rsidR="00496C80" w:rsidRPr="00E97255">
        <w:rPr>
          <w:rFonts w:ascii="Aptos" w:hAnsi="Aptos"/>
          <w:sz w:val="20"/>
          <w:szCs w:val="20"/>
        </w:rPr>
        <w:t xml:space="preserve"> </w:t>
      </w:r>
      <w:r w:rsidR="00780C3D">
        <w:rPr>
          <w:rFonts w:ascii="Aptos" w:hAnsi="Aptos"/>
          <w:sz w:val="20"/>
          <w:szCs w:val="20"/>
        </w:rPr>
        <w:t>the Medical Center</w:t>
      </w:r>
      <w:r w:rsidR="00496C80" w:rsidRPr="00E97255">
        <w:rPr>
          <w:rFonts w:ascii="Aptos" w:hAnsi="Aptos"/>
          <w:sz w:val="20"/>
          <w:szCs w:val="20"/>
        </w:rPr>
        <w:t xml:space="preserve"> with</w:t>
      </w:r>
      <w:r w:rsidR="00B165D0" w:rsidRPr="00E97255">
        <w:rPr>
          <w:rFonts w:ascii="Aptos" w:hAnsi="Aptos"/>
          <w:sz w:val="20"/>
          <w:szCs w:val="20"/>
        </w:rPr>
        <w:t xml:space="preserve"> </w:t>
      </w:r>
      <w:r w:rsidR="00EE6D69">
        <w:rPr>
          <w:rFonts w:ascii="Aptos" w:hAnsi="Aptos"/>
          <w:sz w:val="20"/>
          <w:szCs w:val="20"/>
        </w:rPr>
        <w:t>a new facility with staff dedicated to caring for patients with these conditions close to the University Campus, facilitating coordinated care</w:t>
      </w:r>
      <w:r w:rsidR="00496C80" w:rsidRPr="000D742A">
        <w:rPr>
          <w:rFonts w:ascii="Aptos" w:hAnsi="Aptos"/>
          <w:sz w:val="20"/>
          <w:szCs w:val="20"/>
        </w:rPr>
        <w:t xml:space="preserve">. </w:t>
      </w:r>
      <w:r w:rsidR="00C44491">
        <w:rPr>
          <w:rFonts w:ascii="Aptos" w:hAnsi="Aptos"/>
          <w:sz w:val="20"/>
          <w:szCs w:val="20"/>
        </w:rPr>
        <w:t>The North Pavilion campus has met the o</w:t>
      </w:r>
      <w:r w:rsidR="00EB557F" w:rsidRPr="000D742A">
        <w:rPr>
          <w:rFonts w:ascii="Aptos" w:hAnsi="Aptos"/>
          <w:sz w:val="20"/>
          <w:szCs w:val="20"/>
        </w:rPr>
        <w:t xml:space="preserve">bjectives of the Original DoN and </w:t>
      </w:r>
      <w:r w:rsidR="005D1A20">
        <w:rPr>
          <w:rFonts w:ascii="Aptos" w:hAnsi="Aptos"/>
          <w:sz w:val="20"/>
          <w:szCs w:val="20"/>
        </w:rPr>
        <w:t>the identified needs of the Patient Panel</w:t>
      </w:r>
      <w:r w:rsidR="00C44491">
        <w:rPr>
          <w:rFonts w:ascii="Aptos" w:hAnsi="Aptos"/>
          <w:sz w:val="20"/>
          <w:szCs w:val="20"/>
        </w:rPr>
        <w:t xml:space="preserve">, making this location the superior option for adding the 19 beds that were to be added at the Memorial Campus. </w:t>
      </w:r>
      <w:r w:rsidR="00EE6D69">
        <w:rPr>
          <w:rFonts w:ascii="Aptos" w:hAnsi="Aptos"/>
          <w:sz w:val="20"/>
          <w:szCs w:val="20"/>
        </w:rPr>
        <w:t xml:space="preserve">Accordingly, </w:t>
      </w:r>
      <w:proofErr w:type="gramStart"/>
      <w:r w:rsidR="00FF1211" w:rsidRPr="00E97255">
        <w:rPr>
          <w:rFonts w:ascii="Aptos" w:hAnsi="Aptos"/>
          <w:sz w:val="20"/>
          <w:szCs w:val="20"/>
        </w:rPr>
        <w:t>the Holder</w:t>
      </w:r>
      <w:proofErr w:type="gramEnd"/>
      <w:r w:rsidR="00FF1211" w:rsidRPr="00E97255">
        <w:rPr>
          <w:rFonts w:ascii="Aptos" w:hAnsi="Aptos"/>
          <w:sz w:val="20"/>
          <w:szCs w:val="20"/>
        </w:rPr>
        <w:t xml:space="preserve"> </w:t>
      </w:r>
      <w:r w:rsidR="005D1A20">
        <w:rPr>
          <w:rFonts w:ascii="Aptos" w:hAnsi="Aptos"/>
          <w:sz w:val="20"/>
          <w:szCs w:val="20"/>
        </w:rPr>
        <w:t>requests</w:t>
      </w:r>
      <w:r w:rsidR="00FF1211" w:rsidRPr="00E97255">
        <w:rPr>
          <w:rFonts w:ascii="Aptos" w:hAnsi="Aptos"/>
          <w:sz w:val="20"/>
          <w:szCs w:val="20"/>
        </w:rPr>
        <w:t xml:space="preserve"> approval</w:t>
      </w:r>
      <w:r w:rsidR="005D1A20">
        <w:rPr>
          <w:rFonts w:ascii="Aptos" w:hAnsi="Aptos"/>
          <w:sz w:val="20"/>
          <w:szCs w:val="20"/>
        </w:rPr>
        <w:t xml:space="preserve"> </w:t>
      </w:r>
      <w:r w:rsidR="000D742A">
        <w:rPr>
          <w:rFonts w:ascii="Aptos" w:hAnsi="Aptos"/>
          <w:sz w:val="20"/>
          <w:szCs w:val="20"/>
        </w:rPr>
        <w:t xml:space="preserve">to build </w:t>
      </w:r>
      <w:proofErr w:type="spellStart"/>
      <w:r w:rsidR="000D742A">
        <w:rPr>
          <w:rFonts w:ascii="Aptos" w:hAnsi="Aptos"/>
          <w:sz w:val="20"/>
          <w:szCs w:val="20"/>
        </w:rPr>
        <w:t>out</w:t>
      </w:r>
      <w:proofErr w:type="spellEnd"/>
      <w:r w:rsidR="000D742A">
        <w:rPr>
          <w:rFonts w:ascii="Aptos" w:hAnsi="Aptos"/>
          <w:sz w:val="20"/>
          <w:szCs w:val="20"/>
        </w:rPr>
        <w:t xml:space="preserve"> existing shell space at North Pavilion to add a total of 24 M/S beds, in place of the 19 Memorial beds for a net increase of five (5) M/S beds</w:t>
      </w:r>
      <w:r w:rsidR="008602DE">
        <w:rPr>
          <w:rFonts w:ascii="Aptos" w:hAnsi="Aptos"/>
          <w:sz w:val="20"/>
          <w:szCs w:val="20"/>
        </w:rPr>
        <w:t xml:space="preserve"> to the Medical Center license</w:t>
      </w:r>
      <w:r w:rsidR="00EE6D69">
        <w:rPr>
          <w:rFonts w:ascii="Aptos" w:hAnsi="Aptos"/>
          <w:sz w:val="20"/>
          <w:szCs w:val="20"/>
        </w:rPr>
        <w:t>.</w:t>
      </w:r>
    </w:p>
    <w:p w14:paraId="6BA189E7" w14:textId="76508E19" w:rsidR="008602DE" w:rsidRDefault="008602DE" w:rsidP="008602DE">
      <w:pPr>
        <w:spacing w:after="120"/>
        <w:jc w:val="both"/>
        <w:rPr>
          <w:rFonts w:ascii="Aptos" w:hAnsi="Aptos"/>
          <w:sz w:val="20"/>
          <w:szCs w:val="20"/>
        </w:rPr>
      </w:pPr>
      <w:r>
        <w:rPr>
          <w:rFonts w:ascii="Aptos" w:hAnsi="Aptos"/>
          <w:sz w:val="20"/>
          <w:szCs w:val="20"/>
        </w:rPr>
        <w:t xml:space="preserve">The Medical Centers’s North Pavilion campus was purposefully designed to provide high-quality inpatient care to patients presenting with some of the most frequent episodic and chronic conditions that require a hospital stay. Clinicians at the North Pavilion campus have the training and experience to deliver this care, and </w:t>
      </w:r>
      <w:r w:rsidR="00EA3B79">
        <w:rPr>
          <w:rFonts w:ascii="Aptos" w:hAnsi="Aptos"/>
          <w:sz w:val="20"/>
          <w:szCs w:val="20"/>
        </w:rPr>
        <w:t xml:space="preserve">when patients need more specialized services, </w:t>
      </w:r>
      <w:r>
        <w:rPr>
          <w:rFonts w:ascii="Aptos" w:hAnsi="Aptos"/>
          <w:sz w:val="20"/>
          <w:szCs w:val="20"/>
        </w:rPr>
        <w:t xml:space="preserve">the North Pavilion campus is located right next door to the University Campus </w:t>
      </w:r>
      <w:r w:rsidR="00EA3B79">
        <w:rPr>
          <w:rFonts w:ascii="Aptos" w:hAnsi="Aptos"/>
          <w:sz w:val="20"/>
          <w:szCs w:val="20"/>
        </w:rPr>
        <w:t>for such care</w:t>
      </w:r>
      <w:r>
        <w:rPr>
          <w:rFonts w:ascii="Aptos" w:hAnsi="Aptos"/>
          <w:sz w:val="20"/>
          <w:szCs w:val="20"/>
        </w:rPr>
        <w:t xml:space="preserve">. Adding beds at Memorial Campus would provide the same level of care but would not be able to leverage the consolidation of resources dedicated to subset of conditions which sets the North Pavilion campus apart. To that end, the Proposed Change will leverage the success of the North Pavilion campus to improve access to inpatient services and health outcomes. </w:t>
      </w:r>
    </w:p>
    <w:p w14:paraId="4D08DAD9" w14:textId="00CBCA14" w:rsidR="002D57F8" w:rsidRPr="007F02AD" w:rsidRDefault="008602DE" w:rsidP="007F02AD">
      <w:pPr>
        <w:spacing w:after="120"/>
        <w:jc w:val="both"/>
        <w:rPr>
          <w:rFonts w:ascii="Aptos" w:hAnsi="Aptos"/>
          <w:sz w:val="20"/>
          <w:szCs w:val="20"/>
        </w:rPr>
      </w:pPr>
      <w:r>
        <w:rPr>
          <w:rFonts w:ascii="Aptos" w:hAnsi="Aptos"/>
          <w:sz w:val="20"/>
          <w:szCs w:val="20"/>
        </w:rPr>
        <w:t xml:space="preserve">The addition of the North Pavilion campus has allowed the Medical Center to better ensure that </w:t>
      </w:r>
      <w:r w:rsidR="002B74E2">
        <w:rPr>
          <w:rFonts w:ascii="Aptos" w:hAnsi="Aptos"/>
          <w:sz w:val="20"/>
          <w:szCs w:val="20"/>
        </w:rPr>
        <w:t>patients receive</w:t>
      </w:r>
      <w:r>
        <w:rPr>
          <w:rFonts w:ascii="Aptos" w:hAnsi="Aptos"/>
          <w:sz w:val="20"/>
          <w:szCs w:val="20"/>
        </w:rPr>
        <w:t xml:space="preserve"> </w:t>
      </w:r>
      <w:r w:rsidR="002B74E2">
        <w:rPr>
          <w:rFonts w:ascii="Aptos" w:hAnsi="Aptos"/>
          <w:sz w:val="20"/>
          <w:szCs w:val="20"/>
        </w:rPr>
        <w:t xml:space="preserve">the right </w:t>
      </w:r>
      <w:r>
        <w:rPr>
          <w:rFonts w:ascii="Aptos" w:hAnsi="Aptos"/>
          <w:sz w:val="20"/>
          <w:szCs w:val="20"/>
        </w:rPr>
        <w:t>care in the right location at the right time.</w:t>
      </w:r>
      <w:r w:rsidR="002B74E2">
        <w:rPr>
          <w:rFonts w:ascii="Aptos" w:hAnsi="Aptos"/>
          <w:sz w:val="20"/>
          <w:szCs w:val="20"/>
        </w:rPr>
        <w:t xml:space="preserve"> Since the opening of the North Pavilion, the Medical Center has shifted lower</w:t>
      </w:r>
      <w:r>
        <w:rPr>
          <w:rFonts w:ascii="Aptos" w:hAnsi="Aptos"/>
          <w:sz w:val="20"/>
          <w:szCs w:val="20"/>
        </w:rPr>
        <w:t xml:space="preserve"> acuity patients to </w:t>
      </w:r>
      <w:r w:rsidR="002B74E2">
        <w:rPr>
          <w:rFonts w:ascii="Aptos" w:hAnsi="Aptos"/>
          <w:sz w:val="20"/>
          <w:szCs w:val="20"/>
        </w:rPr>
        <w:t>the North Pavilion campus who historically would be admitted to the University Campus. As the University Campus has the resources to provide tertiary and quaternary care, this shift has allowed the Medical Center to improve ac</w:t>
      </w:r>
      <w:r>
        <w:rPr>
          <w:rFonts w:ascii="Aptos" w:hAnsi="Aptos"/>
          <w:sz w:val="20"/>
          <w:szCs w:val="20"/>
        </w:rPr>
        <w:t xml:space="preserve">cess to the University </w:t>
      </w:r>
      <w:r w:rsidR="002B74E2">
        <w:rPr>
          <w:rFonts w:ascii="Aptos" w:hAnsi="Aptos"/>
          <w:sz w:val="20"/>
          <w:szCs w:val="20"/>
        </w:rPr>
        <w:t>C</w:t>
      </w:r>
      <w:r>
        <w:rPr>
          <w:rFonts w:ascii="Aptos" w:hAnsi="Aptos"/>
          <w:sz w:val="20"/>
          <w:szCs w:val="20"/>
        </w:rPr>
        <w:t>ampus</w:t>
      </w:r>
      <w:r w:rsidR="002B74E2">
        <w:rPr>
          <w:rFonts w:ascii="Aptos" w:hAnsi="Aptos"/>
          <w:sz w:val="20"/>
          <w:szCs w:val="20"/>
        </w:rPr>
        <w:t xml:space="preserve"> for higher acuity</w:t>
      </w:r>
      <w:r>
        <w:rPr>
          <w:rFonts w:ascii="Aptos" w:hAnsi="Aptos"/>
          <w:sz w:val="20"/>
          <w:szCs w:val="20"/>
        </w:rPr>
        <w:t xml:space="preserve"> patients </w:t>
      </w:r>
      <w:r w:rsidR="002B74E2">
        <w:rPr>
          <w:rFonts w:ascii="Aptos" w:hAnsi="Aptos"/>
          <w:sz w:val="20"/>
          <w:szCs w:val="20"/>
        </w:rPr>
        <w:t>requiring</w:t>
      </w:r>
      <w:r>
        <w:rPr>
          <w:rFonts w:ascii="Aptos" w:hAnsi="Aptos"/>
          <w:sz w:val="20"/>
          <w:szCs w:val="20"/>
        </w:rPr>
        <w:t xml:space="preserve"> </w:t>
      </w:r>
      <w:r w:rsidR="002B74E2">
        <w:rPr>
          <w:rFonts w:ascii="Aptos" w:hAnsi="Aptos"/>
          <w:sz w:val="20"/>
          <w:szCs w:val="20"/>
        </w:rPr>
        <w:t>such services</w:t>
      </w:r>
      <w:r w:rsidR="00C27DB0" w:rsidRPr="00E97255">
        <w:rPr>
          <w:rFonts w:ascii="Aptos" w:hAnsi="Aptos"/>
          <w:sz w:val="20"/>
          <w:szCs w:val="20"/>
        </w:rPr>
        <w:t>.</w:t>
      </w:r>
      <w:r w:rsidR="00756C49">
        <w:rPr>
          <w:rStyle w:val="FootnoteReference"/>
          <w:rFonts w:ascii="Aptos" w:hAnsi="Aptos"/>
          <w:sz w:val="20"/>
          <w:szCs w:val="20"/>
        </w:rPr>
        <w:footnoteReference w:id="3"/>
      </w:r>
      <w:r w:rsidR="00C27DB0" w:rsidRPr="00E97255">
        <w:rPr>
          <w:rFonts w:ascii="Aptos" w:hAnsi="Aptos"/>
          <w:sz w:val="20"/>
          <w:szCs w:val="20"/>
        </w:rPr>
        <w:t xml:space="preserve"> </w:t>
      </w:r>
      <w:r w:rsidR="002B74E2">
        <w:rPr>
          <w:rFonts w:ascii="Aptos" w:hAnsi="Aptos"/>
          <w:sz w:val="20"/>
          <w:szCs w:val="20"/>
        </w:rPr>
        <w:t xml:space="preserve"> </w:t>
      </w:r>
      <w:r w:rsidR="006B4449">
        <w:rPr>
          <w:rFonts w:ascii="Aptos" w:hAnsi="Aptos"/>
          <w:sz w:val="20"/>
          <w:szCs w:val="20"/>
        </w:rPr>
        <w:t xml:space="preserve">This shift </w:t>
      </w:r>
      <w:r w:rsidR="00B165D0" w:rsidRPr="00CE640A">
        <w:rPr>
          <w:rFonts w:ascii="Aptos" w:hAnsi="Aptos"/>
          <w:sz w:val="20"/>
          <w:szCs w:val="20"/>
        </w:rPr>
        <w:t>has</w:t>
      </w:r>
      <w:r w:rsidR="006B4449">
        <w:rPr>
          <w:rFonts w:ascii="Aptos" w:hAnsi="Aptos"/>
          <w:sz w:val="20"/>
          <w:szCs w:val="20"/>
        </w:rPr>
        <w:t xml:space="preserve"> resulted in</w:t>
      </w:r>
      <w:r w:rsidR="005401DE" w:rsidRPr="00CE640A">
        <w:rPr>
          <w:rFonts w:ascii="Aptos" w:hAnsi="Aptos"/>
          <w:sz w:val="20"/>
          <w:szCs w:val="20"/>
        </w:rPr>
        <w:t xml:space="preserve"> </w:t>
      </w:r>
      <w:r w:rsidR="006B4449">
        <w:rPr>
          <w:rFonts w:ascii="Aptos" w:hAnsi="Aptos"/>
          <w:sz w:val="20"/>
          <w:szCs w:val="20"/>
        </w:rPr>
        <w:t>lower</w:t>
      </w:r>
      <w:r w:rsidR="002C2EA8" w:rsidRPr="00CE640A">
        <w:rPr>
          <w:rFonts w:ascii="Aptos" w:hAnsi="Aptos"/>
          <w:sz w:val="20"/>
          <w:szCs w:val="20"/>
        </w:rPr>
        <w:t xml:space="preserve"> occupancy rates at University </w:t>
      </w:r>
      <w:r w:rsidR="005401DE" w:rsidRPr="00CE640A">
        <w:rPr>
          <w:rFonts w:ascii="Aptos" w:hAnsi="Aptos"/>
          <w:sz w:val="20"/>
          <w:szCs w:val="20"/>
        </w:rPr>
        <w:t>Campus</w:t>
      </w:r>
      <w:r w:rsidR="006B4449">
        <w:rPr>
          <w:rFonts w:ascii="Aptos" w:hAnsi="Aptos"/>
          <w:sz w:val="20"/>
          <w:szCs w:val="20"/>
        </w:rPr>
        <w:t>,</w:t>
      </w:r>
      <w:r w:rsidR="005401DE" w:rsidRPr="00CE640A">
        <w:rPr>
          <w:rFonts w:ascii="Aptos" w:hAnsi="Aptos"/>
          <w:sz w:val="20"/>
          <w:szCs w:val="20"/>
        </w:rPr>
        <w:t xml:space="preserve"> from 100.3% in FY2024 to</w:t>
      </w:r>
      <w:r w:rsidR="00EE6D69" w:rsidRPr="00CE640A">
        <w:rPr>
          <w:rFonts w:ascii="Aptos" w:hAnsi="Aptos"/>
          <w:sz w:val="20"/>
          <w:szCs w:val="20"/>
        </w:rPr>
        <w:t xml:space="preserve"> an average of</w:t>
      </w:r>
      <w:r w:rsidR="005401DE" w:rsidRPr="00CE640A">
        <w:rPr>
          <w:rFonts w:ascii="Aptos" w:hAnsi="Aptos"/>
          <w:sz w:val="20"/>
          <w:szCs w:val="20"/>
        </w:rPr>
        <w:t xml:space="preserve"> 98.6% YTD FY2025</w:t>
      </w:r>
      <w:r w:rsidR="006B4449" w:rsidRPr="00CE640A">
        <w:rPr>
          <w:rStyle w:val="FootnoteReference"/>
          <w:rFonts w:ascii="Aptos" w:hAnsi="Aptos"/>
          <w:sz w:val="20"/>
          <w:szCs w:val="20"/>
        </w:rPr>
        <w:footnoteReference w:id="4"/>
      </w:r>
      <w:r w:rsidR="002C2EA8" w:rsidRPr="00CE640A">
        <w:rPr>
          <w:rFonts w:ascii="Aptos" w:hAnsi="Aptos"/>
          <w:sz w:val="20"/>
          <w:szCs w:val="20"/>
        </w:rPr>
        <w:t xml:space="preserve">. </w:t>
      </w:r>
      <w:r w:rsidR="005401DE" w:rsidRPr="00CE640A">
        <w:rPr>
          <w:rFonts w:ascii="Aptos" w:hAnsi="Aptos"/>
          <w:sz w:val="20"/>
          <w:szCs w:val="20"/>
        </w:rPr>
        <w:t xml:space="preserve">While the inpatient M/S occupancy rate </w:t>
      </w:r>
      <w:r w:rsidR="00CE640A">
        <w:rPr>
          <w:rFonts w:ascii="Aptos" w:hAnsi="Aptos"/>
          <w:sz w:val="20"/>
          <w:szCs w:val="20"/>
        </w:rPr>
        <w:t xml:space="preserve">at University Campus </w:t>
      </w:r>
      <w:r w:rsidR="005401DE" w:rsidRPr="00CE640A">
        <w:rPr>
          <w:rFonts w:ascii="Aptos" w:hAnsi="Aptos"/>
          <w:sz w:val="20"/>
          <w:szCs w:val="20"/>
        </w:rPr>
        <w:t>is still high</w:t>
      </w:r>
      <w:r w:rsidR="00CE640A">
        <w:rPr>
          <w:rFonts w:ascii="Aptos" w:hAnsi="Aptos"/>
          <w:sz w:val="20"/>
          <w:szCs w:val="20"/>
        </w:rPr>
        <w:t xml:space="preserve">er than </w:t>
      </w:r>
      <w:r w:rsidR="00A06920">
        <w:rPr>
          <w:rFonts w:ascii="Aptos" w:hAnsi="Aptos"/>
          <w:sz w:val="20"/>
          <w:szCs w:val="20"/>
        </w:rPr>
        <w:t>the Medical Center</w:t>
      </w:r>
      <w:r w:rsidR="00CE640A">
        <w:rPr>
          <w:rFonts w:ascii="Aptos" w:hAnsi="Aptos"/>
          <w:sz w:val="20"/>
          <w:szCs w:val="20"/>
        </w:rPr>
        <w:t>’s ideal occupancy rate of 90%</w:t>
      </w:r>
      <w:r w:rsidR="005401DE" w:rsidRPr="00CE640A">
        <w:rPr>
          <w:rFonts w:ascii="Aptos" w:hAnsi="Aptos"/>
          <w:sz w:val="20"/>
          <w:szCs w:val="20"/>
        </w:rPr>
        <w:t>, it reflects</w:t>
      </w:r>
      <w:r w:rsidR="006B4449">
        <w:rPr>
          <w:rFonts w:ascii="Aptos" w:hAnsi="Aptos"/>
          <w:sz w:val="20"/>
          <w:szCs w:val="20"/>
        </w:rPr>
        <w:t xml:space="preserve"> the impact of the North Pavilion Campus in providing</w:t>
      </w:r>
      <w:r w:rsidR="005401DE" w:rsidRPr="00CE640A">
        <w:rPr>
          <w:rFonts w:ascii="Aptos" w:hAnsi="Aptos"/>
          <w:sz w:val="20"/>
          <w:szCs w:val="20"/>
        </w:rPr>
        <w:t xml:space="preserve"> </w:t>
      </w:r>
      <w:r w:rsidR="00CE640A" w:rsidRPr="00CE640A">
        <w:rPr>
          <w:rFonts w:ascii="Aptos" w:hAnsi="Aptos"/>
          <w:sz w:val="20"/>
          <w:szCs w:val="20"/>
        </w:rPr>
        <w:t>improved</w:t>
      </w:r>
      <w:r w:rsidR="005401DE" w:rsidRPr="00CE640A">
        <w:rPr>
          <w:rFonts w:ascii="Aptos" w:hAnsi="Aptos"/>
          <w:sz w:val="20"/>
          <w:szCs w:val="20"/>
        </w:rPr>
        <w:t xml:space="preserve"> access</w:t>
      </w:r>
      <w:r w:rsidR="006B4449">
        <w:rPr>
          <w:rFonts w:ascii="Aptos" w:hAnsi="Aptos"/>
          <w:sz w:val="20"/>
          <w:szCs w:val="20"/>
        </w:rPr>
        <w:t xml:space="preserve"> to the University Campus for patients who need it</w:t>
      </w:r>
      <w:r w:rsidR="005401DE" w:rsidRPr="00CE640A">
        <w:rPr>
          <w:rFonts w:ascii="Aptos" w:hAnsi="Aptos"/>
          <w:sz w:val="20"/>
          <w:szCs w:val="20"/>
        </w:rPr>
        <w:t>.</w:t>
      </w:r>
      <w:r w:rsidR="005401DE">
        <w:rPr>
          <w:rFonts w:ascii="Aptos" w:hAnsi="Aptos"/>
          <w:sz w:val="20"/>
          <w:szCs w:val="20"/>
        </w:rPr>
        <w:t xml:space="preserve">  </w:t>
      </w:r>
    </w:p>
    <w:p w14:paraId="78225AA9" w14:textId="7D88A55C" w:rsidR="00924284" w:rsidRDefault="00CE640A" w:rsidP="00924284">
      <w:pPr>
        <w:jc w:val="both"/>
        <w:rPr>
          <w:rFonts w:ascii="Aptos" w:hAnsi="Aptos"/>
          <w:sz w:val="20"/>
          <w:szCs w:val="20"/>
        </w:rPr>
      </w:pPr>
      <w:r>
        <w:rPr>
          <w:rFonts w:ascii="Aptos" w:hAnsi="Aptos"/>
          <w:sz w:val="20"/>
          <w:szCs w:val="20"/>
        </w:rPr>
        <w:t>The</w:t>
      </w:r>
      <w:r w:rsidR="00924284" w:rsidRPr="00E97255">
        <w:rPr>
          <w:rFonts w:ascii="Aptos" w:hAnsi="Aptos"/>
          <w:sz w:val="20"/>
          <w:szCs w:val="20"/>
        </w:rPr>
        <w:t xml:space="preserve"> need for additional inpatient </w:t>
      </w:r>
      <w:r w:rsidR="00924284">
        <w:rPr>
          <w:rFonts w:ascii="Aptos" w:hAnsi="Aptos"/>
          <w:sz w:val="20"/>
          <w:szCs w:val="20"/>
        </w:rPr>
        <w:t>capacity</w:t>
      </w:r>
      <w:r w:rsidR="00924284" w:rsidRPr="00E97255">
        <w:rPr>
          <w:rFonts w:ascii="Aptos" w:hAnsi="Aptos"/>
          <w:sz w:val="20"/>
          <w:szCs w:val="20"/>
        </w:rPr>
        <w:t xml:space="preserve"> is</w:t>
      </w:r>
      <w:r w:rsidR="00847644">
        <w:rPr>
          <w:rFonts w:ascii="Aptos" w:hAnsi="Aptos"/>
          <w:sz w:val="20"/>
          <w:szCs w:val="20"/>
        </w:rPr>
        <w:t xml:space="preserve"> further</w:t>
      </w:r>
      <w:r w:rsidR="00924284" w:rsidRPr="00E97255">
        <w:rPr>
          <w:rFonts w:ascii="Aptos" w:hAnsi="Aptos"/>
          <w:sz w:val="20"/>
          <w:szCs w:val="20"/>
        </w:rPr>
        <w:t xml:space="preserve"> supported by the </w:t>
      </w:r>
      <w:r>
        <w:rPr>
          <w:rFonts w:ascii="Aptos" w:hAnsi="Aptos"/>
          <w:sz w:val="20"/>
          <w:szCs w:val="20"/>
        </w:rPr>
        <w:t>demand</w:t>
      </w:r>
      <w:r w:rsidR="00924284" w:rsidRPr="00E97255">
        <w:rPr>
          <w:rFonts w:ascii="Aptos" w:hAnsi="Aptos"/>
          <w:sz w:val="20"/>
          <w:szCs w:val="20"/>
        </w:rPr>
        <w:t xml:space="preserve"> for emergency services in and around Worcester. The </w:t>
      </w:r>
      <w:r w:rsidR="002024CC">
        <w:rPr>
          <w:rFonts w:ascii="Aptos" w:hAnsi="Aptos"/>
          <w:sz w:val="20"/>
          <w:szCs w:val="20"/>
        </w:rPr>
        <w:t xml:space="preserve">Medical Center’s </w:t>
      </w:r>
      <w:r w:rsidR="00924284" w:rsidRPr="00E97255">
        <w:rPr>
          <w:rFonts w:ascii="Aptos" w:hAnsi="Aptos"/>
          <w:sz w:val="20"/>
          <w:szCs w:val="20"/>
        </w:rPr>
        <w:t>EDs represent one-third of ED</w:t>
      </w:r>
      <w:r w:rsidR="00924284">
        <w:rPr>
          <w:rFonts w:ascii="Aptos" w:hAnsi="Aptos"/>
          <w:sz w:val="20"/>
          <w:szCs w:val="20"/>
        </w:rPr>
        <w:t>s</w:t>
      </w:r>
      <w:r w:rsidR="00924284" w:rsidRPr="00E97255">
        <w:rPr>
          <w:rFonts w:ascii="Aptos" w:hAnsi="Aptos"/>
          <w:sz w:val="20"/>
          <w:szCs w:val="20"/>
        </w:rPr>
        <w:t xml:space="preserve"> in Worcester </w:t>
      </w:r>
      <w:r w:rsidR="00847644" w:rsidRPr="00E97255">
        <w:rPr>
          <w:rFonts w:ascii="Aptos" w:hAnsi="Aptos"/>
          <w:sz w:val="20"/>
          <w:szCs w:val="20"/>
        </w:rPr>
        <w:t>County,</w:t>
      </w:r>
      <w:r w:rsidR="00924284" w:rsidRPr="00E97255">
        <w:rPr>
          <w:rFonts w:ascii="Aptos" w:hAnsi="Aptos"/>
          <w:sz w:val="20"/>
          <w:szCs w:val="20"/>
        </w:rPr>
        <w:t xml:space="preserve"> </w:t>
      </w:r>
      <w:r w:rsidR="00924284">
        <w:rPr>
          <w:rFonts w:ascii="Aptos" w:hAnsi="Aptos"/>
          <w:sz w:val="20"/>
          <w:szCs w:val="20"/>
        </w:rPr>
        <w:t>which is home to</w:t>
      </w:r>
      <w:r w:rsidR="00924284" w:rsidRPr="00E97255">
        <w:rPr>
          <w:rFonts w:ascii="Aptos" w:hAnsi="Aptos"/>
          <w:sz w:val="20"/>
          <w:szCs w:val="20"/>
        </w:rPr>
        <w:t xml:space="preserve"> almost 900,000</w:t>
      </w:r>
      <w:r w:rsidR="00924284">
        <w:rPr>
          <w:rFonts w:ascii="Aptos" w:hAnsi="Aptos"/>
          <w:sz w:val="20"/>
          <w:szCs w:val="20"/>
        </w:rPr>
        <w:t xml:space="preserve"> individuals</w:t>
      </w:r>
      <w:r w:rsidR="00924284" w:rsidRPr="00E97255">
        <w:rPr>
          <w:rFonts w:ascii="Aptos" w:hAnsi="Aptos"/>
          <w:sz w:val="20"/>
          <w:szCs w:val="20"/>
        </w:rPr>
        <w:t>.</w:t>
      </w:r>
      <w:r w:rsidR="00924284" w:rsidRPr="00E97255">
        <w:rPr>
          <w:rStyle w:val="FootnoteReference"/>
          <w:rFonts w:ascii="Aptos" w:hAnsi="Aptos"/>
          <w:sz w:val="20"/>
          <w:szCs w:val="20"/>
        </w:rPr>
        <w:footnoteReference w:id="5"/>
      </w:r>
      <w:r w:rsidR="00924284" w:rsidRPr="00E97255">
        <w:rPr>
          <w:rFonts w:ascii="Aptos" w:hAnsi="Aptos"/>
          <w:sz w:val="20"/>
          <w:szCs w:val="20"/>
        </w:rPr>
        <w:t xml:space="preserve"> In FY2022, </w:t>
      </w:r>
      <w:r w:rsidR="00847644">
        <w:rPr>
          <w:rFonts w:ascii="Aptos" w:hAnsi="Aptos"/>
          <w:sz w:val="20"/>
          <w:szCs w:val="20"/>
        </w:rPr>
        <w:t xml:space="preserve">the </w:t>
      </w:r>
      <w:r w:rsidR="00D64B01">
        <w:rPr>
          <w:rFonts w:ascii="Aptos" w:hAnsi="Aptos"/>
          <w:sz w:val="20"/>
          <w:szCs w:val="20"/>
        </w:rPr>
        <w:t xml:space="preserve">University Campus had 82,262 </w:t>
      </w:r>
      <w:r w:rsidR="00847644">
        <w:rPr>
          <w:rFonts w:ascii="Aptos" w:hAnsi="Aptos"/>
          <w:sz w:val="20"/>
          <w:szCs w:val="20"/>
        </w:rPr>
        <w:t xml:space="preserve">ED </w:t>
      </w:r>
      <w:r w:rsidR="00D64B01">
        <w:rPr>
          <w:rFonts w:ascii="Aptos" w:hAnsi="Aptos"/>
          <w:sz w:val="20"/>
          <w:szCs w:val="20"/>
        </w:rPr>
        <w:t>visits</w:t>
      </w:r>
      <w:r w:rsidR="00924284" w:rsidRPr="00E97255">
        <w:rPr>
          <w:rFonts w:ascii="Aptos" w:hAnsi="Aptos"/>
          <w:sz w:val="20"/>
          <w:szCs w:val="20"/>
        </w:rPr>
        <w:t xml:space="preserve">. As illustrated in </w:t>
      </w:r>
      <w:r w:rsidR="00547C2D">
        <w:rPr>
          <w:rFonts w:ascii="Aptos" w:hAnsi="Aptos"/>
          <w:sz w:val="20"/>
          <w:szCs w:val="20"/>
        </w:rPr>
        <w:t>Table 1</w:t>
      </w:r>
      <w:r w:rsidR="00924284" w:rsidRPr="00E97255">
        <w:rPr>
          <w:rFonts w:ascii="Aptos" w:hAnsi="Aptos"/>
          <w:sz w:val="20"/>
          <w:szCs w:val="20"/>
        </w:rPr>
        <w:t xml:space="preserve"> below, the number of ED visits is expected to </w:t>
      </w:r>
      <w:r w:rsidR="00D64B01">
        <w:rPr>
          <w:rFonts w:ascii="Aptos" w:hAnsi="Aptos"/>
          <w:sz w:val="20"/>
          <w:szCs w:val="20"/>
        </w:rPr>
        <w:t>reach 94,000 visits</w:t>
      </w:r>
      <w:r w:rsidR="00924284" w:rsidRPr="00E97255">
        <w:rPr>
          <w:rFonts w:ascii="Aptos" w:hAnsi="Aptos"/>
          <w:sz w:val="20"/>
          <w:szCs w:val="20"/>
        </w:rPr>
        <w:t xml:space="preserve"> </w:t>
      </w:r>
      <w:r>
        <w:rPr>
          <w:rFonts w:ascii="Aptos" w:hAnsi="Aptos"/>
          <w:sz w:val="20"/>
          <w:szCs w:val="20"/>
        </w:rPr>
        <w:t>for</w:t>
      </w:r>
      <w:r w:rsidR="00D64B01">
        <w:rPr>
          <w:rFonts w:ascii="Aptos" w:hAnsi="Aptos"/>
          <w:sz w:val="20"/>
          <w:szCs w:val="20"/>
        </w:rPr>
        <w:t xml:space="preserve"> </w:t>
      </w:r>
      <w:r w:rsidR="00924284" w:rsidRPr="00E97255">
        <w:rPr>
          <w:rFonts w:ascii="Aptos" w:hAnsi="Aptos"/>
          <w:sz w:val="20"/>
          <w:szCs w:val="20"/>
        </w:rPr>
        <w:t>FY2025 – a 1</w:t>
      </w:r>
      <w:r w:rsidR="00D64B01">
        <w:rPr>
          <w:rFonts w:ascii="Aptos" w:hAnsi="Aptos"/>
          <w:sz w:val="20"/>
          <w:szCs w:val="20"/>
        </w:rPr>
        <w:t>5</w:t>
      </w:r>
      <w:r w:rsidR="00924284" w:rsidRPr="00E97255">
        <w:rPr>
          <w:rFonts w:ascii="Aptos" w:hAnsi="Aptos"/>
          <w:sz w:val="20"/>
          <w:szCs w:val="20"/>
        </w:rPr>
        <w:t>% increase</w:t>
      </w:r>
      <w:r w:rsidR="00D64B01">
        <w:rPr>
          <w:rFonts w:ascii="Aptos" w:hAnsi="Aptos"/>
          <w:sz w:val="20"/>
          <w:szCs w:val="20"/>
        </w:rPr>
        <w:t xml:space="preserve"> since FY2022</w:t>
      </w:r>
      <w:r w:rsidR="00924284" w:rsidRPr="00E97255">
        <w:rPr>
          <w:rFonts w:ascii="Aptos" w:hAnsi="Aptos"/>
          <w:sz w:val="20"/>
          <w:szCs w:val="20"/>
        </w:rPr>
        <w:t xml:space="preserve">. This increase in </w:t>
      </w:r>
      <w:r w:rsidR="00847644">
        <w:rPr>
          <w:rFonts w:ascii="Aptos" w:hAnsi="Aptos"/>
          <w:sz w:val="20"/>
          <w:szCs w:val="20"/>
        </w:rPr>
        <w:t xml:space="preserve">University Campus </w:t>
      </w:r>
      <w:r w:rsidR="00924284" w:rsidRPr="00E97255">
        <w:rPr>
          <w:rFonts w:ascii="Aptos" w:hAnsi="Aptos"/>
          <w:sz w:val="20"/>
          <w:szCs w:val="20"/>
        </w:rPr>
        <w:t>ED visits will translate into a</w:t>
      </w:r>
      <w:r w:rsidR="00454ECF">
        <w:rPr>
          <w:rFonts w:ascii="Aptos" w:hAnsi="Aptos"/>
          <w:sz w:val="20"/>
          <w:szCs w:val="20"/>
        </w:rPr>
        <w:t>n additional 3,000</w:t>
      </w:r>
      <w:r w:rsidR="00924284" w:rsidRPr="00E97255">
        <w:rPr>
          <w:rFonts w:ascii="Aptos" w:hAnsi="Aptos"/>
          <w:sz w:val="20"/>
          <w:szCs w:val="20"/>
        </w:rPr>
        <w:t xml:space="preserve"> inpatient admissions, further illustrating the patient panel</w:t>
      </w:r>
      <w:r w:rsidR="00D64B01">
        <w:rPr>
          <w:rFonts w:ascii="Aptos" w:hAnsi="Aptos"/>
          <w:sz w:val="20"/>
          <w:szCs w:val="20"/>
        </w:rPr>
        <w:t>’s need</w:t>
      </w:r>
      <w:r w:rsidR="00924284" w:rsidRPr="00E97255">
        <w:rPr>
          <w:rFonts w:ascii="Aptos" w:hAnsi="Aptos"/>
          <w:sz w:val="20"/>
          <w:szCs w:val="20"/>
        </w:rPr>
        <w:t xml:space="preserve"> for expanded access to </w:t>
      </w:r>
      <w:r>
        <w:rPr>
          <w:rFonts w:ascii="Aptos" w:hAnsi="Aptos"/>
          <w:sz w:val="20"/>
          <w:szCs w:val="20"/>
        </w:rPr>
        <w:t>M/S</w:t>
      </w:r>
      <w:r w:rsidR="00924284" w:rsidRPr="00E97255">
        <w:rPr>
          <w:rFonts w:ascii="Aptos" w:hAnsi="Aptos"/>
          <w:sz w:val="20"/>
          <w:szCs w:val="20"/>
        </w:rPr>
        <w:t xml:space="preserve"> beds. </w:t>
      </w:r>
    </w:p>
    <w:p w14:paraId="2F064798" w14:textId="77777777" w:rsidR="00CE640A" w:rsidRPr="00E97255" w:rsidRDefault="00CE640A" w:rsidP="00924284">
      <w:pPr>
        <w:jc w:val="both"/>
        <w:rPr>
          <w:rFonts w:ascii="Aptos" w:hAnsi="Aptos"/>
          <w:sz w:val="20"/>
          <w:szCs w:val="20"/>
        </w:rPr>
      </w:pPr>
    </w:p>
    <w:p w14:paraId="55274829" w14:textId="77777777" w:rsidR="00547C2D" w:rsidRDefault="00547C2D" w:rsidP="00924284">
      <w:pPr>
        <w:rPr>
          <w:rFonts w:ascii="Aptos" w:hAnsi="Aptos"/>
          <w:b/>
          <w:bCs/>
          <w:sz w:val="20"/>
          <w:szCs w:val="20"/>
        </w:rPr>
      </w:pPr>
    </w:p>
    <w:p w14:paraId="59664D93" w14:textId="77777777" w:rsidR="00547C2D" w:rsidRDefault="00547C2D" w:rsidP="00924284">
      <w:pPr>
        <w:rPr>
          <w:rFonts w:ascii="Aptos" w:hAnsi="Aptos"/>
          <w:b/>
          <w:bCs/>
          <w:sz w:val="20"/>
          <w:szCs w:val="20"/>
        </w:rPr>
      </w:pPr>
    </w:p>
    <w:p w14:paraId="539A7CEC" w14:textId="77777777" w:rsidR="00547C2D" w:rsidRDefault="00547C2D" w:rsidP="00924284">
      <w:pPr>
        <w:rPr>
          <w:rFonts w:ascii="Aptos" w:hAnsi="Aptos"/>
          <w:b/>
          <w:bCs/>
          <w:sz w:val="20"/>
          <w:szCs w:val="20"/>
        </w:rPr>
      </w:pPr>
    </w:p>
    <w:p w14:paraId="5A014C10" w14:textId="77777777" w:rsidR="00547C2D" w:rsidRDefault="00547C2D" w:rsidP="00924284">
      <w:pPr>
        <w:rPr>
          <w:rFonts w:ascii="Aptos" w:hAnsi="Aptos"/>
          <w:b/>
          <w:bCs/>
          <w:sz w:val="20"/>
          <w:szCs w:val="20"/>
        </w:rPr>
      </w:pPr>
    </w:p>
    <w:p w14:paraId="7CC9DBF7" w14:textId="68B745E5" w:rsidR="00924284" w:rsidRPr="00E97255" w:rsidRDefault="00924284" w:rsidP="00924284">
      <w:pPr>
        <w:rPr>
          <w:rFonts w:ascii="Aptos" w:hAnsi="Aptos"/>
          <w:b/>
          <w:bCs/>
          <w:sz w:val="20"/>
          <w:szCs w:val="20"/>
        </w:rPr>
      </w:pPr>
      <w:r w:rsidRPr="00E97255">
        <w:rPr>
          <w:rFonts w:ascii="Aptos" w:hAnsi="Aptos"/>
          <w:b/>
          <w:bCs/>
          <w:sz w:val="20"/>
          <w:szCs w:val="20"/>
        </w:rPr>
        <w:lastRenderedPageBreak/>
        <w:t xml:space="preserve">Table </w:t>
      </w:r>
      <w:r w:rsidR="000632AA">
        <w:rPr>
          <w:rFonts w:ascii="Aptos" w:hAnsi="Aptos"/>
          <w:b/>
          <w:bCs/>
          <w:sz w:val="20"/>
          <w:szCs w:val="20"/>
        </w:rPr>
        <w:t>1</w:t>
      </w:r>
      <w:r w:rsidRPr="00E97255">
        <w:rPr>
          <w:rFonts w:ascii="Aptos" w:hAnsi="Aptos"/>
          <w:b/>
          <w:bCs/>
          <w:sz w:val="20"/>
          <w:szCs w:val="20"/>
        </w:rPr>
        <w:t xml:space="preserve">: </w:t>
      </w:r>
      <w:r w:rsidR="00A06920">
        <w:rPr>
          <w:rFonts w:ascii="Aptos" w:hAnsi="Aptos"/>
          <w:b/>
          <w:bCs/>
          <w:sz w:val="20"/>
          <w:szCs w:val="20"/>
        </w:rPr>
        <w:t>Medical Center</w:t>
      </w:r>
      <w:r w:rsidRPr="00E97255">
        <w:rPr>
          <w:rFonts w:ascii="Aptos" w:hAnsi="Aptos"/>
          <w:b/>
          <w:bCs/>
          <w:sz w:val="20"/>
          <w:szCs w:val="20"/>
        </w:rPr>
        <w:t xml:space="preserve"> ED Visits by Campus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260"/>
        <w:gridCol w:w="1440"/>
        <w:gridCol w:w="1440"/>
        <w:gridCol w:w="1620"/>
        <w:gridCol w:w="1620"/>
      </w:tblGrid>
      <w:tr w:rsidR="00D64B01" w:rsidRPr="00E97255" w14:paraId="207DCF09" w14:textId="28FE2D25" w:rsidTr="00400059">
        <w:trPr>
          <w:cantSplit/>
          <w:trHeight w:val="290"/>
          <w:tblHeader/>
        </w:trPr>
        <w:tc>
          <w:tcPr>
            <w:tcW w:w="1975" w:type="dxa"/>
            <w:shd w:val="clear" w:color="auto" w:fill="2F5496" w:themeFill="accent1" w:themeFillShade="BF"/>
            <w:noWrap/>
            <w:vAlign w:val="center"/>
            <w:hideMark/>
          </w:tcPr>
          <w:p w14:paraId="67088CB6" w14:textId="77777777" w:rsidR="00D64B01" w:rsidRPr="00E97255" w:rsidRDefault="00D64B01" w:rsidP="004A67AA">
            <w:pPr>
              <w:suppressAutoHyphens w:val="0"/>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 xml:space="preserve">Campus </w:t>
            </w:r>
          </w:p>
        </w:tc>
        <w:tc>
          <w:tcPr>
            <w:tcW w:w="1260" w:type="dxa"/>
            <w:shd w:val="clear" w:color="auto" w:fill="2F5496" w:themeFill="accent1" w:themeFillShade="BF"/>
            <w:noWrap/>
            <w:vAlign w:val="center"/>
            <w:hideMark/>
          </w:tcPr>
          <w:p w14:paraId="4E0B173B" w14:textId="77777777" w:rsidR="00D64B01" w:rsidRPr="00E97255" w:rsidRDefault="00D64B01" w:rsidP="004A67AA">
            <w:pPr>
              <w:suppressAutoHyphens w:val="0"/>
              <w:jc w:val="center"/>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FY22</w:t>
            </w:r>
          </w:p>
        </w:tc>
        <w:tc>
          <w:tcPr>
            <w:tcW w:w="1440" w:type="dxa"/>
            <w:shd w:val="clear" w:color="auto" w:fill="2F5496" w:themeFill="accent1" w:themeFillShade="BF"/>
            <w:noWrap/>
            <w:vAlign w:val="center"/>
            <w:hideMark/>
          </w:tcPr>
          <w:p w14:paraId="1A87089B" w14:textId="77777777" w:rsidR="00D64B01" w:rsidRPr="00E97255" w:rsidRDefault="00D64B01" w:rsidP="004A67AA">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FY23</w:t>
            </w:r>
          </w:p>
        </w:tc>
        <w:tc>
          <w:tcPr>
            <w:tcW w:w="1440" w:type="dxa"/>
            <w:shd w:val="clear" w:color="auto" w:fill="2F5496" w:themeFill="accent1" w:themeFillShade="BF"/>
            <w:noWrap/>
            <w:vAlign w:val="center"/>
            <w:hideMark/>
          </w:tcPr>
          <w:p w14:paraId="4961D170" w14:textId="77777777" w:rsidR="00D64B01" w:rsidRPr="00E97255" w:rsidRDefault="00D64B01" w:rsidP="004A67AA">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FY24</w:t>
            </w:r>
          </w:p>
        </w:tc>
        <w:tc>
          <w:tcPr>
            <w:tcW w:w="1620" w:type="dxa"/>
            <w:shd w:val="clear" w:color="auto" w:fill="2F5496" w:themeFill="accent1" w:themeFillShade="BF"/>
            <w:vAlign w:val="center"/>
          </w:tcPr>
          <w:p w14:paraId="02EA9523" w14:textId="77777777" w:rsidR="00D64B01" w:rsidRDefault="00D64B01" w:rsidP="004A67AA">
            <w:pPr>
              <w:suppressAutoHyphens w:val="0"/>
              <w:jc w:val="center"/>
              <w:rPr>
                <w:rFonts w:ascii="Aptos Narrow" w:hAnsi="Aptos Narrow"/>
                <w:b/>
                <w:bCs/>
                <w:color w:val="FFFFFF" w:themeColor="background1"/>
                <w:sz w:val="20"/>
                <w:szCs w:val="20"/>
              </w:rPr>
            </w:pPr>
            <w:r>
              <w:rPr>
                <w:rFonts w:ascii="Aptos Narrow" w:hAnsi="Aptos Narrow"/>
                <w:b/>
                <w:bCs/>
                <w:color w:val="FFFFFF" w:themeColor="background1"/>
                <w:sz w:val="20"/>
                <w:szCs w:val="20"/>
              </w:rPr>
              <w:t xml:space="preserve">FY25 </w:t>
            </w:r>
          </w:p>
          <w:p w14:paraId="712D1844" w14:textId="0BBD942F" w:rsidR="00D64B01" w:rsidRPr="00E97255" w:rsidRDefault="00D64B01" w:rsidP="004A67AA">
            <w:pPr>
              <w:suppressAutoHyphens w:val="0"/>
              <w:jc w:val="center"/>
              <w:rPr>
                <w:rFonts w:ascii="Aptos Narrow" w:hAnsi="Aptos Narrow"/>
                <w:b/>
                <w:bCs/>
                <w:color w:val="FFFFFF" w:themeColor="background1"/>
                <w:sz w:val="20"/>
                <w:szCs w:val="20"/>
              </w:rPr>
            </w:pPr>
            <w:r>
              <w:rPr>
                <w:rFonts w:ascii="Aptos Narrow" w:hAnsi="Aptos Narrow"/>
                <w:b/>
                <w:bCs/>
                <w:color w:val="FFFFFF" w:themeColor="background1"/>
                <w:sz w:val="20"/>
                <w:szCs w:val="20"/>
              </w:rPr>
              <w:t>Annualized</w:t>
            </w:r>
          </w:p>
        </w:tc>
        <w:tc>
          <w:tcPr>
            <w:tcW w:w="1620" w:type="dxa"/>
            <w:shd w:val="clear" w:color="auto" w:fill="2F5496" w:themeFill="accent1" w:themeFillShade="BF"/>
            <w:vAlign w:val="center"/>
          </w:tcPr>
          <w:p w14:paraId="6EF36D86" w14:textId="77777777" w:rsidR="00D64B01" w:rsidRDefault="00D64B01" w:rsidP="004A67AA">
            <w:pPr>
              <w:suppressAutoHyphens w:val="0"/>
              <w:jc w:val="center"/>
              <w:rPr>
                <w:rFonts w:ascii="Aptos Narrow" w:hAnsi="Aptos Narrow"/>
                <w:b/>
                <w:bCs/>
                <w:color w:val="FFFFFF" w:themeColor="background1"/>
                <w:sz w:val="20"/>
                <w:szCs w:val="20"/>
              </w:rPr>
            </w:pPr>
            <w:r>
              <w:rPr>
                <w:rFonts w:ascii="Aptos Narrow" w:hAnsi="Aptos Narrow"/>
                <w:b/>
                <w:bCs/>
                <w:color w:val="FFFFFF" w:themeColor="background1"/>
                <w:sz w:val="20"/>
                <w:szCs w:val="20"/>
              </w:rPr>
              <w:t xml:space="preserve">Increase </w:t>
            </w:r>
          </w:p>
          <w:p w14:paraId="3A16A089" w14:textId="12840D00" w:rsidR="00D64B01" w:rsidRDefault="00D64B01" w:rsidP="004A67AA">
            <w:pPr>
              <w:suppressAutoHyphens w:val="0"/>
              <w:jc w:val="center"/>
              <w:rPr>
                <w:rFonts w:ascii="Aptos Narrow" w:hAnsi="Aptos Narrow"/>
                <w:b/>
                <w:bCs/>
                <w:color w:val="FFFFFF" w:themeColor="background1"/>
                <w:sz w:val="20"/>
                <w:szCs w:val="20"/>
              </w:rPr>
            </w:pPr>
            <w:r>
              <w:rPr>
                <w:rFonts w:ascii="Aptos Narrow" w:hAnsi="Aptos Narrow"/>
                <w:b/>
                <w:bCs/>
                <w:color w:val="FFFFFF" w:themeColor="background1"/>
                <w:sz w:val="20"/>
                <w:szCs w:val="20"/>
              </w:rPr>
              <w:t>FY22-FY25</w:t>
            </w:r>
          </w:p>
        </w:tc>
      </w:tr>
      <w:tr w:rsidR="00D64B01" w:rsidRPr="00E97255" w14:paraId="45C8BF8F" w14:textId="1119752C" w:rsidTr="00400059">
        <w:trPr>
          <w:cantSplit/>
          <w:trHeight w:val="290"/>
        </w:trPr>
        <w:tc>
          <w:tcPr>
            <w:tcW w:w="1975" w:type="dxa"/>
            <w:noWrap/>
            <w:vAlign w:val="center"/>
            <w:hideMark/>
          </w:tcPr>
          <w:p w14:paraId="157C44C5" w14:textId="77777777" w:rsidR="00D64B01" w:rsidRPr="00CA68FE" w:rsidRDefault="00D64B01" w:rsidP="00022ED0">
            <w:pPr>
              <w:suppressAutoHyphens w:val="0"/>
              <w:rPr>
                <w:rFonts w:ascii="Aptos Narrow" w:hAnsi="Aptos Narrow" w:cs="Calibri"/>
                <w:color w:val="000000"/>
                <w:sz w:val="20"/>
                <w:szCs w:val="20"/>
              </w:rPr>
            </w:pPr>
            <w:r w:rsidRPr="00CA68FE">
              <w:rPr>
                <w:rFonts w:ascii="Aptos Narrow" w:hAnsi="Aptos Narrow" w:cs="Calibri"/>
                <w:color w:val="000000"/>
                <w:sz w:val="20"/>
                <w:szCs w:val="20"/>
              </w:rPr>
              <w:t>University</w:t>
            </w:r>
          </w:p>
        </w:tc>
        <w:tc>
          <w:tcPr>
            <w:tcW w:w="1260" w:type="dxa"/>
            <w:noWrap/>
            <w:vAlign w:val="center"/>
            <w:hideMark/>
          </w:tcPr>
          <w:p w14:paraId="5B66EB64"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82,262</w:t>
            </w:r>
          </w:p>
        </w:tc>
        <w:tc>
          <w:tcPr>
            <w:tcW w:w="1440" w:type="dxa"/>
            <w:noWrap/>
            <w:vAlign w:val="center"/>
            <w:hideMark/>
          </w:tcPr>
          <w:p w14:paraId="16615384"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84,183</w:t>
            </w:r>
          </w:p>
        </w:tc>
        <w:tc>
          <w:tcPr>
            <w:tcW w:w="1440" w:type="dxa"/>
            <w:noWrap/>
            <w:vAlign w:val="center"/>
            <w:hideMark/>
          </w:tcPr>
          <w:p w14:paraId="2ECDAFEB"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89,673</w:t>
            </w:r>
          </w:p>
        </w:tc>
        <w:tc>
          <w:tcPr>
            <w:tcW w:w="1620" w:type="dxa"/>
            <w:shd w:val="clear" w:color="auto" w:fill="FFFFFF" w:themeFill="background1"/>
            <w:vAlign w:val="center"/>
          </w:tcPr>
          <w:p w14:paraId="713F608C" w14:textId="25ACBD5E"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sz w:val="20"/>
                <w:szCs w:val="20"/>
              </w:rPr>
              <w:t>94,240</w:t>
            </w:r>
          </w:p>
        </w:tc>
        <w:tc>
          <w:tcPr>
            <w:tcW w:w="1620" w:type="dxa"/>
            <w:shd w:val="clear" w:color="auto" w:fill="FFFFFF" w:themeFill="background1"/>
            <w:vAlign w:val="center"/>
          </w:tcPr>
          <w:p w14:paraId="18B0E4D1" w14:textId="101B26FB" w:rsidR="00D64B01" w:rsidRPr="00CA68FE" w:rsidRDefault="00D64B01" w:rsidP="00022ED0">
            <w:pPr>
              <w:suppressAutoHyphens w:val="0"/>
              <w:jc w:val="center"/>
              <w:rPr>
                <w:rFonts w:ascii="Aptos Narrow" w:hAnsi="Aptos Narrow" w:cs="Calibri"/>
                <w:sz w:val="20"/>
                <w:szCs w:val="20"/>
              </w:rPr>
            </w:pPr>
            <w:r w:rsidRPr="00CA68FE">
              <w:rPr>
                <w:rFonts w:ascii="Aptos Narrow" w:hAnsi="Aptos Narrow" w:cs="Calibri"/>
                <w:sz w:val="20"/>
                <w:szCs w:val="20"/>
              </w:rPr>
              <w:t>15%</w:t>
            </w:r>
          </w:p>
        </w:tc>
      </w:tr>
      <w:tr w:rsidR="00D64B01" w:rsidRPr="00E97255" w14:paraId="3DEDD065" w14:textId="2E813BCE" w:rsidTr="00400059">
        <w:trPr>
          <w:cantSplit/>
          <w:trHeight w:val="290"/>
        </w:trPr>
        <w:tc>
          <w:tcPr>
            <w:tcW w:w="1975" w:type="dxa"/>
            <w:noWrap/>
            <w:vAlign w:val="center"/>
            <w:hideMark/>
          </w:tcPr>
          <w:p w14:paraId="110423DB" w14:textId="77777777" w:rsidR="00D64B01" w:rsidRPr="00CA68FE" w:rsidRDefault="00D64B01" w:rsidP="00022ED0">
            <w:pPr>
              <w:suppressAutoHyphens w:val="0"/>
              <w:rPr>
                <w:rFonts w:ascii="Aptos Narrow" w:hAnsi="Aptos Narrow" w:cs="Calibri"/>
                <w:color w:val="000000"/>
                <w:sz w:val="20"/>
                <w:szCs w:val="20"/>
              </w:rPr>
            </w:pPr>
            <w:r w:rsidRPr="00CA68FE">
              <w:rPr>
                <w:rFonts w:ascii="Aptos Narrow" w:hAnsi="Aptos Narrow" w:cs="Calibri"/>
                <w:color w:val="000000"/>
                <w:sz w:val="20"/>
                <w:szCs w:val="20"/>
              </w:rPr>
              <w:t>Total</w:t>
            </w:r>
          </w:p>
        </w:tc>
        <w:tc>
          <w:tcPr>
            <w:tcW w:w="1260" w:type="dxa"/>
            <w:noWrap/>
            <w:vAlign w:val="center"/>
            <w:hideMark/>
          </w:tcPr>
          <w:p w14:paraId="66E03943"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123,820</w:t>
            </w:r>
          </w:p>
        </w:tc>
        <w:tc>
          <w:tcPr>
            <w:tcW w:w="1440" w:type="dxa"/>
            <w:noWrap/>
            <w:vAlign w:val="center"/>
            <w:hideMark/>
          </w:tcPr>
          <w:p w14:paraId="43019BBA"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129,574</w:t>
            </w:r>
          </w:p>
        </w:tc>
        <w:tc>
          <w:tcPr>
            <w:tcW w:w="1440" w:type="dxa"/>
            <w:noWrap/>
            <w:vAlign w:val="center"/>
            <w:hideMark/>
          </w:tcPr>
          <w:p w14:paraId="2FC006FD" w14:textId="77777777"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color w:val="000000"/>
                <w:sz w:val="20"/>
                <w:szCs w:val="20"/>
              </w:rPr>
              <w:t>137,107</w:t>
            </w:r>
          </w:p>
        </w:tc>
        <w:tc>
          <w:tcPr>
            <w:tcW w:w="1620" w:type="dxa"/>
            <w:shd w:val="clear" w:color="auto" w:fill="FFFFFF" w:themeFill="background1"/>
            <w:vAlign w:val="center"/>
          </w:tcPr>
          <w:p w14:paraId="3653DE66" w14:textId="4C6B1C4E" w:rsidR="00D64B01" w:rsidRPr="00CA68FE" w:rsidRDefault="00D64B01" w:rsidP="00022ED0">
            <w:pPr>
              <w:suppressAutoHyphens w:val="0"/>
              <w:jc w:val="center"/>
              <w:rPr>
                <w:rFonts w:ascii="Aptos Narrow" w:hAnsi="Aptos Narrow" w:cs="Calibri"/>
                <w:color w:val="000000"/>
                <w:sz w:val="20"/>
                <w:szCs w:val="20"/>
              </w:rPr>
            </w:pPr>
            <w:r w:rsidRPr="00CA68FE">
              <w:rPr>
                <w:rFonts w:ascii="Aptos Narrow" w:hAnsi="Aptos Narrow" w:cs="Calibri"/>
                <w:sz w:val="20"/>
                <w:szCs w:val="20"/>
              </w:rPr>
              <w:t>140,631</w:t>
            </w:r>
          </w:p>
        </w:tc>
        <w:tc>
          <w:tcPr>
            <w:tcW w:w="1620" w:type="dxa"/>
            <w:shd w:val="clear" w:color="auto" w:fill="FFFFFF" w:themeFill="background1"/>
            <w:vAlign w:val="center"/>
          </w:tcPr>
          <w:p w14:paraId="2EE01FF5" w14:textId="5B55F5E4" w:rsidR="00D64B01" w:rsidRPr="00CA68FE" w:rsidRDefault="00B92469" w:rsidP="00022ED0">
            <w:pPr>
              <w:suppressAutoHyphens w:val="0"/>
              <w:jc w:val="center"/>
              <w:rPr>
                <w:rFonts w:ascii="Aptos Narrow" w:hAnsi="Aptos Narrow" w:cs="Calibri"/>
                <w:sz w:val="20"/>
                <w:szCs w:val="20"/>
              </w:rPr>
            </w:pPr>
            <w:r w:rsidRPr="00CA68FE">
              <w:rPr>
                <w:rFonts w:ascii="Aptos Narrow" w:hAnsi="Aptos Narrow" w:cs="Calibri"/>
                <w:sz w:val="20"/>
                <w:szCs w:val="20"/>
              </w:rPr>
              <w:t>14%</w:t>
            </w:r>
          </w:p>
        </w:tc>
      </w:tr>
    </w:tbl>
    <w:p w14:paraId="0AF31BC3" w14:textId="77777777" w:rsidR="00547C2D" w:rsidRDefault="00547C2D" w:rsidP="00F0324C">
      <w:pPr>
        <w:spacing w:after="120"/>
        <w:jc w:val="both"/>
        <w:rPr>
          <w:rFonts w:ascii="Aptos" w:hAnsi="Aptos"/>
          <w:sz w:val="20"/>
          <w:szCs w:val="20"/>
        </w:rPr>
      </w:pPr>
    </w:p>
    <w:p w14:paraId="1BF57E15" w14:textId="68B88C04" w:rsidR="007854C1" w:rsidRDefault="00454ECF" w:rsidP="00F0324C">
      <w:pPr>
        <w:spacing w:after="120"/>
        <w:jc w:val="both"/>
        <w:rPr>
          <w:rFonts w:ascii="Aptos" w:hAnsi="Aptos"/>
          <w:sz w:val="20"/>
          <w:szCs w:val="20"/>
        </w:rPr>
      </w:pPr>
      <w:r>
        <w:rPr>
          <w:rFonts w:ascii="Aptos" w:hAnsi="Aptos"/>
          <w:sz w:val="20"/>
          <w:szCs w:val="20"/>
        </w:rPr>
        <w:t>In recent years</w:t>
      </w:r>
      <w:r w:rsidR="007854C1">
        <w:rPr>
          <w:rFonts w:ascii="Aptos" w:hAnsi="Aptos"/>
          <w:sz w:val="20"/>
          <w:szCs w:val="20"/>
        </w:rPr>
        <w:t xml:space="preserve">, </w:t>
      </w:r>
      <w:r w:rsidR="00A06920">
        <w:rPr>
          <w:rFonts w:ascii="Aptos" w:hAnsi="Aptos"/>
          <w:sz w:val="20"/>
          <w:szCs w:val="20"/>
        </w:rPr>
        <w:t>the Medical Center</w:t>
      </w:r>
      <w:r w:rsidR="007854C1">
        <w:rPr>
          <w:rFonts w:ascii="Aptos" w:hAnsi="Aptos"/>
          <w:sz w:val="20"/>
          <w:szCs w:val="20"/>
        </w:rPr>
        <w:t xml:space="preserve"> has been challenged by a greater need for inpatient </w:t>
      </w:r>
      <w:r w:rsidR="00D64B01">
        <w:rPr>
          <w:rFonts w:ascii="Aptos" w:hAnsi="Aptos"/>
          <w:sz w:val="20"/>
          <w:szCs w:val="20"/>
        </w:rPr>
        <w:t>capacity</w:t>
      </w:r>
      <w:r w:rsidR="007854C1">
        <w:rPr>
          <w:rFonts w:ascii="Aptos" w:hAnsi="Aptos"/>
          <w:sz w:val="20"/>
          <w:szCs w:val="20"/>
        </w:rPr>
        <w:t xml:space="preserve">, leading to a crisis in </w:t>
      </w:r>
      <w:r w:rsidR="00D64B01">
        <w:rPr>
          <w:rFonts w:ascii="Aptos" w:hAnsi="Aptos"/>
          <w:sz w:val="20"/>
          <w:szCs w:val="20"/>
        </w:rPr>
        <w:t>University Campus</w:t>
      </w:r>
      <w:r w:rsidR="00847644">
        <w:rPr>
          <w:rFonts w:ascii="Aptos" w:hAnsi="Aptos"/>
          <w:sz w:val="20"/>
          <w:szCs w:val="20"/>
        </w:rPr>
        <w:t xml:space="preserve"> </w:t>
      </w:r>
      <w:r w:rsidR="007854C1">
        <w:rPr>
          <w:rFonts w:ascii="Aptos" w:hAnsi="Aptos"/>
          <w:sz w:val="20"/>
          <w:szCs w:val="20"/>
        </w:rPr>
        <w:t xml:space="preserve">ED. As a result, </w:t>
      </w:r>
      <w:r w:rsidR="00847644">
        <w:rPr>
          <w:rFonts w:ascii="Aptos" w:hAnsi="Aptos"/>
          <w:sz w:val="20"/>
          <w:szCs w:val="20"/>
        </w:rPr>
        <w:t>the Medical Center</w:t>
      </w:r>
      <w:r w:rsidR="007854C1">
        <w:rPr>
          <w:rFonts w:ascii="Aptos" w:hAnsi="Aptos"/>
          <w:sz w:val="20"/>
          <w:szCs w:val="20"/>
        </w:rPr>
        <w:t xml:space="preserve"> has been forced to keep </w:t>
      </w:r>
      <w:r w:rsidR="007854C1" w:rsidRPr="007854C1">
        <w:rPr>
          <w:rFonts w:ascii="Aptos" w:hAnsi="Aptos"/>
          <w:sz w:val="20"/>
          <w:szCs w:val="20"/>
        </w:rPr>
        <w:t>admitted patients in the ED</w:t>
      </w:r>
      <w:r w:rsidR="009E6972">
        <w:rPr>
          <w:rFonts w:ascii="Aptos" w:hAnsi="Aptos"/>
          <w:sz w:val="20"/>
          <w:szCs w:val="20"/>
        </w:rPr>
        <w:t xml:space="preserve"> until </w:t>
      </w:r>
      <w:r w:rsidR="007854C1" w:rsidRPr="007854C1">
        <w:rPr>
          <w:rFonts w:ascii="Aptos" w:hAnsi="Aptos"/>
          <w:sz w:val="20"/>
          <w:szCs w:val="20"/>
        </w:rPr>
        <w:t>an inpatient bed</w:t>
      </w:r>
      <w:r w:rsidR="009E6972">
        <w:rPr>
          <w:rFonts w:ascii="Aptos" w:hAnsi="Aptos"/>
          <w:sz w:val="20"/>
          <w:szCs w:val="20"/>
        </w:rPr>
        <w:t xml:space="preserve"> becomes available. In Massachusetts, a patient </w:t>
      </w:r>
      <w:proofErr w:type="gramStart"/>
      <w:r w:rsidR="00A06920">
        <w:rPr>
          <w:rFonts w:ascii="Aptos" w:hAnsi="Aptos"/>
          <w:sz w:val="20"/>
          <w:szCs w:val="20"/>
        </w:rPr>
        <w:t>is considered to be</w:t>
      </w:r>
      <w:proofErr w:type="gramEnd"/>
      <w:r w:rsidR="00A06920">
        <w:rPr>
          <w:rFonts w:ascii="Aptos" w:hAnsi="Aptos"/>
          <w:sz w:val="20"/>
          <w:szCs w:val="20"/>
        </w:rPr>
        <w:t xml:space="preserve"> </w:t>
      </w:r>
      <w:r w:rsidR="00CE640A">
        <w:rPr>
          <w:rFonts w:ascii="Aptos" w:hAnsi="Aptos"/>
          <w:sz w:val="20"/>
          <w:szCs w:val="20"/>
        </w:rPr>
        <w:t>board</w:t>
      </w:r>
      <w:r w:rsidR="00A06920">
        <w:rPr>
          <w:rFonts w:ascii="Aptos" w:hAnsi="Aptos"/>
          <w:sz w:val="20"/>
          <w:szCs w:val="20"/>
        </w:rPr>
        <w:t>ing</w:t>
      </w:r>
      <w:r w:rsidR="009E6972">
        <w:rPr>
          <w:rFonts w:ascii="Aptos" w:hAnsi="Aptos"/>
          <w:sz w:val="20"/>
          <w:szCs w:val="20"/>
        </w:rPr>
        <w:t xml:space="preserve"> after waiting </w:t>
      </w:r>
      <w:r w:rsidR="00847644">
        <w:rPr>
          <w:rFonts w:ascii="Aptos" w:hAnsi="Aptos"/>
          <w:sz w:val="20"/>
          <w:szCs w:val="20"/>
        </w:rPr>
        <w:t xml:space="preserve">in the ED </w:t>
      </w:r>
      <w:r w:rsidR="009E6972">
        <w:rPr>
          <w:rFonts w:ascii="Aptos" w:hAnsi="Aptos"/>
          <w:sz w:val="20"/>
          <w:szCs w:val="20"/>
        </w:rPr>
        <w:t xml:space="preserve">for more than two hours </w:t>
      </w:r>
      <w:r w:rsidR="00D64B01">
        <w:rPr>
          <w:rFonts w:ascii="Aptos" w:hAnsi="Aptos"/>
          <w:sz w:val="20"/>
          <w:szCs w:val="20"/>
        </w:rPr>
        <w:t xml:space="preserve">from </w:t>
      </w:r>
      <w:r w:rsidR="00CE640A">
        <w:rPr>
          <w:rFonts w:ascii="Aptos" w:hAnsi="Aptos"/>
          <w:sz w:val="20"/>
          <w:szCs w:val="20"/>
        </w:rPr>
        <w:t>the decision</w:t>
      </w:r>
      <w:r w:rsidR="00D64B01">
        <w:rPr>
          <w:rFonts w:ascii="Aptos" w:hAnsi="Aptos"/>
          <w:sz w:val="20"/>
          <w:szCs w:val="20"/>
        </w:rPr>
        <w:t xml:space="preserve"> to admit</w:t>
      </w:r>
      <w:r w:rsidR="00CE640A">
        <w:rPr>
          <w:rFonts w:ascii="Aptos" w:hAnsi="Aptos"/>
          <w:sz w:val="20"/>
          <w:szCs w:val="20"/>
        </w:rPr>
        <w:t xml:space="preserve"> to</w:t>
      </w:r>
      <w:r w:rsidR="009E6972">
        <w:rPr>
          <w:rFonts w:ascii="Aptos" w:hAnsi="Aptos"/>
          <w:sz w:val="20"/>
          <w:szCs w:val="20"/>
        </w:rPr>
        <w:t xml:space="preserve"> an inpatient </w:t>
      </w:r>
      <w:r w:rsidR="009E6972" w:rsidRPr="0097726C">
        <w:rPr>
          <w:rFonts w:ascii="Aptos" w:hAnsi="Aptos"/>
          <w:sz w:val="20"/>
          <w:szCs w:val="20"/>
        </w:rPr>
        <w:t>bed</w:t>
      </w:r>
      <w:r w:rsidR="007854C1" w:rsidRPr="0097726C">
        <w:rPr>
          <w:rFonts w:ascii="Aptos" w:hAnsi="Aptos"/>
          <w:sz w:val="20"/>
          <w:szCs w:val="20"/>
        </w:rPr>
        <w:t xml:space="preserve">. </w:t>
      </w:r>
      <w:r w:rsidR="0036557A" w:rsidRPr="0097726C">
        <w:rPr>
          <w:rFonts w:ascii="Aptos" w:hAnsi="Aptos"/>
          <w:sz w:val="20"/>
          <w:szCs w:val="20"/>
        </w:rPr>
        <w:t xml:space="preserve">Boarding in the ED </w:t>
      </w:r>
      <w:r w:rsidR="0097726C" w:rsidRPr="0097726C">
        <w:rPr>
          <w:rFonts w:ascii="Aptos" w:hAnsi="Aptos"/>
          <w:sz w:val="20"/>
          <w:szCs w:val="20"/>
        </w:rPr>
        <w:t xml:space="preserve">for more than four hours is considered a </w:t>
      </w:r>
      <w:r w:rsidR="007854C1" w:rsidRPr="0097726C">
        <w:rPr>
          <w:rFonts w:ascii="Aptos" w:hAnsi="Aptos"/>
          <w:sz w:val="20"/>
          <w:szCs w:val="20"/>
        </w:rPr>
        <w:t xml:space="preserve">patient safety risk </w:t>
      </w:r>
      <w:r w:rsidR="009E6972" w:rsidRPr="0097726C">
        <w:rPr>
          <w:rFonts w:ascii="Aptos" w:hAnsi="Aptos"/>
          <w:sz w:val="20"/>
          <w:szCs w:val="20"/>
        </w:rPr>
        <w:t>because of the direct link to i</w:t>
      </w:r>
      <w:r w:rsidR="007854C1" w:rsidRPr="0097726C">
        <w:rPr>
          <w:rFonts w:ascii="Aptos" w:hAnsi="Aptos"/>
          <w:sz w:val="20"/>
          <w:szCs w:val="20"/>
        </w:rPr>
        <w:t>ncreased medical errors, compromises to patient privacy, and increased mortality.</w:t>
      </w:r>
      <w:r w:rsidR="0097726C">
        <w:rPr>
          <w:rStyle w:val="FootnoteReference"/>
          <w:rFonts w:ascii="Aptos" w:hAnsi="Aptos"/>
          <w:sz w:val="20"/>
          <w:szCs w:val="20"/>
        </w:rPr>
        <w:footnoteReference w:id="6"/>
      </w:r>
      <w:r w:rsidR="0097726C" w:rsidRPr="0097726C">
        <w:rPr>
          <w:rFonts w:ascii="Aptos" w:hAnsi="Aptos"/>
          <w:sz w:val="20"/>
          <w:szCs w:val="20"/>
        </w:rPr>
        <w:t xml:space="preserve"> Moreover, </w:t>
      </w:r>
      <w:r w:rsidR="0097726C" w:rsidRPr="00A05CAF">
        <w:rPr>
          <w:rFonts w:ascii="Aptos" w:hAnsi="Aptos"/>
          <w:sz w:val="20"/>
          <w:szCs w:val="20"/>
        </w:rPr>
        <w:t>b</w:t>
      </w:r>
      <w:r w:rsidR="007854C1" w:rsidRPr="00A05CAF">
        <w:rPr>
          <w:rFonts w:ascii="Aptos" w:hAnsi="Aptos"/>
          <w:sz w:val="20"/>
          <w:szCs w:val="20"/>
        </w:rPr>
        <w:t xml:space="preserve">oarding is a key indicator </w:t>
      </w:r>
      <w:r w:rsidR="0097726C" w:rsidRPr="00A05CAF">
        <w:rPr>
          <w:rFonts w:ascii="Aptos" w:hAnsi="Aptos"/>
          <w:sz w:val="20"/>
          <w:szCs w:val="20"/>
        </w:rPr>
        <w:t xml:space="preserve">that hospital resources are </w:t>
      </w:r>
      <w:r w:rsidR="00CE640A" w:rsidRPr="00A05CAF">
        <w:rPr>
          <w:rFonts w:ascii="Aptos" w:hAnsi="Aptos"/>
          <w:sz w:val="20"/>
          <w:szCs w:val="20"/>
        </w:rPr>
        <w:t>overwhelmed,</w:t>
      </w:r>
      <w:r w:rsidR="007854C1" w:rsidRPr="00A05CAF">
        <w:rPr>
          <w:rFonts w:ascii="Aptos" w:hAnsi="Aptos"/>
          <w:sz w:val="20"/>
          <w:szCs w:val="20"/>
        </w:rPr>
        <w:t xml:space="preserve"> </w:t>
      </w:r>
      <w:r w:rsidR="0097726C" w:rsidRPr="00A05CAF">
        <w:rPr>
          <w:rFonts w:ascii="Aptos" w:hAnsi="Aptos"/>
          <w:sz w:val="20"/>
          <w:szCs w:val="20"/>
        </w:rPr>
        <w:t xml:space="preserve">and </w:t>
      </w:r>
      <w:r w:rsidR="00B005A5">
        <w:rPr>
          <w:rFonts w:ascii="Aptos" w:hAnsi="Aptos"/>
          <w:sz w:val="20"/>
          <w:szCs w:val="20"/>
        </w:rPr>
        <w:t xml:space="preserve">inpatient </w:t>
      </w:r>
      <w:r w:rsidR="0097726C" w:rsidRPr="00A05CAF">
        <w:rPr>
          <w:rFonts w:ascii="Aptos" w:hAnsi="Aptos"/>
          <w:sz w:val="20"/>
          <w:szCs w:val="20"/>
        </w:rPr>
        <w:t>occupancy is near or at capacity.</w:t>
      </w:r>
      <w:r w:rsidR="009E6972" w:rsidRPr="00A05CAF">
        <w:rPr>
          <w:rFonts w:ascii="Aptos" w:hAnsi="Aptos"/>
          <w:sz w:val="20"/>
          <w:szCs w:val="20"/>
        </w:rPr>
        <w:t xml:space="preserve"> Despite these findings, </w:t>
      </w:r>
      <w:r w:rsidR="0097726C" w:rsidRPr="00A05CAF">
        <w:rPr>
          <w:rFonts w:ascii="Aptos" w:hAnsi="Aptos"/>
          <w:sz w:val="20"/>
          <w:szCs w:val="20"/>
        </w:rPr>
        <w:t xml:space="preserve">boarding continues to affect </w:t>
      </w:r>
      <w:r w:rsidR="00A05CAF" w:rsidRPr="00A05CAF">
        <w:rPr>
          <w:rFonts w:ascii="Aptos" w:hAnsi="Aptos"/>
          <w:sz w:val="20"/>
          <w:szCs w:val="20"/>
        </w:rPr>
        <w:t>the majority</w:t>
      </w:r>
      <w:r w:rsidR="00A05CAF">
        <w:rPr>
          <w:rFonts w:ascii="Aptos" w:hAnsi="Aptos"/>
          <w:sz w:val="20"/>
          <w:szCs w:val="20"/>
        </w:rPr>
        <w:t xml:space="preserve"> of large EDs, </w:t>
      </w:r>
      <w:r w:rsidR="00847644">
        <w:rPr>
          <w:rFonts w:ascii="Aptos" w:hAnsi="Aptos"/>
          <w:sz w:val="20"/>
          <w:szCs w:val="20"/>
        </w:rPr>
        <w:t>including</w:t>
      </w:r>
      <w:r w:rsidR="00CE640A">
        <w:rPr>
          <w:rFonts w:ascii="Aptos" w:hAnsi="Aptos"/>
          <w:sz w:val="20"/>
          <w:szCs w:val="20"/>
        </w:rPr>
        <w:t xml:space="preserve"> the</w:t>
      </w:r>
      <w:r w:rsidR="00A05CAF">
        <w:rPr>
          <w:rFonts w:ascii="Aptos" w:hAnsi="Aptos"/>
          <w:sz w:val="20"/>
          <w:szCs w:val="20"/>
        </w:rPr>
        <w:t xml:space="preserve"> </w:t>
      </w:r>
      <w:r w:rsidR="00B005A5">
        <w:rPr>
          <w:rFonts w:ascii="Aptos" w:hAnsi="Aptos"/>
          <w:sz w:val="20"/>
          <w:szCs w:val="20"/>
        </w:rPr>
        <w:t>University Campus</w:t>
      </w:r>
      <w:r w:rsidR="00847644">
        <w:rPr>
          <w:rFonts w:ascii="Aptos" w:hAnsi="Aptos"/>
          <w:sz w:val="20"/>
          <w:szCs w:val="20"/>
        </w:rPr>
        <w:t xml:space="preserve"> </w:t>
      </w:r>
      <w:r w:rsidR="00A05CAF">
        <w:rPr>
          <w:rFonts w:ascii="Aptos" w:hAnsi="Aptos"/>
          <w:sz w:val="20"/>
          <w:szCs w:val="20"/>
        </w:rPr>
        <w:t xml:space="preserve">ED. In FY2024, </w:t>
      </w:r>
      <w:r w:rsidR="002B2565">
        <w:rPr>
          <w:rFonts w:ascii="Aptos" w:hAnsi="Aptos"/>
          <w:sz w:val="20"/>
          <w:szCs w:val="20"/>
        </w:rPr>
        <w:t xml:space="preserve">monthly average ED boarding </w:t>
      </w:r>
      <w:r w:rsidR="002B2565" w:rsidRPr="00A06920">
        <w:rPr>
          <w:rFonts w:ascii="Aptos" w:hAnsi="Aptos"/>
          <w:sz w:val="20"/>
          <w:szCs w:val="20"/>
        </w:rPr>
        <w:t xml:space="preserve">was </w:t>
      </w:r>
      <w:r w:rsidR="00A06920" w:rsidRPr="00A06920">
        <w:rPr>
          <w:rFonts w:ascii="Aptos" w:hAnsi="Aptos"/>
          <w:sz w:val="20"/>
          <w:szCs w:val="20"/>
        </w:rPr>
        <w:t>18,745</w:t>
      </w:r>
      <w:r w:rsidR="00847644">
        <w:rPr>
          <w:rFonts w:ascii="Aptos" w:hAnsi="Aptos"/>
          <w:sz w:val="20"/>
          <w:szCs w:val="20"/>
        </w:rPr>
        <w:t xml:space="preserve"> hours</w:t>
      </w:r>
      <w:r w:rsidR="002B2565" w:rsidRPr="00A06920">
        <w:rPr>
          <w:rFonts w:ascii="Aptos" w:hAnsi="Aptos"/>
          <w:sz w:val="20"/>
          <w:szCs w:val="20"/>
        </w:rPr>
        <w:t xml:space="preserve"> at</w:t>
      </w:r>
      <w:r w:rsidR="00A06920" w:rsidRPr="00A06920">
        <w:rPr>
          <w:rFonts w:ascii="Aptos" w:hAnsi="Aptos"/>
          <w:sz w:val="20"/>
          <w:szCs w:val="20"/>
        </w:rPr>
        <w:t xml:space="preserve"> the University</w:t>
      </w:r>
      <w:r w:rsidR="002B2565" w:rsidRPr="00A06920">
        <w:rPr>
          <w:rFonts w:ascii="Aptos" w:hAnsi="Aptos"/>
          <w:sz w:val="20"/>
          <w:szCs w:val="20"/>
        </w:rPr>
        <w:t xml:space="preserve"> </w:t>
      </w:r>
      <w:r w:rsidR="00847644">
        <w:rPr>
          <w:rFonts w:ascii="Aptos" w:hAnsi="Aptos"/>
          <w:sz w:val="20"/>
          <w:szCs w:val="20"/>
        </w:rPr>
        <w:t xml:space="preserve">Campus </w:t>
      </w:r>
      <w:r w:rsidR="00A06920" w:rsidRPr="00A06920">
        <w:rPr>
          <w:rFonts w:ascii="Aptos" w:hAnsi="Aptos"/>
          <w:sz w:val="20"/>
          <w:szCs w:val="20"/>
        </w:rPr>
        <w:t xml:space="preserve">ED </w:t>
      </w:r>
      <w:r w:rsidR="002B2565" w:rsidRPr="00A06920">
        <w:rPr>
          <w:rFonts w:ascii="Aptos" w:hAnsi="Aptos"/>
          <w:sz w:val="20"/>
          <w:szCs w:val="20"/>
        </w:rPr>
        <w:t>compared</w:t>
      </w:r>
      <w:r w:rsidR="002B2565">
        <w:rPr>
          <w:rFonts w:ascii="Aptos" w:hAnsi="Aptos"/>
          <w:sz w:val="20"/>
          <w:szCs w:val="20"/>
        </w:rPr>
        <w:t xml:space="preserve"> to </w:t>
      </w:r>
      <w:r w:rsidR="00753EC9">
        <w:rPr>
          <w:rFonts w:ascii="Aptos" w:hAnsi="Aptos"/>
          <w:sz w:val="20"/>
          <w:szCs w:val="20"/>
        </w:rPr>
        <w:t xml:space="preserve">UMass Memorial’s affiliated community hospitals with </w:t>
      </w:r>
      <w:r w:rsidR="002B2565">
        <w:rPr>
          <w:rFonts w:ascii="Aptos" w:hAnsi="Aptos"/>
          <w:sz w:val="20"/>
          <w:szCs w:val="20"/>
        </w:rPr>
        <w:t>4,217 hours at HealthAlliance</w:t>
      </w:r>
      <w:r w:rsidR="00753EC9">
        <w:rPr>
          <w:rFonts w:ascii="Aptos" w:hAnsi="Aptos"/>
          <w:sz w:val="20"/>
          <w:szCs w:val="20"/>
        </w:rPr>
        <w:t xml:space="preserve"> - </w:t>
      </w:r>
      <w:r w:rsidR="002B2565">
        <w:rPr>
          <w:rFonts w:ascii="Aptos" w:hAnsi="Aptos"/>
          <w:sz w:val="20"/>
          <w:szCs w:val="20"/>
        </w:rPr>
        <w:t xml:space="preserve">Clinton Hospital, and just 872 hours at Marlborough Hospital. </w:t>
      </w:r>
    </w:p>
    <w:p w14:paraId="3835F8FF" w14:textId="5B654E54" w:rsidR="008E567D" w:rsidRPr="00A06920" w:rsidRDefault="00CE640A" w:rsidP="00A06920">
      <w:pPr>
        <w:spacing w:after="120"/>
        <w:jc w:val="both"/>
        <w:rPr>
          <w:rFonts w:ascii="Aptos" w:hAnsi="Aptos"/>
          <w:sz w:val="20"/>
          <w:szCs w:val="20"/>
        </w:rPr>
      </w:pPr>
      <w:r>
        <w:rPr>
          <w:rFonts w:ascii="Aptos" w:hAnsi="Aptos"/>
          <w:sz w:val="20"/>
          <w:szCs w:val="20"/>
        </w:rPr>
        <w:t>Due to</w:t>
      </w:r>
      <w:r w:rsidR="00FF04B4" w:rsidRPr="00E97255">
        <w:rPr>
          <w:rFonts w:ascii="Aptos" w:hAnsi="Aptos"/>
          <w:sz w:val="20"/>
          <w:szCs w:val="20"/>
        </w:rPr>
        <w:t xml:space="preserve"> </w:t>
      </w:r>
      <w:r w:rsidR="00290BF1">
        <w:rPr>
          <w:rFonts w:ascii="Aptos" w:hAnsi="Aptos"/>
          <w:sz w:val="20"/>
          <w:szCs w:val="20"/>
        </w:rPr>
        <w:t>the additional capacity available with th</w:t>
      </w:r>
      <w:r w:rsidR="00F070E9" w:rsidRPr="00E97255">
        <w:rPr>
          <w:rFonts w:ascii="Aptos" w:hAnsi="Aptos"/>
          <w:sz w:val="20"/>
          <w:szCs w:val="20"/>
        </w:rPr>
        <w:t xml:space="preserve">e opening of </w:t>
      </w:r>
      <w:r w:rsidR="000632AA">
        <w:rPr>
          <w:rFonts w:ascii="Aptos" w:hAnsi="Aptos"/>
          <w:sz w:val="20"/>
          <w:szCs w:val="20"/>
        </w:rPr>
        <w:t xml:space="preserve">the </w:t>
      </w:r>
      <w:r w:rsidR="00F070E9" w:rsidRPr="00E97255">
        <w:rPr>
          <w:rFonts w:ascii="Aptos" w:hAnsi="Aptos"/>
          <w:sz w:val="20"/>
          <w:szCs w:val="20"/>
        </w:rPr>
        <w:t xml:space="preserve">North Pavilion </w:t>
      </w:r>
      <w:r w:rsidR="000632AA">
        <w:rPr>
          <w:rFonts w:ascii="Aptos" w:hAnsi="Aptos"/>
          <w:sz w:val="20"/>
          <w:szCs w:val="20"/>
        </w:rPr>
        <w:t>c</w:t>
      </w:r>
      <w:r w:rsidR="00F070E9" w:rsidRPr="00E97255">
        <w:rPr>
          <w:rFonts w:ascii="Aptos" w:hAnsi="Aptos"/>
          <w:sz w:val="20"/>
          <w:szCs w:val="20"/>
        </w:rPr>
        <w:t>ampus</w:t>
      </w:r>
      <w:r w:rsidR="00FF04B4" w:rsidRPr="00E97255">
        <w:rPr>
          <w:rFonts w:ascii="Aptos" w:hAnsi="Aptos"/>
          <w:sz w:val="20"/>
          <w:szCs w:val="20"/>
        </w:rPr>
        <w:t xml:space="preserve">, </w:t>
      </w:r>
      <w:r w:rsidR="00A06920">
        <w:rPr>
          <w:rFonts w:ascii="Aptos" w:hAnsi="Aptos"/>
          <w:sz w:val="20"/>
          <w:szCs w:val="20"/>
        </w:rPr>
        <w:t>the Medical Center</w:t>
      </w:r>
      <w:r w:rsidR="00B1686A" w:rsidRPr="00E97255">
        <w:rPr>
          <w:rFonts w:ascii="Aptos" w:hAnsi="Aptos"/>
          <w:sz w:val="20"/>
          <w:szCs w:val="20"/>
        </w:rPr>
        <w:t xml:space="preserve"> has been able to move patients more quickly from the ED to an inpatient bed. </w:t>
      </w:r>
      <w:r w:rsidR="00CD7F5B" w:rsidRPr="00E97255">
        <w:rPr>
          <w:rFonts w:ascii="Aptos" w:hAnsi="Aptos"/>
          <w:sz w:val="20"/>
          <w:szCs w:val="20"/>
        </w:rPr>
        <w:t xml:space="preserve">In the second quarter of FY2025, the University </w:t>
      </w:r>
      <w:r w:rsidR="006B4449">
        <w:rPr>
          <w:rFonts w:ascii="Aptos" w:hAnsi="Aptos"/>
          <w:sz w:val="20"/>
          <w:szCs w:val="20"/>
        </w:rPr>
        <w:t>C</w:t>
      </w:r>
      <w:r w:rsidR="00CD7F5B" w:rsidRPr="00E97255">
        <w:rPr>
          <w:rFonts w:ascii="Aptos" w:hAnsi="Aptos"/>
          <w:sz w:val="20"/>
          <w:szCs w:val="20"/>
        </w:rPr>
        <w:t>ampus experienced a nearly 20% decrease in boarding hours</w:t>
      </w:r>
      <w:r w:rsidR="00F070E9" w:rsidRPr="00E97255">
        <w:rPr>
          <w:rFonts w:ascii="Aptos" w:hAnsi="Aptos"/>
          <w:sz w:val="20"/>
          <w:szCs w:val="20"/>
        </w:rPr>
        <w:t xml:space="preserve"> and a reduction of </w:t>
      </w:r>
      <w:r w:rsidR="003A0514" w:rsidRPr="00E97255">
        <w:rPr>
          <w:rFonts w:ascii="Aptos" w:hAnsi="Aptos"/>
          <w:sz w:val="20"/>
          <w:szCs w:val="20"/>
        </w:rPr>
        <w:t xml:space="preserve">almost 37% per patient through June 2025 </w:t>
      </w:r>
      <w:r w:rsidR="00E81A66" w:rsidRPr="00E97255">
        <w:rPr>
          <w:rFonts w:ascii="Aptos" w:hAnsi="Aptos"/>
          <w:sz w:val="20"/>
          <w:szCs w:val="20"/>
        </w:rPr>
        <w:t>as evidence</w:t>
      </w:r>
      <w:r>
        <w:rPr>
          <w:rFonts w:ascii="Aptos" w:hAnsi="Aptos"/>
          <w:sz w:val="20"/>
          <w:szCs w:val="20"/>
        </w:rPr>
        <w:t>d</w:t>
      </w:r>
      <w:r w:rsidR="00E81A66" w:rsidRPr="00E97255">
        <w:rPr>
          <w:rFonts w:ascii="Aptos" w:hAnsi="Aptos"/>
          <w:sz w:val="20"/>
          <w:szCs w:val="20"/>
        </w:rPr>
        <w:t xml:space="preserve"> in Table </w:t>
      </w:r>
      <w:r w:rsidR="000632AA">
        <w:rPr>
          <w:rFonts w:ascii="Aptos" w:hAnsi="Aptos"/>
          <w:sz w:val="20"/>
          <w:szCs w:val="20"/>
        </w:rPr>
        <w:t>2</w:t>
      </w:r>
      <w:r w:rsidR="00E81A66" w:rsidRPr="00E97255">
        <w:rPr>
          <w:rFonts w:ascii="Aptos" w:hAnsi="Aptos"/>
          <w:sz w:val="20"/>
          <w:szCs w:val="20"/>
        </w:rPr>
        <w:t xml:space="preserve"> below</w:t>
      </w:r>
      <w:r>
        <w:rPr>
          <w:rFonts w:ascii="Aptos" w:hAnsi="Aptos"/>
          <w:sz w:val="20"/>
          <w:szCs w:val="20"/>
        </w:rPr>
        <w:t>.</w:t>
      </w:r>
    </w:p>
    <w:p w14:paraId="738907D6" w14:textId="562D14B3" w:rsidR="00D95EEF" w:rsidRPr="00E97255" w:rsidRDefault="00D95EEF" w:rsidP="00D95EEF">
      <w:pPr>
        <w:rPr>
          <w:rFonts w:ascii="Aptos" w:hAnsi="Aptos"/>
          <w:b/>
          <w:bCs/>
          <w:sz w:val="20"/>
          <w:szCs w:val="20"/>
        </w:rPr>
      </w:pPr>
      <w:r w:rsidRPr="00E97255">
        <w:rPr>
          <w:rFonts w:ascii="Aptos" w:hAnsi="Aptos"/>
          <w:b/>
          <w:bCs/>
          <w:sz w:val="20"/>
          <w:szCs w:val="20"/>
        </w:rPr>
        <w:t xml:space="preserve">Table </w:t>
      </w:r>
      <w:r w:rsidR="000632AA">
        <w:rPr>
          <w:rFonts w:ascii="Aptos" w:hAnsi="Aptos"/>
          <w:b/>
          <w:bCs/>
          <w:sz w:val="20"/>
          <w:szCs w:val="20"/>
        </w:rPr>
        <w:t>2</w:t>
      </w:r>
      <w:r w:rsidRPr="00E97255">
        <w:rPr>
          <w:rFonts w:ascii="Aptos" w:hAnsi="Aptos"/>
          <w:b/>
          <w:bCs/>
          <w:sz w:val="20"/>
          <w:szCs w:val="20"/>
        </w:rPr>
        <w:t>: U</w:t>
      </w:r>
      <w:r w:rsidR="00CE640A">
        <w:rPr>
          <w:rFonts w:ascii="Aptos" w:hAnsi="Aptos"/>
          <w:b/>
          <w:bCs/>
          <w:sz w:val="20"/>
          <w:szCs w:val="20"/>
        </w:rPr>
        <w:t xml:space="preserve">niversity Campus </w:t>
      </w:r>
      <w:r w:rsidR="00FF04B4" w:rsidRPr="00E97255">
        <w:rPr>
          <w:rFonts w:ascii="Aptos" w:hAnsi="Aptos"/>
          <w:b/>
          <w:bCs/>
          <w:sz w:val="20"/>
          <w:szCs w:val="20"/>
        </w:rPr>
        <w:t xml:space="preserve">Average Hours Boarding Per Patient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00"/>
        <w:gridCol w:w="1800"/>
        <w:gridCol w:w="1710"/>
        <w:gridCol w:w="1890"/>
      </w:tblGrid>
      <w:tr w:rsidR="00F070E9" w:rsidRPr="00E97255" w14:paraId="588BDDC4" w14:textId="3B5BC811" w:rsidTr="007F02AD">
        <w:trPr>
          <w:trHeight w:val="290"/>
        </w:trPr>
        <w:tc>
          <w:tcPr>
            <w:tcW w:w="2155" w:type="dxa"/>
            <w:shd w:val="clear" w:color="auto" w:fill="2F5496" w:themeFill="accent1" w:themeFillShade="BF"/>
            <w:noWrap/>
            <w:vAlign w:val="bottom"/>
            <w:hideMark/>
          </w:tcPr>
          <w:p w14:paraId="6AFE9885" w14:textId="77777777" w:rsidR="00F070E9" w:rsidRPr="00E97255" w:rsidRDefault="00F070E9" w:rsidP="00F070E9">
            <w:pPr>
              <w:suppressAutoHyphens w:val="0"/>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 xml:space="preserve">Campus </w:t>
            </w:r>
          </w:p>
        </w:tc>
        <w:tc>
          <w:tcPr>
            <w:tcW w:w="1800" w:type="dxa"/>
            <w:shd w:val="clear" w:color="auto" w:fill="2F5496" w:themeFill="accent1" w:themeFillShade="BF"/>
            <w:noWrap/>
            <w:vAlign w:val="bottom"/>
            <w:hideMark/>
          </w:tcPr>
          <w:p w14:paraId="442E2937" w14:textId="7471D489" w:rsidR="00F070E9" w:rsidRPr="00E97255" w:rsidRDefault="00F070E9" w:rsidP="00F070E9">
            <w:pPr>
              <w:suppressAutoHyphens w:val="0"/>
              <w:jc w:val="center"/>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FY25 Q1</w:t>
            </w:r>
          </w:p>
        </w:tc>
        <w:tc>
          <w:tcPr>
            <w:tcW w:w="1800" w:type="dxa"/>
            <w:shd w:val="clear" w:color="auto" w:fill="2F5496" w:themeFill="accent1" w:themeFillShade="BF"/>
            <w:noWrap/>
            <w:vAlign w:val="bottom"/>
            <w:hideMark/>
          </w:tcPr>
          <w:p w14:paraId="39F00968" w14:textId="13A4816B" w:rsidR="00F070E9" w:rsidRPr="00E97255" w:rsidRDefault="00F070E9" w:rsidP="00F070E9">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FY25 Q2</w:t>
            </w:r>
          </w:p>
        </w:tc>
        <w:tc>
          <w:tcPr>
            <w:tcW w:w="1710" w:type="dxa"/>
            <w:shd w:val="clear" w:color="auto" w:fill="2F5496" w:themeFill="accent1" w:themeFillShade="BF"/>
            <w:noWrap/>
            <w:vAlign w:val="bottom"/>
            <w:hideMark/>
          </w:tcPr>
          <w:p w14:paraId="48A5C03C" w14:textId="44339EF2" w:rsidR="00F070E9" w:rsidRPr="00E97255" w:rsidRDefault="00F070E9" w:rsidP="00F070E9">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FY25 Q3</w:t>
            </w:r>
          </w:p>
        </w:tc>
        <w:tc>
          <w:tcPr>
            <w:tcW w:w="1890" w:type="dxa"/>
            <w:shd w:val="clear" w:color="auto" w:fill="2F5496" w:themeFill="accent1" w:themeFillShade="BF"/>
            <w:vAlign w:val="center"/>
          </w:tcPr>
          <w:p w14:paraId="4B170BD7" w14:textId="7EC32846" w:rsidR="00F070E9" w:rsidRPr="00E97255" w:rsidRDefault="00F070E9" w:rsidP="00F070E9">
            <w:pPr>
              <w:suppressAutoHyphens w:val="0"/>
              <w:jc w:val="center"/>
              <w:rPr>
                <w:rFonts w:ascii="Aptos Narrow" w:hAnsi="Aptos Narrow"/>
                <w:b/>
                <w:bCs/>
                <w:color w:val="FFFFFF" w:themeColor="background1"/>
                <w:sz w:val="20"/>
                <w:szCs w:val="20"/>
              </w:rPr>
            </w:pPr>
            <w:r w:rsidRPr="00E97255">
              <w:rPr>
                <w:rFonts w:ascii="Aptos Narrow" w:hAnsi="Aptos Narrow"/>
                <w:b/>
                <w:bCs/>
                <w:color w:val="FFFFFF"/>
                <w:sz w:val="20"/>
                <w:szCs w:val="20"/>
              </w:rPr>
              <w:t xml:space="preserve">FY25 Q1-Q3 Change </w:t>
            </w:r>
          </w:p>
        </w:tc>
      </w:tr>
      <w:tr w:rsidR="00F070E9" w:rsidRPr="00E97255" w14:paraId="3B2DA729" w14:textId="4E2E24E0" w:rsidTr="007F02AD">
        <w:trPr>
          <w:trHeight w:val="290"/>
        </w:trPr>
        <w:tc>
          <w:tcPr>
            <w:tcW w:w="2155" w:type="dxa"/>
            <w:noWrap/>
            <w:vAlign w:val="bottom"/>
            <w:hideMark/>
          </w:tcPr>
          <w:p w14:paraId="08C78A23" w14:textId="77777777" w:rsidR="00F070E9" w:rsidRPr="00CE640A" w:rsidRDefault="00F070E9" w:rsidP="00F070E9">
            <w:pPr>
              <w:suppressAutoHyphens w:val="0"/>
              <w:rPr>
                <w:rFonts w:ascii="Aptos Narrow" w:hAnsi="Aptos Narrow" w:cs="Calibri"/>
                <w:color w:val="000000"/>
                <w:sz w:val="20"/>
                <w:szCs w:val="20"/>
              </w:rPr>
            </w:pPr>
            <w:r w:rsidRPr="00CE640A">
              <w:rPr>
                <w:rFonts w:ascii="Aptos Narrow" w:hAnsi="Aptos Narrow" w:cs="Calibri"/>
                <w:color w:val="000000"/>
                <w:sz w:val="20"/>
                <w:szCs w:val="20"/>
              </w:rPr>
              <w:t>University</w:t>
            </w:r>
          </w:p>
        </w:tc>
        <w:tc>
          <w:tcPr>
            <w:tcW w:w="1800" w:type="dxa"/>
            <w:noWrap/>
            <w:vAlign w:val="bottom"/>
          </w:tcPr>
          <w:p w14:paraId="6A0B23B3" w14:textId="220CE91A"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19.7</w:t>
            </w:r>
          </w:p>
        </w:tc>
        <w:tc>
          <w:tcPr>
            <w:tcW w:w="1800" w:type="dxa"/>
            <w:noWrap/>
            <w:vAlign w:val="bottom"/>
          </w:tcPr>
          <w:p w14:paraId="486572B4" w14:textId="37AF3A9D"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16.3</w:t>
            </w:r>
          </w:p>
        </w:tc>
        <w:tc>
          <w:tcPr>
            <w:tcW w:w="1710" w:type="dxa"/>
            <w:noWrap/>
            <w:vAlign w:val="bottom"/>
          </w:tcPr>
          <w:p w14:paraId="76EE33B6" w14:textId="68CFF5BE"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12.5</w:t>
            </w:r>
          </w:p>
        </w:tc>
        <w:tc>
          <w:tcPr>
            <w:tcW w:w="1890" w:type="dxa"/>
            <w:vAlign w:val="bottom"/>
          </w:tcPr>
          <w:p w14:paraId="5B49832F" w14:textId="0ADBEF02" w:rsidR="00F070E9" w:rsidRPr="00A3583D" w:rsidRDefault="00F070E9" w:rsidP="00F070E9">
            <w:pPr>
              <w:suppressAutoHyphens w:val="0"/>
              <w:jc w:val="center"/>
              <w:rPr>
                <w:rFonts w:ascii="Aptos Narrow" w:hAnsi="Aptos Narrow" w:cs="Calibri"/>
                <w:color w:val="ED0000"/>
                <w:sz w:val="20"/>
                <w:szCs w:val="20"/>
              </w:rPr>
            </w:pPr>
            <w:r w:rsidRPr="00A3583D">
              <w:rPr>
                <w:rFonts w:ascii="Aptos Narrow" w:hAnsi="Aptos Narrow"/>
                <w:color w:val="ED0000"/>
                <w:sz w:val="20"/>
                <w:szCs w:val="20"/>
              </w:rPr>
              <w:t>-36.5%</w:t>
            </w:r>
          </w:p>
        </w:tc>
      </w:tr>
    </w:tbl>
    <w:p w14:paraId="6CAECED0" w14:textId="77777777" w:rsidR="000D7729" w:rsidRPr="00E97255" w:rsidRDefault="000D7729" w:rsidP="002D57F8">
      <w:pPr>
        <w:rPr>
          <w:rFonts w:ascii="Aptos" w:hAnsi="Aptos"/>
          <w:sz w:val="20"/>
          <w:szCs w:val="20"/>
        </w:rPr>
      </w:pPr>
    </w:p>
    <w:p w14:paraId="6BF8353A" w14:textId="4CA68D10" w:rsidR="003A0514" w:rsidRPr="00E97255" w:rsidRDefault="003A0514" w:rsidP="000D7729">
      <w:pPr>
        <w:rPr>
          <w:rFonts w:ascii="Aptos" w:hAnsi="Aptos"/>
          <w:sz w:val="20"/>
          <w:szCs w:val="20"/>
        </w:rPr>
      </w:pPr>
      <w:r w:rsidRPr="00E97255">
        <w:rPr>
          <w:rFonts w:ascii="Aptos" w:hAnsi="Aptos"/>
          <w:sz w:val="20"/>
          <w:szCs w:val="20"/>
        </w:rPr>
        <w:t>Similarly,</w:t>
      </w:r>
      <w:r w:rsidR="00847644">
        <w:rPr>
          <w:rFonts w:ascii="Aptos" w:hAnsi="Aptos"/>
          <w:sz w:val="20"/>
          <w:szCs w:val="20"/>
        </w:rPr>
        <w:t xml:space="preserve"> the</w:t>
      </w:r>
      <w:r w:rsidRPr="00E97255">
        <w:rPr>
          <w:rFonts w:ascii="Aptos" w:hAnsi="Aptos"/>
          <w:sz w:val="20"/>
          <w:szCs w:val="20"/>
        </w:rPr>
        <w:t xml:space="preserve"> total hours </w:t>
      </w:r>
      <w:r w:rsidR="00CE640A">
        <w:rPr>
          <w:rFonts w:ascii="Aptos" w:hAnsi="Aptos"/>
          <w:sz w:val="20"/>
          <w:szCs w:val="20"/>
        </w:rPr>
        <w:t xml:space="preserve">that </w:t>
      </w:r>
      <w:r w:rsidRPr="00E97255">
        <w:rPr>
          <w:rFonts w:ascii="Aptos" w:hAnsi="Aptos"/>
          <w:sz w:val="20"/>
          <w:szCs w:val="20"/>
        </w:rPr>
        <w:t xml:space="preserve">medical patients spent boarding in the </w:t>
      </w:r>
      <w:r w:rsidR="00CE640A">
        <w:rPr>
          <w:rFonts w:ascii="Aptos" w:hAnsi="Aptos"/>
          <w:sz w:val="20"/>
          <w:szCs w:val="20"/>
        </w:rPr>
        <w:t>University Campus ED has d</w:t>
      </w:r>
      <w:r w:rsidR="00847644">
        <w:rPr>
          <w:rFonts w:ascii="Aptos" w:hAnsi="Aptos"/>
          <w:sz w:val="20"/>
          <w:szCs w:val="20"/>
        </w:rPr>
        <w:t>ecreased</w:t>
      </w:r>
      <w:r w:rsidR="00CE640A">
        <w:rPr>
          <w:rFonts w:ascii="Aptos" w:hAnsi="Aptos"/>
          <w:sz w:val="20"/>
          <w:szCs w:val="20"/>
        </w:rPr>
        <w:t xml:space="preserve"> by 40</w:t>
      </w:r>
      <w:r w:rsidRPr="00E97255">
        <w:rPr>
          <w:rFonts w:ascii="Aptos" w:hAnsi="Aptos"/>
          <w:sz w:val="20"/>
          <w:szCs w:val="20"/>
        </w:rPr>
        <w:t xml:space="preserve">% </w:t>
      </w:r>
      <w:r w:rsidR="00CE640A">
        <w:rPr>
          <w:rFonts w:ascii="Aptos" w:hAnsi="Aptos"/>
          <w:sz w:val="20"/>
          <w:szCs w:val="20"/>
        </w:rPr>
        <w:t>since the</w:t>
      </w:r>
      <w:r w:rsidRPr="00E97255">
        <w:rPr>
          <w:rFonts w:ascii="Aptos" w:hAnsi="Aptos"/>
          <w:sz w:val="20"/>
          <w:szCs w:val="20"/>
        </w:rPr>
        <w:t xml:space="preserve"> first quarter of FY2025 as illustrated in the table below. </w:t>
      </w:r>
    </w:p>
    <w:p w14:paraId="3935E548" w14:textId="77777777" w:rsidR="003A0514" w:rsidRPr="00E97255" w:rsidRDefault="003A0514" w:rsidP="000D7729">
      <w:pPr>
        <w:rPr>
          <w:rFonts w:ascii="Aptos" w:hAnsi="Aptos"/>
          <w:b/>
          <w:bCs/>
          <w:sz w:val="20"/>
          <w:szCs w:val="20"/>
        </w:rPr>
      </w:pPr>
    </w:p>
    <w:p w14:paraId="6A1CD63A" w14:textId="07A2E2AC" w:rsidR="000D7729" w:rsidRPr="00E97255" w:rsidRDefault="000D7729" w:rsidP="000D7729">
      <w:pPr>
        <w:rPr>
          <w:rFonts w:ascii="Aptos" w:hAnsi="Aptos"/>
          <w:b/>
          <w:bCs/>
          <w:sz w:val="20"/>
          <w:szCs w:val="20"/>
        </w:rPr>
      </w:pPr>
      <w:r w:rsidRPr="00E97255">
        <w:rPr>
          <w:rFonts w:ascii="Aptos" w:hAnsi="Aptos"/>
          <w:b/>
          <w:bCs/>
          <w:sz w:val="20"/>
          <w:szCs w:val="20"/>
        </w:rPr>
        <w:t xml:space="preserve">Table </w:t>
      </w:r>
      <w:r w:rsidR="000632AA">
        <w:rPr>
          <w:rFonts w:ascii="Aptos" w:hAnsi="Aptos"/>
          <w:b/>
          <w:bCs/>
          <w:sz w:val="20"/>
          <w:szCs w:val="20"/>
        </w:rPr>
        <w:t>3</w:t>
      </w:r>
      <w:r w:rsidRPr="00E97255">
        <w:rPr>
          <w:rFonts w:ascii="Aptos" w:hAnsi="Aptos"/>
          <w:b/>
          <w:bCs/>
          <w:sz w:val="20"/>
          <w:szCs w:val="20"/>
        </w:rPr>
        <w:t>: U</w:t>
      </w:r>
      <w:r w:rsidR="00CE640A">
        <w:rPr>
          <w:rFonts w:ascii="Aptos" w:hAnsi="Aptos"/>
          <w:b/>
          <w:bCs/>
          <w:sz w:val="20"/>
          <w:szCs w:val="20"/>
        </w:rPr>
        <w:t xml:space="preserve">niversity Campus </w:t>
      </w:r>
      <w:r w:rsidRPr="00E97255">
        <w:rPr>
          <w:rFonts w:ascii="Aptos" w:hAnsi="Aptos"/>
          <w:b/>
          <w:bCs/>
          <w:sz w:val="20"/>
          <w:szCs w:val="20"/>
        </w:rPr>
        <w:t xml:space="preserve">Total Hours of Medical Boarding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00"/>
        <w:gridCol w:w="1800"/>
        <w:gridCol w:w="1710"/>
        <w:gridCol w:w="1890"/>
      </w:tblGrid>
      <w:tr w:rsidR="00F070E9" w:rsidRPr="00E97255" w14:paraId="02A23023" w14:textId="25B4F144" w:rsidTr="007F02AD">
        <w:trPr>
          <w:trHeight w:val="290"/>
        </w:trPr>
        <w:tc>
          <w:tcPr>
            <w:tcW w:w="2155" w:type="dxa"/>
            <w:shd w:val="clear" w:color="auto" w:fill="2F5496" w:themeFill="accent1" w:themeFillShade="BF"/>
            <w:noWrap/>
            <w:vAlign w:val="bottom"/>
            <w:hideMark/>
          </w:tcPr>
          <w:p w14:paraId="6F535AE4" w14:textId="77777777" w:rsidR="00F070E9" w:rsidRPr="00E97255" w:rsidRDefault="00F070E9" w:rsidP="00F070E9">
            <w:pPr>
              <w:suppressAutoHyphens w:val="0"/>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 xml:space="preserve">Campus </w:t>
            </w:r>
          </w:p>
        </w:tc>
        <w:tc>
          <w:tcPr>
            <w:tcW w:w="1800" w:type="dxa"/>
            <w:shd w:val="clear" w:color="auto" w:fill="2F5496" w:themeFill="accent1" w:themeFillShade="BF"/>
            <w:noWrap/>
            <w:vAlign w:val="bottom"/>
            <w:hideMark/>
          </w:tcPr>
          <w:p w14:paraId="6BD2C547" w14:textId="77777777" w:rsidR="00F070E9" w:rsidRPr="00E97255" w:rsidRDefault="00F070E9" w:rsidP="00F070E9">
            <w:pPr>
              <w:suppressAutoHyphens w:val="0"/>
              <w:jc w:val="center"/>
              <w:rPr>
                <w:rFonts w:ascii="Aptos Narrow" w:hAnsi="Aptos Narrow" w:cs="Calibri"/>
                <w:b/>
                <w:bCs/>
                <w:color w:val="FFFFFF" w:themeColor="background1"/>
                <w:sz w:val="20"/>
                <w:szCs w:val="20"/>
              </w:rPr>
            </w:pPr>
            <w:r w:rsidRPr="00E97255">
              <w:rPr>
                <w:rFonts w:ascii="Aptos Narrow" w:hAnsi="Aptos Narrow" w:cs="Calibri"/>
                <w:b/>
                <w:bCs/>
                <w:color w:val="FFFFFF" w:themeColor="background1"/>
                <w:sz w:val="20"/>
                <w:szCs w:val="20"/>
              </w:rPr>
              <w:t>FY25 Q1</w:t>
            </w:r>
          </w:p>
        </w:tc>
        <w:tc>
          <w:tcPr>
            <w:tcW w:w="1800" w:type="dxa"/>
            <w:shd w:val="clear" w:color="auto" w:fill="2F5496" w:themeFill="accent1" w:themeFillShade="BF"/>
            <w:noWrap/>
            <w:vAlign w:val="bottom"/>
            <w:hideMark/>
          </w:tcPr>
          <w:p w14:paraId="0FE716BA" w14:textId="77777777" w:rsidR="00F070E9" w:rsidRPr="00E97255" w:rsidRDefault="00F070E9" w:rsidP="00F070E9">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FY25 Q2</w:t>
            </w:r>
          </w:p>
        </w:tc>
        <w:tc>
          <w:tcPr>
            <w:tcW w:w="1710" w:type="dxa"/>
            <w:shd w:val="clear" w:color="auto" w:fill="2F5496" w:themeFill="accent1" w:themeFillShade="BF"/>
            <w:noWrap/>
            <w:vAlign w:val="bottom"/>
            <w:hideMark/>
          </w:tcPr>
          <w:p w14:paraId="2F5FA0A2" w14:textId="77777777" w:rsidR="00F070E9" w:rsidRPr="00E97255" w:rsidRDefault="00F070E9" w:rsidP="00F070E9">
            <w:pPr>
              <w:suppressAutoHyphens w:val="0"/>
              <w:jc w:val="center"/>
              <w:rPr>
                <w:rFonts w:ascii="Aptos Narrow" w:hAnsi="Aptos Narrow"/>
                <w:color w:val="FFFFFF" w:themeColor="background1"/>
                <w:sz w:val="20"/>
                <w:szCs w:val="20"/>
              </w:rPr>
            </w:pPr>
            <w:r w:rsidRPr="00E97255">
              <w:rPr>
                <w:rFonts w:ascii="Aptos Narrow" w:hAnsi="Aptos Narrow"/>
                <w:b/>
                <w:bCs/>
                <w:color w:val="FFFFFF" w:themeColor="background1"/>
                <w:sz w:val="20"/>
                <w:szCs w:val="20"/>
              </w:rPr>
              <w:t>FY25 Q3</w:t>
            </w:r>
          </w:p>
        </w:tc>
        <w:tc>
          <w:tcPr>
            <w:tcW w:w="1890" w:type="dxa"/>
            <w:shd w:val="clear" w:color="auto" w:fill="2F5496" w:themeFill="accent1" w:themeFillShade="BF"/>
            <w:vAlign w:val="center"/>
          </w:tcPr>
          <w:p w14:paraId="2998912D" w14:textId="43BC5A07" w:rsidR="00F070E9" w:rsidRPr="00E97255" w:rsidRDefault="00F070E9" w:rsidP="00F070E9">
            <w:pPr>
              <w:suppressAutoHyphens w:val="0"/>
              <w:jc w:val="center"/>
              <w:rPr>
                <w:rFonts w:ascii="Aptos Narrow" w:hAnsi="Aptos Narrow"/>
                <w:b/>
                <w:bCs/>
                <w:color w:val="FFFFFF" w:themeColor="background1"/>
                <w:sz w:val="20"/>
                <w:szCs w:val="20"/>
              </w:rPr>
            </w:pPr>
            <w:r w:rsidRPr="00E97255">
              <w:rPr>
                <w:rFonts w:ascii="Aptos Narrow" w:hAnsi="Aptos Narrow"/>
                <w:b/>
                <w:bCs/>
                <w:color w:val="FFFFFF"/>
                <w:sz w:val="20"/>
                <w:szCs w:val="20"/>
              </w:rPr>
              <w:t>FY25 Q1-Q3</w:t>
            </w:r>
            <w:r w:rsidR="007F02AD">
              <w:rPr>
                <w:rFonts w:ascii="Aptos Narrow" w:hAnsi="Aptos Narrow"/>
                <w:b/>
                <w:bCs/>
                <w:color w:val="FFFFFF"/>
                <w:sz w:val="20"/>
                <w:szCs w:val="20"/>
              </w:rPr>
              <w:t xml:space="preserve"> </w:t>
            </w:r>
            <w:r w:rsidRPr="00E97255">
              <w:rPr>
                <w:rFonts w:ascii="Aptos Narrow" w:hAnsi="Aptos Narrow"/>
                <w:b/>
                <w:bCs/>
                <w:color w:val="FFFFFF"/>
                <w:sz w:val="20"/>
                <w:szCs w:val="20"/>
              </w:rPr>
              <w:t xml:space="preserve">Change </w:t>
            </w:r>
          </w:p>
        </w:tc>
      </w:tr>
      <w:tr w:rsidR="00F070E9" w:rsidRPr="00E97255" w14:paraId="1C8B0F0E" w14:textId="5D062C29" w:rsidTr="007F02AD">
        <w:trPr>
          <w:trHeight w:val="290"/>
        </w:trPr>
        <w:tc>
          <w:tcPr>
            <w:tcW w:w="2155" w:type="dxa"/>
            <w:noWrap/>
            <w:vAlign w:val="bottom"/>
            <w:hideMark/>
          </w:tcPr>
          <w:p w14:paraId="231D548E" w14:textId="77777777" w:rsidR="00F070E9" w:rsidRPr="00CE640A" w:rsidRDefault="00F070E9" w:rsidP="00F070E9">
            <w:pPr>
              <w:suppressAutoHyphens w:val="0"/>
              <w:rPr>
                <w:rFonts w:ascii="Aptos Narrow" w:hAnsi="Aptos Narrow" w:cs="Calibri"/>
                <w:color w:val="000000"/>
                <w:sz w:val="20"/>
                <w:szCs w:val="20"/>
              </w:rPr>
            </w:pPr>
            <w:r w:rsidRPr="00CE640A">
              <w:rPr>
                <w:rFonts w:ascii="Aptos Narrow" w:hAnsi="Aptos Narrow" w:cs="Calibri"/>
                <w:color w:val="000000"/>
                <w:sz w:val="20"/>
                <w:szCs w:val="20"/>
              </w:rPr>
              <w:t>University</w:t>
            </w:r>
          </w:p>
        </w:tc>
        <w:tc>
          <w:tcPr>
            <w:tcW w:w="1800" w:type="dxa"/>
            <w:noWrap/>
            <w:vAlign w:val="bottom"/>
          </w:tcPr>
          <w:p w14:paraId="37419B03" w14:textId="02C1316D"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55,869</w:t>
            </w:r>
          </w:p>
        </w:tc>
        <w:tc>
          <w:tcPr>
            <w:tcW w:w="1800" w:type="dxa"/>
            <w:noWrap/>
            <w:vAlign w:val="bottom"/>
          </w:tcPr>
          <w:p w14:paraId="6AE4A13F" w14:textId="13317167"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42,925</w:t>
            </w:r>
          </w:p>
        </w:tc>
        <w:tc>
          <w:tcPr>
            <w:tcW w:w="1710" w:type="dxa"/>
            <w:noWrap/>
            <w:vAlign w:val="bottom"/>
          </w:tcPr>
          <w:p w14:paraId="600AE1F3" w14:textId="342E0E8F" w:rsidR="00F070E9" w:rsidRPr="00CE640A" w:rsidRDefault="00F070E9" w:rsidP="00F070E9">
            <w:pPr>
              <w:suppressAutoHyphens w:val="0"/>
              <w:jc w:val="center"/>
              <w:rPr>
                <w:rFonts w:ascii="Aptos Narrow" w:hAnsi="Aptos Narrow" w:cs="Calibri"/>
                <w:color w:val="000000"/>
                <w:sz w:val="20"/>
                <w:szCs w:val="20"/>
              </w:rPr>
            </w:pPr>
            <w:r w:rsidRPr="00CE640A">
              <w:rPr>
                <w:rFonts w:ascii="Aptos Narrow" w:hAnsi="Aptos Narrow" w:cs="Calibri"/>
                <w:color w:val="000000"/>
                <w:sz w:val="20"/>
                <w:szCs w:val="20"/>
              </w:rPr>
              <w:t>33,340</w:t>
            </w:r>
          </w:p>
        </w:tc>
        <w:tc>
          <w:tcPr>
            <w:tcW w:w="1890" w:type="dxa"/>
            <w:vAlign w:val="bottom"/>
          </w:tcPr>
          <w:p w14:paraId="50D8FF4E" w14:textId="54F8010A" w:rsidR="00F070E9" w:rsidRPr="00A3583D" w:rsidRDefault="00F070E9" w:rsidP="00F070E9">
            <w:pPr>
              <w:suppressAutoHyphens w:val="0"/>
              <w:jc w:val="center"/>
              <w:rPr>
                <w:rFonts w:ascii="Aptos Narrow" w:hAnsi="Aptos Narrow" w:cs="Calibri"/>
                <w:color w:val="ED0000"/>
                <w:sz w:val="20"/>
                <w:szCs w:val="20"/>
              </w:rPr>
            </w:pPr>
            <w:r w:rsidRPr="00A3583D">
              <w:rPr>
                <w:rFonts w:ascii="Aptos Narrow" w:hAnsi="Aptos Narrow"/>
                <w:color w:val="ED0000"/>
                <w:sz w:val="20"/>
                <w:szCs w:val="20"/>
              </w:rPr>
              <w:t>-40.3%</w:t>
            </w:r>
          </w:p>
        </w:tc>
      </w:tr>
    </w:tbl>
    <w:p w14:paraId="535E778A" w14:textId="77777777" w:rsidR="000D7729" w:rsidRDefault="000D7729" w:rsidP="002D57F8">
      <w:pPr>
        <w:rPr>
          <w:rFonts w:ascii="Aptos" w:hAnsi="Aptos"/>
          <w:sz w:val="20"/>
          <w:szCs w:val="20"/>
        </w:rPr>
      </w:pPr>
    </w:p>
    <w:p w14:paraId="4886CCB9" w14:textId="30FD0BEA" w:rsidR="005710CE" w:rsidRPr="00E97255" w:rsidRDefault="002B2565" w:rsidP="002B2565">
      <w:pPr>
        <w:spacing w:after="120"/>
        <w:jc w:val="both"/>
        <w:rPr>
          <w:rFonts w:ascii="Aptos" w:hAnsi="Aptos"/>
          <w:sz w:val="20"/>
          <w:szCs w:val="20"/>
        </w:rPr>
      </w:pPr>
      <w:r>
        <w:rPr>
          <w:rFonts w:ascii="Aptos" w:hAnsi="Aptos"/>
          <w:sz w:val="20"/>
          <w:szCs w:val="20"/>
        </w:rPr>
        <w:t xml:space="preserve">Despite these decreases, ED boarding at </w:t>
      </w:r>
      <w:r w:rsidR="00CE640A">
        <w:rPr>
          <w:rFonts w:ascii="Aptos" w:hAnsi="Aptos"/>
          <w:sz w:val="20"/>
          <w:szCs w:val="20"/>
        </w:rPr>
        <w:t>the University Campu</w:t>
      </w:r>
      <w:r>
        <w:rPr>
          <w:rFonts w:ascii="Aptos" w:hAnsi="Aptos"/>
          <w:sz w:val="20"/>
          <w:szCs w:val="20"/>
        </w:rPr>
        <w:t>s</w:t>
      </w:r>
      <w:r w:rsidR="00CE640A">
        <w:rPr>
          <w:rFonts w:ascii="Aptos" w:hAnsi="Aptos"/>
          <w:sz w:val="20"/>
          <w:szCs w:val="20"/>
        </w:rPr>
        <w:t xml:space="preserve"> is</w:t>
      </w:r>
      <w:r>
        <w:rPr>
          <w:rFonts w:ascii="Aptos" w:hAnsi="Aptos"/>
          <w:sz w:val="20"/>
          <w:szCs w:val="20"/>
        </w:rPr>
        <w:t xml:space="preserve"> still more than twice the national average of 175 minutes. </w:t>
      </w:r>
      <w:r w:rsidR="00CE640A">
        <w:rPr>
          <w:rFonts w:ascii="Aptos" w:hAnsi="Aptos"/>
          <w:sz w:val="20"/>
          <w:szCs w:val="20"/>
        </w:rPr>
        <w:t>To</w:t>
      </w:r>
      <w:r>
        <w:rPr>
          <w:rFonts w:ascii="Aptos" w:hAnsi="Aptos"/>
          <w:sz w:val="20"/>
          <w:szCs w:val="20"/>
        </w:rPr>
        <w:t xml:space="preserve"> improve ED throughput at </w:t>
      </w:r>
      <w:r w:rsidR="00CE640A">
        <w:rPr>
          <w:rFonts w:ascii="Aptos" w:hAnsi="Aptos"/>
          <w:sz w:val="20"/>
          <w:szCs w:val="20"/>
        </w:rPr>
        <w:t>the University Campus</w:t>
      </w:r>
      <w:r w:rsidR="006B4449">
        <w:rPr>
          <w:rFonts w:ascii="Aptos" w:hAnsi="Aptos"/>
          <w:sz w:val="20"/>
          <w:szCs w:val="20"/>
        </w:rPr>
        <w:t>,</w:t>
      </w:r>
      <w:r w:rsidR="00CE640A">
        <w:rPr>
          <w:rFonts w:ascii="Aptos" w:hAnsi="Aptos"/>
          <w:sz w:val="20"/>
          <w:szCs w:val="20"/>
        </w:rPr>
        <w:t xml:space="preserve"> </w:t>
      </w:r>
      <w:r>
        <w:rPr>
          <w:rFonts w:ascii="Aptos" w:hAnsi="Aptos"/>
          <w:sz w:val="20"/>
          <w:szCs w:val="20"/>
        </w:rPr>
        <w:t xml:space="preserve">additional inpatient capacity is needed. </w:t>
      </w:r>
    </w:p>
    <w:p w14:paraId="53BF9114" w14:textId="513F0759" w:rsidR="00711391" w:rsidRPr="00E97255" w:rsidRDefault="00662EBC" w:rsidP="000D58D1">
      <w:pPr>
        <w:jc w:val="both"/>
        <w:rPr>
          <w:rFonts w:ascii="Aptos" w:hAnsi="Aptos"/>
          <w:sz w:val="20"/>
          <w:szCs w:val="20"/>
        </w:rPr>
      </w:pPr>
      <w:r>
        <w:rPr>
          <w:rFonts w:ascii="Aptos" w:hAnsi="Aptos"/>
          <w:sz w:val="20"/>
          <w:szCs w:val="20"/>
        </w:rPr>
        <w:t xml:space="preserve">In summary, </w:t>
      </w:r>
      <w:r w:rsidR="00FF61FA">
        <w:rPr>
          <w:rFonts w:ascii="Aptos" w:hAnsi="Aptos"/>
          <w:sz w:val="20"/>
          <w:szCs w:val="20"/>
        </w:rPr>
        <w:t xml:space="preserve">the Proposed Change will further UMass Memorial’s </w:t>
      </w:r>
      <w:r w:rsidR="000D58D1">
        <w:rPr>
          <w:rFonts w:ascii="Aptos" w:hAnsi="Aptos"/>
          <w:sz w:val="20"/>
          <w:szCs w:val="20"/>
        </w:rPr>
        <w:t xml:space="preserve">mission to provide the right care </w:t>
      </w:r>
      <w:r w:rsidR="00FF61FA">
        <w:rPr>
          <w:rFonts w:ascii="Aptos" w:hAnsi="Aptos"/>
          <w:sz w:val="20"/>
          <w:szCs w:val="20"/>
        </w:rPr>
        <w:t xml:space="preserve">in the right location </w:t>
      </w:r>
      <w:r w:rsidR="000D58D1">
        <w:rPr>
          <w:rFonts w:ascii="Aptos" w:hAnsi="Aptos"/>
          <w:sz w:val="20"/>
          <w:szCs w:val="20"/>
        </w:rPr>
        <w:t xml:space="preserve">at the right time. Through the Proposed Change, </w:t>
      </w:r>
      <w:r w:rsidR="00A06920">
        <w:rPr>
          <w:rFonts w:ascii="Aptos" w:hAnsi="Aptos"/>
          <w:sz w:val="20"/>
          <w:szCs w:val="20"/>
        </w:rPr>
        <w:t>the Medical Center</w:t>
      </w:r>
      <w:r w:rsidR="000D58D1">
        <w:rPr>
          <w:rFonts w:ascii="Aptos" w:hAnsi="Aptos"/>
          <w:sz w:val="20"/>
          <w:szCs w:val="20"/>
        </w:rPr>
        <w:t xml:space="preserve"> will admit more</w:t>
      </w:r>
      <w:r w:rsidR="00FF61FA">
        <w:rPr>
          <w:rFonts w:ascii="Aptos" w:hAnsi="Aptos"/>
          <w:sz w:val="20"/>
          <w:szCs w:val="20"/>
        </w:rPr>
        <w:t xml:space="preserve"> lower acuity patients to </w:t>
      </w:r>
      <w:r w:rsidR="000D58D1">
        <w:rPr>
          <w:rFonts w:ascii="Aptos" w:hAnsi="Aptos"/>
          <w:sz w:val="20"/>
          <w:szCs w:val="20"/>
        </w:rPr>
        <w:t>the North Pavilion campus</w:t>
      </w:r>
      <w:r w:rsidR="00FF61FA">
        <w:rPr>
          <w:rFonts w:ascii="Aptos" w:hAnsi="Aptos"/>
          <w:sz w:val="20"/>
          <w:szCs w:val="20"/>
        </w:rPr>
        <w:t xml:space="preserve"> and improv</w:t>
      </w:r>
      <w:r w:rsidR="000D58D1">
        <w:rPr>
          <w:rFonts w:ascii="Aptos" w:hAnsi="Aptos"/>
          <w:sz w:val="20"/>
          <w:szCs w:val="20"/>
        </w:rPr>
        <w:t>e</w:t>
      </w:r>
      <w:r w:rsidR="00FF61FA">
        <w:rPr>
          <w:rFonts w:ascii="Aptos" w:hAnsi="Aptos"/>
          <w:sz w:val="20"/>
          <w:szCs w:val="20"/>
        </w:rPr>
        <w:t xml:space="preserve"> access to University </w:t>
      </w:r>
      <w:r w:rsidR="000D58D1">
        <w:rPr>
          <w:rFonts w:ascii="Aptos" w:hAnsi="Aptos"/>
          <w:sz w:val="20"/>
          <w:szCs w:val="20"/>
        </w:rPr>
        <w:t>C</w:t>
      </w:r>
      <w:r w:rsidR="00FF61FA">
        <w:rPr>
          <w:rFonts w:ascii="Aptos" w:hAnsi="Aptos"/>
          <w:sz w:val="20"/>
          <w:szCs w:val="20"/>
        </w:rPr>
        <w:t>ampus for higher acuity patients.</w:t>
      </w:r>
      <w:r w:rsidR="000D58D1">
        <w:rPr>
          <w:rFonts w:ascii="Aptos" w:hAnsi="Aptos"/>
          <w:sz w:val="20"/>
          <w:szCs w:val="20"/>
        </w:rPr>
        <w:t xml:space="preserve"> </w:t>
      </w:r>
      <w:r w:rsidR="00AC5C82">
        <w:rPr>
          <w:rFonts w:ascii="Aptos" w:hAnsi="Aptos"/>
          <w:sz w:val="20"/>
          <w:szCs w:val="20"/>
        </w:rPr>
        <w:t>Moreover</w:t>
      </w:r>
      <w:r w:rsidR="00723766">
        <w:rPr>
          <w:rFonts w:ascii="Aptos" w:hAnsi="Aptos"/>
          <w:sz w:val="20"/>
          <w:szCs w:val="20"/>
        </w:rPr>
        <w:t>, patients</w:t>
      </w:r>
      <w:r w:rsidR="00050655">
        <w:rPr>
          <w:rFonts w:ascii="Aptos" w:hAnsi="Aptos"/>
          <w:sz w:val="20"/>
          <w:szCs w:val="20"/>
        </w:rPr>
        <w:t xml:space="preserve"> </w:t>
      </w:r>
      <w:r w:rsidR="000D58D1">
        <w:rPr>
          <w:rFonts w:ascii="Aptos" w:hAnsi="Aptos"/>
          <w:sz w:val="20"/>
          <w:szCs w:val="20"/>
        </w:rPr>
        <w:t>will be</w:t>
      </w:r>
      <w:r w:rsidR="00723766">
        <w:rPr>
          <w:rFonts w:ascii="Aptos" w:hAnsi="Aptos"/>
          <w:sz w:val="20"/>
          <w:szCs w:val="20"/>
        </w:rPr>
        <w:t xml:space="preserve"> timelier</w:t>
      </w:r>
      <w:r w:rsidR="000D58D1">
        <w:rPr>
          <w:rFonts w:ascii="Aptos" w:hAnsi="Aptos"/>
          <w:sz w:val="20"/>
          <w:szCs w:val="20"/>
        </w:rPr>
        <w:t xml:space="preserve"> admitted </w:t>
      </w:r>
      <w:r w:rsidR="00050655">
        <w:rPr>
          <w:rFonts w:ascii="Aptos" w:hAnsi="Aptos"/>
          <w:sz w:val="20"/>
          <w:szCs w:val="20"/>
        </w:rPr>
        <w:t>to an inpatient bed</w:t>
      </w:r>
      <w:r w:rsidR="000D58D1">
        <w:rPr>
          <w:rFonts w:ascii="Aptos" w:hAnsi="Aptos"/>
          <w:sz w:val="20"/>
          <w:szCs w:val="20"/>
        </w:rPr>
        <w:t xml:space="preserve"> from the ED</w:t>
      </w:r>
      <w:r w:rsidR="00AC5C82">
        <w:rPr>
          <w:rFonts w:ascii="Aptos" w:hAnsi="Aptos"/>
          <w:sz w:val="20"/>
          <w:szCs w:val="20"/>
        </w:rPr>
        <w:t>, reducing boarding and improving access to appropriate care</w:t>
      </w:r>
      <w:r w:rsidR="00050655">
        <w:rPr>
          <w:rFonts w:ascii="Aptos" w:hAnsi="Aptos"/>
          <w:sz w:val="20"/>
          <w:szCs w:val="20"/>
        </w:rPr>
        <w:t xml:space="preserve">. </w:t>
      </w:r>
      <w:r w:rsidR="00661002">
        <w:rPr>
          <w:rFonts w:ascii="Aptos" w:hAnsi="Aptos"/>
          <w:sz w:val="20"/>
          <w:szCs w:val="20"/>
        </w:rPr>
        <w:t xml:space="preserve">Adding beds at the North Pavilion campus </w:t>
      </w:r>
      <w:r w:rsidR="005559D1">
        <w:rPr>
          <w:rFonts w:ascii="Aptos" w:hAnsi="Aptos"/>
          <w:sz w:val="20"/>
          <w:szCs w:val="20"/>
        </w:rPr>
        <w:t>expands access to a</w:t>
      </w:r>
      <w:r w:rsidR="00661002">
        <w:rPr>
          <w:rFonts w:ascii="Aptos" w:hAnsi="Aptos"/>
          <w:sz w:val="20"/>
          <w:szCs w:val="20"/>
        </w:rPr>
        <w:t xml:space="preserve"> designated space and resources </w:t>
      </w:r>
      <w:r w:rsidR="005559D1">
        <w:rPr>
          <w:rFonts w:ascii="Aptos" w:hAnsi="Aptos"/>
          <w:sz w:val="20"/>
          <w:szCs w:val="20"/>
        </w:rPr>
        <w:t>t</w:t>
      </w:r>
      <w:r w:rsidR="00723766">
        <w:rPr>
          <w:rFonts w:ascii="Aptos" w:hAnsi="Aptos"/>
          <w:sz w:val="20"/>
          <w:szCs w:val="20"/>
        </w:rPr>
        <w:t>hat</w:t>
      </w:r>
      <w:r w:rsidR="005559D1">
        <w:rPr>
          <w:rFonts w:ascii="Aptos" w:hAnsi="Aptos"/>
          <w:sz w:val="20"/>
          <w:szCs w:val="20"/>
        </w:rPr>
        <w:t xml:space="preserve"> provide patient-centered care and improve health outcomes. </w:t>
      </w:r>
    </w:p>
    <w:p w14:paraId="2B26F5DE" w14:textId="77777777" w:rsidR="007863CF" w:rsidRDefault="007863CF" w:rsidP="00DA5C8F">
      <w:pPr>
        <w:pStyle w:val="Heading1"/>
        <w:rPr>
          <w:rFonts w:ascii="Aptos" w:hAnsi="Aptos"/>
          <w:sz w:val="20"/>
          <w:szCs w:val="20"/>
        </w:rPr>
      </w:pPr>
    </w:p>
    <w:p w14:paraId="42FF8DC1" w14:textId="77777777" w:rsidR="007863CF" w:rsidRDefault="007863CF" w:rsidP="00DA5C8F">
      <w:pPr>
        <w:pStyle w:val="Heading1"/>
        <w:rPr>
          <w:rFonts w:ascii="Aptos" w:hAnsi="Aptos"/>
          <w:sz w:val="20"/>
          <w:szCs w:val="20"/>
        </w:rPr>
      </w:pPr>
    </w:p>
    <w:p w14:paraId="25AB24B1" w14:textId="77777777" w:rsidR="007863CF" w:rsidRDefault="007863CF" w:rsidP="00DA5C8F">
      <w:pPr>
        <w:pStyle w:val="Heading1"/>
        <w:rPr>
          <w:rFonts w:ascii="Aptos" w:hAnsi="Aptos"/>
          <w:sz w:val="20"/>
          <w:szCs w:val="20"/>
        </w:rPr>
      </w:pPr>
    </w:p>
    <w:p w14:paraId="7AE20137" w14:textId="31AB7364" w:rsidR="009F5152" w:rsidRPr="002858CD" w:rsidRDefault="009F5152" w:rsidP="00DA5C8F">
      <w:pPr>
        <w:pStyle w:val="Heading1"/>
        <w:rPr>
          <w:rFonts w:ascii="Aptos" w:hAnsi="Aptos"/>
          <w:sz w:val="20"/>
          <w:szCs w:val="20"/>
        </w:rPr>
      </w:pPr>
      <w:r w:rsidRPr="002858CD">
        <w:rPr>
          <w:rFonts w:ascii="Aptos" w:hAnsi="Aptos"/>
          <w:sz w:val="20"/>
          <w:szCs w:val="20"/>
        </w:rPr>
        <w:lastRenderedPageBreak/>
        <w:t xml:space="preserve">Factor 6. Community Health Initiative </w:t>
      </w:r>
      <w:r w:rsidR="00753EC9">
        <w:rPr>
          <w:rFonts w:ascii="Aptos" w:hAnsi="Aptos"/>
          <w:sz w:val="20"/>
          <w:szCs w:val="20"/>
        </w:rPr>
        <w:t>(CHI)</w:t>
      </w:r>
    </w:p>
    <w:p w14:paraId="13E5BCE7" w14:textId="27B07302" w:rsidR="00AB7338" w:rsidRDefault="00A06920" w:rsidP="002858CD">
      <w:pPr>
        <w:suppressAutoHyphens w:val="0"/>
        <w:autoSpaceDE w:val="0"/>
        <w:autoSpaceDN w:val="0"/>
        <w:adjustRightInd w:val="0"/>
        <w:spacing w:after="120"/>
        <w:jc w:val="both"/>
        <w:rPr>
          <w:rFonts w:ascii="Aptos" w:hAnsi="Aptos"/>
          <w:sz w:val="20"/>
          <w:szCs w:val="20"/>
        </w:rPr>
      </w:pPr>
      <w:r>
        <w:rPr>
          <w:rFonts w:ascii="Aptos" w:hAnsi="Aptos"/>
          <w:sz w:val="20"/>
          <w:szCs w:val="20"/>
        </w:rPr>
        <w:t>The Medical Center</w:t>
      </w:r>
      <w:r w:rsidR="002858CD">
        <w:rPr>
          <w:rFonts w:ascii="Aptos" w:hAnsi="Aptos"/>
          <w:sz w:val="20"/>
          <w:szCs w:val="20"/>
        </w:rPr>
        <w:t xml:space="preserve"> is currently carrying out the CHI for the Original DoN. </w:t>
      </w:r>
      <w:r w:rsidR="00665E93">
        <w:rPr>
          <w:rFonts w:ascii="Aptos" w:hAnsi="Aptos"/>
          <w:sz w:val="20"/>
          <w:szCs w:val="20"/>
        </w:rPr>
        <w:t xml:space="preserve">Due to the size of the CHI from this Amendment, UMass Memorial will defer to the existing CHI Advisory Committee to decide whether additional years of </w:t>
      </w:r>
      <w:r w:rsidR="00AB7338">
        <w:rPr>
          <w:rFonts w:ascii="Aptos" w:hAnsi="Aptos"/>
          <w:sz w:val="20"/>
          <w:szCs w:val="20"/>
        </w:rPr>
        <w:t xml:space="preserve">funding are </w:t>
      </w:r>
      <w:r w:rsidR="00665E93">
        <w:rPr>
          <w:rFonts w:ascii="Aptos" w:hAnsi="Aptos"/>
          <w:sz w:val="20"/>
          <w:szCs w:val="20"/>
        </w:rPr>
        <w:t>offer</w:t>
      </w:r>
      <w:r w:rsidR="00AB7338">
        <w:rPr>
          <w:rFonts w:ascii="Aptos" w:hAnsi="Aptos"/>
          <w:sz w:val="20"/>
          <w:szCs w:val="20"/>
        </w:rPr>
        <w:t>ed</w:t>
      </w:r>
      <w:r w:rsidR="00665E93">
        <w:rPr>
          <w:rFonts w:ascii="Aptos" w:hAnsi="Aptos"/>
          <w:sz w:val="20"/>
          <w:szCs w:val="20"/>
        </w:rPr>
        <w:t xml:space="preserve"> to the </w:t>
      </w:r>
      <w:r w:rsidR="00AB7338">
        <w:rPr>
          <w:rFonts w:ascii="Aptos" w:hAnsi="Aptos"/>
          <w:sz w:val="20"/>
          <w:szCs w:val="20"/>
        </w:rPr>
        <w:t xml:space="preserve">current grantees, or whether new grantees through a different funding model. For example, the committee could pursue </w:t>
      </w:r>
      <w:r w:rsidR="00753EC9">
        <w:rPr>
          <w:rFonts w:ascii="Aptos" w:hAnsi="Aptos"/>
          <w:sz w:val="20"/>
          <w:szCs w:val="20"/>
        </w:rPr>
        <w:t xml:space="preserve">providing </w:t>
      </w:r>
      <w:r w:rsidR="00AB7338">
        <w:rPr>
          <w:rFonts w:ascii="Aptos" w:hAnsi="Aptos"/>
          <w:sz w:val="20"/>
          <w:szCs w:val="20"/>
        </w:rPr>
        <w:t xml:space="preserve">direct funding </w:t>
      </w:r>
      <w:r w:rsidR="00753EC9">
        <w:rPr>
          <w:rFonts w:ascii="Aptos" w:hAnsi="Aptos"/>
          <w:sz w:val="20"/>
          <w:szCs w:val="20"/>
        </w:rPr>
        <w:t>for</w:t>
      </w:r>
      <w:r w:rsidR="00AB7338">
        <w:rPr>
          <w:rFonts w:ascii="Aptos" w:hAnsi="Aptos"/>
          <w:sz w:val="20"/>
          <w:szCs w:val="20"/>
        </w:rPr>
        <w:t xml:space="preserve"> a single organization </w:t>
      </w:r>
      <w:r w:rsidR="0006060D">
        <w:rPr>
          <w:rFonts w:ascii="Aptos" w:hAnsi="Aptos"/>
          <w:sz w:val="20"/>
          <w:szCs w:val="20"/>
        </w:rPr>
        <w:t xml:space="preserve">to provide a significant investment. </w:t>
      </w:r>
      <w:r w:rsidR="00AB7338">
        <w:rPr>
          <w:rFonts w:ascii="Aptos" w:hAnsi="Aptos"/>
          <w:sz w:val="20"/>
          <w:szCs w:val="20"/>
        </w:rPr>
        <w:t xml:space="preserve"> </w:t>
      </w:r>
    </w:p>
    <w:p w14:paraId="34E431DA" w14:textId="387C2F5E" w:rsidR="009F5152" w:rsidRPr="00E97255" w:rsidRDefault="009F5152" w:rsidP="002858CD">
      <w:pPr>
        <w:suppressAutoHyphens w:val="0"/>
        <w:autoSpaceDE w:val="0"/>
        <w:autoSpaceDN w:val="0"/>
        <w:adjustRightInd w:val="0"/>
        <w:spacing w:after="120"/>
        <w:jc w:val="both"/>
        <w:rPr>
          <w:rFonts w:ascii="Aptos" w:hAnsi="Aptos"/>
          <w:sz w:val="20"/>
          <w:szCs w:val="20"/>
        </w:rPr>
      </w:pPr>
      <w:r w:rsidRPr="002858CD">
        <w:rPr>
          <w:rFonts w:ascii="Aptos" w:hAnsi="Aptos"/>
          <w:sz w:val="20"/>
          <w:szCs w:val="20"/>
        </w:rPr>
        <w:t xml:space="preserve">The breakdown of the CHI monies for the Proposed Change is detailed in the table below. </w:t>
      </w:r>
    </w:p>
    <w:tbl>
      <w:tblPr>
        <w:tblW w:w="9720" w:type="dxa"/>
        <w:tblLook w:val="04A0" w:firstRow="1" w:lastRow="0" w:firstColumn="1" w:lastColumn="0" w:noHBand="0" w:noVBand="1"/>
      </w:tblPr>
      <w:tblGrid>
        <w:gridCol w:w="2970"/>
        <w:gridCol w:w="2210"/>
        <w:gridCol w:w="2220"/>
        <w:gridCol w:w="2320"/>
      </w:tblGrid>
      <w:tr w:rsidR="00E97255" w:rsidRPr="00E97255" w14:paraId="3A03C198" w14:textId="77777777" w:rsidTr="00E0673C">
        <w:trPr>
          <w:cantSplit/>
          <w:trHeight w:val="324"/>
          <w:tblHeader/>
        </w:trPr>
        <w:tc>
          <w:tcPr>
            <w:tcW w:w="2970" w:type="dxa"/>
            <w:tcBorders>
              <w:top w:val="nil"/>
              <w:left w:val="nil"/>
              <w:bottom w:val="single" w:sz="8" w:space="0" w:color="auto"/>
              <w:right w:val="single" w:sz="4" w:space="0" w:color="auto"/>
            </w:tcBorders>
            <w:shd w:val="clear" w:color="auto" w:fill="FFF2CC" w:themeFill="accent4" w:themeFillTint="33"/>
            <w:vAlign w:val="center"/>
            <w:hideMark/>
          </w:tcPr>
          <w:p w14:paraId="7C88C43D" w14:textId="0208E8F7" w:rsidR="00E97255" w:rsidRPr="00E97255" w:rsidRDefault="00E97255" w:rsidP="00E97255">
            <w:pPr>
              <w:suppressAutoHyphens w:val="0"/>
              <w:rPr>
                <w:rFonts w:ascii="Aptos Narrow" w:hAnsi="Aptos Narrow"/>
                <w:b/>
                <w:bCs/>
                <w:color w:val="000000"/>
                <w:sz w:val="20"/>
                <w:szCs w:val="20"/>
              </w:rPr>
            </w:pPr>
            <w:r w:rsidRPr="00E97255">
              <w:rPr>
                <w:rFonts w:ascii="Aptos Narrow" w:hAnsi="Aptos Narrow"/>
                <w:color w:val="000000"/>
                <w:sz w:val="20"/>
                <w:szCs w:val="20"/>
              </w:rPr>
              <w:t> </w:t>
            </w:r>
            <w:r w:rsidRPr="00E97255">
              <w:rPr>
                <w:rFonts w:ascii="Aptos Narrow" w:hAnsi="Aptos Narrow"/>
                <w:b/>
                <w:bCs/>
                <w:sz w:val="20"/>
                <w:szCs w:val="20"/>
              </w:rPr>
              <w:t xml:space="preserve">Table </w:t>
            </w:r>
            <w:r w:rsidR="002858CD">
              <w:rPr>
                <w:rFonts w:ascii="Aptos Narrow" w:hAnsi="Aptos Narrow"/>
                <w:b/>
                <w:bCs/>
                <w:sz w:val="20"/>
                <w:szCs w:val="20"/>
              </w:rPr>
              <w:t>5</w:t>
            </w:r>
            <w:r w:rsidR="00753EC9">
              <w:rPr>
                <w:rFonts w:ascii="Aptos Narrow" w:hAnsi="Aptos Narrow"/>
                <w:b/>
                <w:bCs/>
                <w:sz w:val="20"/>
                <w:szCs w:val="20"/>
              </w:rPr>
              <w:t>:</w:t>
            </w:r>
            <w:r w:rsidR="005E1A73">
              <w:rPr>
                <w:rFonts w:ascii="Aptos Narrow" w:hAnsi="Aptos Narrow"/>
                <w:b/>
                <w:bCs/>
                <w:sz w:val="20"/>
                <w:szCs w:val="20"/>
              </w:rPr>
              <w:t xml:space="preserve"> </w:t>
            </w:r>
            <w:r w:rsidRPr="00E97255">
              <w:rPr>
                <w:rFonts w:ascii="Aptos Narrow" w:hAnsi="Aptos Narrow"/>
                <w:b/>
                <w:bCs/>
                <w:sz w:val="20"/>
                <w:szCs w:val="20"/>
              </w:rPr>
              <w:t>CHI Money Breakdown</w:t>
            </w:r>
          </w:p>
        </w:tc>
        <w:tc>
          <w:tcPr>
            <w:tcW w:w="2210" w:type="dxa"/>
            <w:tcBorders>
              <w:top w:val="nil"/>
              <w:left w:val="single" w:sz="4" w:space="0" w:color="auto"/>
              <w:bottom w:val="single" w:sz="8" w:space="0" w:color="auto"/>
              <w:right w:val="nil"/>
            </w:tcBorders>
            <w:shd w:val="clear" w:color="auto" w:fill="FFF2CC" w:themeFill="accent4" w:themeFillTint="33"/>
            <w:vAlign w:val="center"/>
            <w:hideMark/>
          </w:tcPr>
          <w:p w14:paraId="25DD4A6D"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Original DoN</w:t>
            </w:r>
          </w:p>
        </w:tc>
        <w:tc>
          <w:tcPr>
            <w:tcW w:w="2220" w:type="dxa"/>
            <w:tcBorders>
              <w:top w:val="nil"/>
              <w:left w:val="nil"/>
              <w:bottom w:val="single" w:sz="8" w:space="0" w:color="auto"/>
              <w:right w:val="nil"/>
            </w:tcBorders>
            <w:shd w:val="clear" w:color="auto" w:fill="FFF2CC" w:themeFill="accent4" w:themeFillTint="33"/>
            <w:vAlign w:val="center"/>
            <w:hideMark/>
          </w:tcPr>
          <w:p w14:paraId="357D1196"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Amendment </w:t>
            </w:r>
          </w:p>
        </w:tc>
        <w:tc>
          <w:tcPr>
            <w:tcW w:w="2320" w:type="dxa"/>
            <w:tcBorders>
              <w:top w:val="nil"/>
              <w:left w:val="nil"/>
              <w:bottom w:val="single" w:sz="8" w:space="0" w:color="auto"/>
              <w:right w:val="nil"/>
            </w:tcBorders>
            <w:shd w:val="clear" w:color="auto" w:fill="FFF2CC" w:themeFill="accent4" w:themeFillTint="33"/>
            <w:vAlign w:val="center"/>
            <w:hideMark/>
          </w:tcPr>
          <w:p w14:paraId="1A18871A"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Combined</w:t>
            </w:r>
          </w:p>
        </w:tc>
      </w:tr>
      <w:tr w:rsidR="00E97255" w:rsidRPr="00E97255" w14:paraId="13B38571" w14:textId="77777777" w:rsidTr="00E0673C">
        <w:trPr>
          <w:cantSplit/>
          <w:trHeight w:val="290"/>
        </w:trPr>
        <w:tc>
          <w:tcPr>
            <w:tcW w:w="2970" w:type="dxa"/>
            <w:tcBorders>
              <w:top w:val="nil"/>
              <w:left w:val="nil"/>
              <w:bottom w:val="nil"/>
              <w:right w:val="single" w:sz="4" w:space="0" w:color="auto"/>
            </w:tcBorders>
            <w:vAlign w:val="center"/>
            <w:hideMark/>
          </w:tcPr>
          <w:p w14:paraId="3D26B332"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MCE</w:t>
            </w:r>
          </w:p>
        </w:tc>
        <w:tc>
          <w:tcPr>
            <w:tcW w:w="2210" w:type="dxa"/>
            <w:tcBorders>
              <w:top w:val="nil"/>
              <w:left w:val="single" w:sz="4" w:space="0" w:color="auto"/>
              <w:bottom w:val="nil"/>
              <w:right w:val="nil"/>
            </w:tcBorders>
            <w:vAlign w:val="center"/>
            <w:hideMark/>
          </w:tcPr>
          <w:p w14:paraId="10B549E0"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$143,242,167.00 </w:t>
            </w:r>
          </w:p>
        </w:tc>
        <w:tc>
          <w:tcPr>
            <w:tcW w:w="2220" w:type="dxa"/>
            <w:tcBorders>
              <w:top w:val="nil"/>
              <w:left w:val="nil"/>
              <w:bottom w:val="nil"/>
              <w:right w:val="nil"/>
            </w:tcBorders>
            <w:vAlign w:val="center"/>
            <w:hideMark/>
          </w:tcPr>
          <w:p w14:paraId="15DFDF82"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$8,911,590.00 </w:t>
            </w:r>
          </w:p>
        </w:tc>
        <w:tc>
          <w:tcPr>
            <w:tcW w:w="2320" w:type="dxa"/>
            <w:tcBorders>
              <w:top w:val="nil"/>
              <w:left w:val="nil"/>
              <w:bottom w:val="nil"/>
              <w:right w:val="nil"/>
            </w:tcBorders>
            <w:vAlign w:val="center"/>
            <w:hideMark/>
          </w:tcPr>
          <w:p w14:paraId="488E3C7E"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$152,153,757.00 </w:t>
            </w:r>
          </w:p>
        </w:tc>
      </w:tr>
      <w:tr w:rsidR="00E97255" w:rsidRPr="00E97255" w14:paraId="48483911" w14:textId="77777777" w:rsidTr="00E0673C">
        <w:trPr>
          <w:cantSplit/>
          <w:trHeight w:val="290"/>
        </w:trPr>
        <w:tc>
          <w:tcPr>
            <w:tcW w:w="2970" w:type="dxa"/>
            <w:tcBorders>
              <w:top w:val="nil"/>
              <w:left w:val="nil"/>
              <w:bottom w:val="nil"/>
              <w:right w:val="single" w:sz="4" w:space="0" w:color="auto"/>
            </w:tcBorders>
            <w:vAlign w:val="center"/>
            <w:hideMark/>
          </w:tcPr>
          <w:p w14:paraId="69130775"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CHI Monies </w:t>
            </w:r>
          </w:p>
        </w:tc>
        <w:tc>
          <w:tcPr>
            <w:tcW w:w="2210" w:type="dxa"/>
            <w:tcBorders>
              <w:top w:val="nil"/>
              <w:left w:val="single" w:sz="4" w:space="0" w:color="auto"/>
              <w:bottom w:val="nil"/>
              <w:right w:val="nil"/>
            </w:tcBorders>
            <w:vAlign w:val="center"/>
            <w:hideMark/>
          </w:tcPr>
          <w:p w14:paraId="1A11F151"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$7,162,108.35 </w:t>
            </w:r>
          </w:p>
        </w:tc>
        <w:tc>
          <w:tcPr>
            <w:tcW w:w="2220" w:type="dxa"/>
            <w:tcBorders>
              <w:top w:val="nil"/>
              <w:left w:val="nil"/>
              <w:bottom w:val="nil"/>
              <w:right w:val="nil"/>
            </w:tcBorders>
            <w:vAlign w:val="center"/>
            <w:hideMark/>
          </w:tcPr>
          <w:p w14:paraId="3D6373C9"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$445,579.50 </w:t>
            </w:r>
          </w:p>
        </w:tc>
        <w:tc>
          <w:tcPr>
            <w:tcW w:w="2320" w:type="dxa"/>
            <w:tcBorders>
              <w:top w:val="nil"/>
              <w:left w:val="nil"/>
              <w:bottom w:val="nil"/>
              <w:right w:val="nil"/>
            </w:tcBorders>
            <w:vAlign w:val="center"/>
            <w:hideMark/>
          </w:tcPr>
          <w:p w14:paraId="2B5DCB2D"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$7,607,687.85 </w:t>
            </w:r>
          </w:p>
        </w:tc>
      </w:tr>
      <w:tr w:rsidR="00E97255" w:rsidRPr="00E97255" w14:paraId="2A66DC0E" w14:textId="77777777" w:rsidTr="00E0673C">
        <w:trPr>
          <w:cantSplit/>
          <w:trHeight w:val="290"/>
        </w:trPr>
        <w:tc>
          <w:tcPr>
            <w:tcW w:w="2970" w:type="dxa"/>
            <w:tcBorders>
              <w:top w:val="nil"/>
              <w:left w:val="nil"/>
              <w:bottom w:val="nil"/>
              <w:right w:val="single" w:sz="4" w:space="0" w:color="auto"/>
            </w:tcBorders>
            <w:vAlign w:val="center"/>
            <w:hideMark/>
          </w:tcPr>
          <w:p w14:paraId="15C2121A"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Administrative Fee </w:t>
            </w:r>
          </w:p>
        </w:tc>
        <w:tc>
          <w:tcPr>
            <w:tcW w:w="2210" w:type="dxa"/>
            <w:tcBorders>
              <w:top w:val="nil"/>
              <w:left w:val="single" w:sz="4" w:space="0" w:color="auto"/>
              <w:bottom w:val="nil"/>
              <w:right w:val="nil"/>
            </w:tcBorders>
            <w:vAlign w:val="center"/>
            <w:hideMark/>
          </w:tcPr>
          <w:p w14:paraId="513D2984"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$143,242.17 </w:t>
            </w:r>
          </w:p>
        </w:tc>
        <w:tc>
          <w:tcPr>
            <w:tcW w:w="2220" w:type="dxa"/>
            <w:tcBorders>
              <w:top w:val="nil"/>
              <w:left w:val="nil"/>
              <w:bottom w:val="nil"/>
              <w:right w:val="nil"/>
            </w:tcBorders>
            <w:vAlign w:val="center"/>
            <w:hideMark/>
          </w:tcPr>
          <w:p w14:paraId="326E7E07"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$17,823.18 </w:t>
            </w:r>
          </w:p>
        </w:tc>
        <w:tc>
          <w:tcPr>
            <w:tcW w:w="2320" w:type="dxa"/>
            <w:tcBorders>
              <w:top w:val="nil"/>
              <w:left w:val="nil"/>
              <w:bottom w:val="nil"/>
              <w:right w:val="nil"/>
            </w:tcBorders>
            <w:vAlign w:val="center"/>
            <w:hideMark/>
          </w:tcPr>
          <w:p w14:paraId="53E59A8C"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$161,065.35 </w:t>
            </w:r>
          </w:p>
        </w:tc>
      </w:tr>
      <w:tr w:rsidR="00E97255" w:rsidRPr="00E97255" w14:paraId="32EFD90E" w14:textId="77777777" w:rsidTr="00E0673C">
        <w:trPr>
          <w:cantSplit/>
          <w:trHeight w:val="290"/>
        </w:trPr>
        <w:tc>
          <w:tcPr>
            <w:tcW w:w="2970" w:type="dxa"/>
            <w:tcBorders>
              <w:top w:val="nil"/>
              <w:left w:val="nil"/>
              <w:bottom w:val="nil"/>
              <w:right w:val="single" w:sz="4" w:space="0" w:color="auto"/>
            </w:tcBorders>
            <w:vAlign w:val="center"/>
            <w:hideMark/>
          </w:tcPr>
          <w:p w14:paraId="4714CDD7"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Remaining Monies </w:t>
            </w:r>
          </w:p>
        </w:tc>
        <w:tc>
          <w:tcPr>
            <w:tcW w:w="2210" w:type="dxa"/>
            <w:tcBorders>
              <w:top w:val="nil"/>
              <w:left w:val="single" w:sz="4" w:space="0" w:color="auto"/>
              <w:bottom w:val="nil"/>
              <w:right w:val="nil"/>
            </w:tcBorders>
            <w:vAlign w:val="center"/>
            <w:hideMark/>
          </w:tcPr>
          <w:p w14:paraId="04299943"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$7,018,866.21 </w:t>
            </w:r>
          </w:p>
        </w:tc>
        <w:tc>
          <w:tcPr>
            <w:tcW w:w="2220" w:type="dxa"/>
            <w:tcBorders>
              <w:top w:val="nil"/>
              <w:left w:val="nil"/>
              <w:bottom w:val="nil"/>
              <w:right w:val="nil"/>
            </w:tcBorders>
            <w:vAlign w:val="center"/>
            <w:hideMark/>
          </w:tcPr>
          <w:p w14:paraId="4AE93EE2"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$427,756.32 </w:t>
            </w:r>
          </w:p>
        </w:tc>
        <w:tc>
          <w:tcPr>
            <w:tcW w:w="2320" w:type="dxa"/>
            <w:tcBorders>
              <w:top w:val="nil"/>
              <w:left w:val="nil"/>
              <w:bottom w:val="nil"/>
              <w:right w:val="nil"/>
            </w:tcBorders>
            <w:vAlign w:val="center"/>
            <w:hideMark/>
          </w:tcPr>
          <w:p w14:paraId="711E4FFF"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$7,446,622.53 </w:t>
            </w:r>
          </w:p>
        </w:tc>
      </w:tr>
      <w:tr w:rsidR="00E97255" w:rsidRPr="00E97255" w14:paraId="6979A15F" w14:textId="77777777" w:rsidTr="00E0673C">
        <w:trPr>
          <w:cantSplit/>
          <w:trHeight w:val="290"/>
        </w:trPr>
        <w:tc>
          <w:tcPr>
            <w:tcW w:w="2970" w:type="dxa"/>
            <w:tcBorders>
              <w:top w:val="nil"/>
              <w:left w:val="nil"/>
              <w:bottom w:val="nil"/>
              <w:right w:val="single" w:sz="4" w:space="0" w:color="auto"/>
            </w:tcBorders>
            <w:vAlign w:val="center"/>
            <w:hideMark/>
          </w:tcPr>
          <w:p w14:paraId="3666CBD2"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Statewide Initiative </w:t>
            </w:r>
          </w:p>
        </w:tc>
        <w:tc>
          <w:tcPr>
            <w:tcW w:w="2210" w:type="dxa"/>
            <w:tcBorders>
              <w:top w:val="nil"/>
              <w:left w:val="single" w:sz="4" w:space="0" w:color="auto"/>
              <w:bottom w:val="nil"/>
              <w:right w:val="nil"/>
            </w:tcBorders>
            <w:vAlign w:val="center"/>
            <w:hideMark/>
          </w:tcPr>
          <w:p w14:paraId="20A61A0C"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$1,754,716.55 </w:t>
            </w:r>
          </w:p>
        </w:tc>
        <w:tc>
          <w:tcPr>
            <w:tcW w:w="2220" w:type="dxa"/>
            <w:tcBorders>
              <w:top w:val="nil"/>
              <w:left w:val="nil"/>
              <w:bottom w:val="nil"/>
              <w:right w:val="nil"/>
            </w:tcBorders>
            <w:vAlign w:val="center"/>
            <w:hideMark/>
          </w:tcPr>
          <w:p w14:paraId="1F420146"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$42,775.63 </w:t>
            </w:r>
          </w:p>
        </w:tc>
        <w:tc>
          <w:tcPr>
            <w:tcW w:w="2320" w:type="dxa"/>
            <w:tcBorders>
              <w:top w:val="nil"/>
              <w:left w:val="nil"/>
              <w:bottom w:val="nil"/>
              <w:right w:val="nil"/>
            </w:tcBorders>
            <w:vAlign w:val="center"/>
            <w:hideMark/>
          </w:tcPr>
          <w:p w14:paraId="423795C6"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$1,797,492.18 </w:t>
            </w:r>
          </w:p>
        </w:tc>
      </w:tr>
      <w:tr w:rsidR="00E97255" w:rsidRPr="00E97255" w14:paraId="49DD9E03" w14:textId="77777777" w:rsidTr="00E0673C">
        <w:trPr>
          <w:cantSplit/>
          <w:trHeight w:val="290"/>
        </w:trPr>
        <w:tc>
          <w:tcPr>
            <w:tcW w:w="2970" w:type="dxa"/>
            <w:tcBorders>
              <w:top w:val="nil"/>
              <w:left w:val="nil"/>
              <w:bottom w:val="nil"/>
              <w:right w:val="single" w:sz="4" w:space="0" w:color="auto"/>
            </w:tcBorders>
            <w:vAlign w:val="center"/>
            <w:hideMark/>
          </w:tcPr>
          <w:p w14:paraId="7A30AE8C"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Local Initiative </w:t>
            </w:r>
          </w:p>
        </w:tc>
        <w:tc>
          <w:tcPr>
            <w:tcW w:w="2210" w:type="dxa"/>
            <w:tcBorders>
              <w:top w:val="nil"/>
              <w:left w:val="single" w:sz="4" w:space="0" w:color="auto"/>
              <w:bottom w:val="nil"/>
              <w:right w:val="nil"/>
            </w:tcBorders>
            <w:vAlign w:val="center"/>
            <w:hideMark/>
          </w:tcPr>
          <w:p w14:paraId="38A5266C"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$5,264,149.66 </w:t>
            </w:r>
          </w:p>
        </w:tc>
        <w:tc>
          <w:tcPr>
            <w:tcW w:w="2220" w:type="dxa"/>
            <w:tcBorders>
              <w:top w:val="nil"/>
              <w:left w:val="nil"/>
              <w:bottom w:val="nil"/>
              <w:right w:val="nil"/>
            </w:tcBorders>
            <w:vAlign w:val="center"/>
            <w:hideMark/>
          </w:tcPr>
          <w:p w14:paraId="32BFD6ED"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$384,980.69 </w:t>
            </w:r>
          </w:p>
        </w:tc>
        <w:tc>
          <w:tcPr>
            <w:tcW w:w="2320" w:type="dxa"/>
            <w:tcBorders>
              <w:top w:val="nil"/>
              <w:left w:val="nil"/>
              <w:bottom w:val="nil"/>
              <w:right w:val="nil"/>
            </w:tcBorders>
            <w:vAlign w:val="center"/>
            <w:hideMark/>
          </w:tcPr>
          <w:p w14:paraId="04A505D6"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$5,649,130.35 </w:t>
            </w:r>
          </w:p>
        </w:tc>
      </w:tr>
      <w:tr w:rsidR="00E97255" w:rsidRPr="00E97255" w14:paraId="356C551F" w14:textId="77777777" w:rsidTr="00E0673C">
        <w:trPr>
          <w:cantSplit/>
          <w:trHeight w:val="290"/>
        </w:trPr>
        <w:tc>
          <w:tcPr>
            <w:tcW w:w="2970" w:type="dxa"/>
            <w:tcBorders>
              <w:top w:val="nil"/>
              <w:left w:val="nil"/>
              <w:bottom w:val="nil"/>
              <w:right w:val="single" w:sz="4" w:space="0" w:color="auto"/>
            </w:tcBorders>
            <w:vAlign w:val="center"/>
            <w:hideMark/>
          </w:tcPr>
          <w:p w14:paraId="5603A691"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 xml:space="preserve">Evaluation Monies </w:t>
            </w:r>
          </w:p>
        </w:tc>
        <w:tc>
          <w:tcPr>
            <w:tcW w:w="2210" w:type="dxa"/>
            <w:tcBorders>
              <w:top w:val="nil"/>
              <w:left w:val="single" w:sz="4" w:space="0" w:color="auto"/>
              <w:bottom w:val="nil"/>
              <w:right w:val="nil"/>
            </w:tcBorders>
            <w:vAlign w:val="center"/>
            <w:hideMark/>
          </w:tcPr>
          <w:p w14:paraId="6519DB78"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$526,414.97 </w:t>
            </w:r>
          </w:p>
        </w:tc>
        <w:tc>
          <w:tcPr>
            <w:tcW w:w="2220" w:type="dxa"/>
            <w:tcBorders>
              <w:top w:val="nil"/>
              <w:left w:val="nil"/>
              <w:bottom w:val="nil"/>
              <w:right w:val="nil"/>
            </w:tcBorders>
            <w:vAlign w:val="center"/>
            <w:hideMark/>
          </w:tcPr>
          <w:p w14:paraId="2C057FC8"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$38,498.07 </w:t>
            </w:r>
          </w:p>
        </w:tc>
        <w:tc>
          <w:tcPr>
            <w:tcW w:w="2320" w:type="dxa"/>
            <w:tcBorders>
              <w:top w:val="nil"/>
              <w:left w:val="nil"/>
              <w:bottom w:val="nil"/>
              <w:right w:val="nil"/>
            </w:tcBorders>
            <w:vAlign w:val="center"/>
            <w:hideMark/>
          </w:tcPr>
          <w:p w14:paraId="6A03F8CA"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$564,913.04 </w:t>
            </w:r>
          </w:p>
        </w:tc>
      </w:tr>
      <w:tr w:rsidR="00E97255" w:rsidRPr="00E97255" w14:paraId="24393872" w14:textId="77777777" w:rsidTr="00E0673C">
        <w:trPr>
          <w:cantSplit/>
          <w:trHeight w:val="261"/>
        </w:trPr>
        <w:tc>
          <w:tcPr>
            <w:tcW w:w="2970" w:type="dxa"/>
            <w:tcBorders>
              <w:top w:val="nil"/>
              <w:left w:val="nil"/>
              <w:bottom w:val="nil"/>
              <w:right w:val="single" w:sz="4" w:space="0" w:color="auto"/>
            </w:tcBorders>
            <w:shd w:val="clear" w:color="auto" w:fill="FFF2CC" w:themeFill="accent4" w:themeFillTint="33"/>
            <w:vAlign w:val="center"/>
            <w:hideMark/>
          </w:tcPr>
          <w:p w14:paraId="180A43C8" w14:textId="77777777" w:rsidR="00E97255" w:rsidRPr="00E97255" w:rsidRDefault="00E97255" w:rsidP="00E97255">
            <w:pPr>
              <w:suppressAutoHyphens w:val="0"/>
              <w:jc w:val="right"/>
              <w:rPr>
                <w:rFonts w:ascii="Aptos Narrow" w:hAnsi="Aptos Narrow"/>
                <w:b/>
                <w:bCs/>
                <w:color w:val="000000"/>
                <w:sz w:val="20"/>
                <w:szCs w:val="20"/>
              </w:rPr>
            </w:pPr>
            <w:r w:rsidRPr="00E97255">
              <w:rPr>
                <w:rFonts w:ascii="Aptos Narrow" w:hAnsi="Aptos Narrow"/>
                <w:b/>
                <w:bCs/>
                <w:color w:val="000000"/>
                <w:sz w:val="20"/>
                <w:szCs w:val="20"/>
              </w:rPr>
              <w:t>CHI Monies for Local Awards</w:t>
            </w:r>
          </w:p>
        </w:tc>
        <w:tc>
          <w:tcPr>
            <w:tcW w:w="2210" w:type="dxa"/>
            <w:tcBorders>
              <w:top w:val="nil"/>
              <w:left w:val="single" w:sz="4" w:space="0" w:color="auto"/>
              <w:bottom w:val="nil"/>
              <w:right w:val="nil"/>
            </w:tcBorders>
            <w:shd w:val="clear" w:color="auto" w:fill="FFF2CC" w:themeFill="accent4" w:themeFillTint="33"/>
            <w:vAlign w:val="center"/>
            <w:hideMark/>
          </w:tcPr>
          <w:p w14:paraId="5CD70800"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$4,737,734.69 </w:t>
            </w:r>
          </w:p>
        </w:tc>
        <w:tc>
          <w:tcPr>
            <w:tcW w:w="2220" w:type="dxa"/>
            <w:tcBorders>
              <w:top w:val="nil"/>
              <w:left w:val="nil"/>
              <w:bottom w:val="nil"/>
              <w:right w:val="nil"/>
            </w:tcBorders>
            <w:shd w:val="clear" w:color="auto" w:fill="FFF2CC" w:themeFill="accent4" w:themeFillTint="33"/>
            <w:vAlign w:val="center"/>
            <w:hideMark/>
          </w:tcPr>
          <w:p w14:paraId="405AD89E"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$346,482.62 </w:t>
            </w:r>
          </w:p>
        </w:tc>
        <w:tc>
          <w:tcPr>
            <w:tcW w:w="2320" w:type="dxa"/>
            <w:tcBorders>
              <w:top w:val="nil"/>
              <w:left w:val="nil"/>
              <w:bottom w:val="nil"/>
              <w:right w:val="nil"/>
            </w:tcBorders>
            <w:shd w:val="clear" w:color="auto" w:fill="FFF2CC" w:themeFill="accent4" w:themeFillTint="33"/>
            <w:vAlign w:val="center"/>
            <w:hideMark/>
          </w:tcPr>
          <w:p w14:paraId="7834FF76" w14:textId="77777777" w:rsidR="00E97255" w:rsidRPr="00E97255" w:rsidRDefault="00E97255" w:rsidP="00E97255">
            <w:pPr>
              <w:suppressAutoHyphens w:val="0"/>
              <w:jc w:val="right"/>
              <w:rPr>
                <w:rFonts w:ascii="Aptos Narrow" w:hAnsi="Aptos Narrow"/>
                <w:color w:val="000000"/>
                <w:sz w:val="20"/>
                <w:szCs w:val="20"/>
              </w:rPr>
            </w:pPr>
            <w:r w:rsidRPr="00E97255">
              <w:rPr>
                <w:rFonts w:ascii="Aptos Narrow" w:hAnsi="Aptos Narrow"/>
                <w:color w:val="000000"/>
                <w:sz w:val="20"/>
                <w:szCs w:val="20"/>
              </w:rPr>
              <w:t xml:space="preserve">$5,084,217.31 </w:t>
            </w:r>
          </w:p>
        </w:tc>
      </w:tr>
    </w:tbl>
    <w:p w14:paraId="17F56B2C" w14:textId="77777777" w:rsidR="00775B34" w:rsidRDefault="00775B34" w:rsidP="00A2097F">
      <w:pPr>
        <w:suppressAutoHyphens w:val="0"/>
        <w:autoSpaceDE w:val="0"/>
        <w:autoSpaceDN w:val="0"/>
        <w:adjustRightInd w:val="0"/>
        <w:spacing w:after="120"/>
        <w:jc w:val="both"/>
        <w:rPr>
          <w:rFonts w:ascii="Aptos" w:hAnsi="Aptos"/>
          <w:sz w:val="20"/>
          <w:szCs w:val="20"/>
        </w:rPr>
      </w:pPr>
    </w:p>
    <w:p w14:paraId="6FB0D623" w14:textId="43E08905" w:rsidR="009F5152" w:rsidRPr="00E97255" w:rsidRDefault="00A06920" w:rsidP="00A2097F">
      <w:pPr>
        <w:suppressAutoHyphens w:val="0"/>
        <w:autoSpaceDE w:val="0"/>
        <w:autoSpaceDN w:val="0"/>
        <w:adjustRightInd w:val="0"/>
        <w:spacing w:after="120"/>
        <w:jc w:val="both"/>
        <w:rPr>
          <w:rFonts w:ascii="Aptos" w:hAnsi="Aptos"/>
          <w:sz w:val="20"/>
          <w:szCs w:val="20"/>
        </w:rPr>
      </w:pPr>
      <w:r>
        <w:rPr>
          <w:rFonts w:ascii="Aptos" w:hAnsi="Aptos"/>
          <w:sz w:val="20"/>
          <w:szCs w:val="20"/>
        </w:rPr>
        <w:t>The Medical Center</w:t>
      </w:r>
      <w:r w:rsidR="009F5152" w:rsidRPr="00E97255">
        <w:rPr>
          <w:rFonts w:ascii="Aptos" w:hAnsi="Aptos"/>
          <w:sz w:val="20"/>
          <w:szCs w:val="20"/>
        </w:rPr>
        <w:t xml:space="preserve"> </w:t>
      </w:r>
      <w:r w:rsidR="008151C1">
        <w:rPr>
          <w:rFonts w:ascii="Aptos" w:hAnsi="Aptos"/>
          <w:sz w:val="20"/>
          <w:szCs w:val="20"/>
        </w:rPr>
        <w:t>requests</w:t>
      </w:r>
      <w:r w:rsidR="009F5152" w:rsidRPr="00E97255">
        <w:rPr>
          <w:rFonts w:ascii="Aptos" w:hAnsi="Aptos"/>
          <w:sz w:val="20"/>
          <w:szCs w:val="20"/>
        </w:rPr>
        <w:t xml:space="preserve"> approval to use up to</w:t>
      </w:r>
      <w:r w:rsidR="00700284" w:rsidRPr="00E97255">
        <w:rPr>
          <w:rFonts w:ascii="Aptos" w:hAnsi="Aptos"/>
          <w:sz w:val="20"/>
          <w:szCs w:val="20"/>
        </w:rPr>
        <w:t xml:space="preserve"> </w:t>
      </w:r>
      <w:r w:rsidR="00E97255" w:rsidRPr="00E97255">
        <w:rPr>
          <w:rFonts w:ascii="Aptos" w:hAnsi="Aptos"/>
          <w:sz w:val="20"/>
          <w:szCs w:val="20"/>
        </w:rPr>
        <w:t>four</w:t>
      </w:r>
      <w:r w:rsidR="009F5152" w:rsidRPr="00E97255">
        <w:rPr>
          <w:rFonts w:ascii="Aptos" w:hAnsi="Aptos"/>
          <w:sz w:val="20"/>
          <w:szCs w:val="20"/>
        </w:rPr>
        <w:t xml:space="preserve"> (</w:t>
      </w:r>
      <w:r w:rsidR="00E97255" w:rsidRPr="00E97255">
        <w:rPr>
          <w:rFonts w:ascii="Aptos" w:hAnsi="Aptos"/>
          <w:sz w:val="20"/>
          <w:szCs w:val="20"/>
        </w:rPr>
        <w:t>4</w:t>
      </w:r>
      <w:r w:rsidR="009F5152" w:rsidRPr="00E97255">
        <w:rPr>
          <w:rFonts w:ascii="Aptos" w:hAnsi="Aptos"/>
          <w:sz w:val="20"/>
          <w:szCs w:val="20"/>
        </w:rPr>
        <w:t>%) of local CHI funding (</w:t>
      </w:r>
      <w:r w:rsidR="00700284" w:rsidRPr="00E97255">
        <w:rPr>
          <w:rFonts w:ascii="Aptos" w:hAnsi="Aptos"/>
          <w:sz w:val="20"/>
          <w:szCs w:val="20"/>
        </w:rPr>
        <w:t>$</w:t>
      </w:r>
      <w:r w:rsidR="00E97255" w:rsidRPr="00E97255">
        <w:rPr>
          <w:rFonts w:ascii="Aptos Narrow" w:hAnsi="Aptos Narrow"/>
          <w:color w:val="000000"/>
          <w:sz w:val="20"/>
          <w:szCs w:val="20"/>
        </w:rPr>
        <w:t>17,823.18</w:t>
      </w:r>
      <w:r w:rsidR="00700284" w:rsidRPr="00E97255">
        <w:rPr>
          <w:rFonts w:ascii="Aptos" w:hAnsi="Aptos"/>
          <w:sz w:val="20"/>
          <w:szCs w:val="20"/>
        </w:rPr>
        <w:t>)</w:t>
      </w:r>
      <w:r>
        <w:rPr>
          <w:rFonts w:ascii="Aptos" w:hAnsi="Aptos"/>
          <w:sz w:val="20"/>
          <w:szCs w:val="20"/>
        </w:rPr>
        <w:t xml:space="preserve"> for</w:t>
      </w:r>
      <w:r w:rsidR="009F5152" w:rsidRPr="00E97255">
        <w:rPr>
          <w:rFonts w:ascii="Aptos" w:hAnsi="Aptos"/>
          <w:sz w:val="20"/>
          <w:szCs w:val="20"/>
        </w:rPr>
        <w:t xml:space="preserve"> administrative funding. These monies will support promotion of meetings, interpretation/translation, community engagement, stipends for community resident participation, additional staff time for these efforts.</w:t>
      </w:r>
    </w:p>
    <w:p w14:paraId="44150990" w14:textId="7845D4B1" w:rsidR="0036557A" w:rsidRPr="00E97255" w:rsidRDefault="009F5152" w:rsidP="00A2097F">
      <w:pPr>
        <w:spacing w:after="120"/>
        <w:jc w:val="both"/>
        <w:rPr>
          <w:rFonts w:ascii="Aptos" w:hAnsi="Aptos"/>
          <w:sz w:val="20"/>
          <w:szCs w:val="20"/>
        </w:rPr>
      </w:pPr>
      <w:r w:rsidRPr="00E97255">
        <w:rPr>
          <w:rFonts w:ascii="Aptos" w:hAnsi="Aptos"/>
          <w:sz w:val="20"/>
          <w:szCs w:val="20"/>
        </w:rPr>
        <w:t xml:space="preserve">Additionally, </w:t>
      </w:r>
      <w:r w:rsidR="00A06920">
        <w:rPr>
          <w:rFonts w:ascii="Aptos" w:hAnsi="Aptos"/>
          <w:sz w:val="20"/>
          <w:szCs w:val="20"/>
        </w:rPr>
        <w:t>the Medical Center</w:t>
      </w:r>
      <w:r w:rsidRPr="00E97255">
        <w:rPr>
          <w:rFonts w:ascii="Aptos" w:hAnsi="Aptos"/>
          <w:sz w:val="20"/>
          <w:szCs w:val="20"/>
        </w:rPr>
        <w:t xml:space="preserve"> </w:t>
      </w:r>
      <w:r w:rsidR="00753EC9">
        <w:rPr>
          <w:rFonts w:ascii="Aptos" w:hAnsi="Aptos"/>
          <w:sz w:val="20"/>
          <w:szCs w:val="20"/>
        </w:rPr>
        <w:t>plans</w:t>
      </w:r>
      <w:r w:rsidRPr="00E97255">
        <w:rPr>
          <w:rFonts w:ascii="Aptos" w:hAnsi="Aptos"/>
          <w:sz w:val="20"/>
          <w:szCs w:val="20"/>
        </w:rPr>
        <w:t xml:space="preserve"> to use 10% of local CHI funding </w:t>
      </w:r>
      <w:r w:rsidR="00753EC9">
        <w:rPr>
          <w:rFonts w:ascii="Aptos" w:hAnsi="Aptos"/>
          <w:sz w:val="20"/>
          <w:szCs w:val="20"/>
        </w:rPr>
        <w:t>(</w:t>
      </w:r>
      <w:r w:rsidR="00E97255" w:rsidRPr="00E97255">
        <w:rPr>
          <w:rFonts w:ascii="Aptos Narrow" w:hAnsi="Aptos Narrow"/>
          <w:color w:val="000000"/>
          <w:sz w:val="20"/>
          <w:szCs w:val="20"/>
        </w:rPr>
        <w:t>$38,498.07</w:t>
      </w:r>
      <w:r w:rsidR="00753EC9">
        <w:rPr>
          <w:rFonts w:ascii="Aptos Narrow" w:hAnsi="Aptos Narrow"/>
          <w:color w:val="000000"/>
          <w:sz w:val="20"/>
          <w:szCs w:val="20"/>
        </w:rPr>
        <w:t>)</w:t>
      </w:r>
      <w:r w:rsidRPr="00E97255">
        <w:rPr>
          <w:rFonts w:ascii="Aptos" w:hAnsi="Aptos"/>
          <w:sz w:val="20"/>
          <w:szCs w:val="20"/>
        </w:rPr>
        <w:t xml:space="preserve"> for evaluation efforts. These monies will allow </w:t>
      </w:r>
      <w:r w:rsidR="00A06920">
        <w:rPr>
          <w:rFonts w:ascii="Aptos" w:hAnsi="Aptos"/>
          <w:sz w:val="20"/>
          <w:szCs w:val="20"/>
        </w:rPr>
        <w:t>the Medical Center</w:t>
      </w:r>
      <w:r w:rsidRPr="00E97255">
        <w:rPr>
          <w:rFonts w:ascii="Aptos" w:hAnsi="Aptos"/>
          <w:sz w:val="20"/>
          <w:szCs w:val="20"/>
        </w:rPr>
        <w:t xml:space="preserve"> to retain the expertise of the internal and/or external resources to develop and implement appropriate evaluation metrics of the CHI-funded projects.</w:t>
      </w:r>
    </w:p>
    <w:sectPr w:rsidR="0036557A" w:rsidRPr="00E972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13D8" w14:textId="77777777" w:rsidR="00C90C3E" w:rsidRDefault="00C90C3E" w:rsidP="009F5152">
      <w:r>
        <w:separator/>
      </w:r>
    </w:p>
  </w:endnote>
  <w:endnote w:type="continuationSeparator" w:id="0">
    <w:p w14:paraId="1F59CB22" w14:textId="77777777" w:rsidR="00C90C3E" w:rsidRDefault="00C90C3E" w:rsidP="009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F71B" w14:textId="0075C56B" w:rsidR="007E74B2" w:rsidRPr="00A13127" w:rsidRDefault="007E74B2" w:rsidP="00A1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097" w14:textId="73ACFEF9" w:rsidR="007E74B2" w:rsidRPr="00A13127" w:rsidRDefault="007E74B2" w:rsidP="00A1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5E76" w14:textId="4EBE9563" w:rsidR="007E74B2" w:rsidRPr="00A13127" w:rsidRDefault="007E74B2" w:rsidP="00A1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723D" w14:textId="77777777" w:rsidR="00C90C3E" w:rsidRDefault="00C90C3E" w:rsidP="009F5152">
      <w:r>
        <w:separator/>
      </w:r>
    </w:p>
  </w:footnote>
  <w:footnote w:type="continuationSeparator" w:id="0">
    <w:p w14:paraId="6705A51B" w14:textId="77777777" w:rsidR="00C90C3E" w:rsidRDefault="00C90C3E" w:rsidP="009F5152">
      <w:r>
        <w:continuationSeparator/>
      </w:r>
    </w:p>
  </w:footnote>
  <w:footnote w:id="1">
    <w:p w14:paraId="32F51EF0" w14:textId="77777777" w:rsidR="00952C6B" w:rsidRPr="00753EC9" w:rsidRDefault="00952C6B" w:rsidP="00952C6B">
      <w:pPr>
        <w:pStyle w:val="FootnoteText"/>
        <w:rPr>
          <w:rFonts w:ascii="Aptos" w:hAnsi="Aptos"/>
          <w:sz w:val="16"/>
          <w:szCs w:val="16"/>
        </w:rPr>
      </w:pPr>
      <w:r w:rsidRPr="00753EC9">
        <w:rPr>
          <w:rStyle w:val="FootnoteReference"/>
          <w:rFonts w:ascii="Aptos" w:hAnsi="Aptos"/>
          <w:sz w:val="16"/>
          <w:szCs w:val="16"/>
        </w:rPr>
        <w:footnoteRef/>
      </w:r>
      <w:r w:rsidRPr="00753EC9">
        <w:rPr>
          <w:rFonts w:ascii="Aptos" w:hAnsi="Aptos"/>
          <w:sz w:val="16"/>
          <w:szCs w:val="16"/>
        </w:rPr>
        <w:t xml:space="preserve"> </w:t>
      </w:r>
      <w:r w:rsidRPr="00753EC9">
        <w:rPr>
          <w:rStyle w:val="cf01"/>
          <w:rFonts w:ascii="Aptos" w:hAnsi="Aptos"/>
          <w:sz w:val="16"/>
          <w:szCs w:val="16"/>
        </w:rPr>
        <w:t>Conditions commonly treated at the Pavilion campus include community acquired pneumonia, congestive heart failure, COVID, infections, and complications from previous admissions.</w:t>
      </w:r>
    </w:p>
  </w:footnote>
  <w:footnote w:id="2">
    <w:p w14:paraId="00B0A68C" w14:textId="7D52EEDB" w:rsidR="00952C6B" w:rsidRPr="00753EC9" w:rsidRDefault="00952C6B" w:rsidP="00952C6B">
      <w:pPr>
        <w:pStyle w:val="FootnoteText"/>
        <w:rPr>
          <w:rFonts w:ascii="Aptos" w:hAnsi="Aptos"/>
          <w:sz w:val="16"/>
          <w:szCs w:val="16"/>
        </w:rPr>
      </w:pPr>
      <w:r w:rsidRPr="00753EC9">
        <w:rPr>
          <w:rStyle w:val="FootnoteReference"/>
          <w:rFonts w:ascii="Aptos" w:hAnsi="Aptos"/>
          <w:sz w:val="16"/>
          <w:szCs w:val="16"/>
        </w:rPr>
        <w:footnoteRef/>
      </w:r>
      <w:r w:rsidRPr="00753EC9">
        <w:rPr>
          <w:rFonts w:ascii="Aptos" w:hAnsi="Aptos"/>
          <w:sz w:val="16"/>
          <w:szCs w:val="16"/>
        </w:rPr>
        <w:t xml:space="preserve"> </w:t>
      </w:r>
      <w:r w:rsidR="00547C2D" w:rsidRPr="00547C2D">
        <w:rPr>
          <w:rFonts w:ascii="Aptos" w:hAnsi="Aptos"/>
          <w:sz w:val="16"/>
          <w:szCs w:val="16"/>
        </w:rPr>
        <w:t xml:space="preserve">McDermott KW, Roemer M. </w:t>
      </w:r>
      <w:hyperlink r:id="rId1" w:history="1">
        <w:r w:rsidR="00547C2D" w:rsidRPr="00B54E12">
          <w:rPr>
            <w:rStyle w:val="Hyperlink"/>
            <w:rFonts w:ascii="Aptos" w:hAnsi="Aptos"/>
            <w:color w:val="000000" w:themeColor="text1"/>
            <w:sz w:val="16"/>
            <w:szCs w:val="16"/>
            <w:u w:val="none"/>
          </w:rPr>
          <w:t>Most Frequent Principal Diagnoses for Inpatient Stays in U.S. Hospitals, 2018</w:t>
        </w:r>
      </w:hyperlink>
      <w:r w:rsidR="00547C2D" w:rsidRPr="00B54E12">
        <w:rPr>
          <w:rFonts w:ascii="Aptos" w:hAnsi="Aptos"/>
          <w:color w:val="000000" w:themeColor="text1"/>
          <w:sz w:val="16"/>
          <w:szCs w:val="16"/>
        </w:rPr>
        <w:t xml:space="preserve">. </w:t>
      </w:r>
      <w:r w:rsidR="00547C2D" w:rsidRPr="00547C2D">
        <w:rPr>
          <w:rFonts w:ascii="Aptos" w:hAnsi="Aptos"/>
          <w:sz w:val="16"/>
          <w:szCs w:val="16"/>
        </w:rPr>
        <w:t xml:space="preserve">2021 Jul 13. In: Healthcare Cost and Utilization Project (HCUP) Statistical Briefs [Internet]. Rockville (MD): Agency for Healthcare Research and Quality (US); 2006 Feb-. Statistical Brief #277. Available from: </w:t>
      </w:r>
      <w:hyperlink r:id="rId2" w:history="1">
        <w:r w:rsidR="00547C2D" w:rsidRPr="00F0576F">
          <w:rPr>
            <w:rStyle w:val="Hyperlink"/>
            <w:rFonts w:ascii="Aptos" w:hAnsi="Aptos"/>
            <w:sz w:val="16"/>
            <w:szCs w:val="16"/>
          </w:rPr>
          <w:t>https://www.ncbi.nlm.nih.gov/books/NBK573113/</w:t>
        </w:r>
      </w:hyperlink>
      <w:r w:rsidR="00547C2D">
        <w:rPr>
          <w:rFonts w:ascii="Aptos" w:hAnsi="Aptos"/>
          <w:sz w:val="16"/>
          <w:szCs w:val="16"/>
        </w:rPr>
        <w:t xml:space="preserve"> </w:t>
      </w:r>
    </w:p>
  </w:footnote>
  <w:footnote w:id="3">
    <w:p w14:paraId="0AD51A80" w14:textId="351CE4B8" w:rsidR="00756C49" w:rsidRPr="00753EC9" w:rsidRDefault="00756C49">
      <w:pPr>
        <w:pStyle w:val="FootnoteText"/>
        <w:rPr>
          <w:rFonts w:ascii="Aptos" w:hAnsi="Aptos"/>
          <w:sz w:val="16"/>
          <w:szCs w:val="16"/>
        </w:rPr>
      </w:pPr>
      <w:r w:rsidRPr="00753EC9">
        <w:rPr>
          <w:rStyle w:val="FootnoteReference"/>
          <w:rFonts w:ascii="Aptos" w:hAnsi="Aptos"/>
          <w:sz w:val="16"/>
          <w:szCs w:val="16"/>
        </w:rPr>
        <w:footnoteRef/>
      </w:r>
      <w:r w:rsidRPr="00753EC9">
        <w:rPr>
          <w:rFonts w:ascii="Aptos" w:hAnsi="Aptos"/>
          <w:sz w:val="16"/>
          <w:szCs w:val="16"/>
        </w:rPr>
        <w:t xml:space="preserve"> University Campus’s CMI for FY25 YTD (October 2024-June 2025) is 2.1930; North Pavilion campus’s CMI for the same </w:t>
      </w:r>
      <w:proofErr w:type="gramStart"/>
      <w:r w:rsidRPr="00753EC9">
        <w:rPr>
          <w:rFonts w:ascii="Aptos" w:hAnsi="Aptos"/>
          <w:sz w:val="16"/>
          <w:szCs w:val="16"/>
        </w:rPr>
        <w:t>time period</w:t>
      </w:r>
      <w:proofErr w:type="gramEnd"/>
      <w:r w:rsidRPr="00753EC9">
        <w:rPr>
          <w:rFonts w:ascii="Aptos" w:hAnsi="Aptos"/>
          <w:sz w:val="16"/>
          <w:szCs w:val="16"/>
        </w:rPr>
        <w:t xml:space="preserve"> is 1.4192.</w:t>
      </w:r>
    </w:p>
  </w:footnote>
  <w:footnote w:id="4">
    <w:p w14:paraId="6FE81F98" w14:textId="77777777" w:rsidR="006B4449" w:rsidRPr="00753EC9" w:rsidRDefault="006B4449" w:rsidP="006B4449">
      <w:pPr>
        <w:pStyle w:val="FootnoteText"/>
        <w:rPr>
          <w:rFonts w:ascii="Aptos" w:hAnsi="Aptos"/>
          <w:sz w:val="16"/>
          <w:szCs w:val="16"/>
        </w:rPr>
      </w:pPr>
      <w:r w:rsidRPr="00753EC9">
        <w:rPr>
          <w:rStyle w:val="FootnoteReference"/>
          <w:rFonts w:ascii="Aptos" w:hAnsi="Aptos"/>
          <w:sz w:val="16"/>
          <w:szCs w:val="16"/>
        </w:rPr>
        <w:footnoteRef/>
      </w:r>
      <w:r w:rsidRPr="00753EC9">
        <w:rPr>
          <w:rFonts w:ascii="Aptos" w:hAnsi="Aptos"/>
          <w:sz w:val="16"/>
          <w:szCs w:val="16"/>
        </w:rPr>
        <w:t xml:space="preserve"> October 1, 2024-June 30, 2025</w:t>
      </w:r>
    </w:p>
  </w:footnote>
  <w:footnote w:id="5">
    <w:p w14:paraId="676079F2" w14:textId="77777777" w:rsidR="00924284" w:rsidRDefault="00924284" w:rsidP="00924284">
      <w:pPr>
        <w:pStyle w:val="FootnoteText"/>
      </w:pPr>
      <w:r w:rsidRPr="00753EC9">
        <w:rPr>
          <w:rStyle w:val="FootnoteReference"/>
          <w:rFonts w:ascii="Aptos" w:hAnsi="Aptos"/>
          <w:sz w:val="16"/>
          <w:szCs w:val="16"/>
        </w:rPr>
        <w:footnoteRef/>
      </w:r>
      <w:r w:rsidRPr="00753EC9">
        <w:rPr>
          <w:rFonts w:ascii="Aptos" w:hAnsi="Aptos"/>
          <w:sz w:val="16"/>
          <w:szCs w:val="16"/>
        </w:rPr>
        <w:t xml:space="preserve"> By comparison, Boston has 200,000 fewer residents but seven (7) EDs: MGH, BWH, BWFH, BIDMC, Tufts, BMC, </w:t>
      </w:r>
      <w:proofErr w:type="spellStart"/>
      <w:r w:rsidRPr="00753EC9">
        <w:rPr>
          <w:rFonts w:ascii="Aptos" w:hAnsi="Aptos"/>
          <w:sz w:val="16"/>
          <w:szCs w:val="16"/>
        </w:rPr>
        <w:t>NeighborHealth</w:t>
      </w:r>
      <w:proofErr w:type="spellEnd"/>
      <w:r w:rsidRPr="00753EC9">
        <w:rPr>
          <w:rFonts w:ascii="Aptos" w:hAnsi="Aptos"/>
          <w:sz w:val="16"/>
          <w:szCs w:val="16"/>
        </w:rPr>
        <w:t>.</w:t>
      </w:r>
      <w:r w:rsidRPr="00302BC8">
        <w:rPr>
          <w:sz w:val="18"/>
          <w:szCs w:val="18"/>
        </w:rPr>
        <w:t xml:space="preserve"> </w:t>
      </w:r>
    </w:p>
  </w:footnote>
  <w:footnote w:id="6">
    <w:p w14:paraId="1B145920" w14:textId="7130B953" w:rsidR="0097726C" w:rsidRPr="007F02AD" w:rsidRDefault="0097726C" w:rsidP="0097726C">
      <w:pPr>
        <w:spacing w:after="120"/>
        <w:jc w:val="both"/>
        <w:rPr>
          <w:rFonts w:ascii="Aptos" w:hAnsi="Aptos"/>
          <w:sz w:val="16"/>
          <w:szCs w:val="16"/>
        </w:rPr>
      </w:pPr>
      <w:r w:rsidRPr="007F02AD">
        <w:rPr>
          <w:rStyle w:val="FootnoteReference"/>
          <w:rFonts w:ascii="Aptos" w:hAnsi="Aptos"/>
          <w:sz w:val="16"/>
          <w:szCs w:val="16"/>
        </w:rPr>
        <w:footnoteRef/>
      </w:r>
      <w:r w:rsidRPr="008602DE">
        <w:rPr>
          <w:rFonts w:ascii="Aptos" w:hAnsi="Aptos"/>
          <w:sz w:val="16"/>
          <w:szCs w:val="16"/>
          <w:lang w:val="de-DE"/>
        </w:rPr>
        <w:t xml:space="preserve"> </w:t>
      </w:r>
      <w:r w:rsidR="007F02AD" w:rsidRPr="008602DE">
        <w:rPr>
          <w:rFonts w:ascii="Aptos" w:hAnsi="Aptos"/>
          <w:sz w:val="16"/>
          <w:szCs w:val="16"/>
          <w:lang w:val="de-DE"/>
        </w:rPr>
        <w:t xml:space="preserve">Janke, A. </w:t>
      </w:r>
      <w:r w:rsidR="007F02AD" w:rsidRPr="008602DE">
        <w:rPr>
          <w:rFonts w:ascii="Aptos" w:hAnsi="Aptos"/>
          <w:sz w:val="16"/>
          <w:szCs w:val="16"/>
          <w:lang w:val="de-DE"/>
        </w:rPr>
        <w:t>T., Mel</w:t>
      </w:r>
      <w:r w:rsidR="007F02AD" w:rsidRPr="00E0673C">
        <w:rPr>
          <w:rFonts w:ascii="Aptos" w:hAnsi="Aptos"/>
          <w:color w:val="000000" w:themeColor="text1"/>
          <w:sz w:val="16"/>
          <w:szCs w:val="16"/>
          <w:lang w:val="de-DE"/>
        </w:rPr>
        <w:t xml:space="preserve">nick, E. R., &amp; Venkatesh, A. K. (2022). </w:t>
      </w:r>
      <w:hyperlink r:id="rId3" w:history="1">
        <w:r w:rsidR="007F02AD" w:rsidRPr="00E0673C">
          <w:rPr>
            <w:rStyle w:val="Hyperlink"/>
            <w:rFonts w:ascii="Aptos" w:hAnsi="Aptos"/>
            <w:color w:val="000000" w:themeColor="text1"/>
            <w:sz w:val="16"/>
            <w:szCs w:val="16"/>
            <w:u w:val="none"/>
          </w:rPr>
          <w:t>Hospital Occupancy and Emergency Department Boarding During the COVID-19 Pandemic</w:t>
        </w:r>
      </w:hyperlink>
      <w:r w:rsidR="007F02AD" w:rsidRPr="00E0673C">
        <w:rPr>
          <w:rFonts w:ascii="Aptos" w:hAnsi="Aptos"/>
          <w:color w:val="000000" w:themeColor="text1"/>
          <w:sz w:val="16"/>
          <w:szCs w:val="16"/>
        </w:rPr>
        <w:t>. </w:t>
      </w:r>
      <w:r w:rsidR="007F02AD" w:rsidRPr="00E0673C">
        <w:rPr>
          <w:rFonts w:ascii="Aptos" w:hAnsi="Aptos"/>
          <w:i/>
          <w:iCs/>
          <w:color w:val="000000" w:themeColor="text1"/>
          <w:sz w:val="16"/>
          <w:szCs w:val="16"/>
        </w:rPr>
        <w:t>JAMA</w:t>
      </w:r>
      <w:r w:rsidR="007F02AD" w:rsidRPr="00E27308">
        <w:rPr>
          <w:rFonts w:ascii="Aptos" w:hAnsi="Aptos"/>
          <w:i/>
          <w:iCs/>
          <w:color w:val="000000" w:themeColor="text1"/>
          <w:sz w:val="16"/>
          <w:szCs w:val="16"/>
        </w:rPr>
        <w:t xml:space="preserve"> </w:t>
      </w:r>
      <w:r w:rsidR="007F02AD" w:rsidRPr="007F02AD">
        <w:rPr>
          <w:rFonts w:ascii="Aptos" w:hAnsi="Aptos"/>
          <w:i/>
          <w:iCs/>
          <w:sz w:val="16"/>
          <w:szCs w:val="16"/>
        </w:rPr>
        <w:t>network open</w:t>
      </w:r>
      <w:r w:rsidR="007F02AD" w:rsidRPr="007F02AD">
        <w:rPr>
          <w:rFonts w:ascii="Aptos" w:hAnsi="Aptos"/>
          <w:sz w:val="16"/>
          <w:szCs w:val="16"/>
        </w:rPr>
        <w:t>, </w:t>
      </w:r>
      <w:r w:rsidR="007F02AD" w:rsidRPr="007F02AD">
        <w:rPr>
          <w:rFonts w:ascii="Aptos" w:hAnsi="Aptos"/>
          <w:i/>
          <w:iCs/>
          <w:sz w:val="16"/>
          <w:szCs w:val="16"/>
        </w:rPr>
        <w:t>5</w:t>
      </w:r>
      <w:r w:rsidR="007F02AD" w:rsidRPr="007F02AD">
        <w:rPr>
          <w:rFonts w:ascii="Aptos" w:hAnsi="Aptos"/>
          <w:sz w:val="16"/>
          <w:szCs w:val="16"/>
        </w:rPr>
        <w:t xml:space="preserve">(9), e2233964. </w:t>
      </w:r>
      <w:hyperlink r:id="rId4" w:history="1">
        <w:r w:rsidRPr="007F02AD">
          <w:rPr>
            <w:rStyle w:val="Hyperlink"/>
            <w:rFonts w:ascii="Aptos" w:hAnsi="Aptos"/>
            <w:sz w:val="16"/>
            <w:szCs w:val="16"/>
          </w:rPr>
          <w:t>https://pmc.ncbi.nlm.nih.gov/articles/PMC9526134/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BE1B" w14:textId="77777777" w:rsidR="00DA5C8F" w:rsidRDefault="00DA5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D90D" w14:textId="77777777" w:rsidR="00DA5C8F" w:rsidRDefault="00DA5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7B5A" w14:textId="77777777" w:rsidR="00DA5C8F" w:rsidRDefault="00DA5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B7C74"/>
    <w:multiLevelType w:val="hybridMultilevel"/>
    <w:tmpl w:val="6F64AE0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 w15:restartNumberingAfterBreak="0">
    <w:nsid w:val="3B532DC1"/>
    <w:multiLevelType w:val="hybridMultilevel"/>
    <w:tmpl w:val="900C7F24"/>
    <w:lvl w:ilvl="0" w:tplc="FAECDD7C">
      <w:start w:val="1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03EEE"/>
    <w:multiLevelType w:val="hybridMultilevel"/>
    <w:tmpl w:val="50F2D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91422"/>
    <w:multiLevelType w:val="hybridMultilevel"/>
    <w:tmpl w:val="30A81664"/>
    <w:lvl w:ilvl="0" w:tplc="81C4CD8C">
      <w:start w:val="1"/>
      <w:numFmt w:val="decimal"/>
      <w:lvlText w:val="%1."/>
      <w:lvlJc w:val="left"/>
      <w:pPr>
        <w:ind w:left="1020" w:hanging="360"/>
      </w:pPr>
    </w:lvl>
    <w:lvl w:ilvl="1" w:tplc="1160F6DA">
      <w:start w:val="1"/>
      <w:numFmt w:val="decimal"/>
      <w:lvlText w:val="%2."/>
      <w:lvlJc w:val="left"/>
      <w:pPr>
        <w:ind w:left="1020" w:hanging="360"/>
      </w:pPr>
    </w:lvl>
    <w:lvl w:ilvl="2" w:tplc="A9CC97DE">
      <w:start w:val="1"/>
      <w:numFmt w:val="decimal"/>
      <w:lvlText w:val="%3."/>
      <w:lvlJc w:val="left"/>
      <w:pPr>
        <w:ind w:left="1020" w:hanging="360"/>
      </w:pPr>
    </w:lvl>
    <w:lvl w:ilvl="3" w:tplc="A7E8F04C">
      <w:start w:val="1"/>
      <w:numFmt w:val="decimal"/>
      <w:lvlText w:val="%4."/>
      <w:lvlJc w:val="left"/>
      <w:pPr>
        <w:ind w:left="1020" w:hanging="360"/>
      </w:pPr>
    </w:lvl>
    <w:lvl w:ilvl="4" w:tplc="3BB289BC">
      <w:start w:val="1"/>
      <w:numFmt w:val="decimal"/>
      <w:lvlText w:val="%5."/>
      <w:lvlJc w:val="left"/>
      <w:pPr>
        <w:ind w:left="1020" w:hanging="360"/>
      </w:pPr>
    </w:lvl>
    <w:lvl w:ilvl="5" w:tplc="70D2A5CA">
      <w:start w:val="1"/>
      <w:numFmt w:val="decimal"/>
      <w:lvlText w:val="%6."/>
      <w:lvlJc w:val="left"/>
      <w:pPr>
        <w:ind w:left="1020" w:hanging="360"/>
      </w:pPr>
    </w:lvl>
    <w:lvl w:ilvl="6" w:tplc="A44ED93E">
      <w:start w:val="1"/>
      <w:numFmt w:val="decimal"/>
      <w:lvlText w:val="%7."/>
      <w:lvlJc w:val="left"/>
      <w:pPr>
        <w:ind w:left="1020" w:hanging="360"/>
      </w:pPr>
    </w:lvl>
    <w:lvl w:ilvl="7" w:tplc="D1CAD150">
      <w:start w:val="1"/>
      <w:numFmt w:val="decimal"/>
      <w:lvlText w:val="%8."/>
      <w:lvlJc w:val="left"/>
      <w:pPr>
        <w:ind w:left="1020" w:hanging="360"/>
      </w:pPr>
    </w:lvl>
    <w:lvl w:ilvl="8" w:tplc="775C9A1E">
      <w:start w:val="1"/>
      <w:numFmt w:val="decimal"/>
      <w:lvlText w:val="%9."/>
      <w:lvlJc w:val="left"/>
      <w:pPr>
        <w:ind w:left="1020" w:hanging="360"/>
      </w:pPr>
    </w:lvl>
  </w:abstractNum>
  <w:abstractNum w:abstractNumId="6" w15:restartNumberingAfterBreak="0">
    <w:nsid w:val="5D6A7962"/>
    <w:multiLevelType w:val="multilevel"/>
    <w:tmpl w:val="D30C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5042BD"/>
    <w:multiLevelType w:val="hybridMultilevel"/>
    <w:tmpl w:val="8FECBC42"/>
    <w:lvl w:ilvl="0" w:tplc="04090001">
      <w:start w:val="1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07C95"/>
    <w:multiLevelType w:val="hybridMultilevel"/>
    <w:tmpl w:val="449C9A12"/>
    <w:lvl w:ilvl="0" w:tplc="4E7EB33C">
      <w:start w:val="1"/>
      <w:numFmt w:val="decimal"/>
      <w:lvlText w:val="%1."/>
      <w:lvlJc w:val="left"/>
      <w:pPr>
        <w:ind w:left="1020" w:hanging="360"/>
      </w:pPr>
    </w:lvl>
    <w:lvl w:ilvl="1" w:tplc="B8F049A6">
      <w:start w:val="1"/>
      <w:numFmt w:val="decimal"/>
      <w:lvlText w:val="%2."/>
      <w:lvlJc w:val="left"/>
      <w:pPr>
        <w:ind w:left="1020" w:hanging="360"/>
      </w:pPr>
    </w:lvl>
    <w:lvl w:ilvl="2" w:tplc="D2743BA6">
      <w:start w:val="1"/>
      <w:numFmt w:val="decimal"/>
      <w:lvlText w:val="%3."/>
      <w:lvlJc w:val="left"/>
      <w:pPr>
        <w:ind w:left="1020" w:hanging="360"/>
      </w:pPr>
    </w:lvl>
    <w:lvl w:ilvl="3" w:tplc="DAD49894">
      <w:start w:val="1"/>
      <w:numFmt w:val="decimal"/>
      <w:lvlText w:val="%4."/>
      <w:lvlJc w:val="left"/>
      <w:pPr>
        <w:ind w:left="1020" w:hanging="360"/>
      </w:pPr>
    </w:lvl>
    <w:lvl w:ilvl="4" w:tplc="D84A0CF8">
      <w:start w:val="1"/>
      <w:numFmt w:val="decimal"/>
      <w:lvlText w:val="%5."/>
      <w:lvlJc w:val="left"/>
      <w:pPr>
        <w:ind w:left="1020" w:hanging="360"/>
      </w:pPr>
    </w:lvl>
    <w:lvl w:ilvl="5" w:tplc="DA8CD4D0">
      <w:start w:val="1"/>
      <w:numFmt w:val="decimal"/>
      <w:lvlText w:val="%6."/>
      <w:lvlJc w:val="left"/>
      <w:pPr>
        <w:ind w:left="1020" w:hanging="360"/>
      </w:pPr>
    </w:lvl>
    <w:lvl w:ilvl="6" w:tplc="DD5244EE">
      <w:start w:val="1"/>
      <w:numFmt w:val="decimal"/>
      <w:lvlText w:val="%7."/>
      <w:lvlJc w:val="left"/>
      <w:pPr>
        <w:ind w:left="1020" w:hanging="360"/>
      </w:pPr>
    </w:lvl>
    <w:lvl w:ilvl="7" w:tplc="DF9ABA30">
      <w:start w:val="1"/>
      <w:numFmt w:val="decimal"/>
      <w:lvlText w:val="%8."/>
      <w:lvlJc w:val="left"/>
      <w:pPr>
        <w:ind w:left="1020" w:hanging="360"/>
      </w:pPr>
    </w:lvl>
    <w:lvl w:ilvl="8" w:tplc="442807BA">
      <w:start w:val="1"/>
      <w:numFmt w:val="decimal"/>
      <w:lvlText w:val="%9."/>
      <w:lvlJc w:val="left"/>
      <w:pPr>
        <w:ind w:left="1020" w:hanging="360"/>
      </w:pPr>
    </w:lvl>
  </w:abstractNum>
  <w:num w:numId="1" w16cid:durableId="755056309">
    <w:abstractNumId w:val="1"/>
  </w:num>
  <w:num w:numId="2" w16cid:durableId="40911050">
    <w:abstractNumId w:val="0"/>
  </w:num>
  <w:num w:numId="3" w16cid:durableId="253167430">
    <w:abstractNumId w:val="8"/>
  </w:num>
  <w:num w:numId="4" w16cid:durableId="542644331">
    <w:abstractNumId w:val="2"/>
  </w:num>
  <w:num w:numId="5" w16cid:durableId="868571409">
    <w:abstractNumId w:val="4"/>
  </w:num>
  <w:num w:numId="6" w16cid:durableId="96491572">
    <w:abstractNumId w:val="3"/>
  </w:num>
  <w:num w:numId="7" w16cid:durableId="1367636740">
    <w:abstractNumId w:val="6"/>
  </w:num>
  <w:num w:numId="8" w16cid:durableId="60182491">
    <w:abstractNumId w:val="5"/>
  </w:num>
  <w:num w:numId="9" w16cid:durableId="1625848333">
    <w:abstractNumId w:val="9"/>
  </w:num>
  <w:num w:numId="10" w16cid:durableId="18455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52"/>
    <w:rsid w:val="00004C0E"/>
    <w:rsid w:val="00022ED0"/>
    <w:rsid w:val="00044DB3"/>
    <w:rsid w:val="00050655"/>
    <w:rsid w:val="00051236"/>
    <w:rsid w:val="0006060D"/>
    <w:rsid w:val="000632AA"/>
    <w:rsid w:val="000A25BD"/>
    <w:rsid w:val="000A34FB"/>
    <w:rsid w:val="000C62EA"/>
    <w:rsid w:val="000D1B69"/>
    <w:rsid w:val="000D58D1"/>
    <w:rsid w:val="000D742A"/>
    <w:rsid w:val="000D7729"/>
    <w:rsid w:val="000E1937"/>
    <w:rsid w:val="000F1A99"/>
    <w:rsid w:val="000F675D"/>
    <w:rsid w:val="00110B2A"/>
    <w:rsid w:val="00110C42"/>
    <w:rsid w:val="00162DCD"/>
    <w:rsid w:val="0016617B"/>
    <w:rsid w:val="00173E99"/>
    <w:rsid w:val="0017719E"/>
    <w:rsid w:val="001858E7"/>
    <w:rsid w:val="001C100E"/>
    <w:rsid w:val="001D643D"/>
    <w:rsid w:val="001E2028"/>
    <w:rsid w:val="002024CC"/>
    <w:rsid w:val="00202D38"/>
    <w:rsid w:val="00213984"/>
    <w:rsid w:val="0022496D"/>
    <w:rsid w:val="002265DD"/>
    <w:rsid w:val="00230665"/>
    <w:rsid w:val="00245479"/>
    <w:rsid w:val="0025743D"/>
    <w:rsid w:val="00264FF9"/>
    <w:rsid w:val="0026784A"/>
    <w:rsid w:val="00284BF5"/>
    <w:rsid w:val="002858CD"/>
    <w:rsid w:val="00290BF1"/>
    <w:rsid w:val="00294057"/>
    <w:rsid w:val="0029561A"/>
    <w:rsid w:val="00296374"/>
    <w:rsid w:val="002A44EA"/>
    <w:rsid w:val="002B2565"/>
    <w:rsid w:val="002B4F06"/>
    <w:rsid w:val="002B74E2"/>
    <w:rsid w:val="002C2EA8"/>
    <w:rsid w:val="002D57F8"/>
    <w:rsid w:val="002E4DFD"/>
    <w:rsid w:val="002E60BF"/>
    <w:rsid w:val="00302BC8"/>
    <w:rsid w:val="00317A27"/>
    <w:rsid w:val="00331B4B"/>
    <w:rsid w:val="0034516A"/>
    <w:rsid w:val="003471CC"/>
    <w:rsid w:val="003477C9"/>
    <w:rsid w:val="00350375"/>
    <w:rsid w:val="0036557A"/>
    <w:rsid w:val="00365FE8"/>
    <w:rsid w:val="00376F1F"/>
    <w:rsid w:val="00391E7A"/>
    <w:rsid w:val="00394444"/>
    <w:rsid w:val="003A0514"/>
    <w:rsid w:val="003B00F4"/>
    <w:rsid w:val="003C2392"/>
    <w:rsid w:val="003E0A46"/>
    <w:rsid w:val="00400059"/>
    <w:rsid w:val="004019C6"/>
    <w:rsid w:val="00454ECF"/>
    <w:rsid w:val="00455A32"/>
    <w:rsid w:val="00466C65"/>
    <w:rsid w:val="00481D62"/>
    <w:rsid w:val="00496C80"/>
    <w:rsid w:val="004C6A11"/>
    <w:rsid w:val="004D69F8"/>
    <w:rsid w:val="004E2EEC"/>
    <w:rsid w:val="004F40A2"/>
    <w:rsid w:val="0052621F"/>
    <w:rsid w:val="005401DE"/>
    <w:rsid w:val="00544117"/>
    <w:rsid w:val="00547633"/>
    <w:rsid w:val="00547C2D"/>
    <w:rsid w:val="005559D1"/>
    <w:rsid w:val="005710CE"/>
    <w:rsid w:val="00574B39"/>
    <w:rsid w:val="00590A49"/>
    <w:rsid w:val="00595193"/>
    <w:rsid w:val="005B4BDC"/>
    <w:rsid w:val="005C131C"/>
    <w:rsid w:val="005D1A20"/>
    <w:rsid w:val="005D2E26"/>
    <w:rsid w:val="005E1A73"/>
    <w:rsid w:val="005E1EBE"/>
    <w:rsid w:val="005E2B21"/>
    <w:rsid w:val="005F4A41"/>
    <w:rsid w:val="00606F8B"/>
    <w:rsid w:val="00611593"/>
    <w:rsid w:val="00655423"/>
    <w:rsid w:val="00661002"/>
    <w:rsid w:val="00662EBC"/>
    <w:rsid w:val="00665E93"/>
    <w:rsid w:val="0067172D"/>
    <w:rsid w:val="00681EBA"/>
    <w:rsid w:val="0068296C"/>
    <w:rsid w:val="00693102"/>
    <w:rsid w:val="006942E2"/>
    <w:rsid w:val="006A0C89"/>
    <w:rsid w:val="006B4449"/>
    <w:rsid w:val="006C58FA"/>
    <w:rsid w:val="006C651E"/>
    <w:rsid w:val="006C67A3"/>
    <w:rsid w:val="006F2110"/>
    <w:rsid w:val="00700284"/>
    <w:rsid w:val="0070224E"/>
    <w:rsid w:val="007046F0"/>
    <w:rsid w:val="00711391"/>
    <w:rsid w:val="007144A6"/>
    <w:rsid w:val="007222B2"/>
    <w:rsid w:val="00723766"/>
    <w:rsid w:val="00731F2C"/>
    <w:rsid w:val="007346CD"/>
    <w:rsid w:val="007404D1"/>
    <w:rsid w:val="00753EC9"/>
    <w:rsid w:val="00756C49"/>
    <w:rsid w:val="007659B8"/>
    <w:rsid w:val="0077273F"/>
    <w:rsid w:val="00775B34"/>
    <w:rsid w:val="00780C3D"/>
    <w:rsid w:val="00782F73"/>
    <w:rsid w:val="007854C1"/>
    <w:rsid w:val="007863CF"/>
    <w:rsid w:val="0079695A"/>
    <w:rsid w:val="0079730D"/>
    <w:rsid w:val="00797F0C"/>
    <w:rsid w:val="007C528D"/>
    <w:rsid w:val="007E74B2"/>
    <w:rsid w:val="007F02AD"/>
    <w:rsid w:val="008039F6"/>
    <w:rsid w:val="008151C1"/>
    <w:rsid w:val="00821F0B"/>
    <w:rsid w:val="00826093"/>
    <w:rsid w:val="008305AC"/>
    <w:rsid w:val="00847644"/>
    <w:rsid w:val="008519DD"/>
    <w:rsid w:val="008602DE"/>
    <w:rsid w:val="008721E1"/>
    <w:rsid w:val="00876EC4"/>
    <w:rsid w:val="008844D2"/>
    <w:rsid w:val="008A1FC2"/>
    <w:rsid w:val="008B3D59"/>
    <w:rsid w:val="008B3E85"/>
    <w:rsid w:val="008C2ED3"/>
    <w:rsid w:val="008E3414"/>
    <w:rsid w:val="008E567D"/>
    <w:rsid w:val="008F6095"/>
    <w:rsid w:val="00901293"/>
    <w:rsid w:val="00924284"/>
    <w:rsid w:val="00926023"/>
    <w:rsid w:val="00951E7D"/>
    <w:rsid w:val="00952C6B"/>
    <w:rsid w:val="00957763"/>
    <w:rsid w:val="0097726C"/>
    <w:rsid w:val="00980D09"/>
    <w:rsid w:val="009826F6"/>
    <w:rsid w:val="00996C58"/>
    <w:rsid w:val="009B115F"/>
    <w:rsid w:val="009B6C46"/>
    <w:rsid w:val="009C0A31"/>
    <w:rsid w:val="009C0D62"/>
    <w:rsid w:val="009E6972"/>
    <w:rsid w:val="009F5152"/>
    <w:rsid w:val="009F6659"/>
    <w:rsid w:val="00A05CAF"/>
    <w:rsid w:val="00A06535"/>
    <w:rsid w:val="00A06920"/>
    <w:rsid w:val="00A13127"/>
    <w:rsid w:val="00A16BC4"/>
    <w:rsid w:val="00A2097F"/>
    <w:rsid w:val="00A21537"/>
    <w:rsid w:val="00A23E84"/>
    <w:rsid w:val="00A3583D"/>
    <w:rsid w:val="00A45818"/>
    <w:rsid w:val="00A60E3F"/>
    <w:rsid w:val="00A743B5"/>
    <w:rsid w:val="00A95C48"/>
    <w:rsid w:val="00AB3289"/>
    <w:rsid w:val="00AB7338"/>
    <w:rsid w:val="00AC0829"/>
    <w:rsid w:val="00AC5C82"/>
    <w:rsid w:val="00AD5827"/>
    <w:rsid w:val="00AE24B5"/>
    <w:rsid w:val="00AE6AC5"/>
    <w:rsid w:val="00AF312E"/>
    <w:rsid w:val="00AF4264"/>
    <w:rsid w:val="00B005A5"/>
    <w:rsid w:val="00B05A8B"/>
    <w:rsid w:val="00B165D0"/>
    <w:rsid w:val="00B1686A"/>
    <w:rsid w:val="00B232AD"/>
    <w:rsid w:val="00B30933"/>
    <w:rsid w:val="00B35173"/>
    <w:rsid w:val="00B53469"/>
    <w:rsid w:val="00B54E12"/>
    <w:rsid w:val="00B62348"/>
    <w:rsid w:val="00B63E5C"/>
    <w:rsid w:val="00B77010"/>
    <w:rsid w:val="00B92469"/>
    <w:rsid w:val="00B94F70"/>
    <w:rsid w:val="00BA73E7"/>
    <w:rsid w:val="00BC1066"/>
    <w:rsid w:val="00BD087B"/>
    <w:rsid w:val="00BD501F"/>
    <w:rsid w:val="00BE122A"/>
    <w:rsid w:val="00BE470F"/>
    <w:rsid w:val="00C04ED7"/>
    <w:rsid w:val="00C05E00"/>
    <w:rsid w:val="00C06610"/>
    <w:rsid w:val="00C17C05"/>
    <w:rsid w:val="00C27DB0"/>
    <w:rsid w:val="00C31B08"/>
    <w:rsid w:val="00C44491"/>
    <w:rsid w:val="00C6045D"/>
    <w:rsid w:val="00C61F9C"/>
    <w:rsid w:val="00C7177A"/>
    <w:rsid w:val="00C75612"/>
    <w:rsid w:val="00C90C3E"/>
    <w:rsid w:val="00C971BC"/>
    <w:rsid w:val="00CA2AE7"/>
    <w:rsid w:val="00CA51A8"/>
    <w:rsid w:val="00CA68FE"/>
    <w:rsid w:val="00CC1688"/>
    <w:rsid w:val="00CD7F5B"/>
    <w:rsid w:val="00CE640A"/>
    <w:rsid w:val="00CF4111"/>
    <w:rsid w:val="00D0088D"/>
    <w:rsid w:val="00D071C2"/>
    <w:rsid w:val="00D14052"/>
    <w:rsid w:val="00D337A5"/>
    <w:rsid w:val="00D35E21"/>
    <w:rsid w:val="00D52356"/>
    <w:rsid w:val="00D618E4"/>
    <w:rsid w:val="00D64B01"/>
    <w:rsid w:val="00D94DD2"/>
    <w:rsid w:val="00D95EEF"/>
    <w:rsid w:val="00D97544"/>
    <w:rsid w:val="00D97633"/>
    <w:rsid w:val="00DA5C8F"/>
    <w:rsid w:val="00DA7BBE"/>
    <w:rsid w:val="00DB75CE"/>
    <w:rsid w:val="00DE15A1"/>
    <w:rsid w:val="00DF3518"/>
    <w:rsid w:val="00E0673C"/>
    <w:rsid w:val="00E16080"/>
    <w:rsid w:val="00E27308"/>
    <w:rsid w:val="00E4319C"/>
    <w:rsid w:val="00E6352C"/>
    <w:rsid w:val="00E81A66"/>
    <w:rsid w:val="00E845D2"/>
    <w:rsid w:val="00E84C82"/>
    <w:rsid w:val="00E97255"/>
    <w:rsid w:val="00EA3B79"/>
    <w:rsid w:val="00EB557F"/>
    <w:rsid w:val="00EC0E8E"/>
    <w:rsid w:val="00EE6D69"/>
    <w:rsid w:val="00F0324C"/>
    <w:rsid w:val="00F070E9"/>
    <w:rsid w:val="00F14A30"/>
    <w:rsid w:val="00F413DD"/>
    <w:rsid w:val="00F444A1"/>
    <w:rsid w:val="00F5477A"/>
    <w:rsid w:val="00F552D6"/>
    <w:rsid w:val="00F64F3D"/>
    <w:rsid w:val="00F804B8"/>
    <w:rsid w:val="00F87FAC"/>
    <w:rsid w:val="00F92F40"/>
    <w:rsid w:val="00F9335F"/>
    <w:rsid w:val="00FA1A4E"/>
    <w:rsid w:val="00FC2AB9"/>
    <w:rsid w:val="00FD2756"/>
    <w:rsid w:val="00FE1FF1"/>
    <w:rsid w:val="00FF04B4"/>
    <w:rsid w:val="00FF1211"/>
    <w:rsid w:val="00FF348B"/>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046"/>
  <w15:chartTrackingRefBased/>
  <w15:docId w15:val="{6F0804F8-AC23-4E91-8D5E-887A6B8E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52"/>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DA5C8F"/>
    <w:pPr>
      <w:spacing w:before="120" w:after="120"/>
      <w:outlineLvl w:val="0"/>
    </w:pPr>
    <w:rPr>
      <w:b/>
      <w:bCs/>
      <w:sz w:val="22"/>
      <w:szCs w:val="22"/>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DA5C8F"/>
    <w:rPr>
      <w:rFonts w:ascii="Times New Roman" w:hAnsi="Times New Roman" w:cs="Times New Roman"/>
      <w:b/>
      <w:bCs/>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9F5152"/>
    <w:pPr>
      <w:ind w:left="720"/>
      <w:contextualSpacing/>
    </w:pPr>
  </w:style>
  <w:style w:type="table" w:styleId="TableGrid">
    <w:name w:val="Table Grid"/>
    <w:basedOn w:val="TableNormal"/>
    <w:uiPriority w:val="59"/>
    <w:rsid w:val="009F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152"/>
    <w:rPr>
      <w:sz w:val="16"/>
      <w:szCs w:val="16"/>
    </w:rPr>
  </w:style>
  <w:style w:type="paragraph" w:styleId="CommentText">
    <w:name w:val="annotation text"/>
    <w:basedOn w:val="Normal"/>
    <w:link w:val="CommentTextChar"/>
    <w:uiPriority w:val="99"/>
    <w:unhideWhenUsed/>
    <w:rsid w:val="009F5152"/>
    <w:rPr>
      <w:sz w:val="20"/>
      <w:szCs w:val="20"/>
    </w:rPr>
  </w:style>
  <w:style w:type="character" w:customStyle="1" w:styleId="CommentTextChar">
    <w:name w:val="Comment Text Char"/>
    <w:basedOn w:val="DefaultParagraphFont"/>
    <w:link w:val="CommentText"/>
    <w:uiPriority w:val="99"/>
    <w:rsid w:val="009F5152"/>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F5152"/>
    <w:rPr>
      <w:sz w:val="20"/>
      <w:szCs w:val="20"/>
    </w:rPr>
  </w:style>
  <w:style w:type="character" w:customStyle="1" w:styleId="FootnoteTextChar">
    <w:name w:val="Footnote Text Char"/>
    <w:basedOn w:val="DefaultParagraphFont"/>
    <w:link w:val="FootnoteText"/>
    <w:uiPriority w:val="99"/>
    <w:semiHidden/>
    <w:rsid w:val="009F515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F5152"/>
    <w:rPr>
      <w:vertAlign w:val="superscript"/>
    </w:rPr>
  </w:style>
  <w:style w:type="character" w:customStyle="1" w:styleId="cf01">
    <w:name w:val="cf01"/>
    <w:basedOn w:val="DefaultParagraphFont"/>
    <w:rsid w:val="009F5152"/>
    <w:rPr>
      <w:rFonts w:ascii="Segoe UI" w:hAnsi="Segoe UI" w:cs="Segoe UI" w:hint="default"/>
      <w:sz w:val="18"/>
      <w:szCs w:val="18"/>
    </w:rPr>
  </w:style>
  <w:style w:type="paragraph" w:customStyle="1" w:styleId="pf0">
    <w:name w:val="pf0"/>
    <w:basedOn w:val="Normal"/>
    <w:rsid w:val="009F5152"/>
    <w:pPr>
      <w:suppressAutoHyphens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91E7A"/>
    <w:rPr>
      <w:b/>
      <w:bCs/>
    </w:rPr>
  </w:style>
  <w:style w:type="character" w:customStyle="1" w:styleId="CommentSubjectChar">
    <w:name w:val="Comment Subject Char"/>
    <w:basedOn w:val="CommentTextChar"/>
    <w:link w:val="CommentSubject"/>
    <w:uiPriority w:val="99"/>
    <w:semiHidden/>
    <w:rsid w:val="00391E7A"/>
    <w:rPr>
      <w:rFonts w:ascii="Times New Roman" w:hAnsi="Times New Roman" w:cs="Times New Roman"/>
      <w:b/>
      <w:bCs/>
      <w:sz w:val="20"/>
      <w:szCs w:val="20"/>
    </w:rPr>
  </w:style>
  <w:style w:type="paragraph" w:styleId="Revision">
    <w:name w:val="Revision"/>
    <w:hidden/>
    <w:uiPriority w:val="99"/>
    <w:semiHidden/>
    <w:rsid w:val="00173E9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06F8B"/>
    <w:rPr>
      <w:color w:val="0563C1" w:themeColor="hyperlink"/>
      <w:u w:val="single"/>
    </w:rPr>
  </w:style>
  <w:style w:type="character" w:styleId="UnresolvedMention">
    <w:name w:val="Unresolved Mention"/>
    <w:basedOn w:val="DefaultParagraphFont"/>
    <w:uiPriority w:val="99"/>
    <w:semiHidden/>
    <w:unhideWhenUsed/>
    <w:rsid w:val="00606F8B"/>
    <w:rPr>
      <w:color w:val="605E5C"/>
      <w:shd w:val="clear" w:color="auto" w:fill="E1DFDD"/>
    </w:rPr>
  </w:style>
  <w:style w:type="paragraph" w:styleId="Header">
    <w:name w:val="header"/>
    <w:basedOn w:val="Normal"/>
    <w:link w:val="HeaderChar"/>
    <w:uiPriority w:val="99"/>
    <w:unhideWhenUsed/>
    <w:rsid w:val="007E74B2"/>
    <w:pPr>
      <w:tabs>
        <w:tab w:val="center" w:pos="4680"/>
        <w:tab w:val="right" w:pos="9360"/>
      </w:tabs>
    </w:pPr>
  </w:style>
  <w:style w:type="character" w:customStyle="1" w:styleId="HeaderChar">
    <w:name w:val="Header Char"/>
    <w:basedOn w:val="DefaultParagraphFont"/>
    <w:link w:val="Header"/>
    <w:uiPriority w:val="99"/>
    <w:rsid w:val="007E74B2"/>
    <w:rPr>
      <w:rFonts w:ascii="Times New Roman" w:hAnsi="Times New Roman" w:cs="Times New Roman"/>
      <w:sz w:val="24"/>
      <w:szCs w:val="24"/>
    </w:rPr>
  </w:style>
  <w:style w:type="paragraph" w:styleId="Footer">
    <w:name w:val="footer"/>
    <w:basedOn w:val="Normal"/>
    <w:link w:val="FooterChar"/>
    <w:uiPriority w:val="99"/>
    <w:unhideWhenUsed/>
    <w:rsid w:val="007E74B2"/>
    <w:pPr>
      <w:tabs>
        <w:tab w:val="center" w:pos="4680"/>
        <w:tab w:val="right" w:pos="9360"/>
      </w:tabs>
    </w:pPr>
  </w:style>
  <w:style w:type="character" w:customStyle="1" w:styleId="FooterChar">
    <w:name w:val="Footer Char"/>
    <w:basedOn w:val="DefaultParagraphFont"/>
    <w:link w:val="Footer"/>
    <w:uiPriority w:val="99"/>
    <w:rsid w:val="007E74B2"/>
    <w:rPr>
      <w:rFonts w:ascii="Times New Roman" w:hAnsi="Times New Roman" w:cs="Times New Roman"/>
      <w:sz w:val="24"/>
      <w:szCs w:val="24"/>
    </w:rPr>
  </w:style>
  <w:style w:type="character" w:customStyle="1" w:styleId="DocID">
    <w:name w:val="DocID"/>
    <w:basedOn w:val="DefaultParagraphFont"/>
    <w:uiPriority w:val="1"/>
    <w:rsid w:val="007E74B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211">
      <w:bodyDiv w:val="1"/>
      <w:marLeft w:val="0"/>
      <w:marRight w:val="0"/>
      <w:marTop w:val="0"/>
      <w:marBottom w:val="0"/>
      <w:divBdr>
        <w:top w:val="none" w:sz="0" w:space="0" w:color="auto"/>
        <w:left w:val="none" w:sz="0" w:space="0" w:color="auto"/>
        <w:bottom w:val="none" w:sz="0" w:space="0" w:color="auto"/>
        <w:right w:val="none" w:sz="0" w:space="0" w:color="auto"/>
      </w:divBdr>
    </w:div>
    <w:div w:id="148249838">
      <w:bodyDiv w:val="1"/>
      <w:marLeft w:val="0"/>
      <w:marRight w:val="0"/>
      <w:marTop w:val="0"/>
      <w:marBottom w:val="0"/>
      <w:divBdr>
        <w:top w:val="none" w:sz="0" w:space="0" w:color="auto"/>
        <w:left w:val="none" w:sz="0" w:space="0" w:color="auto"/>
        <w:bottom w:val="none" w:sz="0" w:space="0" w:color="auto"/>
        <w:right w:val="none" w:sz="0" w:space="0" w:color="auto"/>
      </w:divBdr>
    </w:div>
    <w:div w:id="160894838">
      <w:bodyDiv w:val="1"/>
      <w:marLeft w:val="0"/>
      <w:marRight w:val="0"/>
      <w:marTop w:val="0"/>
      <w:marBottom w:val="0"/>
      <w:divBdr>
        <w:top w:val="none" w:sz="0" w:space="0" w:color="auto"/>
        <w:left w:val="none" w:sz="0" w:space="0" w:color="auto"/>
        <w:bottom w:val="none" w:sz="0" w:space="0" w:color="auto"/>
        <w:right w:val="none" w:sz="0" w:space="0" w:color="auto"/>
      </w:divBdr>
    </w:div>
    <w:div w:id="171459922">
      <w:bodyDiv w:val="1"/>
      <w:marLeft w:val="0"/>
      <w:marRight w:val="0"/>
      <w:marTop w:val="0"/>
      <w:marBottom w:val="0"/>
      <w:divBdr>
        <w:top w:val="none" w:sz="0" w:space="0" w:color="auto"/>
        <w:left w:val="none" w:sz="0" w:space="0" w:color="auto"/>
        <w:bottom w:val="none" w:sz="0" w:space="0" w:color="auto"/>
        <w:right w:val="none" w:sz="0" w:space="0" w:color="auto"/>
      </w:divBdr>
    </w:div>
    <w:div w:id="277026802">
      <w:bodyDiv w:val="1"/>
      <w:marLeft w:val="0"/>
      <w:marRight w:val="0"/>
      <w:marTop w:val="0"/>
      <w:marBottom w:val="0"/>
      <w:divBdr>
        <w:top w:val="none" w:sz="0" w:space="0" w:color="auto"/>
        <w:left w:val="none" w:sz="0" w:space="0" w:color="auto"/>
        <w:bottom w:val="none" w:sz="0" w:space="0" w:color="auto"/>
        <w:right w:val="none" w:sz="0" w:space="0" w:color="auto"/>
      </w:divBdr>
    </w:div>
    <w:div w:id="415899934">
      <w:bodyDiv w:val="1"/>
      <w:marLeft w:val="0"/>
      <w:marRight w:val="0"/>
      <w:marTop w:val="0"/>
      <w:marBottom w:val="0"/>
      <w:divBdr>
        <w:top w:val="none" w:sz="0" w:space="0" w:color="auto"/>
        <w:left w:val="none" w:sz="0" w:space="0" w:color="auto"/>
        <w:bottom w:val="none" w:sz="0" w:space="0" w:color="auto"/>
        <w:right w:val="none" w:sz="0" w:space="0" w:color="auto"/>
      </w:divBdr>
    </w:div>
    <w:div w:id="432937075">
      <w:bodyDiv w:val="1"/>
      <w:marLeft w:val="0"/>
      <w:marRight w:val="0"/>
      <w:marTop w:val="0"/>
      <w:marBottom w:val="0"/>
      <w:divBdr>
        <w:top w:val="none" w:sz="0" w:space="0" w:color="auto"/>
        <w:left w:val="none" w:sz="0" w:space="0" w:color="auto"/>
        <w:bottom w:val="none" w:sz="0" w:space="0" w:color="auto"/>
        <w:right w:val="none" w:sz="0" w:space="0" w:color="auto"/>
      </w:divBdr>
    </w:div>
    <w:div w:id="483787378">
      <w:bodyDiv w:val="1"/>
      <w:marLeft w:val="0"/>
      <w:marRight w:val="0"/>
      <w:marTop w:val="0"/>
      <w:marBottom w:val="0"/>
      <w:divBdr>
        <w:top w:val="none" w:sz="0" w:space="0" w:color="auto"/>
        <w:left w:val="none" w:sz="0" w:space="0" w:color="auto"/>
        <w:bottom w:val="none" w:sz="0" w:space="0" w:color="auto"/>
        <w:right w:val="none" w:sz="0" w:space="0" w:color="auto"/>
      </w:divBdr>
    </w:div>
    <w:div w:id="664824142">
      <w:bodyDiv w:val="1"/>
      <w:marLeft w:val="0"/>
      <w:marRight w:val="0"/>
      <w:marTop w:val="0"/>
      <w:marBottom w:val="0"/>
      <w:divBdr>
        <w:top w:val="none" w:sz="0" w:space="0" w:color="auto"/>
        <w:left w:val="none" w:sz="0" w:space="0" w:color="auto"/>
        <w:bottom w:val="none" w:sz="0" w:space="0" w:color="auto"/>
        <w:right w:val="none" w:sz="0" w:space="0" w:color="auto"/>
      </w:divBdr>
    </w:div>
    <w:div w:id="985745096">
      <w:bodyDiv w:val="1"/>
      <w:marLeft w:val="0"/>
      <w:marRight w:val="0"/>
      <w:marTop w:val="0"/>
      <w:marBottom w:val="0"/>
      <w:divBdr>
        <w:top w:val="none" w:sz="0" w:space="0" w:color="auto"/>
        <w:left w:val="none" w:sz="0" w:space="0" w:color="auto"/>
        <w:bottom w:val="none" w:sz="0" w:space="0" w:color="auto"/>
        <w:right w:val="none" w:sz="0" w:space="0" w:color="auto"/>
      </w:divBdr>
    </w:div>
    <w:div w:id="1227960400">
      <w:bodyDiv w:val="1"/>
      <w:marLeft w:val="0"/>
      <w:marRight w:val="0"/>
      <w:marTop w:val="0"/>
      <w:marBottom w:val="0"/>
      <w:divBdr>
        <w:top w:val="none" w:sz="0" w:space="0" w:color="auto"/>
        <w:left w:val="none" w:sz="0" w:space="0" w:color="auto"/>
        <w:bottom w:val="none" w:sz="0" w:space="0" w:color="auto"/>
        <w:right w:val="none" w:sz="0" w:space="0" w:color="auto"/>
      </w:divBdr>
    </w:div>
    <w:div w:id="1335645060">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521579697">
      <w:bodyDiv w:val="1"/>
      <w:marLeft w:val="0"/>
      <w:marRight w:val="0"/>
      <w:marTop w:val="0"/>
      <w:marBottom w:val="0"/>
      <w:divBdr>
        <w:top w:val="none" w:sz="0" w:space="0" w:color="auto"/>
        <w:left w:val="none" w:sz="0" w:space="0" w:color="auto"/>
        <w:bottom w:val="none" w:sz="0" w:space="0" w:color="auto"/>
        <w:right w:val="none" w:sz="0" w:space="0" w:color="auto"/>
      </w:divBdr>
    </w:div>
    <w:div w:id="1545213626">
      <w:bodyDiv w:val="1"/>
      <w:marLeft w:val="0"/>
      <w:marRight w:val="0"/>
      <w:marTop w:val="0"/>
      <w:marBottom w:val="0"/>
      <w:divBdr>
        <w:top w:val="none" w:sz="0" w:space="0" w:color="auto"/>
        <w:left w:val="none" w:sz="0" w:space="0" w:color="auto"/>
        <w:bottom w:val="none" w:sz="0" w:space="0" w:color="auto"/>
        <w:right w:val="none" w:sz="0" w:space="0" w:color="auto"/>
      </w:divBdr>
    </w:div>
    <w:div w:id="1577085817">
      <w:bodyDiv w:val="1"/>
      <w:marLeft w:val="0"/>
      <w:marRight w:val="0"/>
      <w:marTop w:val="0"/>
      <w:marBottom w:val="0"/>
      <w:divBdr>
        <w:top w:val="none" w:sz="0" w:space="0" w:color="auto"/>
        <w:left w:val="none" w:sz="0" w:space="0" w:color="auto"/>
        <w:bottom w:val="none" w:sz="0" w:space="0" w:color="auto"/>
        <w:right w:val="none" w:sz="0" w:space="0" w:color="auto"/>
      </w:divBdr>
    </w:div>
    <w:div w:id="1847937239">
      <w:bodyDiv w:val="1"/>
      <w:marLeft w:val="0"/>
      <w:marRight w:val="0"/>
      <w:marTop w:val="0"/>
      <w:marBottom w:val="0"/>
      <w:divBdr>
        <w:top w:val="none" w:sz="0" w:space="0" w:color="auto"/>
        <w:left w:val="none" w:sz="0" w:space="0" w:color="auto"/>
        <w:bottom w:val="none" w:sz="0" w:space="0" w:color="auto"/>
        <w:right w:val="none" w:sz="0" w:space="0" w:color="auto"/>
      </w:divBdr>
    </w:div>
    <w:div w:id="19224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pmc.ncbi.nlm.nih.gov/articles/PMC9526134/" TargetMode="External"/><Relationship Id="rId2" Type="http://schemas.openxmlformats.org/officeDocument/2006/relationships/hyperlink" Target="https://www.ncbi.nlm.nih.gov/books/NBK573113/" TargetMode="External"/><Relationship Id="rId1" Type="http://schemas.openxmlformats.org/officeDocument/2006/relationships/hyperlink" Target="https://www.ncbi.nlm.nih.gov/books/NBK573113/" TargetMode="External"/><Relationship Id="rId4" Type="http://schemas.openxmlformats.org/officeDocument/2006/relationships/hyperlink" Target="https://pmc.ncbi.nlm.nih.gov/articles/PMC9526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C695-FC94-4186-AA3D-455072E4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1995</Words>
  <Characters>10793</Characters>
  <Application>Microsoft Office Word</Application>
  <DocSecurity>0</DocSecurity>
  <Lines>215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6</cp:revision>
  <cp:lastPrinted>2025-10-03T18:38:00Z</cp:lastPrinted>
  <dcterms:created xsi:type="dcterms:W3CDTF">2025-10-03T18:39:00Z</dcterms:created>
  <dcterms:modified xsi:type="dcterms:W3CDTF">2025-10-17T12:52:00Z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4901-6865-2910.3</vt:lpwstr>
  </property>
  <property fmtid="{D5CDD505-2E9C-101B-9397-08002B2CF9AE}" pid="3" name="DocXLocation">
    <vt:lpwstr>NoDocId</vt:lpwstr>
  </property>
  <property fmtid="{D5CDD505-2E9C-101B-9397-08002B2CF9AE}" pid="4" name="DocXFormat">
    <vt:lpwstr>HB DocID w/ver w/HB Label</vt:lpwstr>
  </property>
  <property fmtid="{D5CDD505-2E9C-101B-9397-08002B2CF9AE}" pid="5" name="ndDocumentId">
    <vt:lpwstr>4901-6865-2910</vt:lpwstr>
  </property>
</Properties>
</file>