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5564" w14:textId="61AD03AC" w:rsidR="002C7DDF" w:rsidRPr="006A1BAE" w:rsidRDefault="00000000" w:rsidP="006A1BAE">
      <w:pPr>
        <w:pStyle w:val="Heading1"/>
      </w:pPr>
      <w:r w:rsidRPr="006A1BAE">
        <w:t xml:space="preserve">Exhibit </w:t>
      </w:r>
      <w:proofErr w:type="gramStart"/>
      <w:r w:rsidRPr="006A1BAE">
        <w:t>B(</w:t>
      </w:r>
      <w:proofErr w:type="gramEnd"/>
      <w:r w:rsidRPr="006A1BAE">
        <w:t>2) – Factor Narratives</w:t>
      </w:r>
    </w:p>
    <w:p w14:paraId="140BBED8" w14:textId="77777777" w:rsidR="009D1E9E" w:rsidRPr="00C11123" w:rsidRDefault="009D1E9E" w:rsidP="00CC6024">
      <w:pPr>
        <w:spacing w:after="0" w:line="240" w:lineRule="auto"/>
        <w:rPr>
          <w:rFonts w:cs="Arial"/>
          <w:b/>
          <w:bCs/>
          <w:sz w:val="22"/>
          <w:szCs w:val="22"/>
        </w:rPr>
      </w:pPr>
    </w:p>
    <w:p w14:paraId="5F9F182A" w14:textId="694D7A63" w:rsidR="00F049EE" w:rsidRPr="006A1BAE" w:rsidRDefault="00000000" w:rsidP="006A1BAE">
      <w:pPr>
        <w:pStyle w:val="Heading2"/>
      </w:pPr>
      <w:r w:rsidRPr="006A1BAE">
        <w:t>Factor 1</w:t>
      </w:r>
      <w:proofErr w:type="gramStart"/>
      <w:r w:rsidRPr="006A1BAE">
        <w:t xml:space="preserve">: </w:t>
      </w:r>
      <w:r w:rsidR="009D1E9E" w:rsidRPr="006A1BAE">
        <w:tab/>
      </w:r>
      <w:r w:rsidRPr="006A1BAE">
        <w:rPr>
          <w:u w:val="single"/>
        </w:rPr>
        <w:t>Applicant</w:t>
      </w:r>
      <w:proofErr w:type="gramEnd"/>
      <w:r w:rsidRPr="006A1BAE">
        <w:rPr>
          <w:u w:val="single"/>
        </w:rPr>
        <w:t xml:space="preserve"> Patient Panel Need, Public Health Values and Operational Objectives </w:t>
      </w:r>
    </w:p>
    <w:p w14:paraId="3B21A2DD" w14:textId="77777777" w:rsidR="00F049EE" w:rsidRPr="00C11123" w:rsidRDefault="00F049EE" w:rsidP="00CC6024">
      <w:pPr>
        <w:spacing w:after="0" w:line="240" w:lineRule="auto"/>
        <w:rPr>
          <w:rFonts w:cs="Arial"/>
          <w:b/>
          <w:bCs/>
          <w:sz w:val="22"/>
          <w:szCs w:val="22"/>
        </w:rPr>
      </w:pPr>
    </w:p>
    <w:p w14:paraId="42A3EC6A" w14:textId="30F16AA3" w:rsidR="00DF74D0" w:rsidRPr="00C11123" w:rsidRDefault="00000000" w:rsidP="00CC6024">
      <w:pPr>
        <w:spacing w:after="0" w:line="240" w:lineRule="auto"/>
        <w:jc w:val="both"/>
        <w:rPr>
          <w:rFonts w:cs="Arial"/>
          <w:sz w:val="22"/>
          <w:szCs w:val="22"/>
        </w:rPr>
      </w:pPr>
      <w:r w:rsidRPr="00C11123">
        <w:rPr>
          <w:rFonts w:cs="Arial"/>
          <w:sz w:val="22"/>
          <w:szCs w:val="22"/>
        </w:rPr>
        <w:t xml:space="preserve">Advanced </w:t>
      </w:r>
      <w:r w:rsidR="007845C8" w:rsidRPr="00C11123">
        <w:rPr>
          <w:rFonts w:cs="Arial"/>
          <w:sz w:val="22"/>
          <w:szCs w:val="22"/>
        </w:rPr>
        <w:t xml:space="preserve">PSMA </w:t>
      </w:r>
      <w:r w:rsidRPr="00C11123">
        <w:rPr>
          <w:rFonts w:cs="Arial"/>
          <w:sz w:val="22"/>
          <w:szCs w:val="22"/>
        </w:rPr>
        <w:t xml:space="preserve">PET/CT imaging is integral to contemporary urology practice because it is one of the most precise tools available for detecting, staging, and managing prostate cancer—the condition for which </w:t>
      </w:r>
      <w:r w:rsidR="007845C8" w:rsidRPr="00C11123">
        <w:rPr>
          <w:rFonts w:cs="Arial"/>
          <w:sz w:val="22"/>
          <w:szCs w:val="22"/>
        </w:rPr>
        <w:t xml:space="preserve">PSMA </w:t>
      </w:r>
      <w:r w:rsidRPr="00C11123">
        <w:rPr>
          <w:rFonts w:cs="Arial"/>
          <w:sz w:val="22"/>
          <w:szCs w:val="22"/>
        </w:rPr>
        <w:t xml:space="preserve">PET/CT offers </w:t>
      </w:r>
      <w:r w:rsidR="00DD77D3" w:rsidRPr="00C11123">
        <w:rPr>
          <w:rFonts w:cs="Arial"/>
          <w:sz w:val="22"/>
          <w:szCs w:val="22"/>
        </w:rPr>
        <w:t xml:space="preserve">most </w:t>
      </w:r>
      <w:r w:rsidRPr="00C11123">
        <w:rPr>
          <w:rFonts w:cs="Arial"/>
          <w:sz w:val="22"/>
          <w:szCs w:val="22"/>
        </w:rPr>
        <w:t>significant clinical value. Prostate cancer is the most common cancer among men in the United States aside from non</w:t>
      </w:r>
      <w:r w:rsidRPr="00C11123">
        <w:rPr>
          <w:rFonts w:cs="Arial"/>
          <w:sz w:val="22"/>
          <w:szCs w:val="22"/>
        </w:rPr>
        <w:noBreakHyphen/>
        <w:t>melanoma skin cancers, and it remains a leading cause of cancer</w:t>
      </w:r>
      <w:r w:rsidRPr="00C11123">
        <w:rPr>
          <w:rFonts w:cs="Arial"/>
          <w:sz w:val="22"/>
          <w:szCs w:val="22"/>
        </w:rPr>
        <w:noBreakHyphen/>
        <w:t>related mortality among males.</w:t>
      </w:r>
      <w:r>
        <w:rPr>
          <w:rStyle w:val="FootnoteReference"/>
          <w:rFonts w:cs="Arial"/>
          <w:sz w:val="22"/>
          <w:szCs w:val="22"/>
        </w:rPr>
        <w:footnoteReference w:id="1"/>
      </w:r>
      <w:r w:rsidRPr="00C11123">
        <w:rPr>
          <w:rFonts w:cs="Arial"/>
          <w:sz w:val="22"/>
          <w:szCs w:val="22"/>
        </w:rPr>
        <w:t xml:space="preserve">  The Applicant is a urology practice serving a large, diverse Patient Panel, which includes substantial numbers of </w:t>
      </w:r>
      <w:r w:rsidR="00AE2ECF" w:rsidRPr="00C11123">
        <w:rPr>
          <w:rFonts w:cs="Arial"/>
          <w:sz w:val="22"/>
          <w:szCs w:val="22"/>
        </w:rPr>
        <w:t>men over 65, which demographic represents the vast majority of</w:t>
      </w:r>
      <w:r w:rsidRPr="00C11123">
        <w:rPr>
          <w:rFonts w:cs="Arial"/>
          <w:sz w:val="22"/>
          <w:szCs w:val="22"/>
        </w:rPr>
        <w:t xml:space="preserve"> prostate cancer</w:t>
      </w:r>
      <w:r w:rsidR="00AE2ECF" w:rsidRPr="00C11123">
        <w:rPr>
          <w:rFonts w:cs="Arial"/>
          <w:sz w:val="22"/>
          <w:szCs w:val="22"/>
        </w:rPr>
        <w:t xml:space="preserve"> diagnoses</w:t>
      </w:r>
      <w:r w:rsidRPr="00C11123">
        <w:rPr>
          <w:rFonts w:cs="Arial"/>
          <w:sz w:val="22"/>
          <w:szCs w:val="22"/>
        </w:rPr>
        <w:t xml:space="preserve">. </w:t>
      </w:r>
      <w:r w:rsidR="007845C8" w:rsidRPr="00C11123">
        <w:rPr>
          <w:rFonts w:cs="Arial"/>
          <w:sz w:val="22"/>
          <w:szCs w:val="22"/>
        </w:rPr>
        <w:t xml:space="preserve">PSMA </w:t>
      </w:r>
      <w:r w:rsidR="00123FD0" w:rsidRPr="00C11123">
        <w:rPr>
          <w:rFonts w:cs="Arial"/>
          <w:sz w:val="22"/>
          <w:szCs w:val="22"/>
        </w:rPr>
        <w:t>PET</w:t>
      </w:r>
      <w:r w:rsidR="00F30C9F" w:rsidRPr="00C11123">
        <w:rPr>
          <w:rFonts w:cs="Arial"/>
          <w:sz w:val="22"/>
          <w:szCs w:val="22"/>
        </w:rPr>
        <w:t>/CT</w:t>
      </w:r>
      <w:r w:rsidRPr="00C11123">
        <w:rPr>
          <w:rFonts w:cs="Arial"/>
          <w:sz w:val="22"/>
          <w:szCs w:val="22"/>
        </w:rPr>
        <w:t xml:space="preserve"> </w:t>
      </w:r>
      <w:r w:rsidR="00140DE9" w:rsidRPr="00C11123">
        <w:rPr>
          <w:rFonts w:cs="Arial"/>
          <w:sz w:val="22"/>
          <w:szCs w:val="22"/>
        </w:rPr>
        <w:t xml:space="preserve">represents the most effective imaging standard for prostate cancer today and </w:t>
      </w:r>
      <w:r w:rsidRPr="00C11123">
        <w:rPr>
          <w:rFonts w:cs="Arial"/>
          <w:sz w:val="22"/>
          <w:szCs w:val="22"/>
        </w:rPr>
        <w:t xml:space="preserve">is, therefore, a clinically </w:t>
      </w:r>
      <w:r w:rsidR="004D78E7" w:rsidRPr="00C11123">
        <w:rPr>
          <w:rFonts w:cs="Arial"/>
          <w:sz w:val="22"/>
          <w:szCs w:val="22"/>
        </w:rPr>
        <w:t>essential</w:t>
      </w:r>
      <w:r w:rsidRPr="00C11123">
        <w:rPr>
          <w:rFonts w:cs="Arial"/>
          <w:sz w:val="22"/>
          <w:szCs w:val="22"/>
        </w:rPr>
        <w:t xml:space="preserve"> resource for </w:t>
      </w:r>
      <w:r w:rsidR="00140DE9" w:rsidRPr="00C11123">
        <w:rPr>
          <w:rFonts w:cs="Arial"/>
          <w:sz w:val="22"/>
          <w:szCs w:val="22"/>
        </w:rPr>
        <w:t xml:space="preserve">the Applicant to </w:t>
      </w:r>
      <w:r w:rsidR="00364552" w:rsidRPr="00C11123">
        <w:rPr>
          <w:rFonts w:cs="Arial"/>
          <w:sz w:val="22"/>
          <w:szCs w:val="22"/>
        </w:rPr>
        <w:t>help its</w:t>
      </w:r>
      <w:r w:rsidR="00140DE9" w:rsidRPr="00C11123">
        <w:rPr>
          <w:rFonts w:cs="Arial"/>
          <w:sz w:val="22"/>
          <w:szCs w:val="22"/>
        </w:rPr>
        <w:t xml:space="preserve"> Patient Panel </w:t>
      </w:r>
      <w:r w:rsidR="00364552" w:rsidRPr="00C11123">
        <w:rPr>
          <w:rFonts w:cs="Arial"/>
          <w:sz w:val="22"/>
          <w:szCs w:val="22"/>
        </w:rPr>
        <w:t>achieve</w:t>
      </w:r>
      <w:r w:rsidR="00140DE9" w:rsidRPr="00C11123">
        <w:rPr>
          <w:rFonts w:cs="Arial"/>
          <w:sz w:val="22"/>
          <w:szCs w:val="22"/>
        </w:rPr>
        <w:t xml:space="preserve"> optimal</w:t>
      </w:r>
      <w:r w:rsidRPr="00C11123">
        <w:rPr>
          <w:rFonts w:cs="Arial"/>
          <w:sz w:val="22"/>
          <w:szCs w:val="22"/>
        </w:rPr>
        <w:t xml:space="preserve"> health outcomes</w:t>
      </w:r>
      <w:r w:rsidR="00140DE9" w:rsidRPr="00C11123">
        <w:rPr>
          <w:rFonts w:cs="Arial"/>
          <w:sz w:val="22"/>
          <w:szCs w:val="22"/>
        </w:rPr>
        <w:t xml:space="preserve"> </w:t>
      </w:r>
      <w:r w:rsidR="00364552" w:rsidRPr="00C11123">
        <w:rPr>
          <w:rFonts w:cs="Arial"/>
          <w:sz w:val="22"/>
          <w:szCs w:val="22"/>
        </w:rPr>
        <w:t>in a</w:t>
      </w:r>
      <w:r w:rsidR="00140DE9" w:rsidRPr="00C11123">
        <w:rPr>
          <w:rFonts w:cs="Arial"/>
          <w:sz w:val="22"/>
          <w:szCs w:val="22"/>
        </w:rPr>
        <w:t xml:space="preserve"> cost-effective</w:t>
      </w:r>
      <w:r w:rsidR="00364552" w:rsidRPr="00C11123">
        <w:rPr>
          <w:rFonts w:cs="Arial"/>
          <w:sz w:val="22"/>
          <w:szCs w:val="22"/>
        </w:rPr>
        <w:t xml:space="preserve"> healthcare setting. </w:t>
      </w:r>
    </w:p>
    <w:p w14:paraId="25B17188" w14:textId="77777777" w:rsidR="00DF74D0" w:rsidRPr="00C11123" w:rsidRDefault="00DF74D0" w:rsidP="00CC6024">
      <w:pPr>
        <w:spacing w:after="0" w:line="240" w:lineRule="auto"/>
        <w:jc w:val="both"/>
        <w:rPr>
          <w:rFonts w:cs="Arial"/>
          <w:sz w:val="22"/>
          <w:szCs w:val="22"/>
        </w:rPr>
      </w:pPr>
    </w:p>
    <w:p w14:paraId="1FE0472E" w14:textId="3894AD2E" w:rsidR="00DF74D0" w:rsidRPr="00C11123" w:rsidRDefault="00000000" w:rsidP="00CC6024">
      <w:pPr>
        <w:spacing w:after="0" w:line="240" w:lineRule="auto"/>
        <w:jc w:val="both"/>
        <w:rPr>
          <w:rFonts w:cs="Arial"/>
          <w:sz w:val="22"/>
          <w:szCs w:val="22"/>
        </w:rPr>
      </w:pPr>
      <w:r w:rsidRPr="00C11123">
        <w:rPr>
          <w:rFonts w:cs="Arial"/>
          <w:sz w:val="22"/>
          <w:szCs w:val="22"/>
        </w:rPr>
        <w:t>In support of this application, the Applicant provides data and analysis demonstrating the clinical need for</w:t>
      </w:r>
      <w:r w:rsidR="007845C8" w:rsidRPr="00C11123">
        <w:rPr>
          <w:rFonts w:cs="Arial"/>
          <w:sz w:val="22"/>
          <w:szCs w:val="22"/>
        </w:rPr>
        <w:t xml:space="preserve"> PSMA</w:t>
      </w:r>
      <w:r w:rsidRPr="00C11123">
        <w:rPr>
          <w:rFonts w:cs="Arial"/>
          <w:sz w:val="22"/>
          <w:szCs w:val="22"/>
        </w:rPr>
        <w:t xml:space="preserve"> PET/CT imaging within its Patient Panel.</w:t>
      </w:r>
    </w:p>
    <w:p w14:paraId="1EBB6B83" w14:textId="77777777" w:rsidR="00D94AB2" w:rsidRPr="00C11123" w:rsidRDefault="00D94AB2" w:rsidP="00CC6024">
      <w:pPr>
        <w:spacing w:after="0" w:line="240" w:lineRule="auto"/>
        <w:rPr>
          <w:rFonts w:cs="Arial"/>
          <w:b/>
          <w:bCs/>
          <w:sz w:val="22"/>
          <w:szCs w:val="22"/>
        </w:rPr>
      </w:pPr>
    </w:p>
    <w:p w14:paraId="149732D5" w14:textId="2435DF8B" w:rsidR="009D1E9E" w:rsidRPr="00C11123" w:rsidRDefault="00000000" w:rsidP="00376392">
      <w:pPr>
        <w:pStyle w:val="Heading2"/>
      </w:pPr>
      <w:r w:rsidRPr="00C11123">
        <w:t>F</w:t>
      </w:r>
      <w:r w:rsidR="002E0E26" w:rsidRPr="00C11123">
        <w:t xml:space="preserve">1. </w:t>
      </w:r>
      <w:proofErr w:type="spellStart"/>
      <w:r w:rsidR="002E0E26" w:rsidRPr="00C11123">
        <w:t>a.i.</w:t>
      </w:r>
      <w:proofErr w:type="spellEnd"/>
      <w:r w:rsidRPr="00C11123">
        <w:t xml:space="preserve"> </w:t>
      </w:r>
      <w:r w:rsidR="004F5EA5" w:rsidRPr="00C11123">
        <w:t xml:space="preserve"> </w:t>
      </w:r>
      <w:r w:rsidRPr="00376392">
        <w:rPr>
          <w:u w:val="single"/>
        </w:rPr>
        <w:t xml:space="preserve">Patient Panel </w:t>
      </w:r>
    </w:p>
    <w:p w14:paraId="48E17C82" w14:textId="45BD7C93" w:rsidR="00F049EE" w:rsidRPr="00C11123" w:rsidRDefault="00000000" w:rsidP="00CC6024">
      <w:pPr>
        <w:spacing w:after="0" w:line="240" w:lineRule="auto"/>
        <w:jc w:val="both"/>
        <w:rPr>
          <w:rFonts w:cs="Arial"/>
          <w:b/>
          <w:bCs/>
          <w:sz w:val="22"/>
          <w:szCs w:val="22"/>
        </w:rPr>
      </w:pPr>
      <w:r w:rsidRPr="00C11123">
        <w:rPr>
          <w:rFonts w:cs="Arial"/>
          <w:b/>
          <w:bCs/>
          <w:sz w:val="22"/>
          <w:szCs w:val="22"/>
        </w:rPr>
        <w:t xml:space="preserve">Describe your existing Patient Panel, including incidence or prevalence of disease or behavioral risk factors, acuity mix, noted health disparities, geographic breakdown expressed in zip codes or other appropriate </w:t>
      </w:r>
      <w:proofErr w:type="gramStart"/>
      <w:r w:rsidRPr="00C11123">
        <w:rPr>
          <w:rFonts w:cs="Arial"/>
          <w:b/>
          <w:bCs/>
          <w:sz w:val="22"/>
          <w:szCs w:val="22"/>
        </w:rPr>
        <w:t>measure</w:t>
      </w:r>
      <w:proofErr w:type="gramEnd"/>
      <w:r w:rsidRPr="00C11123">
        <w:rPr>
          <w:rFonts w:cs="Arial"/>
          <w:b/>
          <w:bCs/>
          <w:sz w:val="22"/>
          <w:szCs w:val="22"/>
        </w:rPr>
        <w:t>, demographics including age, gender and sexual identity, race, ethnicity, socioeconomic status and other priority populations relevant to the Applicant's existing patient panel and payer mix.</w:t>
      </w:r>
    </w:p>
    <w:p w14:paraId="11C7D074" w14:textId="77777777" w:rsidR="00281CEE" w:rsidRPr="00C11123" w:rsidRDefault="00281CEE" w:rsidP="00CC6024">
      <w:pPr>
        <w:spacing w:after="0" w:line="240" w:lineRule="auto"/>
        <w:jc w:val="both"/>
        <w:rPr>
          <w:rFonts w:cs="Arial"/>
          <w:sz w:val="22"/>
          <w:szCs w:val="22"/>
        </w:rPr>
      </w:pPr>
    </w:p>
    <w:p w14:paraId="630E587B" w14:textId="455E0404" w:rsidR="00281CEE" w:rsidRPr="00376392" w:rsidRDefault="00000000" w:rsidP="00376392">
      <w:pPr>
        <w:pStyle w:val="Heading3"/>
      </w:pPr>
      <w:r w:rsidRPr="00376392">
        <w:t xml:space="preserve">A. </w:t>
      </w:r>
      <w:r w:rsidRPr="00376392">
        <w:rPr>
          <w:u w:val="single"/>
        </w:rPr>
        <w:t>Introduction to Patient Panel</w:t>
      </w:r>
    </w:p>
    <w:p w14:paraId="1F13E345" w14:textId="77777777" w:rsidR="006F618C" w:rsidRPr="00C11123" w:rsidRDefault="006F618C" w:rsidP="00CC6024">
      <w:pPr>
        <w:spacing w:after="0" w:line="240" w:lineRule="auto"/>
        <w:jc w:val="both"/>
        <w:rPr>
          <w:rFonts w:cs="Arial"/>
          <w:sz w:val="22"/>
          <w:szCs w:val="22"/>
        </w:rPr>
      </w:pPr>
    </w:p>
    <w:p w14:paraId="605C1B0F" w14:textId="3E211970" w:rsidR="00AD1BBA" w:rsidRPr="00C11123" w:rsidRDefault="00000000" w:rsidP="00CC6024">
      <w:pPr>
        <w:spacing w:after="0" w:line="240" w:lineRule="auto"/>
        <w:jc w:val="both"/>
        <w:rPr>
          <w:rFonts w:cs="Arial"/>
          <w:sz w:val="22"/>
          <w:szCs w:val="22"/>
        </w:rPr>
      </w:pPr>
      <w:r w:rsidRPr="00C11123">
        <w:rPr>
          <w:rFonts w:cs="Arial"/>
          <w:sz w:val="22"/>
          <w:szCs w:val="22"/>
        </w:rPr>
        <w:t>The Applicant serves a broad Patient Panel across its nine (9) urology practice sites in Eastern, Southern, and Metrowest Massachusetts and</w:t>
      </w:r>
      <w:r w:rsidR="00693284" w:rsidRPr="00C11123">
        <w:rPr>
          <w:rFonts w:cs="Arial"/>
          <w:sz w:val="22"/>
          <w:szCs w:val="22"/>
        </w:rPr>
        <w:t xml:space="preserve"> </w:t>
      </w:r>
      <w:r w:rsidR="00AE2ECF" w:rsidRPr="00C11123">
        <w:rPr>
          <w:rFonts w:cs="Arial"/>
          <w:sz w:val="22"/>
          <w:szCs w:val="22"/>
        </w:rPr>
        <w:t xml:space="preserve">the </w:t>
      </w:r>
      <w:r w:rsidRPr="00C11123">
        <w:rPr>
          <w:rFonts w:cs="Arial"/>
          <w:sz w:val="22"/>
          <w:szCs w:val="22"/>
        </w:rPr>
        <w:t xml:space="preserve">surrounding communities. As a leading provider of urology and urogynecology care, the Applicant </w:t>
      </w:r>
      <w:r w:rsidR="00324981" w:rsidRPr="00C11123">
        <w:rPr>
          <w:rFonts w:cs="Arial"/>
          <w:sz w:val="22"/>
          <w:szCs w:val="22"/>
        </w:rPr>
        <w:t>had</w:t>
      </w:r>
      <w:r w:rsidR="007F11AD" w:rsidRPr="00C11123">
        <w:rPr>
          <w:rFonts w:cs="Arial"/>
          <w:sz w:val="22"/>
          <w:szCs w:val="22"/>
        </w:rPr>
        <w:t xml:space="preserve"> a patient roster of</w:t>
      </w:r>
      <w:r w:rsidR="00324981" w:rsidRPr="00C11123">
        <w:rPr>
          <w:rFonts w:cs="Arial"/>
          <w:sz w:val="22"/>
          <w:szCs w:val="22"/>
        </w:rPr>
        <w:t xml:space="preserve"> </w:t>
      </w:r>
      <w:r w:rsidR="00342C44" w:rsidRPr="00C11123">
        <w:rPr>
          <w:rFonts w:cs="Arial"/>
          <w:sz w:val="22"/>
          <w:szCs w:val="22"/>
        </w:rPr>
        <w:t>over 132,000 patients in 2025</w:t>
      </w:r>
      <w:r w:rsidR="00AE2ECF" w:rsidRPr="00C11123">
        <w:rPr>
          <w:rFonts w:cs="Arial"/>
          <w:sz w:val="22"/>
          <w:szCs w:val="22"/>
        </w:rPr>
        <w:t>, with significant growth during that period resulting</w:t>
      </w:r>
      <w:r w:rsidR="004A06C9" w:rsidRPr="00C11123">
        <w:rPr>
          <w:rFonts w:cs="Arial"/>
          <w:sz w:val="22"/>
          <w:szCs w:val="22"/>
        </w:rPr>
        <w:t>, at least in part,</w:t>
      </w:r>
      <w:r w:rsidR="00AE2ECF" w:rsidRPr="00C11123">
        <w:rPr>
          <w:rFonts w:cs="Arial"/>
          <w:sz w:val="22"/>
          <w:szCs w:val="22"/>
        </w:rPr>
        <w:t xml:space="preserve"> from Applicant’s new office locations</w:t>
      </w:r>
      <w:r w:rsidR="00CC0648" w:rsidRPr="00C11123">
        <w:rPr>
          <w:rFonts w:cs="Arial"/>
          <w:sz w:val="22"/>
          <w:szCs w:val="22"/>
        </w:rPr>
        <w:t xml:space="preserve">. </w:t>
      </w:r>
    </w:p>
    <w:p w14:paraId="34B874C0" w14:textId="77777777" w:rsidR="008B3A96" w:rsidRPr="00C11123" w:rsidRDefault="008B3A96" w:rsidP="00CC6024">
      <w:pPr>
        <w:spacing w:after="0" w:line="240" w:lineRule="auto"/>
        <w:jc w:val="both"/>
        <w:rPr>
          <w:rFonts w:cs="Arial"/>
          <w:sz w:val="22"/>
          <w:szCs w:val="22"/>
        </w:rPr>
      </w:pPr>
    </w:p>
    <w:p w14:paraId="41536B95" w14:textId="1371D72E" w:rsidR="008B3A96" w:rsidRPr="00C11123" w:rsidRDefault="00000000" w:rsidP="00D70747">
      <w:pPr>
        <w:spacing w:after="0" w:line="240" w:lineRule="auto"/>
        <w:rPr>
          <w:rFonts w:cs="Arial"/>
          <w:b/>
          <w:bCs/>
          <w:sz w:val="22"/>
          <w:szCs w:val="22"/>
        </w:rPr>
      </w:pPr>
      <w:r w:rsidRPr="00C11123">
        <w:rPr>
          <w:rFonts w:cs="Arial"/>
          <w:b/>
          <w:bCs/>
          <w:sz w:val="22"/>
          <w:szCs w:val="22"/>
        </w:rPr>
        <w:t>Table 1 – Patient Panel: Unique Patients</w:t>
      </w:r>
    </w:p>
    <w:tbl>
      <w:tblPr>
        <w:tblStyle w:val="GridTable4"/>
        <w:tblW w:w="9445" w:type="dxa"/>
        <w:tblLook w:val="04A0" w:firstRow="1" w:lastRow="0" w:firstColumn="1" w:lastColumn="0" w:noHBand="0" w:noVBand="1"/>
        <w:tblCaption w:val="Patient Panel: Unique Patients"/>
      </w:tblPr>
      <w:tblGrid>
        <w:gridCol w:w="3148"/>
        <w:gridCol w:w="3057"/>
        <w:gridCol w:w="3240"/>
      </w:tblGrid>
      <w:tr w:rsidR="00E01109" w14:paraId="71D24C50" w14:textId="2EC90CF7" w:rsidTr="00A55B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48" w:type="dxa"/>
          </w:tcPr>
          <w:p w14:paraId="283E3859" w14:textId="77777777" w:rsidR="00E01109" w:rsidRPr="00C11123" w:rsidRDefault="00E01109" w:rsidP="00E01109">
            <w:pPr>
              <w:jc w:val="center"/>
              <w:rPr>
                <w:b w:val="0"/>
                <w:bCs w:val="0"/>
                <w:sz w:val="22"/>
                <w:szCs w:val="22"/>
              </w:rPr>
            </w:pPr>
            <w:r w:rsidRPr="00C11123">
              <w:rPr>
                <w:sz w:val="22"/>
                <w:szCs w:val="22"/>
              </w:rPr>
              <w:t xml:space="preserve">Unique Patients </w:t>
            </w:r>
          </w:p>
        </w:tc>
        <w:tc>
          <w:tcPr>
            <w:tcW w:w="3057" w:type="dxa"/>
          </w:tcPr>
          <w:p w14:paraId="76047C8E" w14:textId="207A812C" w:rsidR="00E01109" w:rsidRPr="00C11123" w:rsidRDefault="00E01109" w:rsidP="00E01109">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C11123">
              <w:rPr>
                <w:sz w:val="22"/>
                <w:szCs w:val="22"/>
              </w:rPr>
              <w:t xml:space="preserve">Unique Patients </w:t>
            </w:r>
          </w:p>
        </w:tc>
        <w:tc>
          <w:tcPr>
            <w:tcW w:w="3240" w:type="dxa"/>
          </w:tcPr>
          <w:p w14:paraId="150B6946" w14:textId="5B49A47D" w:rsidR="00E01109" w:rsidRPr="00C11123" w:rsidRDefault="00E01109" w:rsidP="00E01109">
            <w:pPr>
              <w:jc w:val="center"/>
              <w:cnfStyle w:val="100000000000" w:firstRow="1" w:lastRow="0" w:firstColumn="0" w:lastColumn="0" w:oddVBand="0" w:evenVBand="0" w:oddHBand="0" w:evenHBand="0" w:firstRowFirstColumn="0" w:firstRowLastColumn="0" w:lastRowFirstColumn="0" w:lastRowLastColumn="0"/>
              <w:rPr>
                <w:sz w:val="22"/>
                <w:szCs w:val="22"/>
              </w:rPr>
            </w:pPr>
            <w:r w:rsidRPr="00C11123">
              <w:rPr>
                <w:sz w:val="22"/>
                <w:szCs w:val="22"/>
              </w:rPr>
              <w:t xml:space="preserve">Unique Patients </w:t>
            </w:r>
          </w:p>
        </w:tc>
      </w:tr>
      <w:tr w:rsidR="00E01109" w14:paraId="2ABDEDCE" w14:textId="41B8FCA6" w:rsidTr="00A55BE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48" w:type="dxa"/>
          </w:tcPr>
          <w:p w14:paraId="2BC68782" w14:textId="77777777" w:rsidR="00E01109" w:rsidRPr="00C11123" w:rsidRDefault="00E01109" w:rsidP="00E01109">
            <w:pPr>
              <w:jc w:val="center"/>
              <w:rPr>
                <w:sz w:val="22"/>
                <w:szCs w:val="22"/>
              </w:rPr>
            </w:pPr>
            <w:r w:rsidRPr="00C11123">
              <w:rPr>
                <w:sz w:val="22"/>
                <w:szCs w:val="22"/>
              </w:rPr>
              <w:t>2023</w:t>
            </w:r>
          </w:p>
        </w:tc>
        <w:tc>
          <w:tcPr>
            <w:tcW w:w="3057" w:type="dxa"/>
          </w:tcPr>
          <w:p w14:paraId="7A49562C" w14:textId="77777777" w:rsidR="00E01109" w:rsidRPr="00C11123" w:rsidRDefault="00E01109" w:rsidP="00E01109">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C11123">
              <w:rPr>
                <w:b/>
                <w:bCs/>
                <w:sz w:val="22"/>
                <w:szCs w:val="22"/>
              </w:rPr>
              <w:t>2024</w:t>
            </w:r>
          </w:p>
        </w:tc>
        <w:tc>
          <w:tcPr>
            <w:tcW w:w="3240" w:type="dxa"/>
          </w:tcPr>
          <w:p w14:paraId="6A7BCEEB" w14:textId="77777777" w:rsidR="00E01109" w:rsidRPr="00C11123" w:rsidRDefault="00E01109" w:rsidP="00E01109">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C11123">
              <w:rPr>
                <w:b/>
                <w:bCs/>
                <w:sz w:val="22"/>
                <w:szCs w:val="22"/>
              </w:rPr>
              <w:t xml:space="preserve">2025 </w:t>
            </w:r>
          </w:p>
        </w:tc>
      </w:tr>
      <w:tr w:rsidR="00E01109" w14:paraId="4C9D4C66" w14:textId="118F98B2" w:rsidTr="00A55BED">
        <w:trPr>
          <w:cantSplit/>
        </w:trPr>
        <w:tc>
          <w:tcPr>
            <w:cnfStyle w:val="001000000000" w:firstRow="0" w:lastRow="0" w:firstColumn="1" w:lastColumn="0" w:oddVBand="0" w:evenVBand="0" w:oddHBand="0" w:evenHBand="0" w:firstRowFirstColumn="0" w:firstRowLastColumn="0" w:lastRowFirstColumn="0" w:lastRowLastColumn="0"/>
            <w:tcW w:w="3148" w:type="dxa"/>
          </w:tcPr>
          <w:p w14:paraId="27F0528A" w14:textId="77777777" w:rsidR="00E01109" w:rsidRPr="00C11123" w:rsidRDefault="00E01109" w:rsidP="00E01109">
            <w:pPr>
              <w:jc w:val="center"/>
              <w:rPr>
                <w:sz w:val="22"/>
                <w:szCs w:val="22"/>
              </w:rPr>
            </w:pPr>
            <w:r w:rsidRPr="00C11123">
              <w:rPr>
                <w:b w:val="0"/>
                <w:bCs w:val="0"/>
                <w:sz w:val="22"/>
                <w:szCs w:val="22"/>
              </w:rPr>
              <w:t>109,091</w:t>
            </w:r>
          </w:p>
        </w:tc>
        <w:tc>
          <w:tcPr>
            <w:tcW w:w="3057" w:type="dxa"/>
          </w:tcPr>
          <w:p w14:paraId="499B4023" w14:textId="591BE259" w:rsidR="00E01109" w:rsidRPr="00C11123" w:rsidRDefault="00E01109" w:rsidP="00E01109">
            <w:pPr>
              <w:jc w:val="center"/>
              <w:cnfStyle w:val="000000000000" w:firstRow="0" w:lastRow="0" w:firstColumn="0" w:lastColumn="0" w:oddVBand="0" w:evenVBand="0" w:oddHBand="0" w:evenHBand="0" w:firstRowFirstColumn="0" w:firstRowLastColumn="0" w:lastRowFirstColumn="0" w:lastRowLastColumn="0"/>
              <w:rPr>
                <w:sz w:val="22"/>
                <w:szCs w:val="22"/>
              </w:rPr>
            </w:pPr>
            <w:r w:rsidRPr="00C11123">
              <w:rPr>
                <w:sz w:val="22"/>
                <w:szCs w:val="22"/>
              </w:rPr>
              <w:t xml:space="preserve">116,415 </w:t>
            </w:r>
          </w:p>
        </w:tc>
        <w:tc>
          <w:tcPr>
            <w:tcW w:w="3240" w:type="dxa"/>
          </w:tcPr>
          <w:p w14:paraId="63F86DE8" w14:textId="1DC763F3" w:rsidR="00E01109" w:rsidRPr="00C11123" w:rsidRDefault="00E01109" w:rsidP="00E01109">
            <w:pPr>
              <w:jc w:val="center"/>
              <w:cnfStyle w:val="000000000000" w:firstRow="0" w:lastRow="0" w:firstColumn="0" w:lastColumn="0" w:oddVBand="0" w:evenVBand="0" w:oddHBand="0" w:evenHBand="0" w:firstRowFirstColumn="0" w:firstRowLastColumn="0" w:lastRowFirstColumn="0" w:lastRowLastColumn="0"/>
              <w:rPr>
                <w:sz w:val="22"/>
                <w:szCs w:val="22"/>
              </w:rPr>
            </w:pPr>
            <w:r w:rsidRPr="00C11123">
              <w:rPr>
                <w:sz w:val="22"/>
                <w:szCs w:val="22"/>
              </w:rPr>
              <w:t xml:space="preserve">132,162 </w:t>
            </w:r>
          </w:p>
        </w:tc>
      </w:tr>
    </w:tbl>
    <w:p w14:paraId="54799173" w14:textId="77777777" w:rsidR="008F2A08" w:rsidRPr="00C11123" w:rsidRDefault="008F2A08" w:rsidP="00CC6024">
      <w:pPr>
        <w:spacing w:after="0" w:line="240" w:lineRule="auto"/>
        <w:jc w:val="both"/>
        <w:rPr>
          <w:rFonts w:cs="Arial"/>
          <w:sz w:val="22"/>
          <w:szCs w:val="22"/>
        </w:rPr>
      </w:pPr>
    </w:p>
    <w:p w14:paraId="56CDD160" w14:textId="0E544991" w:rsidR="008F2A08" w:rsidRPr="00C11123" w:rsidRDefault="00000000" w:rsidP="00376392">
      <w:pPr>
        <w:pStyle w:val="Heading3"/>
      </w:pPr>
      <w:r w:rsidRPr="00C11123">
        <w:t xml:space="preserve">B. </w:t>
      </w:r>
      <w:r w:rsidRPr="00376392">
        <w:rPr>
          <w:u w:val="single"/>
        </w:rPr>
        <w:t xml:space="preserve">Patient Panel by </w:t>
      </w:r>
      <w:r w:rsidR="00175675" w:rsidRPr="00376392">
        <w:rPr>
          <w:u w:val="single"/>
        </w:rPr>
        <w:t xml:space="preserve">Site and </w:t>
      </w:r>
      <w:r w:rsidRPr="00376392">
        <w:rPr>
          <w:u w:val="single"/>
        </w:rPr>
        <w:t>Geography</w:t>
      </w:r>
    </w:p>
    <w:p w14:paraId="30E63F98" w14:textId="77777777" w:rsidR="008F2A08" w:rsidRPr="00C11123" w:rsidRDefault="008F2A08" w:rsidP="00CC6024">
      <w:pPr>
        <w:spacing w:after="0" w:line="240" w:lineRule="auto"/>
        <w:jc w:val="both"/>
        <w:rPr>
          <w:rFonts w:cs="Arial"/>
          <w:sz w:val="22"/>
          <w:szCs w:val="22"/>
        </w:rPr>
      </w:pPr>
    </w:p>
    <w:p w14:paraId="0C227D65" w14:textId="05521F2C" w:rsidR="008F2A08" w:rsidRPr="00C11123" w:rsidRDefault="00000000" w:rsidP="00CC6024">
      <w:pPr>
        <w:spacing w:after="0" w:line="240" w:lineRule="auto"/>
        <w:jc w:val="both"/>
        <w:rPr>
          <w:rFonts w:cs="Arial"/>
          <w:sz w:val="22"/>
          <w:szCs w:val="22"/>
        </w:rPr>
      </w:pPr>
      <w:r w:rsidRPr="00C11123">
        <w:rPr>
          <w:rFonts w:cs="Arial"/>
          <w:sz w:val="22"/>
          <w:szCs w:val="22"/>
        </w:rPr>
        <w:t>The Applicant</w:t>
      </w:r>
      <w:r w:rsidR="00C43456" w:rsidRPr="00C11123">
        <w:rPr>
          <w:rFonts w:cs="Arial"/>
          <w:sz w:val="22"/>
          <w:szCs w:val="22"/>
        </w:rPr>
        <w:t xml:space="preserve">’s 9 practice </w:t>
      </w:r>
      <w:r w:rsidR="00944CDB" w:rsidRPr="00C11123">
        <w:rPr>
          <w:rFonts w:cs="Arial"/>
          <w:sz w:val="22"/>
          <w:szCs w:val="22"/>
        </w:rPr>
        <w:t xml:space="preserve">sites and </w:t>
      </w:r>
      <w:r w:rsidR="00F30C9F" w:rsidRPr="00C11123">
        <w:rPr>
          <w:rFonts w:cs="Arial"/>
          <w:sz w:val="22"/>
          <w:szCs w:val="22"/>
        </w:rPr>
        <w:t xml:space="preserve">associated </w:t>
      </w:r>
      <w:r w:rsidR="00944CDB" w:rsidRPr="00C11123">
        <w:rPr>
          <w:rFonts w:cs="Arial"/>
          <w:sz w:val="22"/>
          <w:szCs w:val="22"/>
        </w:rPr>
        <w:t xml:space="preserve">Patient Panel are set forth in Table 2.  </w:t>
      </w:r>
    </w:p>
    <w:p w14:paraId="3D178EE5" w14:textId="77777777" w:rsidR="008F2A08" w:rsidRPr="00C11123" w:rsidRDefault="008F2A08" w:rsidP="00CC6024">
      <w:pPr>
        <w:spacing w:after="0" w:line="240" w:lineRule="auto"/>
        <w:jc w:val="both"/>
        <w:rPr>
          <w:rFonts w:cs="Arial"/>
          <w:sz w:val="22"/>
          <w:szCs w:val="22"/>
        </w:rPr>
      </w:pPr>
    </w:p>
    <w:p w14:paraId="2D36A777" w14:textId="2641E3CA" w:rsidR="008B7656" w:rsidRPr="00C11123" w:rsidRDefault="00000000" w:rsidP="00D70747">
      <w:pPr>
        <w:spacing w:after="0" w:line="240" w:lineRule="auto"/>
        <w:rPr>
          <w:rFonts w:cs="Arial"/>
          <w:b/>
          <w:bCs/>
          <w:sz w:val="22"/>
          <w:szCs w:val="22"/>
        </w:rPr>
      </w:pPr>
      <w:r w:rsidRPr="00C11123">
        <w:rPr>
          <w:rFonts w:cs="Arial"/>
          <w:b/>
          <w:bCs/>
          <w:sz w:val="22"/>
          <w:szCs w:val="22"/>
        </w:rPr>
        <w:t xml:space="preserve">Table </w:t>
      </w:r>
      <w:r w:rsidR="008F2A08" w:rsidRPr="00C11123">
        <w:rPr>
          <w:rFonts w:cs="Arial"/>
          <w:b/>
          <w:bCs/>
          <w:sz w:val="22"/>
          <w:szCs w:val="22"/>
        </w:rPr>
        <w:t>2</w:t>
      </w:r>
      <w:r w:rsidRPr="00C11123">
        <w:rPr>
          <w:rFonts w:cs="Arial"/>
          <w:b/>
          <w:bCs/>
          <w:sz w:val="22"/>
          <w:szCs w:val="22"/>
        </w:rPr>
        <w:t xml:space="preserve"> – Patient Panel: Patients by Practice Site</w:t>
      </w:r>
    </w:p>
    <w:tbl>
      <w:tblPr>
        <w:tblStyle w:val="GridTable4"/>
        <w:tblW w:w="9895" w:type="dxa"/>
        <w:tblLayout w:type="fixed"/>
        <w:tblLook w:val="04A0" w:firstRow="1" w:lastRow="0" w:firstColumn="1" w:lastColumn="0" w:noHBand="0" w:noVBand="1"/>
        <w:tblCaption w:val="Patient Panel: Patients by Practice Site"/>
      </w:tblPr>
      <w:tblGrid>
        <w:gridCol w:w="1564"/>
        <w:gridCol w:w="1229"/>
        <w:gridCol w:w="18"/>
        <w:gridCol w:w="1067"/>
        <w:gridCol w:w="180"/>
        <w:gridCol w:w="1247"/>
        <w:gridCol w:w="4590"/>
      </w:tblGrid>
      <w:tr w:rsidR="00412AA7" w14:paraId="4A237775" w14:textId="77777777" w:rsidTr="00412AA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64" w:type="dxa"/>
          </w:tcPr>
          <w:p w14:paraId="24C35BB8" w14:textId="77777777" w:rsidR="00412AA7" w:rsidRPr="00C11123" w:rsidRDefault="00412AA7" w:rsidP="00412AA7">
            <w:pPr>
              <w:rPr>
                <w:rFonts w:cs="Arial"/>
                <w:sz w:val="22"/>
                <w:szCs w:val="22"/>
              </w:rPr>
            </w:pPr>
            <w:r w:rsidRPr="00C11123">
              <w:rPr>
                <w:rFonts w:cs="Arial"/>
                <w:sz w:val="22"/>
                <w:szCs w:val="22"/>
              </w:rPr>
              <w:lastRenderedPageBreak/>
              <w:t>Practice Site</w:t>
            </w:r>
          </w:p>
        </w:tc>
        <w:tc>
          <w:tcPr>
            <w:tcW w:w="1247" w:type="dxa"/>
            <w:gridSpan w:val="2"/>
          </w:tcPr>
          <w:p w14:paraId="3417B0E0" w14:textId="77777777" w:rsidR="00412AA7" w:rsidRPr="00C11123" w:rsidRDefault="00412AA7" w:rsidP="00412AA7">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Unique Patients</w:t>
            </w:r>
          </w:p>
        </w:tc>
        <w:tc>
          <w:tcPr>
            <w:tcW w:w="1247" w:type="dxa"/>
            <w:gridSpan w:val="2"/>
          </w:tcPr>
          <w:p w14:paraId="0BE959F2" w14:textId="56F2A394" w:rsidR="00412AA7" w:rsidRPr="00C11123" w:rsidRDefault="00412AA7" w:rsidP="00412AA7">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B91AC8">
              <w:rPr>
                <w:rFonts w:cs="Arial"/>
                <w:sz w:val="22"/>
                <w:szCs w:val="22"/>
              </w:rPr>
              <w:t>Unique Patients</w:t>
            </w:r>
          </w:p>
        </w:tc>
        <w:tc>
          <w:tcPr>
            <w:tcW w:w="1247" w:type="dxa"/>
          </w:tcPr>
          <w:p w14:paraId="75A2735D" w14:textId="357A5B27" w:rsidR="00412AA7" w:rsidRPr="00C11123" w:rsidRDefault="00412AA7" w:rsidP="00412AA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B91AC8">
              <w:rPr>
                <w:rFonts w:cs="Arial"/>
                <w:sz w:val="22"/>
                <w:szCs w:val="22"/>
              </w:rPr>
              <w:t>Unique Patients</w:t>
            </w:r>
          </w:p>
        </w:tc>
        <w:tc>
          <w:tcPr>
            <w:tcW w:w="4590" w:type="dxa"/>
          </w:tcPr>
          <w:p w14:paraId="09C0F27E" w14:textId="77777777" w:rsidR="00412AA7" w:rsidRPr="00C11123" w:rsidRDefault="00412AA7" w:rsidP="00412AA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Important Notes</w:t>
            </w:r>
          </w:p>
        </w:tc>
      </w:tr>
      <w:tr w:rsidR="00507820" w14:paraId="44C01DA7" w14:textId="77777777" w:rsidTr="00412AA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64" w:type="dxa"/>
          </w:tcPr>
          <w:p w14:paraId="4DAA995F" w14:textId="77777777" w:rsidR="00CF0CAB" w:rsidRPr="00C11123" w:rsidRDefault="00CF0CAB" w:rsidP="00CC6024">
            <w:pPr>
              <w:rPr>
                <w:rFonts w:cs="Arial"/>
                <w:b w:val="0"/>
                <w:bCs w:val="0"/>
                <w:sz w:val="22"/>
                <w:szCs w:val="22"/>
              </w:rPr>
            </w:pPr>
          </w:p>
        </w:tc>
        <w:tc>
          <w:tcPr>
            <w:tcW w:w="1229" w:type="dxa"/>
          </w:tcPr>
          <w:p w14:paraId="24CAB17F" w14:textId="77777777" w:rsidR="00CF0CAB"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2023</w:t>
            </w:r>
          </w:p>
        </w:tc>
        <w:tc>
          <w:tcPr>
            <w:tcW w:w="1085" w:type="dxa"/>
            <w:gridSpan w:val="2"/>
          </w:tcPr>
          <w:p w14:paraId="0F0822C4" w14:textId="77777777" w:rsidR="00CF0CAB"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2024</w:t>
            </w:r>
          </w:p>
        </w:tc>
        <w:tc>
          <w:tcPr>
            <w:tcW w:w="1427" w:type="dxa"/>
            <w:gridSpan w:val="2"/>
          </w:tcPr>
          <w:p w14:paraId="462A7392" w14:textId="62B3F6C5" w:rsidR="00CF0CAB"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 xml:space="preserve">2025 </w:t>
            </w:r>
          </w:p>
        </w:tc>
        <w:tc>
          <w:tcPr>
            <w:tcW w:w="4590" w:type="dxa"/>
          </w:tcPr>
          <w:p w14:paraId="5C80656E" w14:textId="77777777" w:rsidR="00CF0CAB" w:rsidRPr="00C11123" w:rsidRDefault="00CF0CAB" w:rsidP="00CC6024">
            <w:pPr>
              <w:cnfStyle w:val="100000000000" w:firstRow="1" w:lastRow="0" w:firstColumn="0" w:lastColumn="0" w:oddVBand="0" w:evenVBand="0" w:oddHBand="0" w:evenHBand="0" w:firstRowFirstColumn="0" w:firstRowLastColumn="0" w:lastRowFirstColumn="0" w:lastRowLastColumn="0"/>
              <w:rPr>
                <w:rFonts w:cs="Arial"/>
                <w:sz w:val="22"/>
                <w:szCs w:val="22"/>
              </w:rPr>
            </w:pPr>
          </w:p>
        </w:tc>
      </w:tr>
      <w:tr w:rsidR="00507820" w14:paraId="68F704EB" w14:textId="77777777" w:rsidTr="00412A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4" w:type="dxa"/>
          </w:tcPr>
          <w:p w14:paraId="193E70B4" w14:textId="77777777" w:rsidR="00CF0CAB" w:rsidRPr="00C11123" w:rsidRDefault="00000000" w:rsidP="00CC6024">
            <w:pPr>
              <w:rPr>
                <w:rFonts w:cs="Arial"/>
                <w:b w:val="0"/>
                <w:bCs w:val="0"/>
                <w:sz w:val="22"/>
                <w:szCs w:val="22"/>
              </w:rPr>
            </w:pPr>
            <w:r w:rsidRPr="00C11123">
              <w:rPr>
                <w:rFonts w:cs="Arial"/>
                <w:sz w:val="22"/>
                <w:szCs w:val="22"/>
              </w:rPr>
              <w:t>Attleboro</w:t>
            </w:r>
          </w:p>
        </w:tc>
        <w:tc>
          <w:tcPr>
            <w:tcW w:w="1229" w:type="dxa"/>
          </w:tcPr>
          <w:p w14:paraId="0B76657D" w14:textId="77777777" w:rsidR="00CF0CAB"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N/A</w:t>
            </w:r>
          </w:p>
        </w:tc>
        <w:tc>
          <w:tcPr>
            <w:tcW w:w="1085" w:type="dxa"/>
            <w:gridSpan w:val="2"/>
          </w:tcPr>
          <w:p w14:paraId="58201372" w14:textId="77777777" w:rsidR="00CF0CAB"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N/A</w:t>
            </w:r>
          </w:p>
        </w:tc>
        <w:tc>
          <w:tcPr>
            <w:tcW w:w="1427" w:type="dxa"/>
            <w:gridSpan w:val="2"/>
          </w:tcPr>
          <w:p w14:paraId="6196EE9A" w14:textId="2D0EC0EE" w:rsidR="00CF0CAB"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9,300</w:t>
            </w:r>
          </w:p>
        </w:tc>
        <w:tc>
          <w:tcPr>
            <w:tcW w:w="4590" w:type="dxa"/>
          </w:tcPr>
          <w:p w14:paraId="7054315F" w14:textId="77777777" w:rsidR="00CF0CAB" w:rsidRPr="00C11123" w:rsidRDefault="00000000" w:rsidP="00CC6024">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Location opened January 2025</w:t>
            </w:r>
          </w:p>
        </w:tc>
      </w:tr>
      <w:tr w:rsidR="00507820" w14:paraId="13DCF7A5" w14:textId="77777777" w:rsidTr="00412AA7">
        <w:trPr>
          <w:cantSplit/>
        </w:trPr>
        <w:tc>
          <w:tcPr>
            <w:cnfStyle w:val="001000000000" w:firstRow="0" w:lastRow="0" w:firstColumn="1" w:lastColumn="0" w:oddVBand="0" w:evenVBand="0" w:oddHBand="0" w:evenHBand="0" w:firstRowFirstColumn="0" w:firstRowLastColumn="0" w:lastRowFirstColumn="0" w:lastRowLastColumn="0"/>
            <w:tcW w:w="1564" w:type="dxa"/>
          </w:tcPr>
          <w:p w14:paraId="67848B81" w14:textId="77777777" w:rsidR="00CF0CAB" w:rsidRPr="00C11123" w:rsidRDefault="00000000" w:rsidP="00CC6024">
            <w:pPr>
              <w:rPr>
                <w:rFonts w:cs="Arial"/>
                <w:b w:val="0"/>
                <w:bCs w:val="0"/>
                <w:sz w:val="22"/>
                <w:szCs w:val="22"/>
              </w:rPr>
            </w:pPr>
            <w:r w:rsidRPr="00C11123">
              <w:rPr>
                <w:rFonts w:cs="Arial"/>
                <w:sz w:val="22"/>
                <w:szCs w:val="22"/>
              </w:rPr>
              <w:t>Dedham</w:t>
            </w:r>
          </w:p>
        </w:tc>
        <w:tc>
          <w:tcPr>
            <w:tcW w:w="1229" w:type="dxa"/>
          </w:tcPr>
          <w:p w14:paraId="62E8AF6D" w14:textId="77777777" w:rsidR="00CF0CAB"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15,674</w:t>
            </w:r>
          </w:p>
        </w:tc>
        <w:tc>
          <w:tcPr>
            <w:tcW w:w="1085" w:type="dxa"/>
            <w:gridSpan w:val="2"/>
          </w:tcPr>
          <w:p w14:paraId="139EC117" w14:textId="77777777" w:rsidR="00CF0CAB"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21,205</w:t>
            </w:r>
          </w:p>
        </w:tc>
        <w:tc>
          <w:tcPr>
            <w:tcW w:w="1427" w:type="dxa"/>
            <w:gridSpan w:val="2"/>
          </w:tcPr>
          <w:p w14:paraId="4C6256B0" w14:textId="2A0C2A60" w:rsidR="00CF0CAB"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20,361</w:t>
            </w:r>
          </w:p>
        </w:tc>
        <w:tc>
          <w:tcPr>
            <w:tcW w:w="4590" w:type="dxa"/>
          </w:tcPr>
          <w:p w14:paraId="0720E424" w14:textId="77777777" w:rsidR="00CF0CAB" w:rsidRPr="00C11123" w:rsidRDefault="00000000" w:rsidP="00CC6024">
            <w:pP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Proposed Project site*</w:t>
            </w:r>
          </w:p>
        </w:tc>
      </w:tr>
      <w:tr w:rsidR="00507820" w14:paraId="121F5FAD" w14:textId="77777777" w:rsidTr="00412A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4" w:type="dxa"/>
          </w:tcPr>
          <w:p w14:paraId="1F15421F" w14:textId="77777777" w:rsidR="00CF0CAB" w:rsidRPr="00C11123" w:rsidRDefault="00000000" w:rsidP="00CC6024">
            <w:pPr>
              <w:rPr>
                <w:rFonts w:cs="Arial"/>
                <w:b w:val="0"/>
                <w:bCs w:val="0"/>
                <w:sz w:val="22"/>
                <w:szCs w:val="22"/>
              </w:rPr>
            </w:pPr>
            <w:r w:rsidRPr="00C11123">
              <w:rPr>
                <w:rFonts w:cs="Arial"/>
                <w:sz w:val="22"/>
                <w:szCs w:val="22"/>
              </w:rPr>
              <w:t>Falmouth</w:t>
            </w:r>
          </w:p>
        </w:tc>
        <w:tc>
          <w:tcPr>
            <w:tcW w:w="1229" w:type="dxa"/>
          </w:tcPr>
          <w:p w14:paraId="0D965630" w14:textId="77777777" w:rsidR="00CF0CAB"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10,429</w:t>
            </w:r>
          </w:p>
        </w:tc>
        <w:tc>
          <w:tcPr>
            <w:tcW w:w="1085" w:type="dxa"/>
            <w:gridSpan w:val="2"/>
          </w:tcPr>
          <w:p w14:paraId="5B752862" w14:textId="77777777" w:rsidR="00CF0CAB"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10,528</w:t>
            </w:r>
          </w:p>
        </w:tc>
        <w:tc>
          <w:tcPr>
            <w:tcW w:w="1427" w:type="dxa"/>
            <w:gridSpan w:val="2"/>
          </w:tcPr>
          <w:p w14:paraId="389B133D" w14:textId="532AE829" w:rsidR="00CF0CAB"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11,396</w:t>
            </w:r>
          </w:p>
        </w:tc>
        <w:tc>
          <w:tcPr>
            <w:tcW w:w="4590" w:type="dxa"/>
          </w:tcPr>
          <w:p w14:paraId="525E98F9" w14:textId="37060BB2" w:rsidR="00CF0CAB" w:rsidRPr="00C11123" w:rsidRDefault="00B26388" w:rsidP="00CC6024">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507820" w14:paraId="18005D8A" w14:textId="77777777" w:rsidTr="00412AA7">
        <w:trPr>
          <w:cantSplit/>
        </w:trPr>
        <w:tc>
          <w:tcPr>
            <w:cnfStyle w:val="001000000000" w:firstRow="0" w:lastRow="0" w:firstColumn="1" w:lastColumn="0" w:oddVBand="0" w:evenVBand="0" w:oddHBand="0" w:evenHBand="0" w:firstRowFirstColumn="0" w:firstRowLastColumn="0" w:lastRowFirstColumn="0" w:lastRowLastColumn="0"/>
            <w:tcW w:w="1564" w:type="dxa"/>
          </w:tcPr>
          <w:p w14:paraId="58A633CE" w14:textId="77777777" w:rsidR="00CF0CAB" w:rsidRPr="00C11123" w:rsidRDefault="00000000" w:rsidP="00CC6024">
            <w:pPr>
              <w:rPr>
                <w:rFonts w:cs="Arial"/>
                <w:b w:val="0"/>
                <w:bCs w:val="0"/>
                <w:sz w:val="22"/>
                <w:szCs w:val="22"/>
              </w:rPr>
            </w:pPr>
            <w:r w:rsidRPr="00C11123">
              <w:rPr>
                <w:rFonts w:cs="Arial"/>
                <w:sz w:val="22"/>
                <w:szCs w:val="22"/>
              </w:rPr>
              <w:t>Framingham</w:t>
            </w:r>
          </w:p>
        </w:tc>
        <w:tc>
          <w:tcPr>
            <w:tcW w:w="1229" w:type="dxa"/>
          </w:tcPr>
          <w:p w14:paraId="7B1E5C5F" w14:textId="77777777" w:rsidR="00CF0CAB"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15,688</w:t>
            </w:r>
          </w:p>
        </w:tc>
        <w:tc>
          <w:tcPr>
            <w:tcW w:w="1085" w:type="dxa"/>
            <w:gridSpan w:val="2"/>
          </w:tcPr>
          <w:p w14:paraId="56CA8FFD" w14:textId="77777777" w:rsidR="00CF0CAB"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15,685</w:t>
            </w:r>
          </w:p>
        </w:tc>
        <w:tc>
          <w:tcPr>
            <w:tcW w:w="1427" w:type="dxa"/>
            <w:gridSpan w:val="2"/>
          </w:tcPr>
          <w:p w14:paraId="3402B0E8" w14:textId="568FF6E3" w:rsidR="00CF0CAB"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15,778</w:t>
            </w:r>
          </w:p>
        </w:tc>
        <w:tc>
          <w:tcPr>
            <w:tcW w:w="4590" w:type="dxa"/>
          </w:tcPr>
          <w:p w14:paraId="2CAD8627" w14:textId="77777777" w:rsidR="00CF0CAB" w:rsidRPr="00C11123" w:rsidRDefault="00000000" w:rsidP="00CC6024">
            <w:pP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Proposed Project site*</w:t>
            </w:r>
          </w:p>
        </w:tc>
      </w:tr>
      <w:tr w:rsidR="00B26388" w14:paraId="1593611C" w14:textId="77777777" w:rsidTr="00412A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4" w:type="dxa"/>
          </w:tcPr>
          <w:p w14:paraId="611122AA" w14:textId="77777777" w:rsidR="00B26388" w:rsidRPr="00C11123" w:rsidRDefault="00B26388" w:rsidP="00B26388">
            <w:pPr>
              <w:rPr>
                <w:rFonts w:cs="Arial"/>
                <w:b w:val="0"/>
                <w:bCs w:val="0"/>
                <w:sz w:val="22"/>
                <w:szCs w:val="22"/>
              </w:rPr>
            </w:pPr>
            <w:r w:rsidRPr="00C11123">
              <w:rPr>
                <w:rFonts w:cs="Arial"/>
                <w:sz w:val="22"/>
                <w:szCs w:val="22"/>
              </w:rPr>
              <w:t>Hyannis</w:t>
            </w:r>
          </w:p>
        </w:tc>
        <w:tc>
          <w:tcPr>
            <w:tcW w:w="1229" w:type="dxa"/>
          </w:tcPr>
          <w:p w14:paraId="696BC20D" w14:textId="77777777"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6,010</w:t>
            </w:r>
          </w:p>
        </w:tc>
        <w:tc>
          <w:tcPr>
            <w:tcW w:w="1085" w:type="dxa"/>
            <w:gridSpan w:val="2"/>
          </w:tcPr>
          <w:p w14:paraId="660054F2" w14:textId="77777777"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6,621</w:t>
            </w:r>
          </w:p>
        </w:tc>
        <w:tc>
          <w:tcPr>
            <w:tcW w:w="1427" w:type="dxa"/>
            <w:gridSpan w:val="2"/>
          </w:tcPr>
          <w:p w14:paraId="35C7BB28" w14:textId="3C798E53"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7,018</w:t>
            </w:r>
          </w:p>
        </w:tc>
        <w:tc>
          <w:tcPr>
            <w:tcW w:w="4590" w:type="dxa"/>
          </w:tcPr>
          <w:p w14:paraId="6D3B4357" w14:textId="6136136F" w:rsidR="00B26388" w:rsidRPr="00C11123" w:rsidRDefault="00B26388" w:rsidP="00B26388">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B26388" w14:paraId="4FBA733C" w14:textId="77777777" w:rsidTr="00412AA7">
        <w:trPr>
          <w:cantSplit/>
        </w:trPr>
        <w:tc>
          <w:tcPr>
            <w:cnfStyle w:val="001000000000" w:firstRow="0" w:lastRow="0" w:firstColumn="1" w:lastColumn="0" w:oddVBand="0" w:evenVBand="0" w:oddHBand="0" w:evenHBand="0" w:firstRowFirstColumn="0" w:firstRowLastColumn="0" w:lastRowFirstColumn="0" w:lastRowLastColumn="0"/>
            <w:tcW w:w="1564" w:type="dxa"/>
          </w:tcPr>
          <w:p w14:paraId="5201366E" w14:textId="77777777" w:rsidR="00B26388" w:rsidRPr="00C11123" w:rsidRDefault="00B26388" w:rsidP="00B26388">
            <w:pPr>
              <w:rPr>
                <w:rFonts w:cs="Arial"/>
                <w:b w:val="0"/>
                <w:bCs w:val="0"/>
                <w:sz w:val="22"/>
                <w:szCs w:val="22"/>
              </w:rPr>
            </w:pPr>
            <w:r w:rsidRPr="00C11123">
              <w:rPr>
                <w:rFonts w:cs="Arial"/>
                <w:sz w:val="22"/>
                <w:szCs w:val="22"/>
              </w:rPr>
              <w:t>Leominster</w:t>
            </w:r>
          </w:p>
        </w:tc>
        <w:tc>
          <w:tcPr>
            <w:tcW w:w="1229" w:type="dxa"/>
          </w:tcPr>
          <w:p w14:paraId="1391E9D6" w14:textId="77777777"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N/A</w:t>
            </w:r>
          </w:p>
        </w:tc>
        <w:tc>
          <w:tcPr>
            <w:tcW w:w="1085" w:type="dxa"/>
            <w:gridSpan w:val="2"/>
          </w:tcPr>
          <w:p w14:paraId="5FC48258" w14:textId="77777777"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N/A</w:t>
            </w:r>
          </w:p>
        </w:tc>
        <w:tc>
          <w:tcPr>
            <w:tcW w:w="1427" w:type="dxa"/>
            <w:gridSpan w:val="2"/>
          </w:tcPr>
          <w:p w14:paraId="10C94E60" w14:textId="5D9BFAAC"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4,005</w:t>
            </w:r>
          </w:p>
        </w:tc>
        <w:tc>
          <w:tcPr>
            <w:tcW w:w="4590" w:type="dxa"/>
          </w:tcPr>
          <w:p w14:paraId="7A23EFFB" w14:textId="77777777" w:rsidR="00B26388" w:rsidRPr="00C11123" w:rsidRDefault="00B26388" w:rsidP="00B26388">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Location opened in 2025</w:t>
            </w:r>
          </w:p>
        </w:tc>
      </w:tr>
      <w:tr w:rsidR="00B26388" w14:paraId="18D25DC3" w14:textId="77777777" w:rsidTr="00412A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4" w:type="dxa"/>
          </w:tcPr>
          <w:p w14:paraId="3EE392CC" w14:textId="77777777" w:rsidR="00B26388" w:rsidRPr="00C11123" w:rsidRDefault="00B26388" w:rsidP="00B26388">
            <w:pPr>
              <w:rPr>
                <w:rFonts w:cs="Arial"/>
                <w:b w:val="0"/>
                <w:bCs w:val="0"/>
                <w:sz w:val="22"/>
                <w:szCs w:val="22"/>
              </w:rPr>
            </w:pPr>
            <w:r w:rsidRPr="00C11123">
              <w:rPr>
                <w:rFonts w:cs="Arial"/>
                <w:sz w:val="22"/>
                <w:szCs w:val="22"/>
              </w:rPr>
              <w:t>Milton</w:t>
            </w:r>
          </w:p>
        </w:tc>
        <w:tc>
          <w:tcPr>
            <w:tcW w:w="1229" w:type="dxa"/>
          </w:tcPr>
          <w:p w14:paraId="3B837952" w14:textId="77777777"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12,547</w:t>
            </w:r>
          </w:p>
        </w:tc>
        <w:tc>
          <w:tcPr>
            <w:tcW w:w="1085" w:type="dxa"/>
            <w:gridSpan w:val="2"/>
          </w:tcPr>
          <w:p w14:paraId="3DD21721" w14:textId="77777777"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13,723</w:t>
            </w:r>
          </w:p>
        </w:tc>
        <w:tc>
          <w:tcPr>
            <w:tcW w:w="1427" w:type="dxa"/>
            <w:gridSpan w:val="2"/>
          </w:tcPr>
          <w:p w14:paraId="3FCE2CBF" w14:textId="43EC73AC"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14,349</w:t>
            </w:r>
          </w:p>
        </w:tc>
        <w:tc>
          <w:tcPr>
            <w:tcW w:w="4590" w:type="dxa"/>
          </w:tcPr>
          <w:p w14:paraId="45423AB0" w14:textId="4D233CBB" w:rsidR="00B26388" w:rsidRPr="00C11123" w:rsidRDefault="00B26388" w:rsidP="00B26388">
            <w:p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B26388" w14:paraId="580B552A" w14:textId="77777777" w:rsidTr="00412AA7">
        <w:trPr>
          <w:cantSplit/>
        </w:trPr>
        <w:tc>
          <w:tcPr>
            <w:cnfStyle w:val="001000000000" w:firstRow="0" w:lastRow="0" w:firstColumn="1" w:lastColumn="0" w:oddVBand="0" w:evenVBand="0" w:oddHBand="0" w:evenHBand="0" w:firstRowFirstColumn="0" w:firstRowLastColumn="0" w:lastRowFirstColumn="0" w:lastRowLastColumn="0"/>
            <w:tcW w:w="1564" w:type="dxa"/>
          </w:tcPr>
          <w:p w14:paraId="5963C3ED" w14:textId="77777777" w:rsidR="00B26388" w:rsidRPr="00C11123" w:rsidRDefault="00B26388" w:rsidP="00B26388">
            <w:pPr>
              <w:rPr>
                <w:rFonts w:cs="Arial"/>
                <w:b w:val="0"/>
                <w:bCs w:val="0"/>
                <w:sz w:val="22"/>
                <w:szCs w:val="22"/>
              </w:rPr>
            </w:pPr>
            <w:r w:rsidRPr="00C11123">
              <w:rPr>
                <w:rFonts w:cs="Arial"/>
                <w:sz w:val="22"/>
                <w:szCs w:val="22"/>
              </w:rPr>
              <w:t>North Easton</w:t>
            </w:r>
          </w:p>
        </w:tc>
        <w:tc>
          <w:tcPr>
            <w:tcW w:w="1229" w:type="dxa"/>
          </w:tcPr>
          <w:p w14:paraId="63603CE1" w14:textId="77777777"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25,859</w:t>
            </w:r>
          </w:p>
        </w:tc>
        <w:tc>
          <w:tcPr>
            <w:tcW w:w="1085" w:type="dxa"/>
            <w:gridSpan w:val="2"/>
          </w:tcPr>
          <w:p w14:paraId="7E0C5F26" w14:textId="77777777"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24,489</w:t>
            </w:r>
          </w:p>
        </w:tc>
        <w:tc>
          <w:tcPr>
            <w:tcW w:w="1427" w:type="dxa"/>
            <w:gridSpan w:val="2"/>
          </w:tcPr>
          <w:p w14:paraId="3BAB25B9" w14:textId="66C20912"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25,428</w:t>
            </w:r>
          </w:p>
        </w:tc>
        <w:tc>
          <w:tcPr>
            <w:tcW w:w="4590" w:type="dxa"/>
          </w:tcPr>
          <w:p w14:paraId="4BC8239E" w14:textId="3735D2DD" w:rsidR="00B26388" w:rsidRPr="00C11123" w:rsidRDefault="00B26388" w:rsidP="00B26388">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N/A</w:t>
            </w:r>
          </w:p>
        </w:tc>
      </w:tr>
      <w:tr w:rsidR="00B26388" w14:paraId="159437C6" w14:textId="77777777" w:rsidTr="00412AA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1564" w:type="dxa"/>
          </w:tcPr>
          <w:p w14:paraId="45CF1442" w14:textId="77777777" w:rsidR="00B26388" w:rsidRPr="00C11123" w:rsidRDefault="00B26388" w:rsidP="00B26388">
            <w:pPr>
              <w:rPr>
                <w:rFonts w:cs="Arial"/>
                <w:b w:val="0"/>
                <w:bCs w:val="0"/>
                <w:sz w:val="22"/>
                <w:szCs w:val="22"/>
              </w:rPr>
            </w:pPr>
            <w:r w:rsidRPr="00C11123">
              <w:rPr>
                <w:rFonts w:cs="Arial"/>
                <w:sz w:val="22"/>
                <w:szCs w:val="22"/>
              </w:rPr>
              <w:t>Plymouth</w:t>
            </w:r>
          </w:p>
        </w:tc>
        <w:tc>
          <w:tcPr>
            <w:tcW w:w="1229" w:type="dxa"/>
          </w:tcPr>
          <w:p w14:paraId="34490650" w14:textId="77777777"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22,884</w:t>
            </w:r>
          </w:p>
        </w:tc>
        <w:tc>
          <w:tcPr>
            <w:tcW w:w="1085" w:type="dxa"/>
            <w:gridSpan w:val="2"/>
          </w:tcPr>
          <w:p w14:paraId="7083F8D6" w14:textId="77777777"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24,164</w:t>
            </w:r>
          </w:p>
        </w:tc>
        <w:tc>
          <w:tcPr>
            <w:tcW w:w="1427" w:type="dxa"/>
            <w:gridSpan w:val="2"/>
          </w:tcPr>
          <w:p w14:paraId="11EE186A" w14:textId="698C2E19" w:rsidR="00B26388" w:rsidRPr="00C11123" w:rsidRDefault="00B26388" w:rsidP="00B26388">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24,527</w:t>
            </w:r>
          </w:p>
        </w:tc>
        <w:tc>
          <w:tcPr>
            <w:tcW w:w="4590" w:type="dxa"/>
          </w:tcPr>
          <w:p w14:paraId="77FF3B56" w14:textId="77777777" w:rsidR="00B26388" w:rsidRPr="00C11123" w:rsidRDefault="00B26388" w:rsidP="00B26388">
            <w:p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b/>
                <w:bCs/>
                <w:sz w:val="22"/>
                <w:szCs w:val="22"/>
              </w:rPr>
              <w:t>Proposed Project site*</w:t>
            </w:r>
          </w:p>
        </w:tc>
      </w:tr>
      <w:tr w:rsidR="00B26388" w14:paraId="0618F4F9" w14:textId="77777777" w:rsidTr="00412AA7">
        <w:trPr>
          <w:cantSplit/>
        </w:trPr>
        <w:tc>
          <w:tcPr>
            <w:cnfStyle w:val="001000000000" w:firstRow="0" w:lastRow="0" w:firstColumn="1" w:lastColumn="0" w:oddVBand="0" w:evenVBand="0" w:oddHBand="0" w:evenHBand="0" w:firstRowFirstColumn="0" w:firstRowLastColumn="0" w:lastRowFirstColumn="0" w:lastRowLastColumn="0"/>
            <w:tcW w:w="1564" w:type="dxa"/>
          </w:tcPr>
          <w:p w14:paraId="722C5F33" w14:textId="77777777" w:rsidR="00B26388" w:rsidRPr="00C11123" w:rsidRDefault="00B26388" w:rsidP="00B26388">
            <w:pPr>
              <w:rPr>
                <w:rFonts w:cs="Arial"/>
                <w:sz w:val="22"/>
                <w:szCs w:val="22"/>
              </w:rPr>
            </w:pPr>
            <w:r w:rsidRPr="00C11123">
              <w:rPr>
                <w:rFonts w:cs="Arial"/>
                <w:sz w:val="22"/>
                <w:szCs w:val="22"/>
              </w:rPr>
              <w:t>Totals</w:t>
            </w:r>
          </w:p>
        </w:tc>
        <w:tc>
          <w:tcPr>
            <w:tcW w:w="1229" w:type="dxa"/>
          </w:tcPr>
          <w:p w14:paraId="2B4D112E" w14:textId="77777777"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109,091</w:t>
            </w:r>
          </w:p>
        </w:tc>
        <w:tc>
          <w:tcPr>
            <w:tcW w:w="1085" w:type="dxa"/>
            <w:gridSpan w:val="2"/>
          </w:tcPr>
          <w:p w14:paraId="4698C9AF" w14:textId="77777777"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116,415</w:t>
            </w:r>
          </w:p>
        </w:tc>
        <w:tc>
          <w:tcPr>
            <w:tcW w:w="1427" w:type="dxa"/>
            <w:gridSpan w:val="2"/>
          </w:tcPr>
          <w:p w14:paraId="6E7E0C59" w14:textId="1B622522" w:rsidR="00B26388" w:rsidRPr="00C11123" w:rsidRDefault="00B26388" w:rsidP="00B26388">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132,162</w:t>
            </w:r>
          </w:p>
        </w:tc>
        <w:tc>
          <w:tcPr>
            <w:tcW w:w="4590" w:type="dxa"/>
          </w:tcPr>
          <w:p w14:paraId="1DA961C8" w14:textId="0A936104" w:rsidR="00B26388" w:rsidRPr="00C11123" w:rsidRDefault="00B26388" w:rsidP="00B26388">
            <w:pPr>
              <w:cnfStyle w:val="000000000000" w:firstRow="0" w:lastRow="0" w:firstColumn="0" w:lastColumn="0" w:oddVBand="0" w:evenVBand="0" w:oddHBand="0" w:evenHBand="0" w:firstRowFirstColumn="0" w:firstRowLastColumn="0" w:lastRowFirstColumn="0" w:lastRowLastColumn="0"/>
              <w:rPr>
                <w:rFonts w:cs="Arial"/>
                <w:b/>
                <w:bCs/>
                <w:sz w:val="22"/>
                <w:szCs w:val="22"/>
              </w:rPr>
            </w:pPr>
            <w:r>
              <w:rPr>
                <w:rFonts w:cs="Arial"/>
                <w:sz w:val="22"/>
                <w:szCs w:val="22"/>
              </w:rPr>
              <w:t>N/A</w:t>
            </w:r>
          </w:p>
        </w:tc>
      </w:tr>
    </w:tbl>
    <w:p w14:paraId="067ABA98" w14:textId="77777777" w:rsidR="008B7656" w:rsidRPr="00C11123" w:rsidRDefault="008B7656" w:rsidP="00CC6024">
      <w:pPr>
        <w:spacing w:after="0" w:line="240" w:lineRule="auto"/>
        <w:jc w:val="both"/>
        <w:rPr>
          <w:rFonts w:cs="Arial"/>
          <w:b/>
          <w:bCs/>
          <w:sz w:val="22"/>
          <w:szCs w:val="22"/>
        </w:rPr>
      </w:pPr>
    </w:p>
    <w:p w14:paraId="2D550D4C" w14:textId="28A5D78E" w:rsidR="008B7656" w:rsidRPr="00C11123" w:rsidRDefault="00000000" w:rsidP="00CC6024">
      <w:pPr>
        <w:spacing w:after="0" w:line="240" w:lineRule="auto"/>
        <w:jc w:val="both"/>
        <w:rPr>
          <w:rFonts w:cs="Arial"/>
          <w:sz w:val="22"/>
          <w:szCs w:val="22"/>
        </w:rPr>
      </w:pPr>
      <w:r w:rsidRPr="00C11123">
        <w:rPr>
          <w:rFonts w:cs="Arial"/>
          <w:sz w:val="22"/>
          <w:szCs w:val="22"/>
        </w:rPr>
        <w:t xml:space="preserve">The Applicant’s Patient Panel includes individuals from a wide range of cities and towns across </w:t>
      </w:r>
      <w:r w:rsidR="00FD6E98" w:rsidRPr="00C11123">
        <w:rPr>
          <w:rFonts w:cs="Arial"/>
          <w:sz w:val="22"/>
          <w:szCs w:val="22"/>
        </w:rPr>
        <w:t>Eastern and Southeastern Massachusetts where most of the Applicant’s sites</w:t>
      </w:r>
      <w:r w:rsidR="001D2373" w:rsidRPr="00C11123">
        <w:rPr>
          <w:rFonts w:cs="Arial"/>
          <w:sz w:val="22"/>
          <w:szCs w:val="22"/>
        </w:rPr>
        <w:t xml:space="preserve"> and Patient Panel</w:t>
      </w:r>
      <w:r w:rsidR="00FD6E98" w:rsidRPr="00C11123">
        <w:rPr>
          <w:rFonts w:cs="Arial"/>
          <w:sz w:val="22"/>
          <w:szCs w:val="22"/>
        </w:rPr>
        <w:t xml:space="preserve"> are located</w:t>
      </w:r>
      <w:r w:rsidRPr="00C11123">
        <w:rPr>
          <w:rFonts w:cs="Arial"/>
          <w:sz w:val="22"/>
          <w:szCs w:val="22"/>
        </w:rPr>
        <w:t xml:space="preserve">. </w:t>
      </w:r>
      <w:r w:rsidR="00FD6E98" w:rsidRPr="00C11123">
        <w:rPr>
          <w:rFonts w:cs="Arial"/>
          <w:sz w:val="22"/>
          <w:szCs w:val="22"/>
        </w:rPr>
        <w:t xml:space="preserve">The </w:t>
      </w:r>
      <w:r w:rsidR="00AE2ECF" w:rsidRPr="00C11123">
        <w:rPr>
          <w:rFonts w:cs="Arial"/>
          <w:sz w:val="22"/>
          <w:szCs w:val="22"/>
        </w:rPr>
        <w:t xml:space="preserve">below Table 3 lists all </w:t>
      </w:r>
      <w:r w:rsidR="00605196" w:rsidRPr="00C11123">
        <w:rPr>
          <w:rFonts w:cs="Arial"/>
          <w:sz w:val="22"/>
          <w:szCs w:val="22"/>
        </w:rPr>
        <w:t>zip codes</w:t>
      </w:r>
      <w:r w:rsidR="00FD6E98" w:rsidRPr="00C11123">
        <w:rPr>
          <w:rFonts w:cs="Arial"/>
          <w:sz w:val="22"/>
          <w:szCs w:val="22"/>
        </w:rPr>
        <w:t xml:space="preserve"> with at least 100 patients annually from 2022 – 2025</w:t>
      </w:r>
      <w:r w:rsidR="00AE2ECF" w:rsidRPr="00C11123">
        <w:rPr>
          <w:rFonts w:cs="Arial"/>
          <w:sz w:val="22"/>
          <w:szCs w:val="22"/>
        </w:rPr>
        <w:t>.</w:t>
      </w:r>
    </w:p>
    <w:p w14:paraId="32EBD94D" w14:textId="77777777" w:rsidR="008B7656" w:rsidRPr="00C11123" w:rsidRDefault="008B7656" w:rsidP="00CC6024">
      <w:pPr>
        <w:spacing w:after="0" w:line="240" w:lineRule="auto"/>
        <w:jc w:val="both"/>
        <w:rPr>
          <w:rFonts w:cs="Arial"/>
          <w:b/>
          <w:bCs/>
          <w:sz w:val="22"/>
          <w:szCs w:val="22"/>
        </w:rPr>
      </w:pPr>
    </w:p>
    <w:p w14:paraId="06670AFC" w14:textId="6DBE3F0D" w:rsidR="00D70747" w:rsidRPr="00C11123" w:rsidRDefault="00000000" w:rsidP="00CC6024">
      <w:pPr>
        <w:spacing w:after="0" w:line="240" w:lineRule="auto"/>
        <w:jc w:val="both"/>
        <w:rPr>
          <w:rFonts w:cs="Arial"/>
          <w:b/>
          <w:bCs/>
          <w:sz w:val="22"/>
          <w:szCs w:val="22"/>
        </w:rPr>
      </w:pPr>
      <w:r w:rsidRPr="00C11123">
        <w:rPr>
          <w:rFonts w:cs="Arial"/>
          <w:b/>
          <w:bCs/>
          <w:sz w:val="22"/>
          <w:szCs w:val="22"/>
        </w:rPr>
        <w:t xml:space="preserve">Table </w:t>
      </w:r>
      <w:r w:rsidR="008F2A08" w:rsidRPr="00C11123">
        <w:rPr>
          <w:rFonts w:cs="Arial"/>
          <w:b/>
          <w:bCs/>
          <w:sz w:val="22"/>
          <w:szCs w:val="22"/>
        </w:rPr>
        <w:t>3</w:t>
      </w:r>
      <w:r w:rsidRPr="00C11123">
        <w:rPr>
          <w:rFonts w:cs="Arial"/>
          <w:b/>
          <w:bCs/>
          <w:sz w:val="22"/>
          <w:szCs w:val="22"/>
        </w:rPr>
        <w:t xml:space="preserve"> – Patient Panel: Patients Served by Zip Code </w:t>
      </w:r>
    </w:p>
    <w:p w14:paraId="44596AD0" w14:textId="03227222" w:rsidR="00ED7DE3" w:rsidRPr="00C11123" w:rsidRDefault="00000000" w:rsidP="00CC6024">
      <w:pPr>
        <w:spacing w:after="0" w:line="240" w:lineRule="auto"/>
        <w:jc w:val="both"/>
        <w:rPr>
          <w:rFonts w:cs="Arial"/>
          <w:sz w:val="22"/>
          <w:szCs w:val="22"/>
        </w:rPr>
      </w:pPr>
      <w:r w:rsidRPr="00C11123">
        <w:rPr>
          <w:rFonts w:cs="Arial"/>
          <w:sz w:val="22"/>
          <w:szCs w:val="22"/>
        </w:rPr>
        <w:t xml:space="preserve">(Cities and towns where the Applicant </w:t>
      </w:r>
      <w:proofErr w:type="gramStart"/>
      <w:r w:rsidRPr="00C11123">
        <w:rPr>
          <w:rFonts w:cs="Arial"/>
          <w:sz w:val="22"/>
          <w:szCs w:val="22"/>
        </w:rPr>
        <w:t>has</w:t>
      </w:r>
      <w:proofErr w:type="gramEnd"/>
      <w:r w:rsidRPr="00C11123">
        <w:rPr>
          <w:rFonts w:cs="Arial"/>
          <w:sz w:val="22"/>
          <w:szCs w:val="22"/>
        </w:rPr>
        <w:t xml:space="preserve"> offices are indicated in </w:t>
      </w:r>
      <w:r w:rsidRPr="00C11123">
        <w:rPr>
          <w:rFonts w:cs="Arial"/>
          <w:b/>
          <w:bCs/>
          <w:sz w:val="22"/>
          <w:szCs w:val="22"/>
        </w:rPr>
        <w:t>bold</w:t>
      </w:r>
      <w:r w:rsidRPr="00C11123">
        <w:rPr>
          <w:rFonts w:cs="Arial"/>
          <w:sz w:val="22"/>
          <w:szCs w:val="22"/>
        </w:rPr>
        <w:t xml:space="preserve">. </w:t>
      </w:r>
      <w:r w:rsidR="00687A14" w:rsidRPr="00C11123">
        <w:rPr>
          <w:rFonts w:cs="Arial"/>
          <w:sz w:val="22"/>
          <w:szCs w:val="22"/>
        </w:rPr>
        <w:t>Islands omitted.)</w:t>
      </w:r>
    </w:p>
    <w:tbl>
      <w:tblPr>
        <w:tblStyle w:val="GridTable4"/>
        <w:tblW w:w="9895" w:type="dxa"/>
        <w:tblLook w:val="04A0" w:firstRow="1" w:lastRow="0" w:firstColumn="1" w:lastColumn="0" w:noHBand="0" w:noVBand="1"/>
        <w:tblCaption w:val="Patient Panel: Patients Served by Zip Code"/>
      </w:tblPr>
      <w:tblGrid>
        <w:gridCol w:w="2820"/>
        <w:gridCol w:w="2800"/>
        <w:gridCol w:w="960"/>
        <w:gridCol w:w="960"/>
        <w:gridCol w:w="960"/>
        <w:gridCol w:w="1395"/>
      </w:tblGrid>
      <w:tr w:rsidR="00507820" w14:paraId="3249CAC8" w14:textId="77777777" w:rsidTr="001054DB">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2820" w:type="dxa"/>
            <w:noWrap/>
            <w:hideMark/>
          </w:tcPr>
          <w:p w14:paraId="74821CA3" w14:textId="77777777" w:rsidR="00BA0158" w:rsidRPr="00C11123" w:rsidRDefault="00000000" w:rsidP="00CC6024">
            <w:pPr>
              <w:jc w:val="center"/>
              <w:rPr>
                <w:rFonts w:eastAsia="Times New Roman" w:cs="Arial"/>
                <w:kern w:val="0"/>
                <w:sz w:val="22"/>
                <w:szCs w:val="22"/>
                <w14:ligatures w14:val="none"/>
              </w:rPr>
            </w:pPr>
            <w:r w:rsidRPr="00C11123">
              <w:rPr>
                <w:rFonts w:eastAsia="Times New Roman" w:cs="Arial"/>
                <w:kern w:val="0"/>
                <w:sz w:val="22"/>
                <w:szCs w:val="22"/>
                <w14:ligatures w14:val="none"/>
              </w:rPr>
              <w:t>Zip Code</w:t>
            </w:r>
          </w:p>
        </w:tc>
        <w:tc>
          <w:tcPr>
            <w:tcW w:w="2800" w:type="dxa"/>
            <w:noWrap/>
            <w:hideMark/>
          </w:tcPr>
          <w:p w14:paraId="3E919A64" w14:textId="77777777" w:rsidR="00BA015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 xml:space="preserve">City/Town </w:t>
            </w:r>
          </w:p>
        </w:tc>
        <w:tc>
          <w:tcPr>
            <w:tcW w:w="960" w:type="dxa"/>
            <w:noWrap/>
            <w:hideMark/>
          </w:tcPr>
          <w:p w14:paraId="72DCCDDC" w14:textId="77777777" w:rsidR="00BA015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2022</w:t>
            </w:r>
          </w:p>
        </w:tc>
        <w:tc>
          <w:tcPr>
            <w:tcW w:w="960" w:type="dxa"/>
            <w:noWrap/>
            <w:hideMark/>
          </w:tcPr>
          <w:p w14:paraId="1BD26177" w14:textId="77777777" w:rsidR="00BA015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2023</w:t>
            </w:r>
          </w:p>
        </w:tc>
        <w:tc>
          <w:tcPr>
            <w:tcW w:w="960" w:type="dxa"/>
            <w:noWrap/>
            <w:hideMark/>
          </w:tcPr>
          <w:p w14:paraId="70F1E579" w14:textId="77777777" w:rsidR="00BA015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2024</w:t>
            </w:r>
          </w:p>
        </w:tc>
        <w:tc>
          <w:tcPr>
            <w:tcW w:w="1395" w:type="dxa"/>
            <w:noWrap/>
            <w:hideMark/>
          </w:tcPr>
          <w:p w14:paraId="0AFD4B98" w14:textId="77777777" w:rsidR="00BA015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2025</w:t>
            </w:r>
          </w:p>
        </w:tc>
      </w:tr>
      <w:tr w:rsidR="00507820" w14:paraId="6F46194A"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3F515D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02360</w:t>
            </w:r>
          </w:p>
        </w:tc>
        <w:tc>
          <w:tcPr>
            <w:tcW w:w="2800" w:type="dxa"/>
            <w:noWrap/>
          </w:tcPr>
          <w:p w14:paraId="7C5412B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b/>
                <w:bCs/>
                <w:sz w:val="22"/>
                <w:szCs w:val="22"/>
              </w:rPr>
              <w:t>Plymouth</w:t>
            </w:r>
          </w:p>
        </w:tc>
        <w:tc>
          <w:tcPr>
            <w:tcW w:w="960" w:type="dxa"/>
            <w:noWrap/>
          </w:tcPr>
          <w:p w14:paraId="405E5A4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4168</w:t>
            </w:r>
          </w:p>
        </w:tc>
        <w:tc>
          <w:tcPr>
            <w:tcW w:w="960" w:type="dxa"/>
            <w:noWrap/>
          </w:tcPr>
          <w:p w14:paraId="7EBB572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4617</w:t>
            </w:r>
          </w:p>
        </w:tc>
        <w:tc>
          <w:tcPr>
            <w:tcW w:w="960" w:type="dxa"/>
            <w:noWrap/>
          </w:tcPr>
          <w:p w14:paraId="740B2D7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4980</w:t>
            </w:r>
          </w:p>
        </w:tc>
        <w:tc>
          <w:tcPr>
            <w:tcW w:w="1395" w:type="dxa"/>
            <w:noWrap/>
          </w:tcPr>
          <w:p w14:paraId="6BDBEDF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5121</w:t>
            </w:r>
          </w:p>
        </w:tc>
      </w:tr>
      <w:tr w:rsidR="00507820" w14:paraId="5D602D74"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F451B0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02301</w:t>
            </w:r>
          </w:p>
        </w:tc>
        <w:tc>
          <w:tcPr>
            <w:tcW w:w="2800" w:type="dxa"/>
            <w:noWrap/>
          </w:tcPr>
          <w:p w14:paraId="4929B73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Brockton</w:t>
            </w:r>
          </w:p>
        </w:tc>
        <w:tc>
          <w:tcPr>
            <w:tcW w:w="960" w:type="dxa"/>
            <w:noWrap/>
          </w:tcPr>
          <w:p w14:paraId="6066F90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2704</w:t>
            </w:r>
          </w:p>
        </w:tc>
        <w:tc>
          <w:tcPr>
            <w:tcW w:w="960" w:type="dxa"/>
            <w:noWrap/>
          </w:tcPr>
          <w:p w14:paraId="696C238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2810</w:t>
            </w:r>
          </w:p>
        </w:tc>
        <w:tc>
          <w:tcPr>
            <w:tcW w:w="960" w:type="dxa"/>
            <w:noWrap/>
          </w:tcPr>
          <w:p w14:paraId="749D109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2785</w:t>
            </w:r>
          </w:p>
        </w:tc>
        <w:tc>
          <w:tcPr>
            <w:tcW w:w="1395" w:type="dxa"/>
            <w:noWrap/>
          </w:tcPr>
          <w:p w14:paraId="48937E4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2850</w:t>
            </w:r>
          </w:p>
        </w:tc>
      </w:tr>
      <w:tr w:rsidR="00507820" w14:paraId="3094C67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DBC95C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02536</w:t>
            </w:r>
          </w:p>
        </w:tc>
        <w:tc>
          <w:tcPr>
            <w:tcW w:w="2800" w:type="dxa"/>
            <w:noWrap/>
          </w:tcPr>
          <w:p w14:paraId="56CBD16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East Falmouth</w:t>
            </w:r>
          </w:p>
        </w:tc>
        <w:tc>
          <w:tcPr>
            <w:tcW w:w="960" w:type="dxa"/>
            <w:noWrap/>
          </w:tcPr>
          <w:p w14:paraId="642E61B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1720</w:t>
            </w:r>
          </w:p>
        </w:tc>
        <w:tc>
          <w:tcPr>
            <w:tcW w:w="960" w:type="dxa"/>
            <w:noWrap/>
          </w:tcPr>
          <w:p w14:paraId="6268AEB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1838</w:t>
            </w:r>
          </w:p>
        </w:tc>
        <w:tc>
          <w:tcPr>
            <w:tcW w:w="960" w:type="dxa"/>
            <w:noWrap/>
          </w:tcPr>
          <w:p w14:paraId="65042DA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1951</w:t>
            </w:r>
          </w:p>
        </w:tc>
        <w:tc>
          <w:tcPr>
            <w:tcW w:w="1395" w:type="dxa"/>
            <w:noWrap/>
          </w:tcPr>
          <w:p w14:paraId="6C59155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2080</w:t>
            </w:r>
          </w:p>
        </w:tc>
      </w:tr>
      <w:tr w:rsidR="00507820" w14:paraId="76F05202"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68E4926"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01701</w:t>
            </w:r>
          </w:p>
        </w:tc>
        <w:tc>
          <w:tcPr>
            <w:tcW w:w="2800" w:type="dxa"/>
            <w:noWrap/>
          </w:tcPr>
          <w:p w14:paraId="2B991E0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Framingham</w:t>
            </w:r>
          </w:p>
        </w:tc>
        <w:tc>
          <w:tcPr>
            <w:tcW w:w="960" w:type="dxa"/>
            <w:noWrap/>
          </w:tcPr>
          <w:p w14:paraId="2C22E47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1574</w:t>
            </w:r>
          </w:p>
        </w:tc>
        <w:tc>
          <w:tcPr>
            <w:tcW w:w="960" w:type="dxa"/>
            <w:noWrap/>
          </w:tcPr>
          <w:p w14:paraId="51A379D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1562</w:t>
            </w:r>
          </w:p>
        </w:tc>
        <w:tc>
          <w:tcPr>
            <w:tcW w:w="960" w:type="dxa"/>
            <w:noWrap/>
          </w:tcPr>
          <w:p w14:paraId="07868B1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1713</w:t>
            </w:r>
          </w:p>
        </w:tc>
        <w:tc>
          <w:tcPr>
            <w:tcW w:w="1395" w:type="dxa"/>
            <w:noWrap/>
          </w:tcPr>
          <w:p w14:paraId="4F93DF7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1713</w:t>
            </w:r>
          </w:p>
        </w:tc>
      </w:tr>
      <w:tr w:rsidR="00507820" w14:paraId="6FC336D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C871401"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02302</w:t>
            </w:r>
          </w:p>
        </w:tc>
        <w:tc>
          <w:tcPr>
            <w:tcW w:w="2800" w:type="dxa"/>
            <w:noWrap/>
          </w:tcPr>
          <w:p w14:paraId="65175F2D" w14:textId="7E4288DF"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Brockton</w:t>
            </w:r>
          </w:p>
        </w:tc>
        <w:tc>
          <w:tcPr>
            <w:tcW w:w="960" w:type="dxa"/>
            <w:noWrap/>
          </w:tcPr>
          <w:p w14:paraId="4CAB221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1540</w:t>
            </w:r>
          </w:p>
        </w:tc>
        <w:tc>
          <w:tcPr>
            <w:tcW w:w="960" w:type="dxa"/>
            <w:noWrap/>
          </w:tcPr>
          <w:p w14:paraId="5C47463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1625</w:t>
            </w:r>
          </w:p>
        </w:tc>
        <w:tc>
          <w:tcPr>
            <w:tcW w:w="960" w:type="dxa"/>
            <w:noWrap/>
          </w:tcPr>
          <w:p w14:paraId="355D638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1566</w:t>
            </w:r>
          </w:p>
        </w:tc>
        <w:tc>
          <w:tcPr>
            <w:tcW w:w="1395" w:type="dxa"/>
            <w:noWrap/>
          </w:tcPr>
          <w:p w14:paraId="5ABF163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1625</w:t>
            </w:r>
          </w:p>
        </w:tc>
      </w:tr>
      <w:tr w:rsidR="00507820" w14:paraId="0D54104B"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F1B6BD6"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02072</w:t>
            </w:r>
          </w:p>
        </w:tc>
        <w:tc>
          <w:tcPr>
            <w:tcW w:w="2800" w:type="dxa"/>
            <w:noWrap/>
          </w:tcPr>
          <w:p w14:paraId="4A04BE4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Stoughton</w:t>
            </w:r>
          </w:p>
        </w:tc>
        <w:tc>
          <w:tcPr>
            <w:tcW w:w="960" w:type="dxa"/>
            <w:noWrap/>
          </w:tcPr>
          <w:p w14:paraId="33051D0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1292</w:t>
            </w:r>
          </w:p>
        </w:tc>
        <w:tc>
          <w:tcPr>
            <w:tcW w:w="960" w:type="dxa"/>
            <w:noWrap/>
          </w:tcPr>
          <w:p w14:paraId="6636C6C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1436</w:t>
            </w:r>
          </w:p>
        </w:tc>
        <w:tc>
          <w:tcPr>
            <w:tcW w:w="960" w:type="dxa"/>
            <w:noWrap/>
          </w:tcPr>
          <w:p w14:paraId="5E75374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1471</w:t>
            </w:r>
          </w:p>
        </w:tc>
        <w:tc>
          <w:tcPr>
            <w:tcW w:w="1395" w:type="dxa"/>
            <w:noWrap/>
          </w:tcPr>
          <w:p w14:paraId="51D5ACD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1525</w:t>
            </w:r>
          </w:p>
        </w:tc>
      </w:tr>
      <w:tr w:rsidR="00507820" w14:paraId="124A1F6C"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D01C777"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02324</w:t>
            </w:r>
          </w:p>
        </w:tc>
        <w:tc>
          <w:tcPr>
            <w:tcW w:w="2800" w:type="dxa"/>
            <w:noWrap/>
          </w:tcPr>
          <w:p w14:paraId="784DFF3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Bridgewater</w:t>
            </w:r>
          </w:p>
        </w:tc>
        <w:tc>
          <w:tcPr>
            <w:tcW w:w="960" w:type="dxa"/>
            <w:noWrap/>
          </w:tcPr>
          <w:p w14:paraId="6345AD4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1136</w:t>
            </w:r>
          </w:p>
        </w:tc>
        <w:tc>
          <w:tcPr>
            <w:tcW w:w="960" w:type="dxa"/>
            <w:noWrap/>
          </w:tcPr>
          <w:p w14:paraId="0315B98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1273</w:t>
            </w:r>
          </w:p>
        </w:tc>
        <w:tc>
          <w:tcPr>
            <w:tcW w:w="960" w:type="dxa"/>
            <w:noWrap/>
          </w:tcPr>
          <w:p w14:paraId="737BABC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1358</w:t>
            </w:r>
          </w:p>
        </w:tc>
        <w:tc>
          <w:tcPr>
            <w:tcW w:w="1395" w:type="dxa"/>
            <w:noWrap/>
          </w:tcPr>
          <w:p w14:paraId="6A7B2BB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1410</w:t>
            </w:r>
          </w:p>
        </w:tc>
      </w:tr>
      <w:tr w:rsidR="00507820" w14:paraId="461994DE"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0A42E54"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02780</w:t>
            </w:r>
          </w:p>
        </w:tc>
        <w:tc>
          <w:tcPr>
            <w:tcW w:w="2800" w:type="dxa"/>
            <w:noWrap/>
          </w:tcPr>
          <w:p w14:paraId="759219EA" w14:textId="5989DDA1" w:rsidR="00BA0158" w:rsidRPr="00C11123" w:rsidRDefault="00000000" w:rsidP="00CC6024">
            <w:pPr>
              <w:ind w:left="2160" w:hanging="2160"/>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Taunton</w:t>
            </w:r>
          </w:p>
        </w:tc>
        <w:tc>
          <w:tcPr>
            <w:tcW w:w="960" w:type="dxa"/>
            <w:noWrap/>
          </w:tcPr>
          <w:p w14:paraId="00F9183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974</w:t>
            </w:r>
          </w:p>
        </w:tc>
        <w:tc>
          <w:tcPr>
            <w:tcW w:w="960" w:type="dxa"/>
            <w:noWrap/>
          </w:tcPr>
          <w:p w14:paraId="6F222F7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1055</w:t>
            </w:r>
          </w:p>
        </w:tc>
        <w:tc>
          <w:tcPr>
            <w:tcW w:w="960" w:type="dxa"/>
            <w:noWrap/>
          </w:tcPr>
          <w:p w14:paraId="0D8411B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1148</w:t>
            </w:r>
          </w:p>
        </w:tc>
        <w:tc>
          <w:tcPr>
            <w:tcW w:w="1395" w:type="dxa"/>
            <w:noWrap/>
          </w:tcPr>
          <w:p w14:paraId="1EA8A04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1623</w:t>
            </w:r>
          </w:p>
        </w:tc>
      </w:tr>
      <w:tr w:rsidR="00507820" w14:paraId="768511B0"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E70D0A7"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02346</w:t>
            </w:r>
          </w:p>
        </w:tc>
        <w:tc>
          <w:tcPr>
            <w:tcW w:w="2800" w:type="dxa"/>
            <w:noWrap/>
          </w:tcPr>
          <w:p w14:paraId="290185D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Middleboro</w:t>
            </w:r>
          </w:p>
        </w:tc>
        <w:tc>
          <w:tcPr>
            <w:tcW w:w="960" w:type="dxa"/>
            <w:noWrap/>
          </w:tcPr>
          <w:p w14:paraId="3A79380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1012</w:t>
            </w:r>
          </w:p>
        </w:tc>
        <w:tc>
          <w:tcPr>
            <w:tcW w:w="960" w:type="dxa"/>
            <w:noWrap/>
          </w:tcPr>
          <w:p w14:paraId="5767BFC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1131</w:t>
            </w:r>
          </w:p>
        </w:tc>
        <w:tc>
          <w:tcPr>
            <w:tcW w:w="960" w:type="dxa"/>
            <w:noWrap/>
          </w:tcPr>
          <w:p w14:paraId="423547E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1246</w:t>
            </w:r>
          </w:p>
        </w:tc>
        <w:tc>
          <w:tcPr>
            <w:tcW w:w="1395" w:type="dxa"/>
            <w:noWrap/>
          </w:tcPr>
          <w:p w14:paraId="11153AF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1346</w:t>
            </w:r>
          </w:p>
        </w:tc>
      </w:tr>
      <w:tr w:rsidR="00507820" w14:paraId="5294DE87"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A0490F5"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01702</w:t>
            </w:r>
          </w:p>
        </w:tc>
        <w:tc>
          <w:tcPr>
            <w:tcW w:w="2800" w:type="dxa"/>
            <w:noWrap/>
          </w:tcPr>
          <w:p w14:paraId="4C3A094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 xml:space="preserve">Framingham </w:t>
            </w:r>
          </w:p>
        </w:tc>
        <w:tc>
          <w:tcPr>
            <w:tcW w:w="960" w:type="dxa"/>
            <w:noWrap/>
          </w:tcPr>
          <w:p w14:paraId="6983CA4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1155</w:t>
            </w:r>
          </w:p>
        </w:tc>
        <w:tc>
          <w:tcPr>
            <w:tcW w:w="960" w:type="dxa"/>
            <w:noWrap/>
          </w:tcPr>
          <w:p w14:paraId="7FF4EB6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1132</w:t>
            </w:r>
          </w:p>
        </w:tc>
        <w:tc>
          <w:tcPr>
            <w:tcW w:w="960" w:type="dxa"/>
            <w:noWrap/>
          </w:tcPr>
          <w:p w14:paraId="71F88D4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1197</w:t>
            </w:r>
          </w:p>
        </w:tc>
        <w:tc>
          <w:tcPr>
            <w:tcW w:w="1395" w:type="dxa"/>
            <w:noWrap/>
          </w:tcPr>
          <w:p w14:paraId="6752124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1154</w:t>
            </w:r>
          </w:p>
        </w:tc>
      </w:tr>
      <w:tr w:rsidR="00507820" w14:paraId="6B537D32"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429B09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02649</w:t>
            </w:r>
          </w:p>
        </w:tc>
        <w:tc>
          <w:tcPr>
            <w:tcW w:w="2800" w:type="dxa"/>
            <w:noWrap/>
          </w:tcPr>
          <w:p w14:paraId="3E69737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Mashpee</w:t>
            </w:r>
          </w:p>
        </w:tc>
        <w:tc>
          <w:tcPr>
            <w:tcW w:w="960" w:type="dxa"/>
            <w:noWrap/>
          </w:tcPr>
          <w:p w14:paraId="6E80774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1049</w:t>
            </w:r>
          </w:p>
        </w:tc>
        <w:tc>
          <w:tcPr>
            <w:tcW w:w="960" w:type="dxa"/>
            <w:noWrap/>
          </w:tcPr>
          <w:p w14:paraId="516D863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1103</w:t>
            </w:r>
          </w:p>
        </w:tc>
        <w:tc>
          <w:tcPr>
            <w:tcW w:w="960" w:type="dxa"/>
            <w:noWrap/>
          </w:tcPr>
          <w:p w14:paraId="71C38DB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1137</w:t>
            </w:r>
          </w:p>
        </w:tc>
        <w:tc>
          <w:tcPr>
            <w:tcW w:w="1395" w:type="dxa"/>
            <w:noWrap/>
          </w:tcPr>
          <w:p w14:paraId="762101E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1254</w:t>
            </w:r>
          </w:p>
        </w:tc>
      </w:tr>
      <w:tr w:rsidR="00507820" w14:paraId="72B2A8AA"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CF6C57F"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02368</w:t>
            </w:r>
          </w:p>
        </w:tc>
        <w:tc>
          <w:tcPr>
            <w:tcW w:w="2800" w:type="dxa"/>
            <w:noWrap/>
          </w:tcPr>
          <w:p w14:paraId="22038D5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Randolph</w:t>
            </w:r>
          </w:p>
        </w:tc>
        <w:tc>
          <w:tcPr>
            <w:tcW w:w="960" w:type="dxa"/>
            <w:noWrap/>
          </w:tcPr>
          <w:p w14:paraId="7D52850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985</w:t>
            </w:r>
          </w:p>
        </w:tc>
        <w:tc>
          <w:tcPr>
            <w:tcW w:w="960" w:type="dxa"/>
            <w:noWrap/>
          </w:tcPr>
          <w:p w14:paraId="61C6DE8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1054</w:t>
            </w:r>
          </w:p>
        </w:tc>
        <w:tc>
          <w:tcPr>
            <w:tcW w:w="960" w:type="dxa"/>
            <w:noWrap/>
          </w:tcPr>
          <w:p w14:paraId="25547BE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1120</w:t>
            </w:r>
          </w:p>
        </w:tc>
        <w:tc>
          <w:tcPr>
            <w:tcW w:w="1395" w:type="dxa"/>
            <w:noWrap/>
          </w:tcPr>
          <w:p w14:paraId="3521F4A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1117</w:t>
            </w:r>
          </w:p>
        </w:tc>
      </w:tr>
      <w:tr w:rsidR="00507820" w14:paraId="7C7EEE16"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AFD7C57"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02062</w:t>
            </w:r>
          </w:p>
        </w:tc>
        <w:tc>
          <w:tcPr>
            <w:tcW w:w="2800" w:type="dxa"/>
            <w:noWrap/>
          </w:tcPr>
          <w:p w14:paraId="7997F5B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Norwood</w:t>
            </w:r>
          </w:p>
        </w:tc>
        <w:tc>
          <w:tcPr>
            <w:tcW w:w="960" w:type="dxa"/>
            <w:noWrap/>
          </w:tcPr>
          <w:p w14:paraId="55BB2F3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813</w:t>
            </w:r>
          </w:p>
        </w:tc>
        <w:tc>
          <w:tcPr>
            <w:tcW w:w="960" w:type="dxa"/>
            <w:noWrap/>
          </w:tcPr>
          <w:p w14:paraId="090F765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1037</w:t>
            </w:r>
          </w:p>
        </w:tc>
        <w:tc>
          <w:tcPr>
            <w:tcW w:w="960" w:type="dxa"/>
            <w:noWrap/>
          </w:tcPr>
          <w:p w14:paraId="313C099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1117</w:t>
            </w:r>
          </w:p>
        </w:tc>
        <w:tc>
          <w:tcPr>
            <w:tcW w:w="1395" w:type="dxa"/>
            <w:noWrap/>
          </w:tcPr>
          <w:p w14:paraId="6749278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1127</w:t>
            </w:r>
          </w:p>
        </w:tc>
      </w:tr>
      <w:tr w:rsidR="00507820" w14:paraId="26C5EA12"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C80C618"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02186</w:t>
            </w:r>
          </w:p>
        </w:tc>
        <w:tc>
          <w:tcPr>
            <w:tcW w:w="2800" w:type="dxa"/>
            <w:noWrap/>
          </w:tcPr>
          <w:p w14:paraId="633C432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Milton</w:t>
            </w:r>
          </w:p>
        </w:tc>
        <w:tc>
          <w:tcPr>
            <w:tcW w:w="960" w:type="dxa"/>
            <w:noWrap/>
          </w:tcPr>
          <w:p w14:paraId="19EA525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928</w:t>
            </w:r>
          </w:p>
        </w:tc>
        <w:tc>
          <w:tcPr>
            <w:tcW w:w="960" w:type="dxa"/>
            <w:noWrap/>
          </w:tcPr>
          <w:p w14:paraId="4D64CB0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997</w:t>
            </w:r>
          </w:p>
        </w:tc>
        <w:tc>
          <w:tcPr>
            <w:tcW w:w="960" w:type="dxa"/>
            <w:noWrap/>
          </w:tcPr>
          <w:p w14:paraId="2ECD06E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1044</w:t>
            </w:r>
          </w:p>
        </w:tc>
        <w:tc>
          <w:tcPr>
            <w:tcW w:w="1395" w:type="dxa"/>
            <w:noWrap/>
          </w:tcPr>
          <w:p w14:paraId="0A8EE3C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1073</w:t>
            </w:r>
          </w:p>
        </w:tc>
      </w:tr>
      <w:tr w:rsidR="00507820" w14:paraId="5888D3E7"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1B169A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02169</w:t>
            </w:r>
          </w:p>
        </w:tc>
        <w:tc>
          <w:tcPr>
            <w:tcW w:w="2800" w:type="dxa"/>
            <w:noWrap/>
          </w:tcPr>
          <w:p w14:paraId="5E2F704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Quincy</w:t>
            </w:r>
          </w:p>
        </w:tc>
        <w:tc>
          <w:tcPr>
            <w:tcW w:w="960" w:type="dxa"/>
            <w:noWrap/>
          </w:tcPr>
          <w:p w14:paraId="5CF3459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835</w:t>
            </w:r>
          </w:p>
        </w:tc>
        <w:tc>
          <w:tcPr>
            <w:tcW w:w="960" w:type="dxa"/>
            <w:noWrap/>
          </w:tcPr>
          <w:p w14:paraId="7BC2482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857</w:t>
            </w:r>
          </w:p>
        </w:tc>
        <w:tc>
          <w:tcPr>
            <w:tcW w:w="960" w:type="dxa"/>
            <w:noWrap/>
          </w:tcPr>
          <w:p w14:paraId="6756581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915</w:t>
            </w:r>
          </w:p>
        </w:tc>
        <w:tc>
          <w:tcPr>
            <w:tcW w:w="1395" w:type="dxa"/>
            <w:noWrap/>
          </w:tcPr>
          <w:p w14:paraId="767DF0B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915</w:t>
            </w:r>
          </w:p>
        </w:tc>
      </w:tr>
      <w:tr w:rsidR="00507820" w14:paraId="3F6C2D4B"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43637F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02330</w:t>
            </w:r>
          </w:p>
        </w:tc>
        <w:tc>
          <w:tcPr>
            <w:tcW w:w="2800" w:type="dxa"/>
            <w:noWrap/>
          </w:tcPr>
          <w:p w14:paraId="7F0C9EB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Carver</w:t>
            </w:r>
          </w:p>
        </w:tc>
        <w:tc>
          <w:tcPr>
            <w:tcW w:w="960" w:type="dxa"/>
            <w:noWrap/>
          </w:tcPr>
          <w:p w14:paraId="2230E87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746</w:t>
            </w:r>
          </w:p>
        </w:tc>
        <w:tc>
          <w:tcPr>
            <w:tcW w:w="960" w:type="dxa"/>
            <w:noWrap/>
          </w:tcPr>
          <w:p w14:paraId="4952A99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837</w:t>
            </w:r>
          </w:p>
        </w:tc>
        <w:tc>
          <w:tcPr>
            <w:tcW w:w="960" w:type="dxa"/>
            <w:noWrap/>
          </w:tcPr>
          <w:p w14:paraId="034104F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851</w:t>
            </w:r>
          </w:p>
        </w:tc>
        <w:tc>
          <w:tcPr>
            <w:tcW w:w="1395" w:type="dxa"/>
            <w:noWrap/>
          </w:tcPr>
          <w:p w14:paraId="7067210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865</w:t>
            </w:r>
          </w:p>
        </w:tc>
      </w:tr>
      <w:tr w:rsidR="00507820" w14:paraId="5CFF3A39"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41275E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01760</w:t>
            </w:r>
          </w:p>
        </w:tc>
        <w:tc>
          <w:tcPr>
            <w:tcW w:w="2800" w:type="dxa"/>
            <w:noWrap/>
          </w:tcPr>
          <w:p w14:paraId="4343039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Natick</w:t>
            </w:r>
          </w:p>
        </w:tc>
        <w:tc>
          <w:tcPr>
            <w:tcW w:w="960" w:type="dxa"/>
            <w:noWrap/>
          </w:tcPr>
          <w:p w14:paraId="7CED0F9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796</w:t>
            </w:r>
          </w:p>
        </w:tc>
        <w:tc>
          <w:tcPr>
            <w:tcW w:w="960" w:type="dxa"/>
            <w:noWrap/>
          </w:tcPr>
          <w:p w14:paraId="2D7D0BD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785</w:t>
            </w:r>
          </w:p>
        </w:tc>
        <w:tc>
          <w:tcPr>
            <w:tcW w:w="960" w:type="dxa"/>
            <w:noWrap/>
          </w:tcPr>
          <w:p w14:paraId="313C499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863</w:t>
            </w:r>
          </w:p>
        </w:tc>
        <w:tc>
          <w:tcPr>
            <w:tcW w:w="1395" w:type="dxa"/>
            <w:noWrap/>
          </w:tcPr>
          <w:p w14:paraId="70E003D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851</w:t>
            </w:r>
          </w:p>
        </w:tc>
      </w:tr>
      <w:tr w:rsidR="00507820" w14:paraId="1494E268"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66979B1"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02540</w:t>
            </w:r>
          </w:p>
        </w:tc>
        <w:tc>
          <w:tcPr>
            <w:tcW w:w="2800" w:type="dxa"/>
            <w:noWrap/>
          </w:tcPr>
          <w:p w14:paraId="576E651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kern w:val="0"/>
                <w:sz w:val="22"/>
                <w:szCs w:val="22"/>
                <w14:ligatures w14:val="none"/>
              </w:rPr>
            </w:pPr>
            <w:r w:rsidRPr="00C11123">
              <w:rPr>
                <w:rFonts w:eastAsia="Times New Roman" w:cs="Arial"/>
                <w:b/>
                <w:bCs/>
                <w:kern w:val="0"/>
                <w:sz w:val="22"/>
                <w:szCs w:val="22"/>
                <w14:ligatures w14:val="none"/>
              </w:rPr>
              <w:t>Falmouth</w:t>
            </w:r>
          </w:p>
        </w:tc>
        <w:tc>
          <w:tcPr>
            <w:tcW w:w="960" w:type="dxa"/>
            <w:noWrap/>
          </w:tcPr>
          <w:p w14:paraId="41295C3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778</w:t>
            </w:r>
          </w:p>
        </w:tc>
        <w:tc>
          <w:tcPr>
            <w:tcW w:w="960" w:type="dxa"/>
            <w:noWrap/>
          </w:tcPr>
          <w:p w14:paraId="6AC314D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795</w:t>
            </w:r>
          </w:p>
        </w:tc>
        <w:tc>
          <w:tcPr>
            <w:tcW w:w="960" w:type="dxa"/>
            <w:noWrap/>
          </w:tcPr>
          <w:p w14:paraId="5903C07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809</w:t>
            </w:r>
          </w:p>
        </w:tc>
        <w:tc>
          <w:tcPr>
            <w:tcW w:w="1395" w:type="dxa"/>
            <w:noWrap/>
          </w:tcPr>
          <w:p w14:paraId="7FFC7EA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879</w:t>
            </w:r>
          </w:p>
        </w:tc>
      </w:tr>
      <w:tr w:rsidR="00507820" w14:paraId="52AB8807"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EBE79B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02532</w:t>
            </w:r>
          </w:p>
        </w:tc>
        <w:tc>
          <w:tcPr>
            <w:tcW w:w="2800" w:type="dxa"/>
            <w:noWrap/>
          </w:tcPr>
          <w:p w14:paraId="5C5105D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Buzzards Bay</w:t>
            </w:r>
          </w:p>
        </w:tc>
        <w:tc>
          <w:tcPr>
            <w:tcW w:w="960" w:type="dxa"/>
            <w:noWrap/>
          </w:tcPr>
          <w:p w14:paraId="2B5A4CE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735</w:t>
            </w:r>
          </w:p>
        </w:tc>
        <w:tc>
          <w:tcPr>
            <w:tcW w:w="960" w:type="dxa"/>
            <w:noWrap/>
          </w:tcPr>
          <w:p w14:paraId="4244B8B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817</w:t>
            </w:r>
          </w:p>
        </w:tc>
        <w:tc>
          <w:tcPr>
            <w:tcW w:w="960" w:type="dxa"/>
            <w:noWrap/>
          </w:tcPr>
          <w:p w14:paraId="616F484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789</w:t>
            </w:r>
          </w:p>
        </w:tc>
        <w:tc>
          <w:tcPr>
            <w:tcW w:w="1395" w:type="dxa"/>
            <w:noWrap/>
          </w:tcPr>
          <w:p w14:paraId="0534B90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840</w:t>
            </w:r>
          </w:p>
        </w:tc>
      </w:tr>
      <w:tr w:rsidR="00507820" w14:paraId="677C86D5"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98E54C1"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01721</w:t>
            </w:r>
          </w:p>
        </w:tc>
        <w:tc>
          <w:tcPr>
            <w:tcW w:w="2800" w:type="dxa"/>
            <w:noWrap/>
          </w:tcPr>
          <w:p w14:paraId="04562C4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Ashland</w:t>
            </w:r>
          </w:p>
        </w:tc>
        <w:tc>
          <w:tcPr>
            <w:tcW w:w="960" w:type="dxa"/>
            <w:noWrap/>
          </w:tcPr>
          <w:p w14:paraId="78ED9A8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700</w:t>
            </w:r>
          </w:p>
        </w:tc>
        <w:tc>
          <w:tcPr>
            <w:tcW w:w="960" w:type="dxa"/>
            <w:noWrap/>
          </w:tcPr>
          <w:p w14:paraId="4E4DF4C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755</w:t>
            </w:r>
          </w:p>
        </w:tc>
        <w:tc>
          <w:tcPr>
            <w:tcW w:w="960" w:type="dxa"/>
            <w:noWrap/>
          </w:tcPr>
          <w:p w14:paraId="1FB33D2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765</w:t>
            </w:r>
          </w:p>
        </w:tc>
        <w:tc>
          <w:tcPr>
            <w:tcW w:w="1395" w:type="dxa"/>
            <w:noWrap/>
          </w:tcPr>
          <w:p w14:paraId="3A3D94A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794</w:t>
            </w:r>
          </w:p>
        </w:tc>
      </w:tr>
      <w:tr w:rsidR="00507820" w14:paraId="44AE4C8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F4D941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02767</w:t>
            </w:r>
          </w:p>
        </w:tc>
        <w:tc>
          <w:tcPr>
            <w:tcW w:w="2800" w:type="dxa"/>
            <w:noWrap/>
          </w:tcPr>
          <w:p w14:paraId="4E37E43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Raynham</w:t>
            </w:r>
          </w:p>
        </w:tc>
        <w:tc>
          <w:tcPr>
            <w:tcW w:w="960" w:type="dxa"/>
            <w:noWrap/>
          </w:tcPr>
          <w:p w14:paraId="513BF1D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712</w:t>
            </w:r>
          </w:p>
        </w:tc>
        <w:tc>
          <w:tcPr>
            <w:tcW w:w="960" w:type="dxa"/>
            <w:noWrap/>
          </w:tcPr>
          <w:p w14:paraId="03B9C4B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715</w:t>
            </w:r>
          </w:p>
        </w:tc>
        <w:tc>
          <w:tcPr>
            <w:tcW w:w="960" w:type="dxa"/>
            <w:noWrap/>
          </w:tcPr>
          <w:p w14:paraId="08BC3A6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725</w:t>
            </w:r>
          </w:p>
        </w:tc>
        <w:tc>
          <w:tcPr>
            <w:tcW w:w="1395" w:type="dxa"/>
            <w:noWrap/>
          </w:tcPr>
          <w:p w14:paraId="38197BC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854</w:t>
            </w:r>
          </w:p>
        </w:tc>
      </w:tr>
      <w:tr w:rsidR="00507820" w14:paraId="2DB0FBCD"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DBA723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02703</w:t>
            </w:r>
          </w:p>
        </w:tc>
        <w:tc>
          <w:tcPr>
            <w:tcW w:w="2800" w:type="dxa"/>
            <w:noWrap/>
          </w:tcPr>
          <w:p w14:paraId="24BD8BE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 xml:space="preserve">Attleboro </w:t>
            </w:r>
          </w:p>
        </w:tc>
        <w:tc>
          <w:tcPr>
            <w:tcW w:w="960" w:type="dxa"/>
            <w:noWrap/>
          </w:tcPr>
          <w:p w14:paraId="16AC7BE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163</w:t>
            </w:r>
          </w:p>
        </w:tc>
        <w:tc>
          <w:tcPr>
            <w:tcW w:w="960" w:type="dxa"/>
            <w:noWrap/>
          </w:tcPr>
          <w:p w14:paraId="7219163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275</w:t>
            </w:r>
          </w:p>
        </w:tc>
        <w:tc>
          <w:tcPr>
            <w:tcW w:w="960" w:type="dxa"/>
            <w:noWrap/>
          </w:tcPr>
          <w:p w14:paraId="4777288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366</w:t>
            </w:r>
          </w:p>
        </w:tc>
        <w:tc>
          <w:tcPr>
            <w:tcW w:w="1395" w:type="dxa"/>
            <w:noWrap/>
          </w:tcPr>
          <w:p w14:paraId="4159D0E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2044</w:t>
            </w:r>
          </w:p>
        </w:tc>
      </w:tr>
      <w:tr w:rsidR="00507820" w14:paraId="6676679A"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9B8A9E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02356</w:t>
            </w:r>
          </w:p>
        </w:tc>
        <w:tc>
          <w:tcPr>
            <w:tcW w:w="2800" w:type="dxa"/>
            <w:noWrap/>
          </w:tcPr>
          <w:p w14:paraId="3C5C141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b/>
                <w:bCs/>
                <w:sz w:val="22"/>
                <w:szCs w:val="22"/>
              </w:rPr>
              <w:t xml:space="preserve">North Easton </w:t>
            </w:r>
          </w:p>
        </w:tc>
        <w:tc>
          <w:tcPr>
            <w:tcW w:w="960" w:type="dxa"/>
            <w:noWrap/>
          </w:tcPr>
          <w:p w14:paraId="337B56F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642</w:t>
            </w:r>
          </w:p>
        </w:tc>
        <w:tc>
          <w:tcPr>
            <w:tcW w:w="960" w:type="dxa"/>
            <w:noWrap/>
          </w:tcPr>
          <w:p w14:paraId="1DC382A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698</w:t>
            </w:r>
          </w:p>
        </w:tc>
        <w:tc>
          <w:tcPr>
            <w:tcW w:w="960" w:type="dxa"/>
            <w:noWrap/>
          </w:tcPr>
          <w:p w14:paraId="7077A9A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763</w:t>
            </w:r>
          </w:p>
        </w:tc>
        <w:tc>
          <w:tcPr>
            <w:tcW w:w="1395" w:type="dxa"/>
            <w:noWrap/>
          </w:tcPr>
          <w:p w14:paraId="39B4C1A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711</w:t>
            </w:r>
          </w:p>
        </w:tc>
      </w:tr>
      <w:tr w:rsidR="00507820" w14:paraId="6C8D922F"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7717EC5"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02364</w:t>
            </w:r>
          </w:p>
        </w:tc>
        <w:tc>
          <w:tcPr>
            <w:tcW w:w="2800" w:type="dxa"/>
            <w:noWrap/>
          </w:tcPr>
          <w:p w14:paraId="081947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Kingston</w:t>
            </w:r>
          </w:p>
        </w:tc>
        <w:tc>
          <w:tcPr>
            <w:tcW w:w="960" w:type="dxa"/>
            <w:noWrap/>
          </w:tcPr>
          <w:p w14:paraId="4CCA5E4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616</w:t>
            </w:r>
          </w:p>
        </w:tc>
        <w:tc>
          <w:tcPr>
            <w:tcW w:w="960" w:type="dxa"/>
            <w:noWrap/>
          </w:tcPr>
          <w:p w14:paraId="0A8ED65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707</w:t>
            </w:r>
          </w:p>
        </w:tc>
        <w:tc>
          <w:tcPr>
            <w:tcW w:w="960" w:type="dxa"/>
            <w:noWrap/>
          </w:tcPr>
          <w:p w14:paraId="24C131E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740</w:t>
            </w:r>
          </w:p>
        </w:tc>
        <w:tc>
          <w:tcPr>
            <w:tcW w:w="1395" w:type="dxa"/>
            <w:noWrap/>
          </w:tcPr>
          <w:p w14:paraId="22A344A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748</w:t>
            </w:r>
          </w:p>
        </w:tc>
      </w:tr>
      <w:tr w:rsidR="00507820" w14:paraId="36E1CC5C"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E2DF4E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lastRenderedPageBreak/>
              <w:t>02021</w:t>
            </w:r>
          </w:p>
        </w:tc>
        <w:tc>
          <w:tcPr>
            <w:tcW w:w="2800" w:type="dxa"/>
            <w:noWrap/>
          </w:tcPr>
          <w:p w14:paraId="14194E6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Canton</w:t>
            </w:r>
          </w:p>
        </w:tc>
        <w:tc>
          <w:tcPr>
            <w:tcW w:w="960" w:type="dxa"/>
            <w:noWrap/>
          </w:tcPr>
          <w:p w14:paraId="29E1DBB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540</w:t>
            </w:r>
          </w:p>
        </w:tc>
        <w:tc>
          <w:tcPr>
            <w:tcW w:w="960" w:type="dxa"/>
            <w:noWrap/>
          </w:tcPr>
          <w:p w14:paraId="58B7304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679</w:t>
            </w:r>
          </w:p>
        </w:tc>
        <w:tc>
          <w:tcPr>
            <w:tcW w:w="960" w:type="dxa"/>
            <w:noWrap/>
          </w:tcPr>
          <w:p w14:paraId="06C41F7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734</w:t>
            </w:r>
          </w:p>
        </w:tc>
        <w:tc>
          <w:tcPr>
            <w:tcW w:w="1395" w:type="dxa"/>
            <w:noWrap/>
          </w:tcPr>
          <w:p w14:paraId="2CF7BB8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805</w:t>
            </w:r>
          </w:p>
        </w:tc>
      </w:tr>
      <w:tr w:rsidR="00507820" w14:paraId="784DB4EC"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F69C69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02333</w:t>
            </w:r>
          </w:p>
        </w:tc>
        <w:tc>
          <w:tcPr>
            <w:tcW w:w="2800" w:type="dxa"/>
            <w:noWrap/>
          </w:tcPr>
          <w:p w14:paraId="67F4F25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East Bridgewater</w:t>
            </w:r>
          </w:p>
        </w:tc>
        <w:tc>
          <w:tcPr>
            <w:tcW w:w="960" w:type="dxa"/>
            <w:noWrap/>
          </w:tcPr>
          <w:p w14:paraId="3B01B8C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556</w:t>
            </w:r>
          </w:p>
        </w:tc>
        <w:tc>
          <w:tcPr>
            <w:tcW w:w="960" w:type="dxa"/>
            <w:noWrap/>
          </w:tcPr>
          <w:p w14:paraId="4C1A03C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606</w:t>
            </w:r>
          </w:p>
        </w:tc>
        <w:tc>
          <w:tcPr>
            <w:tcW w:w="960" w:type="dxa"/>
            <w:noWrap/>
          </w:tcPr>
          <w:p w14:paraId="1D0FDB9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706</w:t>
            </w:r>
          </w:p>
        </w:tc>
        <w:tc>
          <w:tcPr>
            <w:tcW w:w="1395" w:type="dxa"/>
            <w:noWrap/>
          </w:tcPr>
          <w:p w14:paraId="0466D6D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679</w:t>
            </w:r>
          </w:p>
        </w:tc>
      </w:tr>
      <w:tr w:rsidR="00507820" w14:paraId="4355B513"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822BD5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02184</w:t>
            </w:r>
          </w:p>
        </w:tc>
        <w:tc>
          <w:tcPr>
            <w:tcW w:w="2800" w:type="dxa"/>
            <w:noWrap/>
          </w:tcPr>
          <w:p w14:paraId="47C78DE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Braintree</w:t>
            </w:r>
          </w:p>
        </w:tc>
        <w:tc>
          <w:tcPr>
            <w:tcW w:w="960" w:type="dxa"/>
            <w:noWrap/>
          </w:tcPr>
          <w:p w14:paraId="4D9B86B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576</w:t>
            </w:r>
          </w:p>
        </w:tc>
        <w:tc>
          <w:tcPr>
            <w:tcW w:w="960" w:type="dxa"/>
            <w:noWrap/>
          </w:tcPr>
          <w:p w14:paraId="628C3CB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632</w:t>
            </w:r>
          </w:p>
        </w:tc>
        <w:tc>
          <w:tcPr>
            <w:tcW w:w="960" w:type="dxa"/>
            <w:noWrap/>
          </w:tcPr>
          <w:p w14:paraId="3901828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645</w:t>
            </w:r>
          </w:p>
        </w:tc>
        <w:tc>
          <w:tcPr>
            <w:tcW w:w="1395" w:type="dxa"/>
            <w:noWrap/>
          </w:tcPr>
          <w:p w14:paraId="09F97DA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676</w:t>
            </w:r>
          </w:p>
        </w:tc>
      </w:tr>
      <w:tr w:rsidR="00507820" w14:paraId="3EB2829B"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A107218"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02375</w:t>
            </w:r>
          </w:p>
        </w:tc>
        <w:tc>
          <w:tcPr>
            <w:tcW w:w="2800" w:type="dxa"/>
            <w:noWrap/>
          </w:tcPr>
          <w:p w14:paraId="73F5D48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South Easton</w:t>
            </w:r>
          </w:p>
        </w:tc>
        <w:tc>
          <w:tcPr>
            <w:tcW w:w="960" w:type="dxa"/>
            <w:noWrap/>
          </w:tcPr>
          <w:p w14:paraId="38E7997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546</w:t>
            </w:r>
          </w:p>
        </w:tc>
        <w:tc>
          <w:tcPr>
            <w:tcW w:w="960" w:type="dxa"/>
            <w:noWrap/>
          </w:tcPr>
          <w:p w14:paraId="27F709E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625</w:t>
            </w:r>
          </w:p>
        </w:tc>
        <w:tc>
          <w:tcPr>
            <w:tcW w:w="960" w:type="dxa"/>
            <w:noWrap/>
          </w:tcPr>
          <w:p w14:paraId="4B449C9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637</w:t>
            </w:r>
          </w:p>
        </w:tc>
        <w:tc>
          <w:tcPr>
            <w:tcW w:w="1395" w:type="dxa"/>
            <w:noWrap/>
          </w:tcPr>
          <w:p w14:paraId="22374DD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646</w:t>
            </w:r>
          </w:p>
        </w:tc>
      </w:tr>
      <w:tr w:rsidR="00507820" w14:paraId="6BB57F73"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149490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02081</w:t>
            </w:r>
          </w:p>
        </w:tc>
        <w:tc>
          <w:tcPr>
            <w:tcW w:w="2800" w:type="dxa"/>
            <w:noWrap/>
          </w:tcPr>
          <w:p w14:paraId="5384624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Walpole</w:t>
            </w:r>
          </w:p>
        </w:tc>
        <w:tc>
          <w:tcPr>
            <w:tcW w:w="960" w:type="dxa"/>
            <w:noWrap/>
          </w:tcPr>
          <w:p w14:paraId="18BAD62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463</w:t>
            </w:r>
          </w:p>
        </w:tc>
        <w:tc>
          <w:tcPr>
            <w:tcW w:w="960" w:type="dxa"/>
            <w:noWrap/>
          </w:tcPr>
          <w:p w14:paraId="52B6248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555</w:t>
            </w:r>
          </w:p>
        </w:tc>
        <w:tc>
          <w:tcPr>
            <w:tcW w:w="960" w:type="dxa"/>
            <w:noWrap/>
          </w:tcPr>
          <w:p w14:paraId="30A530A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621</w:t>
            </w:r>
          </w:p>
        </w:tc>
        <w:tc>
          <w:tcPr>
            <w:tcW w:w="1395" w:type="dxa"/>
            <w:noWrap/>
          </w:tcPr>
          <w:p w14:paraId="4C47708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647</w:t>
            </w:r>
          </w:p>
        </w:tc>
      </w:tr>
      <w:tr w:rsidR="00507820" w14:paraId="31FE0479"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CE761C1"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02048</w:t>
            </w:r>
          </w:p>
        </w:tc>
        <w:tc>
          <w:tcPr>
            <w:tcW w:w="2800" w:type="dxa"/>
            <w:noWrap/>
          </w:tcPr>
          <w:p w14:paraId="439DF01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Mansfield</w:t>
            </w:r>
          </w:p>
        </w:tc>
        <w:tc>
          <w:tcPr>
            <w:tcW w:w="960" w:type="dxa"/>
            <w:noWrap/>
          </w:tcPr>
          <w:p w14:paraId="1D0FBCE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367</w:t>
            </w:r>
          </w:p>
        </w:tc>
        <w:tc>
          <w:tcPr>
            <w:tcW w:w="960" w:type="dxa"/>
            <w:noWrap/>
          </w:tcPr>
          <w:p w14:paraId="7FCEC60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448</w:t>
            </w:r>
          </w:p>
        </w:tc>
        <w:tc>
          <w:tcPr>
            <w:tcW w:w="960" w:type="dxa"/>
            <w:noWrap/>
          </w:tcPr>
          <w:p w14:paraId="3A8EF74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555</w:t>
            </w:r>
          </w:p>
        </w:tc>
        <w:tc>
          <w:tcPr>
            <w:tcW w:w="1395" w:type="dxa"/>
            <w:noWrap/>
          </w:tcPr>
          <w:p w14:paraId="19B0E2E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874</w:t>
            </w:r>
          </w:p>
        </w:tc>
      </w:tr>
      <w:tr w:rsidR="00507820" w14:paraId="0D772998"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8FE6B26"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01746</w:t>
            </w:r>
          </w:p>
        </w:tc>
        <w:tc>
          <w:tcPr>
            <w:tcW w:w="2800" w:type="dxa"/>
            <w:noWrap/>
          </w:tcPr>
          <w:p w14:paraId="53617EC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Holliston</w:t>
            </w:r>
          </w:p>
        </w:tc>
        <w:tc>
          <w:tcPr>
            <w:tcW w:w="960" w:type="dxa"/>
            <w:noWrap/>
          </w:tcPr>
          <w:p w14:paraId="5E4A4AD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516</w:t>
            </w:r>
          </w:p>
        </w:tc>
        <w:tc>
          <w:tcPr>
            <w:tcW w:w="960" w:type="dxa"/>
            <w:noWrap/>
          </w:tcPr>
          <w:p w14:paraId="63255E0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563</w:t>
            </w:r>
          </w:p>
        </w:tc>
        <w:tc>
          <w:tcPr>
            <w:tcW w:w="960" w:type="dxa"/>
            <w:noWrap/>
          </w:tcPr>
          <w:p w14:paraId="2B947F5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556</w:t>
            </w:r>
          </w:p>
        </w:tc>
        <w:tc>
          <w:tcPr>
            <w:tcW w:w="1395" w:type="dxa"/>
            <w:noWrap/>
          </w:tcPr>
          <w:p w14:paraId="7AE710A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547</w:t>
            </w:r>
          </w:p>
        </w:tc>
      </w:tr>
      <w:tr w:rsidR="00507820" w14:paraId="762D19F5"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F836BFC"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02766</w:t>
            </w:r>
          </w:p>
        </w:tc>
        <w:tc>
          <w:tcPr>
            <w:tcW w:w="2800" w:type="dxa"/>
            <w:noWrap/>
          </w:tcPr>
          <w:p w14:paraId="5FD26C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Norton</w:t>
            </w:r>
          </w:p>
        </w:tc>
        <w:tc>
          <w:tcPr>
            <w:tcW w:w="960" w:type="dxa"/>
            <w:noWrap/>
          </w:tcPr>
          <w:p w14:paraId="268AEFB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338</w:t>
            </w:r>
          </w:p>
        </w:tc>
        <w:tc>
          <w:tcPr>
            <w:tcW w:w="960" w:type="dxa"/>
            <w:noWrap/>
          </w:tcPr>
          <w:p w14:paraId="3B1A8B5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403</w:t>
            </w:r>
          </w:p>
        </w:tc>
        <w:tc>
          <w:tcPr>
            <w:tcW w:w="960" w:type="dxa"/>
            <w:noWrap/>
          </w:tcPr>
          <w:p w14:paraId="0460058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451</w:t>
            </w:r>
          </w:p>
        </w:tc>
        <w:tc>
          <w:tcPr>
            <w:tcW w:w="1395" w:type="dxa"/>
            <w:noWrap/>
          </w:tcPr>
          <w:p w14:paraId="72C1217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850</w:t>
            </w:r>
          </w:p>
        </w:tc>
      </w:tr>
      <w:tr w:rsidR="00507820" w14:paraId="10DCABE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B49BC7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02379</w:t>
            </w:r>
          </w:p>
        </w:tc>
        <w:tc>
          <w:tcPr>
            <w:tcW w:w="2800" w:type="dxa"/>
            <w:noWrap/>
          </w:tcPr>
          <w:p w14:paraId="16D03A2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West Bridgewater</w:t>
            </w:r>
          </w:p>
        </w:tc>
        <w:tc>
          <w:tcPr>
            <w:tcW w:w="960" w:type="dxa"/>
            <w:noWrap/>
          </w:tcPr>
          <w:p w14:paraId="4D54065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470</w:t>
            </w:r>
          </w:p>
        </w:tc>
        <w:tc>
          <w:tcPr>
            <w:tcW w:w="960" w:type="dxa"/>
            <w:noWrap/>
          </w:tcPr>
          <w:p w14:paraId="2B833FF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499</w:t>
            </w:r>
          </w:p>
        </w:tc>
        <w:tc>
          <w:tcPr>
            <w:tcW w:w="960" w:type="dxa"/>
            <w:noWrap/>
          </w:tcPr>
          <w:p w14:paraId="6538FDA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515</w:t>
            </w:r>
          </w:p>
        </w:tc>
        <w:tc>
          <w:tcPr>
            <w:tcW w:w="1395" w:type="dxa"/>
            <w:noWrap/>
          </w:tcPr>
          <w:p w14:paraId="5668E31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507</w:t>
            </w:r>
          </w:p>
        </w:tc>
      </w:tr>
      <w:tr w:rsidR="00507820" w14:paraId="547F3A29"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CBB2F0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02050</w:t>
            </w:r>
          </w:p>
        </w:tc>
        <w:tc>
          <w:tcPr>
            <w:tcW w:w="2800" w:type="dxa"/>
            <w:noWrap/>
          </w:tcPr>
          <w:p w14:paraId="3409152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Marshfield</w:t>
            </w:r>
          </w:p>
        </w:tc>
        <w:tc>
          <w:tcPr>
            <w:tcW w:w="960" w:type="dxa"/>
            <w:noWrap/>
          </w:tcPr>
          <w:p w14:paraId="5B7CACA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419</w:t>
            </w:r>
          </w:p>
        </w:tc>
        <w:tc>
          <w:tcPr>
            <w:tcW w:w="960" w:type="dxa"/>
            <w:noWrap/>
          </w:tcPr>
          <w:p w14:paraId="58F8E48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473</w:t>
            </w:r>
          </w:p>
        </w:tc>
        <w:tc>
          <w:tcPr>
            <w:tcW w:w="960" w:type="dxa"/>
            <w:noWrap/>
          </w:tcPr>
          <w:p w14:paraId="5F62EE2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485</w:t>
            </w:r>
          </w:p>
        </w:tc>
        <w:tc>
          <w:tcPr>
            <w:tcW w:w="1395" w:type="dxa"/>
            <w:noWrap/>
          </w:tcPr>
          <w:p w14:paraId="7157E87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525</w:t>
            </w:r>
          </w:p>
        </w:tc>
      </w:tr>
      <w:tr w:rsidR="00507820" w14:paraId="5DA16C7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FE711A2"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02332</w:t>
            </w:r>
          </w:p>
        </w:tc>
        <w:tc>
          <w:tcPr>
            <w:tcW w:w="2800" w:type="dxa"/>
            <w:noWrap/>
          </w:tcPr>
          <w:p w14:paraId="4E9C4C6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Duxbury</w:t>
            </w:r>
          </w:p>
        </w:tc>
        <w:tc>
          <w:tcPr>
            <w:tcW w:w="960" w:type="dxa"/>
            <w:noWrap/>
          </w:tcPr>
          <w:p w14:paraId="5D2C732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391</w:t>
            </w:r>
          </w:p>
        </w:tc>
        <w:tc>
          <w:tcPr>
            <w:tcW w:w="960" w:type="dxa"/>
            <w:noWrap/>
          </w:tcPr>
          <w:p w14:paraId="0D4B31B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475</w:t>
            </w:r>
          </w:p>
        </w:tc>
        <w:tc>
          <w:tcPr>
            <w:tcW w:w="960" w:type="dxa"/>
            <w:noWrap/>
          </w:tcPr>
          <w:p w14:paraId="18BEB49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525</w:t>
            </w:r>
          </w:p>
        </w:tc>
        <w:tc>
          <w:tcPr>
            <w:tcW w:w="1395" w:type="dxa"/>
            <w:noWrap/>
          </w:tcPr>
          <w:p w14:paraId="6723A5E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509</w:t>
            </w:r>
          </w:p>
        </w:tc>
      </w:tr>
      <w:tr w:rsidR="00507820" w14:paraId="3DA7E64B"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4CAABE8"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02760</w:t>
            </w:r>
          </w:p>
        </w:tc>
        <w:tc>
          <w:tcPr>
            <w:tcW w:w="2800" w:type="dxa"/>
            <w:noWrap/>
          </w:tcPr>
          <w:p w14:paraId="3E31B03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North Attleboro</w:t>
            </w:r>
          </w:p>
        </w:tc>
        <w:tc>
          <w:tcPr>
            <w:tcW w:w="960" w:type="dxa"/>
            <w:noWrap/>
          </w:tcPr>
          <w:p w14:paraId="1342B62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155</w:t>
            </w:r>
          </w:p>
        </w:tc>
        <w:tc>
          <w:tcPr>
            <w:tcW w:w="960" w:type="dxa"/>
            <w:noWrap/>
          </w:tcPr>
          <w:p w14:paraId="0153C80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242</w:t>
            </w:r>
          </w:p>
        </w:tc>
        <w:tc>
          <w:tcPr>
            <w:tcW w:w="960" w:type="dxa"/>
            <w:noWrap/>
          </w:tcPr>
          <w:p w14:paraId="062D425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351</w:t>
            </w:r>
          </w:p>
        </w:tc>
        <w:tc>
          <w:tcPr>
            <w:tcW w:w="1395" w:type="dxa"/>
            <w:noWrap/>
          </w:tcPr>
          <w:p w14:paraId="11567A8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1138</w:t>
            </w:r>
          </w:p>
        </w:tc>
      </w:tr>
      <w:tr w:rsidR="00507820" w14:paraId="4358F713"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D3AA3D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02067</w:t>
            </w:r>
          </w:p>
        </w:tc>
        <w:tc>
          <w:tcPr>
            <w:tcW w:w="2800" w:type="dxa"/>
            <w:noWrap/>
          </w:tcPr>
          <w:p w14:paraId="7DAD58C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Sharon</w:t>
            </w:r>
          </w:p>
        </w:tc>
        <w:tc>
          <w:tcPr>
            <w:tcW w:w="960" w:type="dxa"/>
            <w:noWrap/>
          </w:tcPr>
          <w:p w14:paraId="7E33E87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360</w:t>
            </w:r>
          </w:p>
        </w:tc>
        <w:tc>
          <w:tcPr>
            <w:tcW w:w="960" w:type="dxa"/>
            <w:noWrap/>
          </w:tcPr>
          <w:p w14:paraId="286A082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436</w:t>
            </w:r>
          </w:p>
        </w:tc>
        <w:tc>
          <w:tcPr>
            <w:tcW w:w="960" w:type="dxa"/>
            <w:noWrap/>
          </w:tcPr>
          <w:p w14:paraId="06C7A1C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508</w:t>
            </w:r>
          </w:p>
        </w:tc>
        <w:tc>
          <w:tcPr>
            <w:tcW w:w="1395" w:type="dxa"/>
            <w:noWrap/>
          </w:tcPr>
          <w:p w14:paraId="339702F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547</w:t>
            </w:r>
          </w:p>
        </w:tc>
      </w:tr>
      <w:tr w:rsidR="00507820" w14:paraId="23E6C919"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70B62BA"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01752</w:t>
            </w:r>
          </w:p>
        </w:tc>
        <w:tc>
          <w:tcPr>
            <w:tcW w:w="2800" w:type="dxa"/>
            <w:noWrap/>
          </w:tcPr>
          <w:p w14:paraId="1AD756B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Marlborough</w:t>
            </w:r>
          </w:p>
        </w:tc>
        <w:tc>
          <w:tcPr>
            <w:tcW w:w="960" w:type="dxa"/>
            <w:noWrap/>
          </w:tcPr>
          <w:p w14:paraId="52262F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427</w:t>
            </w:r>
          </w:p>
        </w:tc>
        <w:tc>
          <w:tcPr>
            <w:tcW w:w="960" w:type="dxa"/>
            <w:noWrap/>
          </w:tcPr>
          <w:p w14:paraId="1DEAC28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450</w:t>
            </w:r>
          </w:p>
        </w:tc>
        <w:tc>
          <w:tcPr>
            <w:tcW w:w="960" w:type="dxa"/>
            <w:noWrap/>
          </w:tcPr>
          <w:p w14:paraId="5234AD9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464</w:t>
            </w:r>
          </w:p>
        </w:tc>
        <w:tc>
          <w:tcPr>
            <w:tcW w:w="1395" w:type="dxa"/>
            <w:noWrap/>
          </w:tcPr>
          <w:p w14:paraId="49F3AAA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477</w:t>
            </w:r>
          </w:p>
        </w:tc>
      </w:tr>
      <w:tr w:rsidR="00507820" w14:paraId="0ED6CFAD"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7BD844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02382</w:t>
            </w:r>
          </w:p>
        </w:tc>
        <w:tc>
          <w:tcPr>
            <w:tcW w:w="2800" w:type="dxa"/>
            <w:noWrap/>
          </w:tcPr>
          <w:p w14:paraId="6C8924A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Whitman</w:t>
            </w:r>
          </w:p>
        </w:tc>
        <w:tc>
          <w:tcPr>
            <w:tcW w:w="960" w:type="dxa"/>
            <w:noWrap/>
          </w:tcPr>
          <w:p w14:paraId="644F509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366</w:t>
            </w:r>
          </w:p>
        </w:tc>
        <w:tc>
          <w:tcPr>
            <w:tcW w:w="960" w:type="dxa"/>
            <w:noWrap/>
          </w:tcPr>
          <w:p w14:paraId="51D28BF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445</w:t>
            </w:r>
          </w:p>
        </w:tc>
        <w:tc>
          <w:tcPr>
            <w:tcW w:w="960" w:type="dxa"/>
            <w:noWrap/>
          </w:tcPr>
          <w:p w14:paraId="154F580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494</w:t>
            </w:r>
          </w:p>
        </w:tc>
        <w:tc>
          <w:tcPr>
            <w:tcW w:w="1395" w:type="dxa"/>
            <w:noWrap/>
          </w:tcPr>
          <w:p w14:paraId="1FF1806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491</w:t>
            </w:r>
          </w:p>
        </w:tc>
      </w:tr>
      <w:tr w:rsidR="00507820" w14:paraId="2EC806F7"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1E9C96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02038</w:t>
            </w:r>
          </w:p>
        </w:tc>
        <w:tc>
          <w:tcPr>
            <w:tcW w:w="2800" w:type="dxa"/>
            <w:noWrap/>
          </w:tcPr>
          <w:p w14:paraId="60E179E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Franklin</w:t>
            </w:r>
          </w:p>
        </w:tc>
        <w:tc>
          <w:tcPr>
            <w:tcW w:w="960" w:type="dxa"/>
            <w:noWrap/>
          </w:tcPr>
          <w:p w14:paraId="450E267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391</w:t>
            </w:r>
          </w:p>
        </w:tc>
        <w:tc>
          <w:tcPr>
            <w:tcW w:w="960" w:type="dxa"/>
            <w:noWrap/>
          </w:tcPr>
          <w:p w14:paraId="4AE6D97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401</w:t>
            </w:r>
          </w:p>
        </w:tc>
        <w:tc>
          <w:tcPr>
            <w:tcW w:w="960" w:type="dxa"/>
            <w:noWrap/>
          </w:tcPr>
          <w:p w14:paraId="15312DC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455</w:t>
            </w:r>
          </w:p>
        </w:tc>
        <w:tc>
          <w:tcPr>
            <w:tcW w:w="1395" w:type="dxa"/>
            <w:noWrap/>
          </w:tcPr>
          <w:p w14:paraId="1AB50D3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479</w:t>
            </w:r>
          </w:p>
        </w:tc>
      </w:tr>
      <w:tr w:rsidR="00507820" w14:paraId="4CE45DCB"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ABFF65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02563</w:t>
            </w:r>
          </w:p>
        </w:tc>
        <w:tc>
          <w:tcPr>
            <w:tcW w:w="2800" w:type="dxa"/>
            <w:noWrap/>
          </w:tcPr>
          <w:p w14:paraId="415B364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Sandwich</w:t>
            </w:r>
          </w:p>
        </w:tc>
        <w:tc>
          <w:tcPr>
            <w:tcW w:w="960" w:type="dxa"/>
            <w:noWrap/>
          </w:tcPr>
          <w:p w14:paraId="633F5D7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396</w:t>
            </w:r>
          </w:p>
        </w:tc>
        <w:tc>
          <w:tcPr>
            <w:tcW w:w="960" w:type="dxa"/>
            <w:noWrap/>
          </w:tcPr>
          <w:p w14:paraId="10F0DC1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402</w:t>
            </w:r>
          </w:p>
        </w:tc>
        <w:tc>
          <w:tcPr>
            <w:tcW w:w="960" w:type="dxa"/>
            <w:noWrap/>
          </w:tcPr>
          <w:p w14:paraId="0337697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431</w:t>
            </w:r>
          </w:p>
        </w:tc>
        <w:tc>
          <w:tcPr>
            <w:tcW w:w="1395" w:type="dxa"/>
            <w:noWrap/>
          </w:tcPr>
          <w:p w14:paraId="7FD5ECA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487</w:t>
            </w:r>
          </w:p>
        </w:tc>
      </w:tr>
      <w:tr w:rsidR="00507820" w14:paraId="4F40C4C9"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FEF1C38"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02359</w:t>
            </w:r>
          </w:p>
        </w:tc>
        <w:tc>
          <w:tcPr>
            <w:tcW w:w="2800" w:type="dxa"/>
            <w:noWrap/>
          </w:tcPr>
          <w:p w14:paraId="431A8AA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Pembroke</w:t>
            </w:r>
          </w:p>
        </w:tc>
        <w:tc>
          <w:tcPr>
            <w:tcW w:w="960" w:type="dxa"/>
            <w:noWrap/>
          </w:tcPr>
          <w:p w14:paraId="6C4506B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367</w:t>
            </w:r>
          </w:p>
        </w:tc>
        <w:tc>
          <w:tcPr>
            <w:tcW w:w="960" w:type="dxa"/>
            <w:noWrap/>
          </w:tcPr>
          <w:p w14:paraId="2F20B96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430</w:t>
            </w:r>
          </w:p>
        </w:tc>
        <w:tc>
          <w:tcPr>
            <w:tcW w:w="960" w:type="dxa"/>
            <w:noWrap/>
          </w:tcPr>
          <w:p w14:paraId="1576AE7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432</w:t>
            </w:r>
          </w:p>
        </w:tc>
        <w:tc>
          <w:tcPr>
            <w:tcW w:w="1395" w:type="dxa"/>
            <w:noWrap/>
          </w:tcPr>
          <w:p w14:paraId="050FEE9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465</w:t>
            </w:r>
          </w:p>
        </w:tc>
      </w:tr>
      <w:tr w:rsidR="00507820" w14:paraId="622D3351"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2CA3A2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02035</w:t>
            </w:r>
          </w:p>
        </w:tc>
        <w:tc>
          <w:tcPr>
            <w:tcW w:w="2800" w:type="dxa"/>
            <w:noWrap/>
          </w:tcPr>
          <w:p w14:paraId="23248EB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Foxboro</w:t>
            </w:r>
          </w:p>
        </w:tc>
        <w:tc>
          <w:tcPr>
            <w:tcW w:w="960" w:type="dxa"/>
            <w:noWrap/>
          </w:tcPr>
          <w:p w14:paraId="4C83684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290</w:t>
            </w:r>
          </w:p>
        </w:tc>
        <w:tc>
          <w:tcPr>
            <w:tcW w:w="960" w:type="dxa"/>
            <w:noWrap/>
          </w:tcPr>
          <w:p w14:paraId="684386C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371</w:t>
            </w:r>
          </w:p>
        </w:tc>
        <w:tc>
          <w:tcPr>
            <w:tcW w:w="960" w:type="dxa"/>
            <w:noWrap/>
          </w:tcPr>
          <w:p w14:paraId="0196D2E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427</w:t>
            </w:r>
          </w:p>
        </w:tc>
        <w:tc>
          <w:tcPr>
            <w:tcW w:w="1395" w:type="dxa"/>
            <w:noWrap/>
          </w:tcPr>
          <w:p w14:paraId="12264B8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599</w:t>
            </w:r>
          </w:p>
        </w:tc>
      </w:tr>
      <w:tr w:rsidR="00507820" w14:paraId="4710BA81"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B16A09F"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02351</w:t>
            </w:r>
          </w:p>
        </w:tc>
        <w:tc>
          <w:tcPr>
            <w:tcW w:w="2800" w:type="dxa"/>
            <w:noWrap/>
          </w:tcPr>
          <w:p w14:paraId="2E1CF56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Abington</w:t>
            </w:r>
          </w:p>
        </w:tc>
        <w:tc>
          <w:tcPr>
            <w:tcW w:w="960" w:type="dxa"/>
            <w:noWrap/>
          </w:tcPr>
          <w:p w14:paraId="27FEBA1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393</w:t>
            </w:r>
          </w:p>
        </w:tc>
        <w:tc>
          <w:tcPr>
            <w:tcW w:w="960" w:type="dxa"/>
            <w:noWrap/>
          </w:tcPr>
          <w:p w14:paraId="7236107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428</w:t>
            </w:r>
          </w:p>
        </w:tc>
        <w:tc>
          <w:tcPr>
            <w:tcW w:w="960" w:type="dxa"/>
            <w:noWrap/>
          </w:tcPr>
          <w:p w14:paraId="1F22BF1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420</w:t>
            </w:r>
          </w:p>
        </w:tc>
        <w:tc>
          <w:tcPr>
            <w:tcW w:w="1395" w:type="dxa"/>
            <w:noWrap/>
          </w:tcPr>
          <w:p w14:paraId="130878D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440</w:t>
            </w:r>
          </w:p>
        </w:tc>
      </w:tr>
      <w:tr w:rsidR="00507820" w14:paraId="5C05A037"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7CFBE01"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02136</w:t>
            </w:r>
          </w:p>
        </w:tc>
        <w:tc>
          <w:tcPr>
            <w:tcW w:w="2800" w:type="dxa"/>
            <w:noWrap/>
          </w:tcPr>
          <w:p w14:paraId="27B90FB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Hyde Park</w:t>
            </w:r>
          </w:p>
        </w:tc>
        <w:tc>
          <w:tcPr>
            <w:tcW w:w="960" w:type="dxa"/>
            <w:noWrap/>
          </w:tcPr>
          <w:p w14:paraId="019CDA2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345</w:t>
            </w:r>
          </w:p>
        </w:tc>
        <w:tc>
          <w:tcPr>
            <w:tcW w:w="960" w:type="dxa"/>
            <w:noWrap/>
          </w:tcPr>
          <w:p w14:paraId="796957D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369</w:t>
            </w:r>
          </w:p>
        </w:tc>
        <w:tc>
          <w:tcPr>
            <w:tcW w:w="960" w:type="dxa"/>
            <w:noWrap/>
          </w:tcPr>
          <w:p w14:paraId="595AC45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438</w:t>
            </w:r>
          </w:p>
        </w:tc>
        <w:tc>
          <w:tcPr>
            <w:tcW w:w="1395" w:type="dxa"/>
            <w:noWrap/>
          </w:tcPr>
          <w:p w14:paraId="0A2C2EA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439</w:t>
            </w:r>
          </w:p>
        </w:tc>
      </w:tr>
      <w:tr w:rsidR="00507820" w14:paraId="3BA755D4"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EE053F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02124</w:t>
            </w:r>
          </w:p>
        </w:tc>
        <w:tc>
          <w:tcPr>
            <w:tcW w:w="2800" w:type="dxa"/>
            <w:noWrap/>
          </w:tcPr>
          <w:p w14:paraId="5F03145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Dorchester Center</w:t>
            </w:r>
          </w:p>
        </w:tc>
        <w:tc>
          <w:tcPr>
            <w:tcW w:w="960" w:type="dxa"/>
            <w:noWrap/>
          </w:tcPr>
          <w:p w14:paraId="142FF1A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386</w:t>
            </w:r>
          </w:p>
        </w:tc>
        <w:tc>
          <w:tcPr>
            <w:tcW w:w="960" w:type="dxa"/>
            <w:noWrap/>
          </w:tcPr>
          <w:p w14:paraId="0E562EF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359</w:t>
            </w:r>
          </w:p>
        </w:tc>
        <w:tc>
          <w:tcPr>
            <w:tcW w:w="960" w:type="dxa"/>
            <w:noWrap/>
          </w:tcPr>
          <w:p w14:paraId="1B53B1E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430</w:t>
            </w:r>
          </w:p>
        </w:tc>
        <w:tc>
          <w:tcPr>
            <w:tcW w:w="1395" w:type="dxa"/>
            <w:noWrap/>
          </w:tcPr>
          <w:p w14:paraId="74DC1F3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404</w:t>
            </w:r>
          </w:p>
        </w:tc>
      </w:tr>
      <w:tr w:rsidR="00507820" w14:paraId="59D4EB0D"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D948ACC"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02338</w:t>
            </w:r>
          </w:p>
        </w:tc>
        <w:tc>
          <w:tcPr>
            <w:tcW w:w="2800" w:type="dxa"/>
            <w:noWrap/>
          </w:tcPr>
          <w:p w14:paraId="669D735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Halifax</w:t>
            </w:r>
          </w:p>
        </w:tc>
        <w:tc>
          <w:tcPr>
            <w:tcW w:w="960" w:type="dxa"/>
            <w:noWrap/>
          </w:tcPr>
          <w:p w14:paraId="415F02D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336</w:t>
            </w:r>
          </w:p>
        </w:tc>
        <w:tc>
          <w:tcPr>
            <w:tcW w:w="960" w:type="dxa"/>
            <w:noWrap/>
          </w:tcPr>
          <w:p w14:paraId="74FD907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397</w:t>
            </w:r>
          </w:p>
        </w:tc>
        <w:tc>
          <w:tcPr>
            <w:tcW w:w="960" w:type="dxa"/>
            <w:noWrap/>
          </w:tcPr>
          <w:p w14:paraId="3E9CA15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390</w:t>
            </w:r>
          </w:p>
        </w:tc>
        <w:tc>
          <w:tcPr>
            <w:tcW w:w="1395" w:type="dxa"/>
            <w:noWrap/>
          </w:tcPr>
          <w:p w14:paraId="19E74F2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405</w:t>
            </w:r>
          </w:p>
        </w:tc>
      </w:tr>
      <w:tr w:rsidR="00507820" w14:paraId="23138401"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84A480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02347</w:t>
            </w:r>
          </w:p>
        </w:tc>
        <w:tc>
          <w:tcPr>
            <w:tcW w:w="2800" w:type="dxa"/>
            <w:noWrap/>
          </w:tcPr>
          <w:p w14:paraId="34BA53D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Lakeville</w:t>
            </w:r>
          </w:p>
        </w:tc>
        <w:tc>
          <w:tcPr>
            <w:tcW w:w="960" w:type="dxa"/>
            <w:noWrap/>
          </w:tcPr>
          <w:p w14:paraId="6B2F3F6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316</w:t>
            </w:r>
          </w:p>
        </w:tc>
        <w:tc>
          <w:tcPr>
            <w:tcW w:w="960" w:type="dxa"/>
            <w:noWrap/>
          </w:tcPr>
          <w:p w14:paraId="0E9FA27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341</w:t>
            </w:r>
          </w:p>
        </w:tc>
        <w:tc>
          <w:tcPr>
            <w:tcW w:w="960" w:type="dxa"/>
            <w:noWrap/>
          </w:tcPr>
          <w:p w14:paraId="1D287F7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393</w:t>
            </w:r>
          </w:p>
        </w:tc>
        <w:tc>
          <w:tcPr>
            <w:tcW w:w="1395" w:type="dxa"/>
            <w:noWrap/>
          </w:tcPr>
          <w:p w14:paraId="35AF59C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451</w:t>
            </w:r>
          </w:p>
        </w:tc>
      </w:tr>
      <w:tr w:rsidR="00507820" w14:paraId="41ABB59D"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EBBDEFF"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02556</w:t>
            </w:r>
          </w:p>
        </w:tc>
        <w:tc>
          <w:tcPr>
            <w:tcW w:w="2800" w:type="dxa"/>
            <w:noWrap/>
          </w:tcPr>
          <w:p w14:paraId="4866C52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North Falmouth</w:t>
            </w:r>
          </w:p>
        </w:tc>
        <w:tc>
          <w:tcPr>
            <w:tcW w:w="960" w:type="dxa"/>
            <w:noWrap/>
          </w:tcPr>
          <w:p w14:paraId="29A69EA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358</w:t>
            </w:r>
          </w:p>
        </w:tc>
        <w:tc>
          <w:tcPr>
            <w:tcW w:w="960" w:type="dxa"/>
            <w:noWrap/>
          </w:tcPr>
          <w:p w14:paraId="7820F73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364</w:t>
            </w:r>
          </w:p>
        </w:tc>
        <w:tc>
          <w:tcPr>
            <w:tcW w:w="960" w:type="dxa"/>
            <w:noWrap/>
          </w:tcPr>
          <w:p w14:paraId="23B983B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361</w:t>
            </w:r>
          </w:p>
        </w:tc>
        <w:tc>
          <w:tcPr>
            <w:tcW w:w="1395" w:type="dxa"/>
            <w:noWrap/>
          </w:tcPr>
          <w:p w14:paraId="1EFF42A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408</w:t>
            </w:r>
          </w:p>
        </w:tc>
      </w:tr>
      <w:tr w:rsidR="00507820" w14:paraId="5DBD9770"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363186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02026</w:t>
            </w:r>
          </w:p>
        </w:tc>
        <w:tc>
          <w:tcPr>
            <w:tcW w:w="2800" w:type="dxa"/>
            <w:noWrap/>
          </w:tcPr>
          <w:p w14:paraId="3BAD305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 xml:space="preserve">Dedham </w:t>
            </w:r>
          </w:p>
        </w:tc>
        <w:tc>
          <w:tcPr>
            <w:tcW w:w="960" w:type="dxa"/>
            <w:noWrap/>
          </w:tcPr>
          <w:p w14:paraId="7E24678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259</w:t>
            </w:r>
          </w:p>
        </w:tc>
        <w:tc>
          <w:tcPr>
            <w:tcW w:w="960" w:type="dxa"/>
            <w:noWrap/>
          </w:tcPr>
          <w:p w14:paraId="55A46B6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308</w:t>
            </w:r>
          </w:p>
        </w:tc>
        <w:tc>
          <w:tcPr>
            <w:tcW w:w="960" w:type="dxa"/>
            <w:noWrap/>
          </w:tcPr>
          <w:p w14:paraId="1FBA163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397</w:t>
            </w:r>
          </w:p>
        </w:tc>
        <w:tc>
          <w:tcPr>
            <w:tcW w:w="1395" w:type="dxa"/>
            <w:noWrap/>
          </w:tcPr>
          <w:p w14:paraId="40F3A2E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367</w:t>
            </w:r>
          </w:p>
        </w:tc>
      </w:tr>
      <w:tr w:rsidR="00507820" w14:paraId="18A4F2CF"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D6798E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02171</w:t>
            </w:r>
          </w:p>
        </w:tc>
        <w:tc>
          <w:tcPr>
            <w:tcW w:w="2800" w:type="dxa"/>
            <w:noWrap/>
          </w:tcPr>
          <w:p w14:paraId="1A60A68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Quincy</w:t>
            </w:r>
          </w:p>
        </w:tc>
        <w:tc>
          <w:tcPr>
            <w:tcW w:w="960" w:type="dxa"/>
            <w:noWrap/>
          </w:tcPr>
          <w:p w14:paraId="08E0C0F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274</w:t>
            </w:r>
          </w:p>
        </w:tc>
        <w:tc>
          <w:tcPr>
            <w:tcW w:w="960" w:type="dxa"/>
            <w:noWrap/>
          </w:tcPr>
          <w:p w14:paraId="3157813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327</w:t>
            </w:r>
          </w:p>
        </w:tc>
        <w:tc>
          <w:tcPr>
            <w:tcW w:w="960" w:type="dxa"/>
            <w:noWrap/>
          </w:tcPr>
          <w:p w14:paraId="05062C9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333</w:t>
            </w:r>
          </w:p>
        </w:tc>
        <w:tc>
          <w:tcPr>
            <w:tcW w:w="1395" w:type="dxa"/>
            <w:noWrap/>
          </w:tcPr>
          <w:p w14:paraId="58E9B3D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337</w:t>
            </w:r>
          </w:p>
        </w:tc>
      </w:tr>
      <w:tr w:rsidR="00507820" w14:paraId="4F031566"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B03AF6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01748</w:t>
            </w:r>
          </w:p>
        </w:tc>
        <w:tc>
          <w:tcPr>
            <w:tcW w:w="2800" w:type="dxa"/>
            <w:noWrap/>
          </w:tcPr>
          <w:p w14:paraId="276D428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Hopkinton</w:t>
            </w:r>
          </w:p>
        </w:tc>
        <w:tc>
          <w:tcPr>
            <w:tcW w:w="960" w:type="dxa"/>
            <w:noWrap/>
          </w:tcPr>
          <w:p w14:paraId="259E511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297</w:t>
            </w:r>
          </w:p>
        </w:tc>
        <w:tc>
          <w:tcPr>
            <w:tcW w:w="960" w:type="dxa"/>
            <w:noWrap/>
          </w:tcPr>
          <w:p w14:paraId="459AD37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304</w:t>
            </w:r>
          </w:p>
        </w:tc>
        <w:tc>
          <w:tcPr>
            <w:tcW w:w="960" w:type="dxa"/>
            <w:noWrap/>
          </w:tcPr>
          <w:p w14:paraId="5FAEBDA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333</w:t>
            </w:r>
          </w:p>
        </w:tc>
        <w:tc>
          <w:tcPr>
            <w:tcW w:w="1395" w:type="dxa"/>
            <w:noWrap/>
          </w:tcPr>
          <w:p w14:paraId="4DAF094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318</w:t>
            </w:r>
          </w:p>
        </w:tc>
      </w:tr>
      <w:tr w:rsidR="00507820" w14:paraId="5BBD6C7B"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458BD86"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02559</w:t>
            </w:r>
          </w:p>
        </w:tc>
        <w:tc>
          <w:tcPr>
            <w:tcW w:w="2800" w:type="dxa"/>
            <w:noWrap/>
          </w:tcPr>
          <w:p w14:paraId="1B6BA4D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Pocasset</w:t>
            </w:r>
          </w:p>
        </w:tc>
        <w:tc>
          <w:tcPr>
            <w:tcW w:w="960" w:type="dxa"/>
            <w:noWrap/>
          </w:tcPr>
          <w:p w14:paraId="0BA043F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313</w:t>
            </w:r>
          </w:p>
        </w:tc>
        <w:tc>
          <w:tcPr>
            <w:tcW w:w="960" w:type="dxa"/>
            <w:noWrap/>
          </w:tcPr>
          <w:p w14:paraId="1E5C55D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307</w:t>
            </w:r>
          </w:p>
        </w:tc>
        <w:tc>
          <w:tcPr>
            <w:tcW w:w="960" w:type="dxa"/>
            <w:noWrap/>
          </w:tcPr>
          <w:p w14:paraId="5755DD4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314</w:t>
            </w:r>
          </w:p>
        </w:tc>
        <w:tc>
          <w:tcPr>
            <w:tcW w:w="1395" w:type="dxa"/>
            <w:noWrap/>
          </w:tcPr>
          <w:p w14:paraId="141744F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309</w:t>
            </w:r>
          </w:p>
        </w:tc>
      </w:tr>
      <w:tr w:rsidR="00507820" w14:paraId="6819CF72"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CF77FB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02370</w:t>
            </w:r>
          </w:p>
        </w:tc>
        <w:tc>
          <w:tcPr>
            <w:tcW w:w="2800" w:type="dxa"/>
            <w:noWrap/>
          </w:tcPr>
          <w:p w14:paraId="0DEBE2A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Rockland</w:t>
            </w:r>
          </w:p>
        </w:tc>
        <w:tc>
          <w:tcPr>
            <w:tcW w:w="960" w:type="dxa"/>
            <w:noWrap/>
          </w:tcPr>
          <w:p w14:paraId="2D620F1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288</w:t>
            </w:r>
          </w:p>
        </w:tc>
        <w:tc>
          <w:tcPr>
            <w:tcW w:w="960" w:type="dxa"/>
            <w:noWrap/>
          </w:tcPr>
          <w:p w14:paraId="25E9753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320</w:t>
            </w:r>
          </w:p>
        </w:tc>
        <w:tc>
          <w:tcPr>
            <w:tcW w:w="960" w:type="dxa"/>
            <w:noWrap/>
          </w:tcPr>
          <w:p w14:paraId="0843927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299</w:t>
            </w:r>
          </w:p>
        </w:tc>
        <w:tc>
          <w:tcPr>
            <w:tcW w:w="1395" w:type="dxa"/>
            <w:noWrap/>
          </w:tcPr>
          <w:p w14:paraId="2357530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333</w:t>
            </w:r>
          </w:p>
        </w:tc>
      </w:tr>
      <w:tr w:rsidR="00507820" w14:paraId="58FD6D2C"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1382B52"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02341</w:t>
            </w:r>
          </w:p>
        </w:tc>
        <w:tc>
          <w:tcPr>
            <w:tcW w:w="2800" w:type="dxa"/>
            <w:noWrap/>
          </w:tcPr>
          <w:p w14:paraId="22E2B9A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Hanson</w:t>
            </w:r>
          </w:p>
        </w:tc>
        <w:tc>
          <w:tcPr>
            <w:tcW w:w="960" w:type="dxa"/>
            <w:noWrap/>
          </w:tcPr>
          <w:p w14:paraId="6EF87BA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253</w:t>
            </w:r>
          </w:p>
        </w:tc>
        <w:tc>
          <w:tcPr>
            <w:tcW w:w="960" w:type="dxa"/>
            <w:noWrap/>
          </w:tcPr>
          <w:p w14:paraId="4DAD976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298</w:t>
            </w:r>
          </w:p>
        </w:tc>
        <w:tc>
          <w:tcPr>
            <w:tcW w:w="960" w:type="dxa"/>
            <w:noWrap/>
          </w:tcPr>
          <w:p w14:paraId="1796387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327</w:t>
            </w:r>
          </w:p>
        </w:tc>
        <w:tc>
          <w:tcPr>
            <w:tcW w:w="1395" w:type="dxa"/>
            <w:noWrap/>
          </w:tcPr>
          <w:p w14:paraId="7901E6B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334</w:t>
            </w:r>
          </w:p>
        </w:tc>
      </w:tr>
      <w:tr w:rsidR="00507820" w14:paraId="1731A16C"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D5217B7"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02562</w:t>
            </w:r>
          </w:p>
        </w:tc>
        <w:tc>
          <w:tcPr>
            <w:tcW w:w="2800" w:type="dxa"/>
            <w:noWrap/>
          </w:tcPr>
          <w:p w14:paraId="21647C1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Sagamore Beach</w:t>
            </w:r>
          </w:p>
        </w:tc>
        <w:tc>
          <w:tcPr>
            <w:tcW w:w="960" w:type="dxa"/>
            <w:noWrap/>
          </w:tcPr>
          <w:p w14:paraId="26F8F8B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251</w:t>
            </w:r>
          </w:p>
        </w:tc>
        <w:tc>
          <w:tcPr>
            <w:tcW w:w="960" w:type="dxa"/>
            <w:noWrap/>
          </w:tcPr>
          <w:p w14:paraId="386B2C9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260</w:t>
            </w:r>
          </w:p>
        </w:tc>
        <w:tc>
          <w:tcPr>
            <w:tcW w:w="960" w:type="dxa"/>
            <w:noWrap/>
          </w:tcPr>
          <w:p w14:paraId="029ABD6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305</w:t>
            </w:r>
          </w:p>
        </w:tc>
        <w:tc>
          <w:tcPr>
            <w:tcW w:w="1395" w:type="dxa"/>
            <w:noWrap/>
          </w:tcPr>
          <w:p w14:paraId="0561E24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313</w:t>
            </w:r>
          </w:p>
        </w:tc>
      </w:tr>
      <w:tr w:rsidR="00507820" w14:paraId="1C8EC5A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60A737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02343</w:t>
            </w:r>
          </w:p>
        </w:tc>
        <w:tc>
          <w:tcPr>
            <w:tcW w:w="2800" w:type="dxa"/>
            <w:noWrap/>
          </w:tcPr>
          <w:p w14:paraId="39FD1CA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Holbrook</w:t>
            </w:r>
          </w:p>
        </w:tc>
        <w:tc>
          <w:tcPr>
            <w:tcW w:w="960" w:type="dxa"/>
            <w:noWrap/>
          </w:tcPr>
          <w:p w14:paraId="3E41D2B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247</w:t>
            </w:r>
          </w:p>
        </w:tc>
        <w:tc>
          <w:tcPr>
            <w:tcW w:w="960" w:type="dxa"/>
            <w:noWrap/>
          </w:tcPr>
          <w:p w14:paraId="7E3CB2D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293</w:t>
            </w:r>
          </w:p>
        </w:tc>
        <w:tc>
          <w:tcPr>
            <w:tcW w:w="960" w:type="dxa"/>
            <w:noWrap/>
          </w:tcPr>
          <w:p w14:paraId="79A569B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278</w:t>
            </w:r>
          </w:p>
        </w:tc>
        <w:tc>
          <w:tcPr>
            <w:tcW w:w="1395" w:type="dxa"/>
            <w:noWrap/>
          </w:tcPr>
          <w:p w14:paraId="59D6B29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293</w:t>
            </w:r>
          </w:p>
        </w:tc>
      </w:tr>
      <w:tr w:rsidR="00507820" w14:paraId="39730CD6"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C40FC8C"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02053</w:t>
            </w:r>
          </w:p>
        </w:tc>
        <w:tc>
          <w:tcPr>
            <w:tcW w:w="2800" w:type="dxa"/>
            <w:noWrap/>
          </w:tcPr>
          <w:p w14:paraId="542543C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Medway</w:t>
            </w:r>
          </w:p>
        </w:tc>
        <w:tc>
          <w:tcPr>
            <w:tcW w:w="960" w:type="dxa"/>
            <w:noWrap/>
          </w:tcPr>
          <w:p w14:paraId="34A5F69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271</w:t>
            </w:r>
          </w:p>
        </w:tc>
        <w:tc>
          <w:tcPr>
            <w:tcW w:w="960" w:type="dxa"/>
            <w:noWrap/>
          </w:tcPr>
          <w:p w14:paraId="5DF2F69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242</w:t>
            </w:r>
          </w:p>
        </w:tc>
        <w:tc>
          <w:tcPr>
            <w:tcW w:w="960" w:type="dxa"/>
            <w:noWrap/>
          </w:tcPr>
          <w:p w14:paraId="4CEC08D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293</w:t>
            </w:r>
          </w:p>
        </w:tc>
        <w:tc>
          <w:tcPr>
            <w:tcW w:w="1395" w:type="dxa"/>
            <w:noWrap/>
          </w:tcPr>
          <w:p w14:paraId="161B896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297</w:t>
            </w:r>
          </w:p>
        </w:tc>
      </w:tr>
      <w:tr w:rsidR="00507820" w14:paraId="329FC127"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DC02E1C"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02090</w:t>
            </w:r>
          </w:p>
        </w:tc>
        <w:tc>
          <w:tcPr>
            <w:tcW w:w="2800" w:type="dxa"/>
            <w:noWrap/>
          </w:tcPr>
          <w:p w14:paraId="20B59CC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Westwood</w:t>
            </w:r>
          </w:p>
        </w:tc>
        <w:tc>
          <w:tcPr>
            <w:tcW w:w="960" w:type="dxa"/>
            <w:noWrap/>
          </w:tcPr>
          <w:p w14:paraId="724C1F0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239</w:t>
            </w:r>
          </w:p>
        </w:tc>
        <w:tc>
          <w:tcPr>
            <w:tcW w:w="960" w:type="dxa"/>
            <w:noWrap/>
          </w:tcPr>
          <w:p w14:paraId="6D4F849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262</w:t>
            </w:r>
          </w:p>
        </w:tc>
        <w:tc>
          <w:tcPr>
            <w:tcW w:w="960" w:type="dxa"/>
            <w:noWrap/>
          </w:tcPr>
          <w:p w14:paraId="1E9DA8E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285</w:t>
            </w:r>
          </w:p>
        </w:tc>
        <w:tc>
          <w:tcPr>
            <w:tcW w:w="1395" w:type="dxa"/>
            <w:noWrap/>
          </w:tcPr>
          <w:p w14:paraId="2164C9D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302</w:t>
            </w:r>
          </w:p>
        </w:tc>
      </w:tr>
      <w:tr w:rsidR="00507820" w14:paraId="6A0A504D"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5C1C7AA"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02093</w:t>
            </w:r>
          </w:p>
        </w:tc>
        <w:tc>
          <w:tcPr>
            <w:tcW w:w="2800" w:type="dxa"/>
            <w:noWrap/>
          </w:tcPr>
          <w:p w14:paraId="66159E1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Wrentham</w:t>
            </w:r>
          </w:p>
        </w:tc>
        <w:tc>
          <w:tcPr>
            <w:tcW w:w="960" w:type="dxa"/>
            <w:noWrap/>
          </w:tcPr>
          <w:p w14:paraId="665E062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196</w:t>
            </w:r>
          </w:p>
        </w:tc>
        <w:tc>
          <w:tcPr>
            <w:tcW w:w="960" w:type="dxa"/>
            <w:noWrap/>
          </w:tcPr>
          <w:p w14:paraId="401F22C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227</w:t>
            </w:r>
          </w:p>
        </w:tc>
        <w:tc>
          <w:tcPr>
            <w:tcW w:w="960" w:type="dxa"/>
            <w:noWrap/>
          </w:tcPr>
          <w:p w14:paraId="0585AB2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261</w:t>
            </w:r>
          </w:p>
        </w:tc>
        <w:tc>
          <w:tcPr>
            <w:tcW w:w="1395" w:type="dxa"/>
            <w:noWrap/>
          </w:tcPr>
          <w:p w14:paraId="7404750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401</w:t>
            </w:r>
          </w:p>
        </w:tc>
      </w:tr>
      <w:tr w:rsidR="00507820" w14:paraId="51EA9A48"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8B7942F"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01757</w:t>
            </w:r>
          </w:p>
        </w:tc>
        <w:tc>
          <w:tcPr>
            <w:tcW w:w="2800" w:type="dxa"/>
            <w:noWrap/>
          </w:tcPr>
          <w:p w14:paraId="25BC8C5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Milford</w:t>
            </w:r>
          </w:p>
        </w:tc>
        <w:tc>
          <w:tcPr>
            <w:tcW w:w="960" w:type="dxa"/>
            <w:noWrap/>
          </w:tcPr>
          <w:p w14:paraId="4D61BBF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268</w:t>
            </w:r>
          </w:p>
        </w:tc>
        <w:tc>
          <w:tcPr>
            <w:tcW w:w="960" w:type="dxa"/>
            <w:noWrap/>
          </w:tcPr>
          <w:p w14:paraId="3974564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258</w:t>
            </w:r>
          </w:p>
        </w:tc>
        <w:tc>
          <w:tcPr>
            <w:tcW w:w="960" w:type="dxa"/>
            <w:noWrap/>
          </w:tcPr>
          <w:p w14:paraId="3F1DFAE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265</w:t>
            </w:r>
          </w:p>
        </w:tc>
        <w:tc>
          <w:tcPr>
            <w:tcW w:w="1395" w:type="dxa"/>
            <w:noWrap/>
          </w:tcPr>
          <w:p w14:paraId="7C2FD42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287</w:t>
            </w:r>
          </w:p>
        </w:tc>
      </w:tr>
      <w:tr w:rsidR="00507820" w14:paraId="51C88C2D"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02DAC53"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02170</w:t>
            </w:r>
          </w:p>
        </w:tc>
        <w:tc>
          <w:tcPr>
            <w:tcW w:w="2800" w:type="dxa"/>
            <w:noWrap/>
          </w:tcPr>
          <w:p w14:paraId="6338C2C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Quincy</w:t>
            </w:r>
          </w:p>
        </w:tc>
        <w:tc>
          <w:tcPr>
            <w:tcW w:w="960" w:type="dxa"/>
            <w:noWrap/>
          </w:tcPr>
          <w:p w14:paraId="1394D88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221</w:t>
            </w:r>
          </w:p>
        </w:tc>
        <w:tc>
          <w:tcPr>
            <w:tcW w:w="960" w:type="dxa"/>
            <w:noWrap/>
          </w:tcPr>
          <w:p w14:paraId="5042BE0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240</w:t>
            </w:r>
          </w:p>
        </w:tc>
        <w:tc>
          <w:tcPr>
            <w:tcW w:w="960" w:type="dxa"/>
            <w:noWrap/>
          </w:tcPr>
          <w:p w14:paraId="2B8010D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305</w:t>
            </w:r>
          </w:p>
        </w:tc>
        <w:tc>
          <w:tcPr>
            <w:tcW w:w="1395" w:type="dxa"/>
            <w:noWrap/>
          </w:tcPr>
          <w:p w14:paraId="6B12F83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287</w:t>
            </w:r>
          </w:p>
        </w:tc>
      </w:tr>
      <w:tr w:rsidR="00507820" w14:paraId="4D8C67BB"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5B6777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02601</w:t>
            </w:r>
          </w:p>
        </w:tc>
        <w:tc>
          <w:tcPr>
            <w:tcW w:w="2800" w:type="dxa"/>
            <w:noWrap/>
          </w:tcPr>
          <w:p w14:paraId="1412A16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kern w:val="0"/>
                <w:sz w:val="22"/>
                <w:szCs w:val="22"/>
                <w14:ligatures w14:val="none"/>
              </w:rPr>
            </w:pPr>
            <w:r w:rsidRPr="00C11123">
              <w:rPr>
                <w:rFonts w:eastAsia="Times New Roman" w:cs="Arial"/>
                <w:b/>
                <w:bCs/>
                <w:kern w:val="0"/>
                <w:sz w:val="22"/>
                <w:szCs w:val="22"/>
                <w14:ligatures w14:val="none"/>
              </w:rPr>
              <w:t>Hyannis</w:t>
            </w:r>
          </w:p>
        </w:tc>
        <w:tc>
          <w:tcPr>
            <w:tcW w:w="960" w:type="dxa"/>
            <w:noWrap/>
          </w:tcPr>
          <w:p w14:paraId="29C769C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221</w:t>
            </w:r>
          </w:p>
        </w:tc>
        <w:tc>
          <w:tcPr>
            <w:tcW w:w="960" w:type="dxa"/>
            <w:noWrap/>
          </w:tcPr>
          <w:p w14:paraId="6230C97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237</w:t>
            </w:r>
          </w:p>
        </w:tc>
        <w:tc>
          <w:tcPr>
            <w:tcW w:w="960" w:type="dxa"/>
            <w:noWrap/>
          </w:tcPr>
          <w:p w14:paraId="04AD7E2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256</w:t>
            </w:r>
          </w:p>
        </w:tc>
        <w:tc>
          <w:tcPr>
            <w:tcW w:w="1395" w:type="dxa"/>
            <w:noWrap/>
          </w:tcPr>
          <w:p w14:paraId="0ECC455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321</w:t>
            </w:r>
          </w:p>
        </w:tc>
      </w:tr>
      <w:tr w:rsidR="00507820" w14:paraId="128F3B52"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E743DF6"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02054</w:t>
            </w:r>
          </w:p>
        </w:tc>
        <w:tc>
          <w:tcPr>
            <w:tcW w:w="2800" w:type="dxa"/>
            <w:noWrap/>
          </w:tcPr>
          <w:p w14:paraId="6C79D5B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Millis</w:t>
            </w:r>
          </w:p>
        </w:tc>
        <w:tc>
          <w:tcPr>
            <w:tcW w:w="960" w:type="dxa"/>
            <w:noWrap/>
          </w:tcPr>
          <w:p w14:paraId="1908B50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262</w:t>
            </w:r>
          </w:p>
        </w:tc>
        <w:tc>
          <w:tcPr>
            <w:tcW w:w="960" w:type="dxa"/>
            <w:noWrap/>
          </w:tcPr>
          <w:p w14:paraId="7E15CEF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238</w:t>
            </w:r>
          </w:p>
        </w:tc>
        <w:tc>
          <w:tcPr>
            <w:tcW w:w="960" w:type="dxa"/>
            <w:noWrap/>
          </w:tcPr>
          <w:p w14:paraId="25B0E7F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232</w:t>
            </w:r>
          </w:p>
        </w:tc>
        <w:tc>
          <w:tcPr>
            <w:tcW w:w="1395" w:type="dxa"/>
            <w:noWrap/>
          </w:tcPr>
          <w:p w14:paraId="0EC0B93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261</w:t>
            </w:r>
          </w:p>
        </w:tc>
      </w:tr>
      <w:tr w:rsidR="00507820" w14:paraId="1F84A713"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BE36A52"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02537</w:t>
            </w:r>
          </w:p>
        </w:tc>
        <w:tc>
          <w:tcPr>
            <w:tcW w:w="2800" w:type="dxa"/>
            <w:noWrap/>
          </w:tcPr>
          <w:p w14:paraId="7E7281B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East Sandwich</w:t>
            </w:r>
          </w:p>
        </w:tc>
        <w:tc>
          <w:tcPr>
            <w:tcW w:w="960" w:type="dxa"/>
            <w:noWrap/>
          </w:tcPr>
          <w:p w14:paraId="09E8011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247</w:t>
            </w:r>
          </w:p>
        </w:tc>
        <w:tc>
          <w:tcPr>
            <w:tcW w:w="960" w:type="dxa"/>
            <w:noWrap/>
          </w:tcPr>
          <w:p w14:paraId="247F53B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229</w:t>
            </w:r>
          </w:p>
        </w:tc>
        <w:tc>
          <w:tcPr>
            <w:tcW w:w="960" w:type="dxa"/>
            <w:noWrap/>
          </w:tcPr>
          <w:p w14:paraId="43BC0E7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251</w:t>
            </w:r>
          </w:p>
        </w:tc>
        <w:tc>
          <w:tcPr>
            <w:tcW w:w="1395" w:type="dxa"/>
            <w:noWrap/>
          </w:tcPr>
          <w:p w14:paraId="2084BE4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258</w:t>
            </w:r>
          </w:p>
        </w:tc>
      </w:tr>
      <w:tr w:rsidR="00507820" w14:paraId="47647853"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F0A525A"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02571</w:t>
            </w:r>
          </w:p>
        </w:tc>
        <w:tc>
          <w:tcPr>
            <w:tcW w:w="2800" w:type="dxa"/>
            <w:noWrap/>
          </w:tcPr>
          <w:p w14:paraId="0A06275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Wareham</w:t>
            </w:r>
          </w:p>
        </w:tc>
        <w:tc>
          <w:tcPr>
            <w:tcW w:w="960" w:type="dxa"/>
            <w:noWrap/>
          </w:tcPr>
          <w:p w14:paraId="29208DA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209</w:t>
            </w:r>
          </w:p>
        </w:tc>
        <w:tc>
          <w:tcPr>
            <w:tcW w:w="960" w:type="dxa"/>
            <w:noWrap/>
          </w:tcPr>
          <w:p w14:paraId="60E7E17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241</w:t>
            </w:r>
          </w:p>
        </w:tc>
        <w:tc>
          <w:tcPr>
            <w:tcW w:w="960" w:type="dxa"/>
            <w:noWrap/>
          </w:tcPr>
          <w:p w14:paraId="3AC268B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239</w:t>
            </w:r>
          </w:p>
        </w:tc>
        <w:tc>
          <w:tcPr>
            <w:tcW w:w="1395" w:type="dxa"/>
            <w:noWrap/>
          </w:tcPr>
          <w:p w14:paraId="4F388C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251</w:t>
            </w:r>
          </w:p>
        </w:tc>
      </w:tr>
      <w:tr w:rsidR="00507820" w14:paraId="365DAE03"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468D3A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01772</w:t>
            </w:r>
          </w:p>
        </w:tc>
        <w:tc>
          <w:tcPr>
            <w:tcW w:w="2800" w:type="dxa"/>
            <w:noWrap/>
          </w:tcPr>
          <w:p w14:paraId="748D97A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Southborough</w:t>
            </w:r>
          </w:p>
        </w:tc>
        <w:tc>
          <w:tcPr>
            <w:tcW w:w="960" w:type="dxa"/>
            <w:noWrap/>
          </w:tcPr>
          <w:p w14:paraId="76FF824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213</w:t>
            </w:r>
          </w:p>
        </w:tc>
        <w:tc>
          <w:tcPr>
            <w:tcW w:w="960" w:type="dxa"/>
            <w:noWrap/>
          </w:tcPr>
          <w:p w14:paraId="43351EC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216</w:t>
            </w:r>
          </w:p>
        </w:tc>
        <w:tc>
          <w:tcPr>
            <w:tcW w:w="960" w:type="dxa"/>
            <w:noWrap/>
          </w:tcPr>
          <w:p w14:paraId="67EA9B6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243</w:t>
            </w:r>
          </w:p>
        </w:tc>
        <w:tc>
          <w:tcPr>
            <w:tcW w:w="1395" w:type="dxa"/>
            <w:noWrap/>
          </w:tcPr>
          <w:p w14:paraId="2E5963F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248</w:t>
            </w:r>
          </w:p>
        </w:tc>
      </w:tr>
      <w:tr w:rsidR="00507820" w14:paraId="03D8EA3B"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2E97F68"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lastRenderedPageBreak/>
              <w:t>02322</w:t>
            </w:r>
          </w:p>
        </w:tc>
        <w:tc>
          <w:tcPr>
            <w:tcW w:w="2800" w:type="dxa"/>
            <w:noWrap/>
          </w:tcPr>
          <w:p w14:paraId="12C99C3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Avon</w:t>
            </w:r>
          </w:p>
        </w:tc>
        <w:tc>
          <w:tcPr>
            <w:tcW w:w="960" w:type="dxa"/>
            <w:noWrap/>
          </w:tcPr>
          <w:p w14:paraId="5B7A9EE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224</w:t>
            </w:r>
          </w:p>
        </w:tc>
        <w:tc>
          <w:tcPr>
            <w:tcW w:w="960" w:type="dxa"/>
            <w:noWrap/>
          </w:tcPr>
          <w:p w14:paraId="0A2E00B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236</w:t>
            </w:r>
          </w:p>
        </w:tc>
        <w:tc>
          <w:tcPr>
            <w:tcW w:w="960" w:type="dxa"/>
            <w:noWrap/>
          </w:tcPr>
          <w:p w14:paraId="21DE6AA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215</w:t>
            </w:r>
          </w:p>
        </w:tc>
        <w:tc>
          <w:tcPr>
            <w:tcW w:w="1395" w:type="dxa"/>
            <w:noWrap/>
          </w:tcPr>
          <w:p w14:paraId="6CAEAAB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212</w:t>
            </w:r>
          </w:p>
        </w:tc>
      </w:tr>
      <w:tr w:rsidR="00507820" w14:paraId="1C013D9A"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39E9DB2"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02664</w:t>
            </w:r>
          </w:p>
        </w:tc>
        <w:tc>
          <w:tcPr>
            <w:tcW w:w="2800" w:type="dxa"/>
            <w:noWrap/>
          </w:tcPr>
          <w:p w14:paraId="67147B5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South Yarmouth</w:t>
            </w:r>
          </w:p>
        </w:tc>
        <w:tc>
          <w:tcPr>
            <w:tcW w:w="960" w:type="dxa"/>
            <w:noWrap/>
          </w:tcPr>
          <w:p w14:paraId="17CCDC5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207</w:t>
            </w:r>
          </w:p>
        </w:tc>
        <w:tc>
          <w:tcPr>
            <w:tcW w:w="960" w:type="dxa"/>
            <w:noWrap/>
          </w:tcPr>
          <w:p w14:paraId="292D319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232</w:t>
            </w:r>
          </w:p>
        </w:tc>
        <w:tc>
          <w:tcPr>
            <w:tcW w:w="960" w:type="dxa"/>
            <w:noWrap/>
          </w:tcPr>
          <w:p w14:paraId="45D38A9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199</w:t>
            </w:r>
          </w:p>
        </w:tc>
        <w:tc>
          <w:tcPr>
            <w:tcW w:w="1395" w:type="dxa"/>
            <w:noWrap/>
          </w:tcPr>
          <w:p w14:paraId="5F780FC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223</w:t>
            </w:r>
          </w:p>
        </w:tc>
      </w:tr>
      <w:tr w:rsidR="00507820" w14:paraId="4909DE06"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6A4F24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02632</w:t>
            </w:r>
          </w:p>
        </w:tc>
        <w:tc>
          <w:tcPr>
            <w:tcW w:w="2800" w:type="dxa"/>
            <w:noWrap/>
          </w:tcPr>
          <w:p w14:paraId="30F00DA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Centerville</w:t>
            </w:r>
          </w:p>
        </w:tc>
        <w:tc>
          <w:tcPr>
            <w:tcW w:w="960" w:type="dxa"/>
            <w:noWrap/>
          </w:tcPr>
          <w:p w14:paraId="0449650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191</w:t>
            </w:r>
          </w:p>
        </w:tc>
        <w:tc>
          <w:tcPr>
            <w:tcW w:w="960" w:type="dxa"/>
            <w:noWrap/>
          </w:tcPr>
          <w:p w14:paraId="0EB502A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213</w:t>
            </w:r>
          </w:p>
        </w:tc>
        <w:tc>
          <w:tcPr>
            <w:tcW w:w="960" w:type="dxa"/>
            <w:noWrap/>
          </w:tcPr>
          <w:p w14:paraId="51337CF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199</w:t>
            </w:r>
          </w:p>
        </w:tc>
        <w:tc>
          <w:tcPr>
            <w:tcW w:w="1395" w:type="dxa"/>
            <w:noWrap/>
          </w:tcPr>
          <w:p w14:paraId="3F4EB1D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244</w:t>
            </w:r>
          </w:p>
        </w:tc>
      </w:tr>
      <w:tr w:rsidR="00507820" w14:paraId="3EE102A8"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A97604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02056</w:t>
            </w:r>
          </w:p>
        </w:tc>
        <w:tc>
          <w:tcPr>
            <w:tcW w:w="2800" w:type="dxa"/>
            <w:noWrap/>
          </w:tcPr>
          <w:p w14:paraId="3C54497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Norfolk</w:t>
            </w:r>
          </w:p>
        </w:tc>
        <w:tc>
          <w:tcPr>
            <w:tcW w:w="960" w:type="dxa"/>
            <w:noWrap/>
          </w:tcPr>
          <w:p w14:paraId="08927E3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172</w:t>
            </w:r>
          </w:p>
        </w:tc>
        <w:tc>
          <w:tcPr>
            <w:tcW w:w="960" w:type="dxa"/>
            <w:noWrap/>
          </w:tcPr>
          <w:p w14:paraId="7701021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185</w:t>
            </w:r>
          </w:p>
        </w:tc>
        <w:tc>
          <w:tcPr>
            <w:tcW w:w="960" w:type="dxa"/>
            <w:noWrap/>
          </w:tcPr>
          <w:p w14:paraId="7CB9D45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236</w:t>
            </w:r>
          </w:p>
        </w:tc>
        <w:tc>
          <w:tcPr>
            <w:tcW w:w="1395" w:type="dxa"/>
            <w:noWrap/>
          </w:tcPr>
          <w:p w14:paraId="0014F3F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253</w:t>
            </w:r>
          </w:p>
        </w:tc>
      </w:tr>
      <w:tr w:rsidR="00507820" w14:paraId="62CDEC6E"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92FC764"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02718</w:t>
            </w:r>
          </w:p>
        </w:tc>
        <w:tc>
          <w:tcPr>
            <w:tcW w:w="2800" w:type="dxa"/>
            <w:noWrap/>
          </w:tcPr>
          <w:p w14:paraId="19011F1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East Taunton</w:t>
            </w:r>
          </w:p>
        </w:tc>
        <w:tc>
          <w:tcPr>
            <w:tcW w:w="960" w:type="dxa"/>
            <w:noWrap/>
          </w:tcPr>
          <w:p w14:paraId="5B11C3E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175</w:t>
            </w:r>
          </w:p>
        </w:tc>
        <w:tc>
          <w:tcPr>
            <w:tcW w:w="960" w:type="dxa"/>
            <w:noWrap/>
          </w:tcPr>
          <w:p w14:paraId="5395C1B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185</w:t>
            </w:r>
          </w:p>
        </w:tc>
        <w:tc>
          <w:tcPr>
            <w:tcW w:w="960" w:type="dxa"/>
            <w:noWrap/>
          </w:tcPr>
          <w:p w14:paraId="3334B3C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197</w:t>
            </w:r>
          </w:p>
        </w:tc>
        <w:tc>
          <w:tcPr>
            <w:tcW w:w="1395" w:type="dxa"/>
            <w:noWrap/>
          </w:tcPr>
          <w:p w14:paraId="07E1217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275</w:t>
            </w:r>
          </w:p>
        </w:tc>
      </w:tr>
      <w:tr w:rsidR="00507820" w14:paraId="73F31242"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0F4312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01749</w:t>
            </w:r>
          </w:p>
        </w:tc>
        <w:tc>
          <w:tcPr>
            <w:tcW w:w="2800" w:type="dxa"/>
            <w:noWrap/>
          </w:tcPr>
          <w:p w14:paraId="030D411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Hudson</w:t>
            </w:r>
          </w:p>
        </w:tc>
        <w:tc>
          <w:tcPr>
            <w:tcW w:w="960" w:type="dxa"/>
            <w:noWrap/>
          </w:tcPr>
          <w:p w14:paraId="2E86C62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177</w:t>
            </w:r>
          </w:p>
        </w:tc>
        <w:tc>
          <w:tcPr>
            <w:tcW w:w="960" w:type="dxa"/>
            <w:noWrap/>
          </w:tcPr>
          <w:p w14:paraId="036BB15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196</w:t>
            </w:r>
          </w:p>
        </w:tc>
        <w:tc>
          <w:tcPr>
            <w:tcW w:w="960" w:type="dxa"/>
            <w:noWrap/>
          </w:tcPr>
          <w:p w14:paraId="5580114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207</w:t>
            </w:r>
          </w:p>
        </w:tc>
        <w:tc>
          <w:tcPr>
            <w:tcW w:w="1395" w:type="dxa"/>
            <w:noWrap/>
          </w:tcPr>
          <w:p w14:paraId="2D24B2F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214</w:t>
            </w:r>
          </w:p>
        </w:tc>
      </w:tr>
      <w:tr w:rsidR="00507820" w14:paraId="65DB6640"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F106E54"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02190</w:t>
            </w:r>
          </w:p>
        </w:tc>
        <w:tc>
          <w:tcPr>
            <w:tcW w:w="2800" w:type="dxa"/>
            <w:noWrap/>
          </w:tcPr>
          <w:p w14:paraId="44656C3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South Weymouth</w:t>
            </w:r>
          </w:p>
        </w:tc>
        <w:tc>
          <w:tcPr>
            <w:tcW w:w="960" w:type="dxa"/>
            <w:noWrap/>
          </w:tcPr>
          <w:p w14:paraId="01F4B8A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170</w:t>
            </w:r>
          </w:p>
        </w:tc>
        <w:tc>
          <w:tcPr>
            <w:tcW w:w="960" w:type="dxa"/>
            <w:noWrap/>
          </w:tcPr>
          <w:p w14:paraId="245C5CC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190</w:t>
            </w:r>
          </w:p>
        </w:tc>
        <w:tc>
          <w:tcPr>
            <w:tcW w:w="960" w:type="dxa"/>
            <w:noWrap/>
          </w:tcPr>
          <w:p w14:paraId="0660C33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189</w:t>
            </w:r>
          </w:p>
        </w:tc>
        <w:tc>
          <w:tcPr>
            <w:tcW w:w="1395" w:type="dxa"/>
            <w:noWrap/>
          </w:tcPr>
          <w:p w14:paraId="492D31C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218</w:t>
            </w:r>
          </w:p>
        </w:tc>
      </w:tr>
      <w:tr w:rsidR="00507820" w14:paraId="7D2DAC5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CEE7F9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02122</w:t>
            </w:r>
          </w:p>
        </w:tc>
        <w:tc>
          <w:tcPr>
            <w:tcW w:w="2800" w:type="dxa"/>
            <w:noWrap/>
          </w:tcPr>
          <w:p w14:paraId="54A2861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Dorchester</w:t>
            </w:r>
          </w:p>
        </w:tc>
        <w:tc>
          <w:tcPr>
            <w:tcW w:w="960" w:type="dxa"/>
            <w:noWrap/>
          </w:tcPr>
          <w:p w14:paraId="7A00362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175</w:t>
            </w:r>
          </w:p>
        </w:tc>
        <w:tc>
          <w:tcPr>
            <w:tcW w:w="960" w:type="dxa"/>
            <w:noWrap/>
          </w:tcPr>
          <w:p w14:paraId="752AE07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158</w:t>
            </w:r>
          </w:p>
        </w:tc>
        <w:tc>
          <w:tcPr>
            <w:tcW w:w="960" w:type="dxa"/>
            <w:noWrap/>
          </w:tcPr>
          <w:p w14:paraId="08F2352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221</w:t>
            </w:r>
          </w:p>
        </w:tc>
        <w:tc>
          <w:tcPr>
            <w:tcW w:w="1395" w:type="dxa"/>
            <w:noWrap/>
          </w:tcPr>
          <w:p w14:paraId="4EED359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203</w:t>
            </w:r>
          </w:p>
        </w:tc>
      </w:tr>
      <w:tr w:rsidR="00507820" w14:paraId="43754AAE"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C3927D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02367</w:t>
            </w:r>
          </w:p>
        </w:tc>
        <w:tc>
          <w:tcPr>
            <w:tcW w:w="2800" w:type="dxa"/>
            <w:noWrap/>
          </w:tcPr>
          <w:p w14:paraId="17BA8A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Plympton</w:t>
            </w:r>
          </w:p>
        </w:tc>
        <w:tc>
          <w:tcPr>
            <w:tcW w:w="960" w:type="dxa"/>
            <w:noWrap/>
          </w:tcPr>
          <w:p w14:paraId="6A519C61"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172</w:t>
            </w:r>
          </w:p>
        </w:tc>
        <w:tc>
          <w:tcPr>
            <w:tcW w:w="960" w:type="dxa"/>
            <w:noWrap/>
          </w:tcPr>
          <w:p w14:paraId="57E91C4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187</w:t>
            </w:r>
          </w:p>
        </w:tc>
        <w:tc>
          <w:tcPr>
            <w:tcW w:w="960" w:type="dxa"/>
            <w:noWrap/>
          </w:tcPr>
          <w:p w14:paraId="24EE2D2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191</w:t>
            </w:r>
          </w:p>
        </w:tc>
        <w:tc>
          <w:tcPr>
            <w:tcW w:w="1395" w:type="dxa"/>
            <w:noWrap/>
          </w:tcPr>
          <w:p w14:paraId="6047F45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202</w:t>
            </w:r>
          </w:p>
        </w:tc>
      </w:tr>
      <w:tr w:rsidR="00507820" w14:paraId="737F1CF9"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5BEBAF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02648</w:t>
            </w:r>
          </w:p>
        </w:tc>
        <w:tc>
          <w:tcPr>
            <w:tcW w:w="2800" w:type="dxa"/>
            <w:noWrap/>
          </w:tcPr>
          <w:p w14:paraId="01179A0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Marstons Mills</w:t>
            </w:r>
          </w:p>
        </w:tc>
        <w:tc>
          <w:tcPr>
            <w:tcW w:w="960" w:type="dxa"/>
            <w:noWrap/>
          </w:tcPr>
          <w:p w14:paraId="017DDC6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163</w:t>
            </w:r>
          </w:p>
        </w:tc>
        <w:tc>
          <w:tcPr>
            <w:tcW w:w="960" w:type="dxa"/>
            <w:noWrap/>
          </w:tcPr>
          <w:p w14:paraId="547C788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173</w:t>
            </w:r>
          </w:p>
        </w:tc>
        <w:tc>
          <w:tcPr>
            <w:tcW w:w="960" w:type="dxa"/>
            <w:noWrap/>
          </w:tcPr>
          <w:p w14:paraId="462827E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192</w:t>
            </w:r>
          </w:p>
        </w:tc>
        <w:tc>
          <w:tcPr>
            <w:tcW w:w="1395" w:type="dxa"/>
            <w:noWrap/>
          </w:tcPr>
          <w:p w14:paraId="0D904A4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209</w:t>
            </w:r>
          </w:p>
        </w:tc>
      </w:tr>
      <w:tr w:rsidR="00507820" w14:paraId="54940EA7"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E8774B7"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02188</w:t>
            </w:r>
          </w:p>
        </w:tc>
        <w:tc>
          <w:tcPr>
            <w:tcW w:w="2800" w:type="dxa"/>
            <w:noWrap/>
          </w:tcPr>
          <w:p w14:paraId="5D957ED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Weymouth</w:t>
            </w:r>
          </w:p>
        </w:tc>
        <w:tc>
          <w:tcPr>
            <w:tcW w:w="960" w:type="dxa"/>
            <w:noWrap/>
          </w:tcPr>
          <w:p w14:paraId="4B303A1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170</w:t>
            </w:r>
          </w:p>
        </w:tc>
        <w:tc>
          <w:tcPr>
            <w:tcW w:w="960" w:type="dxa"/>
            <w:noWrap/>
          </w:tcPr>
          <w:p w14:paraId="1431C72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183</w:t>
            </w:r>
          </w:p>
        </w:tc>
        <w:tc>
          <w:tcPr>
            <w:tcW w:w="960" w:type="dxa"/>
            <w:noWrap/>
          </w:tcPr>
          <w:p w14:paraId="54B2A0A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202</w:t>
            </w:r>
          </w:p>
        </w:tc>
        <w:tc>
          <w:tcPr>
            <w:tcW w:w="1395" w:type="dxa"/>
            <w:noWrap/>
          </w:tcPr>
          <w:p w14:paraId="63C9ECF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182</w:t>
            </w:r>
          </w:p>
        </w:tc>
      </w:tr>
      <w:tr w:rsidR="00507820" w14:paraId="34FE7CF3"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F02F77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02631</w:t>
            </w:r>
          </w:p>
        </w:tc>
        <w:tc>
          <w:tcPr>
            <w:tcW w:w="2800" w:type="dxa"/>
            <w:noWrap/>
          </w:tcPr>
          <w:p w14:paraId="3FDD093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Brewster</w:t>
            </w:r>
          </w:p>
        </w:tc>
        <w:tc>
          <w:tcPr>
            <w:tcW w:w="960" w:type="dxa"/>
            <w:noWrap/>
          </w:tcPr>
          <w:p w14:paraId="1DB7738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192</w:t>
            </w:r>
          </w:p>
        </w:tc>
        <w:tc>
          <w:tcPr>
            <w:tcW w:w="960" w:type="dxa"/>
            <w:noWrap/>
          </w:tcPr>
          <w:p w14:paraId="21D7AEC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173</w:t>
            </w:r>
          </w:p>
        </w:tc>
        <w:tc>
          <w:tcPr>
            <w:tcW w:w="960" w:type="dxa"/>
            <w:noWrap/>
          </w:tcPr>
          <w:p w14:paraId="6A58CCA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167</w:t>
            </w:r>
          </w:p>
        </w:tc>
        <w:tc>
          <w:tcPr>
            <w:tcW w:w="1395" w:type="dxa"/>
            <w:noWrap/>
          </w:tcPr>
          <w:p w14:paraId="6BAF092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182</w:t>
            </w:r>
          </w:p>
        </w:tc>
      </w:tr>
      <w:tr w:rsidR="00507820" w14:paraId="077E3326"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20C4C3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02645</w:t>
            </w:r>
          </w:p>
        </w:tc>
        <w:tc>
          <w:tcPr>
            <w:tcW w:w="2800" w:type="dxa"/>
            <w:noWrap/>
          </w:tcPr>
          <w:p w14:paraId="4CD4E74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Harwich</w:t>
            </w:r>
          </w:p>
        </w:tc>
        <w:tc>
          <w:tcPr>
            <w:tcW w:w="960" w:type="dxa"/>
            <w:noWrap/>
          </w:tcPr>
          <w:p w14:paraId="1EBA181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173</w:t>
            </w:r>
          </w:p>
        </w:tc>
        <w:tc>
          <w:tcPr>
            <w:tcW w:w="960" w:type="dxa"/>
            <w:noWrap/>
          </w:tcPr>
          <w:p w14:paraId="643BF1A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179</w:t>
            </w:r>
          </w:p>
        </w:tc>
        <w:tc>
          <w:tcPr>
            <w:tcW w:w="960" w:type="dxa"/>
            <w:noWrap/>
          </w:tcPr>
          <w:p w14:paraId="6AB20A0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164</w:t>
            </w:r>
          </w:p>
        </w:tc>
        <w:tc>
          <w:tcPr>
            <w:tcW w:w="1395" w:type="dxa"/>
            <w:noWrap/>
          </w:tcPr>
          <w:p w14:paraId="4B3691A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193</w:t>
            </w:r>
          </w:p>
        </w:tc>
      </w:tr>
      <w:tr w:rsidR="00507820" w14:paraId="7C2445CE"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0F7CE1DE"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02339</w:t>
            </w:r>
          </w:p>
        </w:tc>
        <w:tc>
          <w:tcPr>
            <w:tcW w:w="2800" w:type="dxa"/>
            <w:noWrap/>
          </w:tcPr>
          <w:p w14:paraId="44F1C9C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Hanover</w:t>
            </w:r>
          </w:p>
        </w:tc>
        <w:tc>
          <w:tcPr>
            <w:tcW w:w="960" w:type="dxa"/>
            <w:noWrap/>
          </w:tcPr>
          <w:p w14:paraId="0AD7BA9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160</w:t>
            </w:r>
          </w:p>
        </w:tc>
        <w:tc>
          <w:tcPr>
            <w:tcW w:w="960" w:type="dxa"/>
            <w:noWrap/>
          </w:tcPr>
          <w:p w14:paraId="111E8CD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172</w:t>
            </w:r>
          </w:p>
        </w:tc>
        <w:tc>
          <w:tcPr>
            <w:tcW w:w="960" w:type="dxa"/>
            <w:noWrap/>
          </w:tcPr>
          <w:p w14:paraId="5C0D3D3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181</w:t>
            </w:r>
          </w:p>
        </w:tc>
        <w:tc>
          <w:tcPr>
            <w:tcW w:w="1395" w:type="dxa"/>
            <w:noWrap/>
          </w:tcPr>
          <w:p w14:paraId="02F13FA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169</w:t>
            </w:r>
          </w:p>
        </w:tc>
      </w:tr>
      <w:tr w:rsidR="00507820" w14:paraId="5B523A9F"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696E302"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02132</w:t>
            </w:r>
          </w:p>
        </w:tc>
        <w:tc>
          <w:tcPr>
            <w:tcW w:w="2800" w:type="dxa"/>
            <w:noWrap/>
          </w:tcPr>
          <w:p w14:paraId="358F6ED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West Roxbury</w:t>
            </w:r>
          </w:p>
        </w:tc>
        <w:tc>
          <w:tcPr>
            <w:tcW w:w="960" w:type="dxa"/>
            <w:noWrap/>
          </w:tcPr>
          <w:p w14:paraId="5A9AE60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131</w:t>
            </w:r>
          </w:p>
        </w:tc>
        <w:tc>
          <w:tcPr>
            <w:tcW w:w="960" w:type="dxa"/>
            <w:noWrap/>
          </w:tcPr>
          <w:p w14:paraId="037834F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164</w:t>
            </w:r>
          </w:p>
        </w:tc>
        <w:tc>
          <w:tcPr>
            <w:tcW w:w="960" w:type="dxa"/>
            <w:noWrap/>
          </w:tcPr>
          <w:p w14:paraId="359418E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192</w:t>
            </w:r>
          </w:p>
        </w:tc>
        <w:tc>
          <w:tcPr>
            <w:tcW w:w="1395" w:type="dxa"/>
            <w:noWrap/>
          </w:tcPr>
          <w:p w14:paraId="0D8C52D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187</w:t>
            </w:r>
          </w:p>
        </w:tc>
      </w:tr>
      <w:tr w:rsidR="00507820" w14:paraId="5DC976AF"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C9FDB05"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02019</w:t>
            </w:r>
          </w:p>
        </w:tc>
        <w:tc>
          <w:tcPr>
            <w:tcW w:w="2800" w:type="dxa"/>
            <w:noWrap/>
          </w:tcPr>
          <w:p w14:paraId="1BA2594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Bellingham</w:t>
            </w:r>
          </w:p>
        </w:tc>
        <w:tc>
          <w:tcPr>
            <w:tcW w:w="960" w:type="dxa"/>
            <w:noWrap/>
          </w:tcPr>
          <w:p w14:paraId="3E4812C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150</w:t>
            </w:r>
          </w:p>
        </w:tc>
        <w:tc>
          <w:tcPr>
            <w:tcW w:w="960" w:type="dxa"/>
            <w:noWrap/>
          </w:tcPr>
          <w:p w14:paraId="6E04F3D1"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157</w:t>
            </w:r>
          </w:p>
        </w:tc>
        <w:tc>
          <w:tcPr>
            <w:tcW w:w="960" w:type="dxa"/>
            <w:noWrap/>
          </w:tcPr>
          <w:p w14:paraId="4F0A9A7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172</w:t>
            </w:r>
          </w:p>
        </w:tc>
        <w:tc>
          <w:tcPr>
            <w:tcW w:w="1395" w:type="dxa"/>
            <w:noWrap/>
          </w:tcPr>
          <w:p w14:paraId="64D5166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193</w:t>
            </w:r>
          </w:p>
        </w:tc>
      </w:tr>
      <w:tr w:rsidR="00507820" w14:paraId="7532F824"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14DB0ECA"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02673</w:t>
            </w:r>
          </w:p>
        </w:tc>
        <w:tc>
          <w:tcPr>
            <w:tcW w:w="2800" w:type="dxa"/>
            <w:noWrap/>
          </w:tcPr>
          <w:p w14:paraId="32D30E7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West Yarmouth</w:t>
            </w:r>
          </w:p>
        </w:tc>
        <w:tc>
          <w:tcPr>
            <w:tcW w:w="960" w:type="dxa"/>
            <w:noWrap/>
          </w:tcPr>
          <w:p w14:paraId="65DF803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161</w:t>
            </w:r>
          </w:p>
        </w:tc>
        <w:tc>
          <w:tcPr>
            <w:tcW w:w="960" w:type="dxa"/>
            <w:noWrap/>
          </w:tcPr>
          <w:p w14:paraId="4A47922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164</w:t>
            </w:r>
          </w:p>
        </w:tc>
        <w:tc>
          <w:tcPr>
            <w:tcW w:w="960" w:type="dxa"/>
            <w:noWrap/>
          </w:tcPr>
          <w:p w14:paraId="36BED4E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156</w:t>
            </w:r>
          </w:p>
        </w:tc>
        <w:tc>
          <w:tcPr>
            <w:tcW w:w="1395" w:type="dxa"/>
            <w:noWrap/>
          </w:tcPr>
          <w:p w14:paraId="51F9BF76"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189</w:t>
            </w:r>
          </w:p>
        </w:tc>
      </w:tr>
      <w:tr w:rsidR="00507820" w14:paraId="31847F7D"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F667AF5"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01581</w:t>
            </w:r>
          </w:p>
        </w:tc>
        <w:tc>
          <w:tcPr>
            <w:tcW w:w="2800" w:type="dxa"/>
            <w:noWrap/>
          </w:tcPr>
          <w:p w14:paraId="5987E8D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Westborough</w:t>
            </w:r>
          </w:p>
        </w:tc>
        <w:tc>
          <w:tcPr>
            <w:tcW w:w="960" w:type="dxa"/>
            <w:noWrap/>
          </w:tcPr>
          <w:p w14:paraId="4DFC3FC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138</w:t>
            </w:r>
          </w:p>
        </w:tc>
        <w:tc>
          <w:tcPr>
            <w:tcW w:w="960" w:type="dxa"/>
            <w:noWrap/>
          </w:tcPr>
          <w:p w14:paraId="612837B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175</w:t>
            </w:r>
          </w:p>
        </w:tc>
        <w:tc>
          <w:tcPr>
            <w:tcW w:w="960" w:type="dxa"/>
            <w:noWrap/>
          </w:tcPr>
          <w:p w14:paraId="5EEE7A0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168</w:t>
            </w:r>
          </w:p>
        </w:tc>
        <w:tc>
          <w:tcPr>
            <w:tcW w:w="1395" w:type="dxa"/>
            <w:noWrap/>
          </w:tcPr>
          <w:p w14:paraId="7DCCB68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173</w:t>
            </w:r>
          </w:p>
        </w:tc>
      </w:tr>
      <w:tr w:rsidR="00507820" w14:paraId="0C600E10"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31BBBD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01776</w:t>
            </w:r>
          </w:p>
        </w:tc>
        <w:tc>
          <w:tcPr>
            <w:tcW w:w="2800" w:type="dxa"/>
            <w:noWrap/>
          </w:tcPr>
          <w:p w14:paraId="1A023AB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Sudbury</w:t>
            </w:r>
          </w:p>
        </w:tc>
        <w:tc>
          <w:tcPr>
            <w:tcW w:w="960" w:type="dxa"/>
            <w:noWrap/>
          </w:tcPr>
          <w:p w14:paraId="629351E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157</w:t>
            </w:r>
          </w:p>
        </w:tc>
        <w:tc>
          <w:tcPr>
            <w:tcW w:w="960" w:type="dxa"/>
            <w:noWrap/>
          </w:tcPr>
          <w:p w14:paraId="48B8DE9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160</w:t>
            </w:r>
          </w:p>
        </w:tc>
        <w:tc>
          <w:tcPr>
            <w:tcW w:w="960" w:type="dxa"/>
            <w:noWrap/>
          </w:tcPr>
          <w:p w14:paraId="773FDCA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174</w:t>
            </w:r>
          </w:p>
        </w:tc>
        <w:tc>
          <w:tcPr>
            <w:tcW w:w="1395" w:type="dxa"/>
            <w:noWrap/>
          </w:tcPr>
          <w:p w14:paraId="680113C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157</w:t>
            </w:r>
          </w:p>
        </w:tc>
      </w:tr>
      <w:tr w:rsidR="00507820" w14:paraId="74F68E0F"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C0836B4"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01778</w:t>
            </w:r>
          </w:p>
        </w:tc>
        <w:tc>
          <w:tcPr>
            <w:tcW w:w="2800" w:type="dxa"/>
            <w:noWrap/>
          </w:tcPr>
          <w:p w14:paraId="42278EC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Wayland</w:t>
            </w:r>
          </w:p>
        </w:tc>
        <w:tc>
          <w:tcPr>
            <w:tcW w:w="960" w:type="dxa"/>
            <w:noWrap/>
          </w:tcPr>
          <w:p w14:paraId="029C432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145</w:t>
            </w:r>
          </w:p>
        </w:tc>
        <w:tc>
          <w:tcPr>
            <w:tcW w:w="960" w:type="dxa"/>
            <w:noWrap/>
          </w:tcPr>
          <w:p w14:paraId="3FC8FC1F"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154</w:t>
            </w:r>
          </w:p>
        </w:tc>
        <w:tc>
          <w:tcPr>
            <w:tcW w:w="960" w:type="dxa"/>
            <w:noWrap/>
          </w:tcPr>
          <w:p w14:paraId="1C7CF9A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179</w:t>
            </w:r>
          </w:p>
        </w:tc>
        <w:tc>
          <w:tcPr>
            <w:tcW w:w="1395" w:type="dxa"/>
            <w:noWrap/>
          </w:tcPr>
          <w:p w14:paraId="01820B4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168</w:t>
            </w:r>
          </w:p>
        </w:tc>
      </w:tr>
      <w:tr w:rsidR="00507820" w14:paraId="15D98989"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31B4C04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02635</w:t>
            </w:r>
          </w:p>
        </w:tc>
        <w:tc>
          <w:tcPr>
            <w:tcW w:w="2800" w:type="dxa"/>
            <w:noWrap/>
          </w:tcPr>
          <w:p w14:paraId="7E4209B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Cotuit</w:t>
            </w:r>
          </w:p>
        </w:tc>
        <w:tc>
          <w:tcPr>
            <w:tcW w:w="960" w:type="dxa"/>
            <w:noWrap/>
          </w:tcPr>
          <w:p w14:paraId="467C613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173</w:t>
            </w:r>
          </w:p>
        </w:tc>
        <w:tc>
          <w:tcPr>
            <w:tcW w:w="960" w:type="dxa"/>
            <w:noWrap/>
          </w:tcPr>
          <w:p w14:paraId="2CAB496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144</w:t>
            </w:r>
          </w:p>
        </w:tc>
        <w:tc>
          <w:tcPr>
            <w:tcW w:w="960" w:type="dxa"/>
            <w:noWrap/>
          </w:tcPr>
          <w:p w14:paraId="422B27D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149</w:t>
            </w:r>
          </w:p>
        </w:tc>
        <w:tc>
          <w:tcPr>
            <w:tcW w:w="1395" w:type="dxa"/>
            <w:noWrap/>
          </w:tcPr>
          <w:p w14:paraId="0CA44AE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162</w:t>
            </w:r>
          </w:p>
        </w:tc>
      </w:tr>
      <w:tr w:rsidR="00507820" w14:paraId="26623F05"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57E008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02126</w:t>
            </w:r>
          </w:p>
        </w:tc>
        <w:tc>
          <w:tcPr>
            <w:tcW w:w="2800" w:type="dxa"/>
            <w:noWrap/>
          </w:tcPr>
          <w:p w14:paraId="5DE7C20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Mattapan</w:t>
            </w:r>
          </w:p>
        </w:tc>
        <w:tc>
          <w:tcPr>
            <w:tcW w:w="960" w:type="dxa"/>
            <w:noWrap/>
          </w:tcPr>
          <w:p w14:paraId="1F0BE8E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142</w:t>
            </w:r>
          </w:p>
        </w:tc>
        <w:tc>
          <w:tcPr>
            <w:tcW w:w="960" w:type="dxa"/>
            <w:noWrap/>
          </w:tcPr>
          <w:p w14:paraId="26F2B5A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157</w:t>
            </w:r>
          </w:p>
        </w:tc>
        <w:tc>
          <w:tcPr>
            <w:tcW w:w="960" w:type="dxa"/>
            <w:noWrap/>
          </w:tcPr>
          <w:p w14:paraId="482F389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145</w:t>
            </w:r>
          </w:p>
        </w:tc>
        <w:tc>
          <w:tcPr>
            <w:tcW w:w="1395" w:type="dxa"/>
            <w:noWrap/>
          </w:tcPr>
          <w:p w14:paraId="569B7EF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170</w:t>
            </w:r>
          </w:p>
        </w:tc>
      </w:tr>
      <w:tr w:rsidR="00507820" w14:paraId="1F552794"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2185745"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02043</w:t>
            </w:r>
          </w:p>
        </w:tc>
        <w:tc>
          <w:tcPr>
            <w:tcW w:w="2800" w:type="dxa"/>
            <w:noWrap/>
          </w:tcPr>
          <w:p w14:paraId="1AD8AB3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Hingham</w:t>
            </w:r>
          </w:p>
        </w:tc>
        <w:tc>
          <w:tcPr>
            <w:tcW w:w="960" w:type="dxa"/>
            <w:noWrap/>
          </w:tcPr>
          <w:p w14:paraId="052E0D58"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145</w:t>
            </w:r>
          </w:p>
        </w:tc>
        <w:tc>
          <w:tcPr>
            <w:tcW w:w="960" w:type="dxa"/>
            <w:noWrap/>
          </w:tcPr>
          <w:p w14:paraId="52C295B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143</w:t>
            </w:r>
          </w:p>
        </w:tc>
        <w:tc>
          <w:tcPr>
            <w:tcW w:w="960" w:type="dxa"/>
            <w:noWrap/>
          </w:tcPr>
          <w:p w14:paraId="0DF5DEBB"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160</w:t>
            </w:r>
          </w:p>
        </w:tc>
        <w:tc>
          <w:tcPr>
            <w:tcW w:w="1395" w:type="dxa"/>
            <w:noWrap/>
          </w:tcPr>
          <w:p w14:paraId="2C6E523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160</w:t>
            </w:r>
          </w:p>
        </w:tc>
      </w:tr>
      <w:tr w:rsidR="00507820" w14:paraId="2298610B"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0DC2E90"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02066</w:t>
            </w:r>
          </w:p>
        </w:tc>
        <w:tc>
          <w:tcPr>
            <w:tcW w:w="2800" w:type="dxa"/>
            <w:noWrap/>
          </w:tcPr>
          <w:p w14:paraId="39F2FCF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Scituate</w:t>
            </w:r>
          </w:p>
        </w:tc>
        <w:tc>
          <w:tcPr>
            <w:tcW w:w="960" w:type="dxa"/>
            <w:noWrap/>
          </w:tcPr>
          <w:p w14:paraId="39DF617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145</w:t>
            </w:r>
          </w:p>
        </w:tc>
        <w:tc>
          <w:tcPr>
            <w:tcW w:w="960" w:type="dxa"/>
            <w:noWrap/>
          </w:tcPr>
          <w:p w14:paraId="49AB65A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150</w:t>
            </w:r>
          </w:p>
        </w:tc>
        <w:tc>
          <w:tcPr>
            <w:tcW w:w="960" w:type="dxa"/>
            <w:noWrap/>
          </w:tcPr>
          <w:p w14:paraId="4F688E5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148</w:t>
            </w:r>
          </w:p>
        </w:tc>
        <w:tc>
          <w:tcPr>
            <w:tcW w:w="1395" w:type="dxa"/>
            <w:noWrap/>
          </w:tcPr>
          <w:p w14:paraId="7928858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161</w:t>
            </w:r>
          </w:p>
        </w:tc>
      </w:tr>
      <w:tr w:rsidR="00507820" w14:paraId="5C241D36"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ACFAF59"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02644</w:t>
            </w:r>
          </w:p>
        </w:tc>
        <w:tc>
          <w:tcPr>
            <w:tcW w:w="2800" w:type="dxa"/>
            <w:noWrap/>
          </w:tcPr>
          <w:p w14:paraId="1C86C6B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Forestdale</w:t>
            </w:r>
          </w:p>
        </w:tc>
        <w:tc>
          <w:tcPr>
            <w:tcW w:w="960" w:type="dxa"/>
            <w:noWrap/>
          </w:tcPr>
          <w:p w14:paraId="79815A9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139</w:t>
            </w:r>
          </w:p>
        </w:tc>
        <w:tc>
          <w:tcPr>
            <w:tcW w:w="960" w:type="dxa"/>
            <w:noWrap/>
          </w:tcPr>
          <w:p w14:paraId="727CB747"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140</w:t>
            </w:r>
          </w:p>
        </w:tc>
        <w:tc>
          <w:tcPr>
            <w:tcW w:w="960" w:type="dxa"/>
            <w:noWrap/>
          </w:tcPr>
          <w:p w14:paraId="359024FE"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152</w:t>
            </w:r>
          </w:p>
        </w:tc>
        <w:tc>
          <w:tcPr>
            <w:tcW w:w="1395" w:type="dxa"/>
            <w:noWrap/>
          </w:tcPr>
          <w:p w14:paraId="75E7E40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157</w:t>
            </w:r>
          </w:p>
        </w:tc>
      </w:tr>
      <w:tr w:rsidR="00507820" w14:paraId="1391DA11"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708188D7"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02660</w:t>
            </w:r>
          </w:p>
        </w:tc>
        <w:tc>
          <w:tcPr>
            <w:tcW w:w="2800" w:type="dxa"/>
            <w:noWrap/>
          </w:tcPr>
          <w:p w14:paraId="346B935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South Dennis</w:t>
            </w:r>
          </w:p>
        </w:tc>
        <w:tc>
          <w:tcPr>
            <w:tcW w:w="960" w:type="dxa"/>
            <w:noWrap/>
          </w:tcPr>
          <w:p w14:paraId="1E007EE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122</w:t>
            </w:r>
          </w:p>
        </w:tc>
        <w:tc>
          <w:tcPr>
            <w:tcW w:w="960" w:type="dxa"/>
            <w:noWrap/>
          </w:tcPr>
          <w:p w14:paraId="1410EE90"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144</w:t>
            </w:r>
          </w:p>
        </w:tc>
        <w:tc>
          <w:tcPr>
            <w:tcW w:w="960" w:type="dxa"/>
            <w:noWrap/>
          </w:tcPr>
          <w:p w14:paraId="689CB5D8"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145</w:t>
            </w:r>
          </w:p>
        </w:tc>
        <w:tc>
          <w:tcPr>
            <w:tcW w:w="1395" w:type="dxa"/>
            <w:noWrap/>
          </w:tcPr>
          <w:p w14:paraId="5EF90DC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151</w:t>
            </w:r>
          </w:p>
        </w:tc>
      </w:tr>
      <w:tr w:rsidR="00507820" w14:paraId="738245FD"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D678B0D"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02675</w:t>
            </w:r>
          </w:p>
        </w:tc>
        <w:tc>
          <w:tcPr>
            <w:tcW w:w="2800" w:type="dxa"/>
            <w:noWrap/>
          </w:tcPr>
          <w:p w14:paraId="684E597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Yarmouth Port</w:t>
            </w:r>
          </w:p>
        </w:tc>
        <w:tc>
          <w:tcPr>
            <w:tcW w:w="960" w:type="dxa"/>
            <w:noWrap/>
          </w:tcPr>
          <w:p w14:paraId="20CC4CEF"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136</w:t>
            </w:r>
          </w:p>
        </w:tc>
        <w:tc>
          <w:tcPr>
            <w:tcW w:w="960" w:type="dxa"/>
            <w:noWrap/>
          </w:tcPr>
          <w:p w14:paraId="58B0209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156</w:t>
            </w:r>
          </w:p>
        </w:tc>
        <w:tc>
          <w:tcPr>
            <w:tcW w:w="960" w:type="dxa"/>
            <w:noWrap/>
          </w:tcPr>
          <w:p w14:paraId="77DF7B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130</w:t>
            </w:r>
          </w:p>
        </w:tc>
        <w:tc>
          <w:tcPr>
            <w:tcW w:w="1395" w:type="dxa"/>
            <w:noWrap/>
          </w:tcPr>
          <w:p w14:paraId="538369E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134</w:t>
            </w:r>
          </w:p>
        </w:tc>
      </w:tr>
      <w:tr w:rsidR="00507820" w14:paraId="0F912AAB"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7C3E5E8"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02052</w:t>
            </w:r>
          </w:p>
        </w:tc>
        <w:tc>
          <w:tcPr>
            <w:tcW w:w="2800" w:type="dxa"/>
            <w:noWrap/>
          </w:tcPr>
          <w:p w14:paraId="6157DDCE"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Medfield</w:t>
            </w:r>
          </w:p>
        </w:tc>
        <w:tc>
          <w:tcPr>
            <w:tcW w:w="960" w:type="dxa"/>
            <w:noWrap/>
          </w:tcPr>
          <w:p w14:paraId="02E5109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112</w:t>
            </w:r>
          </w:p>
        </w:tc>
        <w:tc>
          <w:tcPr>
            <w:tcW w:w="960" w:type="dxa"/>
            <w:noWrap/>
          </w:tcPr>
          <w:p w14:paraId="28BA21C9"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124</w:t>
            </w:r>
          </w:p>
        </w:tc>
        <w:tc>
          <w:tcPr>
            <w:tcW w:w="960" w:type="dxa"/>
            <w:noWrap/>
          </w:tcPr>
          <w:p w14:paraId="07AEE6F4"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154</w:t>
            </w:r>
          </w:p>
        </w:tc>
        <w:tc>
          <w:tcPr>
            <w:tcW w:w="1395" w:type="dxa"/>
            <w:noWrap/>
          </w:tcPr>
          <w:p w14:paraId="5BDEDB5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152</w:t>
            </w:r>
          </w:p>
        </w:tc>
      </w:tr>
      <w:tr w:rsidR="00507820" w14:paraId="1986A26D"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F1E8CF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01532</w:t>
            </w:r>
          </w:p>
        </w:tc>
        <w:tc>
          <w:tcPr>
            <w:tcW w:w="2800" w:type="dxa"/>
            <w:noWrap/>
          </w:tcPr>
          <w:p w14:paraId="62134F2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Northborough</w:t>
            </w:r>
          </w:p>
        </w:tc>
        <w:tc>
          <w:tcPr>
            <w:tcW w:w="960" w:type="dxa"/>
            <w:noWrap/>
          </w:tcPr>
          <w:p w14:paraId="19CF659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131</w:t>
            </w:r>
          </w:p>
        </w:tc>
        <w:tc>
          <w:tcPr>
            <w:tcW w:w="960" w:type="dxa"/>
            <w:noWrap/>
          </w:tcPr>
          <w:p w14:paraId="4478A84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134</w:t>
            </w:r>
          </w:p>
        </w:tc>
        <w:tc>
          <w:tcPr>
            <w:tcW w:w="960" w:type="dxa"/>
            <w:noWrap/>
          </w:tcPr>
          <w:p w14:paraId="63DC402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138</w:t>
            </w:r>
          </w:p>
        </w:tc>
        <w:tc>
          <w:tcPr>
            <w:tcW w:w="1395" w:type="dxa"/>
            <w:noWrap/>
          </w:tcPr>
          <w:p w14:paraId="1396C16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135</w:t>
            </w:r>
          </w:p>
        </w:tc>
      </w:tr>
      <w:tr w:rsidR="00507820" w14:paraId="10B337F2"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5D11FBCC"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02189</w:t>
            </w:r>
          </w:p>
        </w:tc>
        <w:tc>
          <w:tcPr>
            <w:tcW w:w="2800" w:type="dxa"/>
            <w:noWrap/>
          </w:tcPr>
          <w:p w14:paraId="15F5B6E6"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East Weymouth</w:t>
            </w:r>
          </w:p>
        </w:tc>
        <w:tc>
          <w:tcPr>
            <w:tcW w:w="960" w:type="dxa"/>
            <w:noWrap/>
          </w:tcPr>
          <w:p w14:paraId="0E765DB7"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133</w:t>
            </w:r>
          </w:p>
        </w:tc>
        <w:tc>
          <w:tcPr>
            <w:tcW w:w="960" w:type="dxa"/>
            <w:noWrap/>
          </w:tcPr>
          <w:p w14:paraId="6DF5E5E2"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112</w:t>
            </w:r>
          </w:p>
        </w:tc>
        <w:tc>
          <w:tcPr>
            <w:tcW w:w="960" w:type="dxa"/>
            <w:noWrap/>
          </w:tcPr>
          <w:p w14:paraId="0D80F5FB"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147</w:t>
            </w:r>
          </w:p>
        </w:tc>
        <w:tc>
          <w:tcPr>
            <w:tcW w:w="1395" w:type="dxa"/>
            <w:noWrap/>
          </w:tcPr>
          <w:p w14:paraId="276960CC"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139</w:t>
            </w:r>
          </w:p>
        </w:tc>
      </w:tr>
      <w:tr w:rsidR="00507820" w14:paraId="283C0ADF"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4675FD7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02131</w:t>
            </w:r>
          </w:p>
        </w:tc>
        <w:tc>
          <w:tcPr>
            <w:tcW w:w="2800" w:type="dxa"/>
            <w:noWrap/>
          </w:tcPr>
          <w:p w14:paraId="378A24D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Roslindale</w:t>
            </w:r>
          </w:p>
        </w:tc>
        <w:tc>
          <w:tcPr>
            <w:tcW w:w="960" w:type="dxa"/>
            <w:noWrap/>
          </w:tcPr>
          <w:p w14:paraId="49B4E935"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105</w:t>
            </w:r>
          </w:p>
        </w:tc>
        <w:tc>
          <w:tcPr>
            <w:tcW w:w="960" w:type="dxa"/>
            <w:noWrap/>
          </w:tcPr>
          <w:p w14:paraId="3C637590"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128</w:t>
            </w:r>
          </w:p>
        </w:tc>
        <w:tc>
          <w:tcPr>
            <w:tcW w:w="960" w:type="dxa"/>
            <w:noWrap/>
          </w:tcPr>
          <w:p w14:paraId="4EA1F0F3"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144</w:t>
            </w:r>
          </w:p>
        </w:tc>
        <w:tc>
          <w:tcPr>
            <w:tcW w:w="1395" w:type="dxa"/>
            <w:noWrap/>
          </w:tcPr>
          <w:p w14:paraId="35A579BD"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135</w:t>
            </w:r>
          </w:p>
        </w:tc>
      </w:tr>
      <w:tr w:rsidR="00507820" w14:paraId="68B76E20" w14:textId="77777777" w:rsidTr="001054DB">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2279E43B"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02032</w:t>
            </w:r>
          </w:p>
        </w:tc>
        <w:tc>
          <w:tcPr>
            <w:tcW w:w="2800" w:type="dxa"/>
            <w:noWrap/>
          </w:tcPr>
          <w:p w14:paraId="39356F65"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East Walpole</w:t>
            </w:r>
          </w:p>
        </w:tc>
        <w:tc>
          <w:tcPr>
            <w:tcW w:w="960" w:type="dxa"/>
            <w:noWrap/>
          </w:tcPr>
          <w:p w14:paraId="51FF45DD"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103</w:t>
            </w:r>
          </w:p>
        </w:tc>
        <w:tc>
          <w:tcPr>
            <w:tcW w:w="960" w:type="dxa"/>
            <w:noWrap/>
          </w:tcPr>
          <w:p w14:paraId="492816C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109</w:t>
            </w:r>
          </w:p>
        </w:tc>
        <w:tc>
          <w:tcPr>
            <w:tcW w:w="960" w:type="dxa"/>
            <w:noWrap/>
          </w:tcPr>
          <w:p w14:paraId="21FE0AC3"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128</w:t>
            </w:r>
          </w:p>
        </w:tc>
        <w:tc>
          <w:tcPr>
            <w:tcW w:w="1395" w:type="dxa"/>
            <w:noWrap/>
          </w:tcPr>
          <w:p w14:paraId="29EF9F1A" w14:textId="77777777" w:rsidR="00BA015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136</w:t>
            </w:r>
          </w:p>
        </w:tc>
      </w:tr>
      <w:tr w:rsidR="00507820" w14:paraId="0839B015" w14:textId="77777777" w:rsidTr="001054DB">
        <w:trPr>
          <w:cantSplit/>
          <w:trHeight w:val="290"/>
        </w:trPr>
        <w:tc>
          <w:tcPr>
            <w:cnfStyle w:val="001000000000" w:firstRow="0" w:lastRow="0" w:firstColumn="1" w:lastColumn="0" w:oddVBand="0" w:evenVBand="0" w:oddHBand="0" w:evenHBand="0" w:firstRowFirstColumn="0" w:firstRowLastColumn="0" w:lastRowFirstColumn="0" w:lastRowLastColumn="0"/>
            <w:tcW w:w="2820" w:type="dxa"/>
            <w:noWrap/>
          </w:tcPr>
          <w:p w14:paraId="6008BEFA" w14:textId="77777777" w:rsidR="00BA0158" w:rsidRPr="00C11123" w:rsidRDefault="00000000" w:rsidP="00CC6024">
            <w:pPr>
              <w:jc w:val="center"/>
              <w:rPr>
                <w:rFonts w:eastAsia="Times New Roman" w:cs="Arial"/>
                <w:b w:val="0"/>
                <w:bCs w:val="0"/>
                <w:color w:val="215E99" w:themeColor="text2" w:themeTint="BF"/>
                <w:kern w:val="0"/>
                <w:sz w:val="22"/>
                <w:szCs w:val="22"/>
                <w14:ligatures w14:val="none"/>
              </w:rPr>
            </w:pPr>
            <w:r w:rsidRPr="00C11123">
              <w:rPr>
                <w:rFonts w:cs="Arial"/>
                <w:color w:val="000000"/>
                <w:sz w:val="22"/>
                <w:szCs w:val="22"/>
              </w:rPr>
              <w:t>02576</w:t>
            </w:r>
          </w:p>
        </w:tc>
        <w:tc>
          <w:tcPr>
            <w:tcW w:w="2800" w:type="dxa"/>
            <w:noWrap/>
          </w:tcPr>
          <w:p w14:paraId="4A93789A"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cs="Arial"/>
                <w:sz w:val="22"/>
                <w:szCs w:val="22"/>
              </w:rPr>
              <w:t>West Wareham</w:t>
            </w:r>
          </w:p>
        </w:tc>
        <w:tc>
          <w:tcPr>
            <w:tcW w:w="960" w:type="dxa"/>
            <w:noWrap/>
          </w:tcPr>
          <w:p w14:paraId="1686887C"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109</w:t>
            </w:r>
          </w:p>
        </w:tc>
        <w:tc>
          <w:tcPr>
            <w:tcW w:w="960" w:type="dxa"/>
            <w:noWrap/>
          </w:tcPr>
          <w:p w14:paraId="422EBD09"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119</w:t>
            </w:r>
          </w:p>
        </w:tc>
        <w:tc>
          <w:tcPr>
            <w:tcW w:w="960" w:type="dxa"/>
            <w:noWrap/>
          </w:tcPr>
          <w:p w14:paraId="1616E0C2"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14:ligatures w14:val="none"/>
              </w:rPr>
            </w:pPr>
            <w:r w:rsidRPr="00C11123">
              <w:rPr>
                <w:rFonts w:cs="Arial"/>
                <w:color w:val="000000"/>
                <w:sz w:val="22"/>
                <w:szCs w:val="22"/>
              </w:rPr>
              <w:t>127</w:t>
            </w:r>
          </w:p>
        </w:tc>
        <w:tc>
          <w:tcPr>
            <w:tcW w:w="1395" w:type="dxa"/>
            <w:noWrap/>
          </w:tcPr>
          <w:p w14:paraId="06B927D4" w14:textId="77777777" w:rsidR="00BA015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15E99" w:themeColor="text2" w:themeTint="BF"/>
                <w:kern w:val="0"/>
                <w:sz w:val="22"/>
                <w:szCs w:val="22"/>
                <w:highlight w:val="yellow"/>
                <w14:ligatures w14:val="none"/>
              </w:rPr>
            </w:pPr>
            <w:r w:rsidRPr="00C11123">
              <w:rPr>
                <w:rFonts w:cs="Arial"/>
                <w:color w:val="000000"/>
                <w:sz w:val="22"/>
                <w:szCs w:val="22"/>
              </w:rPr>
              <w:t>121</w:t>
            </w:r>
          </w:p>
        </w:tc>
      </w:tr>
    </w:tbl>
    <w:p w14:paraId="16F8AF99" w14:textId="77777777" w:rsidR="0016271B" w:rsidRPr="00C11123" w:rsidRDefault="0016271B" w:rsidP="00CC6024">
      <w:pPr>
        <w:spacing w:after="0" w:line="240" w:lineRule="auto"/>
        <w:jc w:val="both"/>
        <w:rPr>
          <w:rFonts w:cs="Arial"/>
          <w:sz w:val="22"/>
          <w:szCs w:val="22"/>
        </w:rPr>
      </w:pPr>
    </w:p>
    <w:p w14:paraId="63D12283" w14:textId="2897DAFC" w:rsidR="0016271B" w:rsidRPr="00C11123" w:rsidRDefault="00000000" w:rsidP="00CD18F3">
      <w:pPr>
        <w:pStyle w:val="Heading3"/>
      </w:pPr>
      <w:r w:rsidRPr="00C11123">
        <w:t xml:space="preserve">C. </w:t>
      </w:r>
      <w:r w:rsidRPr="00CD18F3">
        <w:rPr>
          <w:u w:val="single"/>
        </w:rPr>
        <w:t>Patient Panel by Gender</w:t>
      </w:r>
    </w:p>
    <w:p w14:paraId="417D0556" w14:textId="77777777" w:rsidR="0016271B" w:rsidRPr="00C11123" w:rsidRDefault="0016271B" w:rsidP="00CC6024">
      <w:pPr>
        <w:spacing w:after="0" w:line="240" w:lineRule="auto"/>
        <w:jc w:val="both"/>
        <w:rPr>
          <w:rFonts w:cs="Arial"/>
          <w:sz w:val="22"/>
          <w:szCs w:val="22"/>
        </w:rPr>
      </w:pPr>
    </w:p>
    <w:p w14:paraId="1ACC22AF" w14:textId="3EBE04AC" w:rsidR="002C28E1" w:rsidRPr="00C11123" w:rsidRDefault="00000000" w:rsidP="00CC6024">
      <w:pPr>
        <w:spacing w:after="0" w:line="240" w:lineRule="auto"/>
        <w:jc w:val="both"/>
        <w:rPr>
          <w:rFonts w:cs="Arial"/>
          <w:sz w:val="22"/>
          <w:szCs w:val="22"/>
        </w:rPr>
      </w:pPr>
      <w:r w:rsidRPr="00C11123">
        <w:rPr>
          <w:rFonts w:cs="Arial"/>
          <w:sz w:val="22"/>
          <w:szCs w:val="22"/>
        </w:rPr>
        <w:t xml:space="preserve">By 2025, males were over 75% of the Patient Panel. </w:t>
      </w:r>
      <w:r w:rsidR="00A005B4" w:rsidRPr="00C11123">
        <w:rPr>
          <w:rFonts w:cs="Arial"/>
          <w:sz w:val="22"/>
          <w:szCs w:val="22"/>
        </w:rPr>
        <w:t xml:space="preserve">The Applicant provides a </w:t>
      </w:r>
      <w:r w:rsidR="007B61D3" w:rsidRPr="00C11123">
        <w:rPr>
          <w:rFonts w:cs="Arial"/>
          <w:sz w:val="22"/>
          <w:szCs w:val="22"/>
        </w:rPr>
        <w:t>breakdown by gender</w:t>
      </w:r>
      <w:r w:rsidR="008E5D35" w:rsidRPr="00C11123">
        <w:rPr>
          <w:rFonts w:cs="Arial"/>
          <w:sz w:val="22"/>
          <w:szCs w:val="22"/>
        </w:rPr>
        <w:t xml:space="preserve"> and by gender and practice site</w:t>
      </w:r>
      <w:r w:rsidR="007B61D3" w:rsidRPr="00C11123">
        <w:rPr>
          <w:rFonts w:cs="Arial"/>
          <w:sz w:val="22"/>
          <w:szCs w:val="22"/>
        </w:rPr>
        <w:t xml:space="preserve"> </w:t>
      </w:r>
      <w:r w:rsidR="00A005B4" w:rsidRPr="00C11123">
        <w:rPr>
          <w:rFonts w:cs="Arial"/>
          <w:sz w:val="22"/>
          <w:szCs w:val="22"/>
        </w:rPr>
        <w:t>in Table</w:t>
      </w:r>
      <w:r w:rsidR="00147533" w:rsidRPr="00C11123">
        <w:rPr>
          <w:rFonts w:cs="Arial"/>
          <w:sz w:val="22"/>
          <w:szCs w:val="22"/>
        </w:rPr>
        <w:t>s</w:t>
      </w:r>
      <w:r w:rsidR="00484059" w:rsidRPr="00C11123">
        <w:rPr>
          <w:rFonts w:cs="Arial"/>
          <w:sz w:val="22"/>
          <w:szCs w:val="22"/>
        </w:rPr>
        <w:t xml:space="preserve"> </w:t>
      </w:r>
      <w:r w:rsidR="00A55D07" w:rsidRPr="00C11123">
        <w:rPr>
          <w:rFonts w:cs="Arial"/>
          <w:sz w:val="22"/>
          <w:szCs w:val="22"/>
        </w:rPr>
        <w:t>4</w:t>
      </w:r>
      <w:r w:rsidR="00147533" w:rsidRPr="00C11123">
        <w:rPr>
          <w:rFonts w:cs="Arial"/>
          <w:sz w:val="22"/>
          <w:szCs w:val="22"/>
        </w:rPr>
        <w:t xml:space="preserve"> and </w:t>
      </w:r>
      <w:r w:rsidR="00A55D07" w:rsidRPr="00C11123">
        <w:rPr>
          <w:rFonts w:cs="Arial"/>
          <w:sz w:val="22"/>
          <w:szCs w:val="22"/>
        </w:rPr>
        <w:t>5</w:t>
      </w:r>
      <w:r w:rsidR="00484059" w:rsidRPr="00C11123">
        <w:rPr>
          <w:rFonts w:cs="Arial"/>
          <w:sz w:val="22"/>
          <w:szCs w:val="22"/>
        </w:rPr>
        <w:t>.</w:t>
      </w:r>
    </w:p>
    <w:p w14:paraId="4C2FA994" w14:textId="77777777" w:rsidR="007B61D3" w:rsidRPr="00C11123" w:rsidRDefault="007B61D3" w:rsidP="00CC6024">
      <w:pPr>
        <w:spacing w:after="0" w:line="240" w:lineRule="auto"/>
        <w:ind w:left="1440"/>
        <w:jc w:val="both"/>
        <w:rPr>
          <w:rFonts w:cs="Arial"/>
          <w:sz w:val="22"/>
          <w:szCs w:val="22"/>
        </w:rPr>
      </w:pPr>
    </w:p>
    <w:p w14:paraId="5E03479D" w14:textId="45607282" w:rsidR="007B61D3" w:rsidRPr="00C11123" w:rsidRDefault="00000000" w:rsidP="00D70747">
      <w:pPr>
        <w:spacing w:after="0" w:line="240" w:lineRule="auto"/>
        <w:rPr>
          <w:rFonts w:cs="Arial"/>
          <w:b/>
          <w:bCs/>
          <w:sz w:val="22"/>
          <w:szCs w:val="22"/>
        </w:rPr>
      </w:pPr>
      <w:r w:rsidRPr="00C11123">
        <w:rPr>
          <w:rFonts w:cs="Arial"/>
          <w:b/>
          <w:bCs/>
          <w:sz w:val="22"/>
          <w:szCs w:val="22"/>
        </w:rPr>
        <w:t>T</w:t>
      </w:r>
      <w:r w:rsidR="00484059" w:rsidRPr="00C11123">
        <w:rPr>
          <w:rFonts w:cs="Arial"/>
          <w:b/>
          <w:bCs/>
          <w:sz w:val="22"/>
          <w:szCs w:val="22"/>
        </w:rPr>
        <w:t xml:space="preserve">able </w:t>
      </w:r>
      <w:r w:rsidR="00A55D07" w:rsidRPr="00C11123">
        <w:rPr>
          <w:rFonts w:cs="Arial"/>
          <w:b/>
          <w:bCs/>
          <w:sz w:val="22"/>
          <w:szCs w:val="22"/>
        </w:rPr>
        <w:t>4</w:t>
      </w:r>
      <w:r w:rsidR="009C1B5B" w:rsidRPr="00C11123">
        <w:rPr>
          <w:rFonts w:cs="Arial"/>
          <w:b/>
          <w:bCs/>
          <w:sz w:val="22"/>
          <w:szCs w:val="22"/>
        </w:rPr>
        <w:t xml:space="preserve"> </w:t>
      </w:r>
      <w:r w:rsidR="00484059" w:rsidRPr="00C11123">
        <w:rPr>
          <w:rFonts w:cs="Arial"/>
          <w:b/>
          <w:bCs/>
          <w:sz w:val="22"/>
          <w:szCs w:val="22"/>
        </w:rPr>
        <w:t>– Patient Panel: Gender</w:t>
      </w:r>
    </w:p>
    <w:tbl>
      <w:tblPr>
        <w:tblStyle w:val="GridTable4"/>
        <w:tblW w:w="9715" w:type="dxa"/>
        <w:tblLayout w:type="fixed"/>
        <w:tblLook w:val="04A0" w:firstRow="1" w:lastRow="0" w:firstColumn="1" w:lastColumn="0" w:noHBand="0" w:noVBand="1"/>
        <w:tblCaption w:val="Patient Panel: Gender"/>
      </w:tblPr>
      <w:tblGrid>
        <w:gridCol w:w="1619"/>
        <w:gridCol w:w="1619"/>
        <w:gridCol w:w="1619"/>
        <w:gridCol w:w="1619"/>
        <w:gridCol w:w="1619"/>
        <w:gridCol w:w="1620"/>
      </w:tblGrid>
      <w:tr w:rsidR="00507820" w14:paraId="24FE349C" w14:textId="7D63718D" w:rsidTr="000561FA">
        <w:trPr>
          <w:cnfStyle w:val="100000000000" w:firstRow="1" w:lastRow="0" w:firstColumn="0" w:lastColumn="0" w:oddVBand="0" w:evenVBand="0" w:oddHBand="0" w:evenHBand="0" w:firstRowFirstColumn="0" w:firstRowLastColumn="0" w:lastRowFirstColumn="0" w:lastRowLastColumn="0"/>
          <w:cantSplit/>
          <w:trHeight w:val="926"/>
          <w:tblHeader/>
        </w:trPr>
        <w:tc>
          <w:tcPr>
            <w:cnfStyle w:val="001000000000" w:firstRow="0" w:lastRow="0" w:firstColumn="1" w:lastColumn="0" w:oddVBand="0" w:evenVBand="0" w:oddHBand="0" w:evenHBand="0" w:firstRowFirstColumn="0" w:firstRowLastColumn="0" w:lastRowFirstColumn="0" w:lastRowLastColumn="0"/>
            <w:tcW w:w="1619" w:type="dxa"/>
          </w:tcPr>
          <w:p w14:paraId="3EDF3025" w14:textId="1B3ED739" w:rsidR="00255B18" w:rsidRPr="00C11123" w:rsidRDefault="00F5455F" w:rsidP="00CC6024">
            <w:pPr>
              <w:rPr>
                <w:rFonts w:cs="Arial"/>
                <w:sz w:val="22"/>
                <w:szCs w:val="22"/>
              </w:rPr>
            </w:pPr>
            <w:r>
              <w:rPr>
                <w:rFonts w:cs="Arial"/>
                <w:sz w:val="22"/>
                <w:szCs w:val="22"/>
              </w:rPr>
              <w:lastRenderedPageBreak/>
              <w:t>N/A</w:t>
            </w:r>
          </w:p>
        </w:tc>
        <w:tc>
          <w:tcPr>
            <w:tcW w:w="1619" w:type="dxa"/>
          </w:tcPr>
          <w:p w14:paraId="647D34A5" w14:textId="77777777" w:rsidR="00167CDD" w:rsidRPr="00C11123" w:rsidRDefault="00167CDD"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1346DAAE" w14:textId="1DB5DA1C" w:rsidR="00255B1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w:t>
            </w:r>
          </w:p>
        </w:tc>
        <w:tc>
          <w:tcPr>
            <w:tcW w:w="1619" w:type="dxa"/>
          </w:tcPr>
          <w:p w14:paraId="7ED57A3D" w14:textId="77777777" w:rsidR="00167CDD" w:rsidRPr="00C11123" w:rsidRDefault="00167CDD"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203FF385" w14:textId="790CE5B6" w:rsidR="00255B1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2024</w:t>
            </w:r>
          </w:p>
        </w:tc>
        <w:tc>
          <w:tcPr>
            <w:tcW w:w="1619" w:type="dxa"/>
          </w:tcPr>
          <w:p w14:paraId="11892F84" w14:textId="77777777" w:rsidR="00167CDD" w:rsidRPr="00C11123" w:rsidRDefault="00167CDD"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506DF288" w14:textId="687FFFE7" w:rsidR="00255B1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xml:space="preserve">2025 </w:t>
            </w:r>
          </w:p>
        </w:tc>
        <w:tc>
          <w:tcPr>
            <w:tcW w:w="1619" w:type="dxa"/>
          </w:tcPr>
          <w:p w14:paraId="173E6091" w14:textId="77777777" w:rsidR="00255B18" w:rsidRPr="00C11123" w:rsidRDefault="00255B18"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03EE5F42" w14:textId="731C1AA6" w:rsidR="00255B1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of Patient Panel (2025)</w:t>
            </w:r>
          </w:p>
        </w:tc>
        <w:tc>
          <w:tcPr>
            <w:tcW w:w="1620" w:type="dxa"/>
          </w:tcPr>
          <w:p w14:paraId="2CAEFF0B" w14:textId="3C8CE307" w:rsidR="00255B18" w:rsidRPr="00C11123" w:rsidRDefault="00255B18"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347C0212" w14:textId="4998DC9B" w:rsidR="00255B1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Change</w:t>
            </w:r>
          </w:p>
          <w:p w14:paraId="6B082B3D" w14:textId="3373FD6F" w:rsidR="00255B18"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(2023-2025)</w:t>
            </w:r>
          </w:p>
        </w:tc>
      </w:tr>
      <w:tr w:rsidR="00507820" w14:paraId="09B44827" w14:textId="336FB2E1" w:rsidTr="000561FA">
        <w:trPr>
          <w:cnfStyle w:val="000000100000" w:firstRow="0" w:lastRow="0" w:firstColumn="0" w:lastColumn="0" w:oddVBand="0" w:evenVBand="0" w:oddHBand="1" w:evenHBand="0" w:firstRowFirstColumn="0" w:firstRowLastColumn="0" w:lastRowFirstColumn="0" w:lastRowLastColumn="0"/>
          <w:cantSplit/>
          <w:trHeight w:val="274"/>
        </w:trPr>
        <w:tc>
          <w:tcPr>
            <w:cnfStyle w:val="001000000000" w:firstRow="0" w:lastRow="0" w:firstColumn="1" w:lastColumn="0" w:oddVBand="0" w:evenVBand="0" w:oddHBand="0" w:evenHBand="0" w:firstRowFirstColumn="0" w:firstRowLastColumn="0" w:lastRowFirstColumn="0" w:lastRowLastColumn="0"/>
            <w:tcW w:w="1619" w:type="dxa"/>
          </w:tcPr>
          <w:p w14:paraId="4734F90C" w14:textId="77777777" w:rsidR="00255B18" w:rsidRPr="00C11123" w:rsidRDefault="00000000" w:rsidP="00CC6024">
            <w:pPr>
              <w:rPr>
                <w:rFonts w:cs="Arial"/>
                <w:b w:val="0"/>
                <w:bCs w:val="0"/>
                <w:sz w:val="22"/>
                <w:szCs w:val="22"/>
              </w:rPr>
            </w:pPr>
            <w:r w:rsidRPr="00C11123">
              <w:rPr>
                <w:rFonts w:cs="Arial"/>
                <w:sz w:val="22"/>
                <w:szCs w:val="22"/>
              </w:rPr>
              <w:t>Female</w:t>
            </w:r>
          </w:p>
        </w:tc>
        <w:tc>
          <w:tcPr>
            <w:tcW w:w="1619" w:type="dxa"/>
          </w:tcPr>
          <w:p w14:paraId="564319EC" w14:textId="77777777" w:rsidR="00255B1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31,269</w:t>
            </w:r>
          </w:p>
        </w:tc>
        <w:tc>
          <w:tcPr>
            <w:tcW w:w="1619" w:type="dxa"/>
          </w:tcPr>
          <w:p w14:paraId="67466765" w14:textId="77777777" w:rsidR="00255B1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31,692</w:t>
            </w:r>
          </w:p>
        </w:tc>
        <w:tc>
          <w:tcPr>
            <w:tcW w:w="1619" w:type="dxa"/>
          </w:tcPr>
          <w:p w14:paraId="12F986C7" w14:textId="20ED13BE" w:rsidR="00255B1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32,530</w:t>
            </w:r>
          </w:p>
        </w:tc>
        <w:tc>
          <w:tcPr>
            <w:tcW w:w="1619" w:type="dxa"/>
          </w:tcPr>
          <w:p w14:paraId="41EB9016" w14:textId="2D88F3B1" w:rsidR="00255B18" w:rsidRPr="00C11123" w:rsidRDefault="00000000" w:rsidP="00CC6024">
            <w:pPr>
              <w:tabs>
                <w:tab w:val="left" w:pos="419"/>
                <w:tab w:val="center" w:pos="492"/>
              </w:tabs>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24.6%</w:t>
            </w:r>
          </w:p>
        </w:tc>
        <w:tc>
          <w:tcPr>
            <w:tcW w:w="1620" w:type="dxa"/>
          </w:tcPr>
          <w:p w14:paraId="5F2E34FB" w14:textId="0F9B322E" w:rsidR="00255B18" w:rsidRPr="00C11123" w:rsidRDefault="00000000" w:rsidP="00CC6024">
            <w:pPr>
              <w:tabs>
                <w:tab w:val="left" w:pos="419"/>
                <w:tab w:val="center" w:pos="492"/>
              </w:tabs>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+ 4%</w:t>
            </w:r>
          </w:p>
        </w:tc>
      </w:tr>
      <w:tr w:rsidR="00507820" w14:paraId="50C1A4EF" w14:textId="0AB379D2" w:rsidTr="000561FA">
        <w:trPr>
          <w:cantSplit/>
          <w:trHeight w:val="824"/>
        </w:trPr>
        <w:tc>
          <w:tcPr>
            <w:cnfStyle w:val="001000000000" w:firstRow="0" w:lastRow="0" w:firstColumn="1" w:lastColumn="0" w:oddVBand="0" w:evenVBand="0" w:oddHBand="0" w:evenHBand="0" w:firstRowFirstColumn="0" w:firstRowLastColumn="0" w:lastRowFirstColumn="0" w:lastRowLastColumn="0"/>
            <w:tcW w:w="1619" w:type="dxa"/>
          </w:tcPr>
          <w:p w14:paraId="6440BB0F" w14:textId="77777777" w:rsidR="00255B18" w:rsidRPr="00C11123" w:rsidRDefault="00000000" w:rsidP="00CC6024">
            <w:pPr>
              <w:rPr>
                <w:rFonts w:cs="Arial"/>
                <w:b w:val="0"/>
                <w:bCs w:val="0"/>
                <w:sz w:val="22"/>
                <w:szCs w:val="22"/>
              </w:rPr>
            </w:pPr>
            <w:r w:rsidRPr="00C11123">
              <w:rPr>
                <w:rFonts w:cs="Arial"/>
                <w:sz w:val="22"/>
                <w:szCs w:val="22"/>
              </w:rPr>
              <w:t>Male</w:t>
            </w:r>
          </w:p>
        </w:tc>
        <w:tc>
          <w:tcPr>
            <w:tcW w:w="1619" w:type="dxa"/>
          </w:tcPr>
          <w:p w14:paraId="225525D0" w14:textId="77777777" w:rsidR="00255B1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77,822</w:t>
            </w:r>
          </w:p>
        </w:tc>
        <w:tc>
          <w:tcPr>
            <w:tcW w:w="1619" w:type="dxa"/>
          </w:tcPr>
          <w:p w14:paraId="37985D9A" w14:textId="77777777" w:rsidR="00255B1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84,723</w:t>
            </w:r>
          </w:p>
        </w:tc>
        <w:tc>
          <w:tcPr>
            <w:tcW w:w="1619" w:type="dxa"/>
          </w:tcPr>
          <w:p w14:paraId="6B4BA9E5" w14:textId="2D49DEB1" w:rsidR="00255B1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99,632</w:t>
            </w:r>
          </w:p>
        </w:tc>
        <w:tc>
          <w:tcPr>
            <w:tcW w:w="1619" w:type="dxa"/>
          </w:tcPr>
          <w:p w14:paraId="707BC1AB" w14:textId="0E25C684" w:rsidR="00255B1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75.4%</w:t>
            </w:r>
          </w:p>
        </w:tc>
        <w:tc>
          <w:tcPr>
            <w:tcW w:w="1620" w:type="dxa"/>
          </w:tcPr>
          <w:p w14:paraId="225531B3" w14:textId="2A24CAA2" w:rsidR="00255B18"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sz w:val="22"/>
                <w:szCs w:val="22"/>
              </w:rPr>
              <w:t>+</w:t>
            </w:r>
            <w:r w:rsidRPr="00C11123">
              <w:rPr>
                <w:rFonts w:cs="Arial"/>
                <w:b/>
                <w:bCs/>
                <w:sz w:val="22"/>
                <w:szCs w:val="22"/>
              </w:rPr>
              <w:t xml:space="preserve"> </w:t>
            </w:r>
            <w:r w:rsidRPr="00C11123">
              <w:rPr>
                <w:rFonts w:cs="Arial"/>
                <w:sz w:val="22"/>
                <w:szCs w:val="22"/>
              </w:rPr>
              <w:t>28</w:t>
            </w:r>
            <w:r w:rsidRPr="00C11123">
              <w:rPr>
                <w:rFonts w:cs="Arial"/>
                <w:b/>
                <w:bCs/>
                <w:sz w:val="22"/>
                <w:szCs w:val="22"/>
              </w:rPr>
              <w:t>%</w:t>
            </w:r>
          </w:p>
        </w:tc>
      </w:tr>
      <w:tr w:rsidR="00507820" w14:paraId="287BA5EB" w14:textId="396073A6" w:rsidTr="000561FA">
        <w:trPr>
          <w:cnfStyle w:val="000000100000" w:firstRow="0" w:lastRow="0" w:firstColumn="0" w:lastColumn="0" w:oddVBand="0" w:evenVBand="0" w:oddHBand="1" w:evenHBand="0" w:firstRowFirstColumn="0" w:firstRowLastColumn="0" w:lastRowFirstColumn="0" w:lastRowLastColumn="0"/>
          <w:cantSplit/>
          <w:trHeight w:val="268"/>
        </w:trPr>
        <w:tc>
          <w:tcPr>
            <w:cnfStyle w:val="001000000000" w:firstRow="0" w:lastRow="0" w:firstColumn="1" w:lastColumn="0" w:oddVBand="0" w:evenVBand="0" w:oddHBand="0" w:evenHBand="0" w:firstRowFirstColumn="0" w:firstRowLastColumn="0" w:lastRowFirstColumn="0" w:lastRowLastColumn="0"/>
            <w:tcW w:w="1619" w:type="dxa"/>
          </w:tcPr>
          <w:p w14:paraId="2FE150A6" w14:textId="50F54668" w:rsidR="00255B18" w:rsidRPr="00C11123" w:rsidRDefault="00000000" w:rsidP="00CC6024">
            <w:pPr>
              <w:rPr>
                <w:rFonts w:cs="Arial"/>
                <w:b w:val="0"/>
                <w:bCs w:val="0"/>
                <w:sz w:val="22"/>
                <w:szCs w:val="22"/>
              </w:rPr>
            </w:pPr>
            <w:r w:rsidRPr="00C11123">
              <w:rPr>
                <w:rFonts w:cs="Arial"/>
                <w:sz w:val="22"/>
                <w:szCs w:val="22"/>
              </w:rPr>
              <w:t>Total</w:t>
            </w:r>
          </w:p>
        </w:tc>
        <w:tc>
          <w:tcPr>
            <w:tcW w:w="1619" w:type="dxa"/>
          </w:tcPr>
          <w:p w14:paraId="71DFB264" w14:textId="77777777" w:rsidR="00255B1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109,091</w:t>
            </w:r>
          </w:p>
        </w:tc>
        <w:tc>
          <w:tcPr>
            <w:tcW w:w="1619" w:type="dxa"/>
          </w:tcPr>
          <w:p w14:paraId="2DCB881C" w14:textId="77777777" w:rsidR="00255B1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116,415</w:t>
            </w:r>
          </w:p>
        </w:tc>
        <w:tc>
          <w:tcPr>
            <w:tcW w:w="1619" w:type="dxa"/>
          </w:tcPr>
          <w:p w14:paraId="743175A8" w14:textId="688499A3" w:rsidR="00255B18"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132,162</w:t>
            </w:r>
          </w:p>
        </w:tc>
        <w:tc>
          <w:tcPr>
            <w:tcW w:w="1619" w:type="dxa"/>
          </w:tcPr>
          <w:p w14:paraId="61832B28" w14:textId="577B00B4" w:rsidR="00255B18" w:rsidRPr="00C11123" w:rsidRDefault="00F5455F"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Pr>
                <w:rFonts w:cs="Arial"/>
                <w:b/>
                <w:bCs/>
                <w:sz w:val="22"/>
                <w:szCs w:val="22"/>
              </w:rPr>
              <w:t>N/A</w:t>
            </w:r>
          </w:p>
        </w:tc>
        <w:tc>
          <w:tcPr>
            <w:tcW w:w="1620" w:type="dxa"/>
          </w:tcPr>
          <w:p w14:paraId="4441760E" w14:textId="5C226A01" w:rsidR="00255B18" w:rsidRPr="00C11123" w:rsidRDefault="00F5455F"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Pr>
                <w:rFonts w:cs="Arial"/>
                <w:b/>
                <w:bCs/>
                <w:sz w:val="22"/>
                <w:szCs w:val="22"/>
              </w:rPr>
              <w:t>N/A</w:t>
            </w:r>
          </w:p>
        </w:tc>
      </w:tr>
    </w:tbl>
    <w:p w14:paraId="68A2D475" w14:textId="77777777" w:rsidR="00FE3621" w:rsidRPr="00C11123" w:rsidRDefault="00FE3621" w:rsidP="00CC6024">
      <w:pPr>
        <w:spacing w:after="0" w:line="240" w:lineRule="auto"/>
        <w:jc w:val="both"/>
        <w:rPr>
          <w:rFonts w:cs="Arial"/>
          <w:sz w:val="22"/>
          <w:szCs w:val="22"/>
        </w:rPr>
      </w:pPr>
    </w:p>
    <w:p w14:paraId="3110C7DD" w14:textId="3DB5B26D" w:rsidR="00147533" w:rsidRPr="00C11123" w:rsidRDefault="00000000" w:rsidP="00D70747">
      <w:pPr>
        <w:spacing w:after="0" w:line="240" w:lineRule="auto"/>
        <w:rPr>
          <w:rFonts w:cs="Arial"/>
          <w:b/>
          <w:bCs/>
          <w:sz w:val="22"/>
          <w:szCs w:val="22"/>
        </w:rPr>
      </w:pPr>
      <w:r w:rsidRPr="00C11123">
        <w:rPr>
          <w:rFonts w:cs="Arial"/>
          <w:b/>
          <w:bCs/>
          <w:sz w:val="22"/>
          <w:szCs w:val="22"/>
        </w:rPr>
        <w:t xml:space="preserve">Table </w:t>
      </w:r>
      <w:r w:rsidR="00A55D07" w:rsidRPr="00C11123">
        <w:rPr>
          <w:rFonts w:cs="Arial"/>
          <w:b/>
          <w:bCs/>
          <w:sz w:val="22"/>
          <w:szCs w:val="22"/>
        </w:rPr>
        <w:t>5</w:t>
      </w:r>
      <w:r w:rsidRPr="00C11123">
        <w:rPr>
          <w:rFonts w:cs="Arial"/>
          <w:b/>
          <w:bCs/>
          <w:sz w:val="22"/>
          <w:szCs w:val="22"/>
        </w:rPr>
        <w:t xml:space="preserve"> – Patient Panel: Gender by </w:t>
      </w:r>
      <w:r w:rsidR="00AE2ECF" w:rsidRPr="00C11123">
        <w:rPr>
          <w:rFonts w:cs="Arial"/>
          <w:b/>
          <w:bCs/>
          <w:sz w:val="22"/>
          <w:szCs w:val="22"/>
        </w:rPr>
        <w:t xml:space="preserve">Practice Site </w:t>
      </w:r>
      <w:r w:rsidR="00E33B17" w:rsidRPr="00C11123">
        <w:rPr>
          <w:rFonts w:cs="Arial"/>
          <w:b/>
          <w:bCs/>
          <w:sz w:val="22"/>
          <w:szCs w:val="22"/>
        </w:rPr>
        <w:t>(2025)</w:t>
      </w:r>
    </w:p>
    <w:tbl>
      <w:tblPr>
        <w:tblStyle w:val="GridTable4"/>
        <w:tblW w:w="9715" w:type="dxa"/>
        <w:tblLook w:val="04A0" w:firstRow="1" w:lastRow="0" w:firstColumn="1" w:lastColumn="0" w:noHBand="0" w:noVBand="1"/>
        <w:tblCaption w:val="Patient Panel: Gender by Practice Site (2025)"/>
      </w:tblPr>
      <w:tblGrid>
        <w:gridCol w:w="1746"/>
        <w:gridCol w:w="1511"/>
        <w:gridCol w:w="1640"/>
        <w:gridCol w:w="4818"/>
      </w:tblGrid>
      <w:tr w:rsidR="00507820" w14:paraId="74DE2388" w14:textId="2FA7D9F0" w:rsidTr="00EC14F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46" w:type="dxa"/>
          </w:tcPr>
          <w:p w14:paraId="5D3037F4" w14:textId="6F86E2C3" w:rsidR="00162252" w:rsidRPr="00C11123" w:rsidRDefault="00000000" w:rsidP="00CC6024">
            <w:pPr>
              <w:rPr>
                <w:rFonts w:cs="Arial"/>
                <w:sz w:val="22"/>
                <w:szCs w:val="22"/>
              </w:rPr>
            </w:pPr>
            <w:r w:rsidRPr="00C11123">
              <w:rPr>
                <w:rFonts w:cs="Arial"/>
                <w:sz w:val="22"/>
                <w:szCs w:val="22"/>
              </w:rPr>
              <w:t>Location</w:t>
            </w:r>
          </w:p>
        </w:tc>
        <w:tc>
          <w:tcPr>
            <w:tcW w:w="1511" w:type="dxa"/>
          </w:tcPr>
          <w:p w14:paraId="1DDF85DA" w14:textId="4EED7B6E" w:rsidR="00162252"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Female</w:t>
            </w:r>
          </w:p>
        </w:tc>
        <w:tc>
          <w:tcPr>
            <w:tcW w:w="1640" w:type="dxa"/>
          </w:tcPr>
          <w:p w14:paraId="231EB97D" w14:textId="660D1141" w:rsidR="00162252"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Male</w:t>
            </w:r>
          </w:p>
        </w:tc>
        <w:tc>
          <w:tcPr>
            <w:tcW w:w="4818" w:type="dxa"/>
          </w:tcPr>
          <w:p w14:paraId="2029E212" w14:textId="49D9D86D" w:rsidR="00162252" w:rsidRPr="00C11123" w:rsidRDefault="00000000" w:rsidP="00CC6024">
            <w:pP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Notes</w:t>
            </w:r>
          </w:p>
        </w:tc>
      </w:tr>
      <w:tr w:rsidR="00507820" w14:paraId="014142CF" w14:textId="01D27F7F" w:rsidTr="00EC14F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6" w:type="dxa"/>
          </w:tcPr>
          <w:p w14:paraId="090603DB" w14:textId="173E5857" w:rsidR="00162252" w:rsidRPr="00C11123" w:rsidRDefault="00000000" w:rsidP="00CC6024">
            <w:pPr>
              <w:rPr>
                <w:rFonts w:cs="Arial"/>
                <w:b w:val="0"/>
                <w:bCs w:val="0"/>
                <w:sz w:val="22"/>
                <w:szCs w:val="22"/>
              </w:rPr>
            </w:pPr>
            <w:r w:rsidRPr="00C11123">
              <w:rPr>
                <w:rFonts w:cs="Arial"/>
                <w:sz w:val="22"/>
                <w:szCs w:val="22"/>
              </w:rPr>
              <w:t>Attleboro</w:t>
            </w:r>
          </w:p>
        </w:tc>
        <w:tc>
          <w:tcPr>
            <w:tcW w:w="1511" w:type="dxa"/>
          </w:tcPr>
          <w:p w14:paraId="46CEAE51" w14:textId="4DCFB7B4"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1970</w:t>
            </w:r>
          </w:p>
        </w:tc>
        <w:tc>
          <w:tcPr>
            <w:tcW w:w="1640" w:type="dxa"/>
          </w:tcPr>
          <w:p w14:paraId="02023764" w14:textId="34C753C6"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7330</w:t>
            </w:r>
          </w:p>
        </w:tc>
        <w:tc>
          <w:tcPr>
            <w:tcW w:w="4818" w:type="dxa"/>
          </w:tcPr>
          <w:p w14:paraId="0371D789" w14:textId="0A643407" w:rsidR="00162252" w:rsidRPr="00C11123" w:rsidRDefault="00EC14F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507820" w14:paraId="2ED08C05" w14:textId="41665AEE" w:rsidTr="00EC14F0">
        <w:trPr>
          <w:cantSplit/>
        </w:trPr>
        <w:tc>
          <w:tcPr>
            <w:cnfStyle w:val="001000000000" w:firstRow="0" w:lastRow="0" w:firstColumn="1" w:lastColumn="0" w:oddVBand="0" w:evenVBand="0" w:oddHBand="0" w:evenHBand="0" w:firstRowFirstColumn="0" w:firstRowLastColumn="0" w:lastRowFirstColumn="0" w:lastRowLastColumn="0"/>
            <w:tcW w:w="1746" w:type="dxa"/>
          </w:tcPr>
          <w:p w14:paraId="3FACB73F" w14:textId="5DE5B589" w:rsidR="00162252" w:rsidRPr="00C11123" w:rsidRDefault="00000000" w:rsidP="00CC6024">
            <w:pPr>
              <w:rPr>
                <w:rFonts w:cs="Arial"/>
                <w:b w:val="0"/>
                <w:bCs w:val="0"/>
                <w:sz w:val="22"/>
                <w:szCs w:val="22"/>
              </w:rPr>
            </w:pPr>
            <w:r w:rsidRPr="00C11123">
              <w:rPr>
                <w:rFonts w:cs="Arial"/>
                <w:sz w:val="22"/>
                <w:szCs w:val="22"/>
              </w:rPr>
              <w:t>Dedham</w:t>
            </w:r>
          </w:p>
        </w:tc>
        <w:tc>
          <w:tcPr>
            <w:tcW w:w="1511" w:type="dxa"/>
          </w:tcPr>
          <w:p w14:paraId="5FFEC0A1" w14:textId="5072241B"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7873</w:t>
            </w:r>
          </w:p>
        </w:tc>
        <w:tc>
          <w:tcPr>
            <w:tcW w:w="1640" w:type="dxa"/>
          </w:tcPr>
          <w:p w14:paraId="4B30D680" w14:textId="45E009C2"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12488</w:t>
            </w:r>
          </w:p>
        </w:tc>
        <w:tc>
          <w:tcPr>
            <w:tcW w:w="4818" w:type="dxa"/>
          </w:tcPr>
          <w:p w14:paraId="0EBB3F79" w14:textId="093230C5"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xml:space="preserve">Proposed </w:t>
            </w:r>
            <w:r w:rsidR="008B0A5D" w:rsidRPr="00C11123">
              <w:rPr>
                <w:rFonts w:cs="Arial"/>
                <w:sz w:val="22"/>
                <w:szCs w:val="22"/>
              </w:rPr>
              <w:t>P</w:t>
            </w:r>
            <w:r w:rsidRPr="00C11123">
              <w:rPr>
                <w:rFonts w:cs="Arial"/>
                <w:sz w:val="22"/>
                <w:szCs w:val="22"/>
              </w:rPr>
              <w:t>roject site</w:t>
            </w:r>
          </w:p>
        </w:tc>
      </w:tr>
      <w:tr w:rsidR="00507820" w14:paraId="49D096D3" w14:textId="407EBDD4" w:rsidTr="00EC14F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6" w:type="dxa"/>
          </w:tcPr>
          <w:p w14:paraId="11986998" w14:textId="3EE32B2C" w:rsidR="00162252" w:rsidRPr="00C11123" w:rsidRDefault="00000000" w:rsidP="00CC6024">
            <w:pPr>
              <w:rPr>
                <w:rFonts w:cs="Arial"/>
                <w:sz w:val="22"/>
                <w:szCs w:val="22"/>
              </w:rPr>
            </w:pPr>
            <w:r w:rsidRPr="00C11123">
              <w:rPr>
                <w:rFonts w:cs="Arial"/>
                <w:sz w:val="22"/>
                <w:szCs w:val="22"/>
              </w:rPr>
              <w:t>Falmouth</w:t>
            </w:r>
          </w:p>
        </w:tc>
        <w:tc>
          <w:tcPr>
            <w:tcW w:w="1511" w:type="dxa"/>
          </w:tcPr>
          <w:p w14:paraId="1F17B487" w14:textId="2BFC0CB4"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sz w:val="22"/>
                <w:szCs w:val="22"/>
              </w:rPr>
              <w:t>2186</w:t>
            </w:r>
          </w:p>
        </w:tc>
        <w:tc>
          <w:tcPr>
            <w:tcW w:w="1640" w:type="dxa"/>
          </w:tcPr>
          <w:p w14:paraId="6B755D62" w14:textId="7F80276F"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sz w:val="22"/>
                <w:szCs w:val="22"/>
              </w:rPr>
              <w:t>9210</w:t>
            </w:r>
          </w:p>
        </w:tc>
        <w:tc>
          <w:tcPr>
            <w:tcW w:w="4818" w:type="dxa"/>
          </w:tcPr>
          <w:p w14:paraId="594542AF" w14:textId="33F369D0" w:rsidR="00162252" w:rsidRPr="00C11123" w:rsidRDefault="00EC14F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507820" w14:paraId="0F653784" w14:textId="511C1727" w:rsidTr="00EC14F0">
        <w:trPr>
          <w:cantSplit/>
        </w:trPr>
        <w:tc>
          <w:tcPr>
            <w:cnfStyle w:val="001000000000" w:firstRow="0" w:lastRow="0" w:firstColumn="1" w:lastColumn="0" w:oddVBand="0" w:evenVBand="0" w:oddHBand="0" w:evenHBand="0" w:firstRowFirstColumn="0" w:firstRowLastColumn="0" w:lastRowFirstColumn="0" w:lastRowLastColumn="0"/>
            <w:tcW w:w="1746" w:type="dxa"/>
          </w:tcPr>
          <w:p w14:paraId="78872D14" w14:textId="2E4F7BA1" w:rsidR="00162252" w:rsidRPr="00C11123" w:rsidRDefault="00000000" w:rsidP="00CC6024">
            <w:pPr>
              <w:rPr>
                <w:rFonts w:cs="Arial"/>
                <w:b w:val="0"/>
                <w:bCs w:val="0"/>
                <w:sz w:val="22"/>
                <w:szCs w:val="22"/>
              </w:rPr>
            </w:pPr>
            <w:r w:rsidRPr="00C11123">
              <w:rPr>
                <w:rFonts w:cs="Arial"/>
                <w:sz w:val="22"/>
                <w:szCs w:val="22"/>
              </w:rPr>
              <w:t>Framingham</w:t>
            </w:r>
          </w:p>
        </w:tc>
        <w:tc>
          <w:tcPr>
            <w:tcW w:w="1511" w:type="dxa"/>
          </w:tcPr>
          <w:p w14:paraId="74D9631B" w14:textId="2BC22CB8"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3041</w:t>
            </w:r>
          </w:p>
        </w:tc>
        <w:tc>
          <w:tcPr>
            <w:tcW w:w="1640" w:type="dxa"/>
          </w:tcPr>
          <w:p w14:paraId="52BBF2FA" w14:textId="533A6A7B"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12737</w:t>
            </w:r>
          </w:p>
        </w:tc>
        <w:tc>
          <w:tcPr>
            <w:tcW w:w="4818" w:type="dxa"/>
          </w:tcPr>
          <w:p w14:paraId="3DB11C5E" w14:textId="6C99A21E"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xml:space="preserve">Proposed </w:t>
            </w:r>
            <w:r w:rsidR="008B0A5D" w:rsidRPr="00C11123">
              <w:rPr>
                <w:rFonts w:cs="Arial"/>
                <w:sz w:val="22"/>
                <w:szCs w:val="22"/>
              </w:rPr>
              <w:t>P</w:t>
            </w:r>
            <w:r w:rsidRPr="00C11123">
              <w:rPr>
                <w:rFonts w:cs="Arial"/>
                <w:sz w:val="22"/>
                <w:szCs w:val="22"/>
              </w:rPr>
              <w:t>roject site</w:t>
            </w:r>
          </w:p>
        </w:tc>
      </w:tr>
      <w:tr w:rsidR="00507820" w14:paraId="57CFDC2C" w14:textId="4E9A1CE3" w:rsidTr="00EC14F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6" w:type="dxa"/>
          </w:tcPr>
          <w:p w14:paraId="390F7C80" w14:textId="0313D025" w:rsidR="00162252" w:rsidRPr="00C11123" w:rsidRDefault="00000000" w:rsidP="00CC6024">
            <w:pPr>
              <w:rPr>
                <w:rFonts w:cs="Arial"/>
                <w:b w:val="0"/>
                <w:bCs w:val="0"/>
                <w:sz w:val="22"/>
                <w:szCs w:val="22"/>
              </w:rPr>
            </w:pPr>
            <w:r w:rsidRPr="00C11123">
              <w:rPr>
                <w:rFonts w:cs="Arial"/>
                <w:sz w:val="22"/>
                <w:szCs w:val="22"/>
              </w:rPr>
              <w:t>Hyannis</w:t>
            </w:r>
          </w:p>
        </w:tc>
        <w:tc>
          <w:tcPr>
            <w:tcW w:w="1511" w:type="dxa"/>
          </w:tcPr>
          <w:p w14:paraId="22280129" w14:textId="2A24DEA7"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2500</w:t>
            </w:r>
          </w:p>
        </w:tc>
        <w:tc>
          <w:tcPr>
            <w:tcW w:w="1640" w:type="dxa"/>
          </w:tcPr>
          <w:p w14:paraId="73C14062" w14:textId="637E83E3"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4518</w:t>
            </w:r>
          </w:p>
        </w:tc>
        <w:tc>
          <w:tcPr>
            <w:tcW w:w="4818" w:type="dxa"/>
          </w:tcPr>
          <w:p w14:paraId="09530909" w14:textId="1611222F" w:rsidR="00162252" w:rsidRPr="00C11123" w:rsidRDefault="00EC14F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507820" w14:paraId="6602DD67" w14:textId="518E4635" w:rsidTr="00EC14F0">
        <w:trPr>
          <w:cantSplit/>
        </w:trPr>
        <w:tc>
          <w:tcPr>
            <w:cnfStyle w:val="001000000000" w:firstRow="0" w:lastRow="0" w:firstColumn="1" w:lastColumn="0" w:oddVBand="0" w:evenVBand="0" w:oddHBand="0" w:evenHBand="0" w:firstRowFirstColumn="0" w:firstRowLastColumn="0" w:lastRowFirstColumn="0" w:lastRowLastColumn="0"/>
            <w:tcW w:w="1746" w:type="dxa"/>
          </w:tcPr>
          <w:p w14:paraId="5C3E6577" w14:textId="0796766E" w:rsidR="00162252" w:rsidRPr="00C11123" w:rsidRDefault="00000000" w:rsidP="00CC6024">
            <w:pPr>
              <w:rPr>
                <w:rFonts w:cs="Arial"/>
                <w:sz w:val="22"/>
                <w:szCs w:val="22"/>
              </w:rPr>
            </w:pPr>
            <w:r w:rsidRPr="00C11123">
              <w:rPr>
                <w:rFonts w:cs="Arial"/>
                <w:sz w:val="22"/>
                <w:szCs w:val="22"/>
              </w:rPr>
              <w:t>Leominster</w:t>
            </w:r>
          </w:p>
        </w:tc>
        <w:tc>
          <w:tcPr>
            <w:tcW w:w="1511" w:type="dxa"/>
          </w:tcPr>
          <w:p w14:paraId="60C76C22" w14:textId="324A2112"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sz w:val="22"/>
                <w:szCs w:val="22"/>
              </w:rPr>
              <w:t>796</w:t>
            </w:r>
          </w:p>
        </w:tc>
        <w:tc>
          <w:tcPr>
            <w:tcW w:w="1640" w:type="dxa"/>
          </w:tcPr>
          <w:p w14:paraId="5D8C2F63" w14:textId="60E37179"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sz w:val="22"/>
                <w:szCs w:val="22"/>
              </w:rPr>
              <w:t>3209</w:t>
            </w:r>
          </w:p>
        </w:tc>
        <w:tc>
          <w:tcPr>
            <w:tcW w:w="4818" w:type="dxa"/>
          </w:tcPr>
          <w:p w14:paraId="5A2831F9" w14:textId="4878E34D" w:rsidR="00162252" w:rsidRPr="00C11123" w:rsidRDefault="00EC14F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N/A</w:t>
            </w:r>
          </w:p>
        </w:tc>
      </w:tr>
      <w:tr w:rsidR="00507820" w14:paraId="529B8ECE" w14:textId="53120BAD" w:rsidTr="00EC14F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6" w:type="dxa"/>
          </w:tcPr>
          <w:p w14:paraId="7A6F614F" w14:textId="1085292B" w:rsidR="00162252" w:rsidRPr="00C11123" w:rsidRDefault="00000000" w:rsidP="00CC6024">
            <w:pPr>
              <w:rPr>
                <w:rFonts w:cs="Arial"/>
                <w:b w:val="0"/>
                <w:bCs w:val="0"/>
                <w:sz w:val="22"/>
                <w:szCs w:val="22"/>
              </w:rPr>
            </w:pPr>
            <w:r w:rsidRPr="00C11123">
              <w:rPr>
                <w:rFonts w:cs="Arial"/>
                <w:sz w:val="22"/>
                <w:szCs w:val="22"/>
              </w:rPr>
              <w:t>Milton</w:t>
            </w:r>
          </w:p>
        </w:tc>
        <w:tc>
          <w:tcPr>
            <w:tcW w:w="1511" w:type="dxa"/>
          </w:tcPr>
          <w:p w14:paraId="1DF514CE" w14:textId="5F8913E9"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2295</w:t>
            </w:r>
          </w:p>
        </w:tc>
        <w:tc>
          <w:tcPr>
            <w:tcW w:w="1640" w:type="dxa"/>
          </w:tcPr>
          <w:p w14:paraId="5E2BD51C" w14:textId="28CDC1D0"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12054</w:t>
            </w:r>
          </w:p>
        </w:tc>
        <w:tc>
          <w:tcPr>
            <w:tcW w:w="4818" w:type="dxa"/>
          </w:tcPr>
          <w:p w14:paraId="7656CD1A" w14:textId="7A502280" w:rsidR="00162252" w:rsidRPr="00C11123" w:rsidRDefault="00EC14F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N/A</w:t>
            </w:r>
          </w:p>
        </w:tc>
      </w:tr>
      <w:tr w:rsidR="00507820" w14:paraId="314FEE91" w14:textId="7B0755CE" w:rsidTr="00EC14F0">
        <w:trPr>
          <w:cantSplit/>
        </w:trPr>
        <w:tc>
          <w:tcPr>
            <w:cnfStyle w:val="001000000000" w:firstRow="0" w:lastRow="0" w:firstColumn="1" w:lastColumn="0" w:oddVBand="0" w:evenVBand="0" w:oddHBand="0" w:evenHBand="0" w:firstRowFirstColumn="0" w:firstRowLastColumn="0" w:lastRowFirstColumn="0" w:lastRowLastColumn="0"/>
            <w:tcW w:w="1746" w:type="dxa"/>
          </w:tcPr>
          <w:p w14:paraId="34C24370" w14:textId="78911F2D" w:rsidR="00162252" w:rsidRPr="00C11123" w:rsidRDefault="00000000" w:rsidP="00CC6024">
            <w:pPr>
              <w:rPr>
                <w:rFonts w:cs="Arial"/>
                <w:b w:val="0"/>
                <w:bCs w:val="0"/>
                <w:sz w:val="22"/>
                <w:szCs w:val="22"/>
              </w:rPr>
            </w:pPr>
            <w:r w:rsidRPr="00C11123">
              <w:rPr>
                <w:rFonts w:cs="Arial"/>
                <w:sz w:val="22"/>
                <w:szCs w:val="22"/>
              </w:rPr>
              <w:t>North Easton</w:t>
            </w:r>
          </w:p>
        </w:tc>
        <w:tc>
          <w:tcPr>
            <w:tcW w:w="1511" w:type="dxa"/>
          </w:tcPr>
          <w:p w14:paraId="1BA1E7EC" w14:textId="726600A6"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5905</w:t>
            </w:r>
          </w:p>
        </w:tc>
        <w:tc>
          <w:tcPr>
            <w:tcW w:w="1640" w:type="dxa"/>
          </w:tcPr>
          <w:p w14:paraId="2D4B001C" w14:textId="4E33D185" w:rsidR="00162252"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19523</w:t>
            </w:r>
          </w:p>
        </w:tc>
        <w:tc>
          <w:tcPr>
            <w:tcW w:w="4818" w:type="dxa"/>
          </w:tcPr>
          <w:p w14:paraId="6373A74F" w14:textId="43727E81" w:rsidR="00162252" w:rsidRPr="00C11123" w:rsidRDefault="00EC14F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N/A</w:t>
            </w:r>
          </w:p>
        </w:tc>
      </w:tr>
      <w:tr w:rsidR="00507820" w14:paraId="3478B222" w14:textId="66E67C0E" w:rsidTr="00EC14F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46" w:type="dxa"/>
          </w:tcPr>
          <w:p w14:paraId="627FF396" w14:textId="34F9C6D7" w:rsidR="00162252" w:rsidRPr="00C11123" w:rsidRDefault="00000000" w:rsidP="00CC6024">
            <w:pPr>
              <w:rPr>
                <w:rFonts w:cs="Arial"/>
                <w:sz w:val="22"/>
                <w:szCs w:val="22"/>
              </w:rPr>
            </w:pPr>
            <w:r w:rsidRPr="00C11123">
              <w:rPr>
                <w:rFonts w:cs="Arial"/>
                <w:sz w:val="22"/>
                <w:szCs w:val="22"/>
              </w:rPr>
              <w:t>Plymouth</w:t>
            </w:r>
          </w:p>
        </w:tc>
        <w:tc>
          <w:tcPr>
            <w:tcW w:w="1511" w:type="dxa"/>
          </w:tcPr>
          <w:p w14:paraId="61B0A332" w14:textId="6D4DF2AE"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sz w:val="22"/>
                <w:szCs w:val="22"/>
              </w:rPr>
              <w:t>5964</w:t>
            </w:r>
          </w:p>
        </w:tc>
        <w:tc>
          <w:tcPr>
            <w:tcW w:w="1640" w:type="dxa"/>
          </w:tcPr>
          <w:p w14:paraId="5071AFF9" w14:textId="6263EF7A"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sz w:val="22"/>
                <w:szCs w:val="22"/>
              </w:rPr>
              <w:t>18563</w:t>
            </w:r>
          </w:p>
        </w:tc>
        <w:tc>
          <w:tcPr>
            <w:tcW w:w="4818" w:type="dxa"/>
          </w:tcPr>
          <w:p w14:paraId="333216AE" w14:textId="546E272E" w:rsidR="00162252"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 xml:space="preserve">Proposed </w:t>
            </w:r>
            <w:r w:rsidR="008B0A5D" w:rsidRPr="00C11123">
              <w:rPr>
                <w:rFonts w:cs="Arial"/>
                <w:sz w:val="22"/>
                <w:szCs w:val="22"/>
              </w:rPr>
              <w:t>P</w:t>
            </w:r>
            <w:r w:rsidRPr="00C11123">
              <w:rPr>
                <w:rFonts w:cs="Arial"/>
                <w:sz w:val="22"/>
                <w:szCs w:val="22"/>
              </w:rPr>
              <w:t>roject site</w:t>
            </w:r>
          </w:p>
        </w:tc>
      </w:tr>
      <w:tr w:rsidR="00507820" w14:paraId="47C44BEE" w14:textId="77777777" w:rsidTr="00EC14F0">
        <w:trPr>
          <w:cantSplit/>
        </w:trPr>
        <w:tc>
          <w:tcPr>
            <w:cnfStyle w:val="001000000000" w:firstRow="0" w:lastRow="0" w:firstColumn="1" w:lastColumn="0" w:oddVBand="0" w:evenVBand="0" w:oddHBand="0" w:evenHBand="0" w:firstRowFirstColumn="0" w:firstRowLastColumn="0" w:lastRowFirstColumn="0" w:lastRowLastColumn="0"/>
            <w:tcW w:w="1746" w:type="dxa"/>
          </w:tcPr>
          <w:p w14:paraId="3AB8949D" w14:textId="0EDBFE6C" w:rsidR="00565279" w:rsidRPr="00C11123" w:rsidRDefault="00000000" w:rsidP="00CC6024">
            <w:pPr>
              <w:rPr>
                <w:rFonts w:cs="Arial"/>
                <w:sz w:val="22"/>
                <w:szCs w:val="22"/>
              </w:rPr>
            </w:pPr>
            <w:r w:rsidRPr="00C11123">
              <w:rPr>
                <w:rFonts w:cs="Arial"/>
                <w:sz w:val="22"/>
                <w:szCs w:val="22"/>
              </w:rPr>
              <w:t>Total</w:t>
            </w:r>
          </w:p>
        </w:tc>
        <w:tc>
          <w:tcPr>
            <w:tcW w:w="1511" w:type="dxa"/>
          </w:tcPr>
          <w:p w14:paraId="562A1D4F" w14:textId="75DE1BE4" w:rsidR="00565279"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rPr>
            </w:pPr>
            <w:r w:rsidRPr="00C11123">
              <w:rPr>
                <w:rFonts w:cs="Arial"/>
                <w:b/>
                <w:bCs/>
                <w:color w:val="000000"/>
                <w:sz w:val="22"/>
                <w:szCs w:val="22"/>
              </w:rPr>
              <w:t>32</w:t>
            </w:r>
            <w:r w:rsidR="00FA46B1" w:rsidRPr="00C11123">
              <w:rPr>
                <w:rFonts w:cs="Arial"/>
                <w:b/>
                <w:bCs/>
                <w:color w:val="000000"/>
                <w:sz w:val="22"/>
                <w:szCs w:val="22"/>
              </w:rPr>
              <w:t>,</w:t>
            </w:r>
            <w:r w:rsidRPr="00C11123">
              <w:rPr>
                <w:rFonts w:cs="Arial"/>
                <w:b/>
                <w:bCs/>
                <w:color w:val="000000"/>
                <w:sz w:val="22"/>
                <w:szCs w:val="22"/>
              </w:rPr>
              <w:t>530</w:t>
            </w:r>
          </w:p>
        </w:tc>
        <w:tc>
          <w:tcPr>
            <w:tcW w:w="1640" w:type="dxa"/>
          </w:tcPr>
          <w:p w14:paraId="28B33B1D" w14:textId="4AB9FC9E" w:rsidR="00565279"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rPr>
            </w:pPr>
            <w:r w:rsidRPr="00C11123">
              <w:rPr>
                <w:rFonts w:cs="Arial"/>
                <w:b/>
                <w:bCs/>
                <w:color w:val="000000"/>
                <w:sz w:val="22"/>
                <w:szCs w:val="22"/>
              </w:rPr>
              <w:t>99</w:t>
            </w:r>
            <w:r w:rsidR="00FA46B1" w:rsidRPr="00C11123">
              <w:rPr>
                <w:rFonts w:cs="Arial"/>
                <w:b/>
                <w:bCs/>
                <w:color w:val="000000"/>
                <w:sz w:val="22"/>
                <w:szCs w:val="22"/>
              </w:rPr>
              <w:t>,</w:t>
            </w:r>
            <w:r w:rsidRPr="00C11123">
              <w:rPr>
                <w:rFonts w:cs="Arial"/>
                <w:b/>
                <w:bCs/>
                <w:color w:val="000000"/>
                <w:sz w:val="22"/>
                <w:szCs w:val="22"/>
              </w:rPr>
              <w:t>632</w:t>
            </w:r>
          </w:p>
        </w:tc>
        <w:tc>
          <w:tcPr>
            <w:tcW w:w="4818" w:type="dxa"/>
          </w:tcPr>
          <w:p w14:paraId="7EEF9216" w14:textId="475CB5FC" w:rsidR="00565279" w:rsidRPr="00C11123" w:rsidRDefault="00EC14F0" w:rsidP="00CC6024">
            <w:p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N/A</w:t>
            </w:r>
          </w:p>
        </w:tc>
      </w:tr>
    </w:tbl>
    <w:p w14:paraId="4D4E5B6F" w14:textId="77777777" w:rsidR="00B35404" w:rsidRPr="00C11123" w:rsidRDefault="00B35404" w:rsidP="00CC6024">
      <w:pPr>
        <w:spacing w:after="0" w:line="240" w:lineRule="auto"/>
        <w:jc w:val="both"/>
        <w:rPr>
          <w:rFonts w:cs="Arial"/>
          <w:sz w:val="22"/>
          <w:szCs w:val="22"/>
        </w:rPr>
      </w:pPr>
    </w:p>
    <w:p w14:paraId="19B28D61" w14:textId="7EB2DE36" w:rsidR="0016271B" w:rsidRPr="00C11123" w:rsidRDefault="00000000" w:rsidP="00CD18F3">
      <w:pPr>
        <w:pStyle w:val="Heading3"/>
      </w:pPr>
      <w:r w:rsidRPr="00C11123">
        <w:t xml:space="preserve">D. </w:t>
      </w:r>
      <w:r w:rsidRPr="00CD18F3">
        <w:rPr>
          <w:u w:val="single"/>
        </w:rPr>
        <w:t>Patient Panel by Age</w:t>
      </w:r>
    </w:p>
    <w:p w14:paraId="1F090E81" w14:textId="77777777" w:rsidR="0016271B" w:rsidRPr="00C11123" w:rsidRDefault="0016271B" w:rsidP="00CC6024">
      <w:pPr>
        <w:spacing w:after="0" w:line="240" w:lineRule="auto"/>
        <w:jc w:val="both"/>
        <w:rPr>
          <w:rFonts w:cs="Arial"/>
          <w:sz w:val="22"/>
          <w:szCs w:val="22"/>
        </w:rPr>
      </w:pPr>
    </w:p>
    <w:p w14:paraId="6FB1AC2D" w14:textId="06D5EE9D" w:rsidR="00B35404" w:rsidRPr="00C11123" w:rsidRDefault="00000000" w:rsidP="00CC6024">
      <w:pPr>
        <w:spacing w:after="0" w:line="240" w:lineRule="auto"/>
        <w:jc w:val="both"/>
        <w:rPr>
          <w:rFonts w:cs="Arial"/>
          <w:color w:val="ADADAD" w:themeColor="background2" w:themeShade="BF"/>
          <w:sz w:val="22"/>
          <w:szCs w:val="22"/>
        </w:rPr>
      </w:pPr>
      <w:bookmarkStart w:id="0" w:name="_Hlk220335907"/>
      <w:r w:rsidRPr="00C11123">
        <w:rPr>
          <w:rFonts w:cs="Arial"/>
          <w:sz w:val="22"/>
          <w:szCs w:val="22"/>
        </w:rPr>
        <w:t xml:space="preserve">The Applicant serves patients of all ages, but the vast majority, approximately two thirds (65.37%), are </w:t>
      </w:r>
      <w:r w:rsidR="002938B2" w:rsidRPr="00C11123">
        <w:rPr>
          <w:rFonts w:cs="Arial"/>
          <w:sz w:val="22"/>
          <w:szCs w:val="22"/>
        </w:rPr>
        <w:t>patients over 65 years old</w:t>
      </w:r>
      <w:r w:rsidRPr="00C11123">
        <w:rPr>
          <w:rFonts w:cs="Arial"/>
          <w:sz w:val="22"/>
          <w:szCs w:val="22"/>
        </w:rPr>
        <w:t xml:space="preserve">. Table 6 shows the Applicant’s Patient Panel broken down by age and practice site. </w:t>
      </w:r>
      <w:bookmarkEnd w:id="0"/>
    </w:p>
    <w:p w14:paraId="288687F1" w14:textId="77777777" w:rsidR="00B35404" w:rsidRPr="00C11123" w:rsidRDefault="00B35404" w:rsidP="00CC6024">
      <w:pPr>
        <w:spacing w:after="0" w:line="240" w:lineRule="auto"/>
        <w:jc w:val="both"/>
        <w:rPr>
          <w:rFonts w:cs="Arial"/>
          <w:sz w:val="22"/>
          <w:szCs w:val="22"/>
        </w:rPr>
      </w:pPr>
    </w:p>
    <w:p w14:paraId="315F2092" w14:textId="74DBAFAD" w:rsidR="00FE3621" w:rsidRPr="00C11123" w:rsidRDefault="00000000" w:rsidP="00D70747">
      <w:pPr>
        <w:spacing w:after="0" w:line="240" w:lineRule="auto"/>
        <w:rPr>
          <w:rFonts w:cs="Arial"/>
          <w:b/>
          <w:bCs/>
          <w:sz w:val="22"/>
          <w:szCs w:val="22"/>
        </w:rPr>
      </w:pPr>
      <w:r w:rsidRPr="00C11123">
        <w:rPr>
          <w:rFonts w:cs="Arial"/>
          <w:b/>
          <w:bCs/>
          <w:sz w:val="22"/>
          <w:szCs w:val="22"/>
        </w:rPr>
        <w:t xml:space="preserve">Table </w:t>
      </w:r>
      <w:r w:rsidR="00A55D07" w:rsidRPr="00C11123">
        <w:rPr>
          <w:rFonts w:cs="Arial"/>
          <w:b/>
          <w:bCs/>
          <w:sz w:val="22"/>
          <w:szCs w:val="22"/>
        </w:rPr>
        <w:t>6</w:t>
      </w:r>
      <w:r w:rsidR="00204E10" w:rsidRPr="00C11123">
        <w:rPr>
          <w:rFonts w:cs="Arial"/>
          <w:b/>
          <w:bCs/>
          <w:sz w:val="22"/>
          <w:szCs w:val="22"/>
        </w:rPr>
        <w:t xml:space="preserve"> </w:t>
      </w:r>
      <w:r w:rsidRPr="00C11123">
        <w:rPr>
          <w:rFonts w:cs="Arial"/>
          <w:b/>
          <w:bCs/>
          <w:sz w:val="22"/>
          <w:szCs w:val="22"/>
        </w:rPr>
        <w:t xml:space="preserve">– Patient Panel: </w:t>
      </w:r>
      <w:r w:rsidR="00827F08" w:rsidRPr="00C11123">
        <w:rPr>
          <w:rFonts w:cs="Arial"/>
          <w:b/>
          <w:bCs/>
          <w:sz w:val="22"/>
          <w:szCs w:val="22"/>
        </w:rPr>
        <w:t>Age by Practice Site</w:t>
      </w:r>
      <w:r w:rsidR="003221AA" w:rsidRPr="00C11123">
        <w:rPr>
          <w:rFonts w:cs="Arial"/>
          <w:b/>
          <w:bCs/>
          <w:sz w:val="22"/>
          <w:szCs w:val="22"/>
        </w:rPr>
        <w:t xml:space="preserve"> </w:t>
      </w:r>
      <w:r w:rsidR="00FB2526" w:rsidRPr="00C11123">
        <w:rPr>
          <w:rFonts w:cs="Arial"/>
          <w:b/>
          <w:bCs/>
          <w:sz w:val="22"/>
          <w:szCs w:val="22"/>
        </w:rPr>
        <w:t>(2025)</w:t>
      </w:r>
    </w:p>
    <w:tbl>
      <w:tblPr>
        <w:tblStyle w:val="GridTable4"/>
        <w:tblW w:w="10705" w:type="dxa"/>
        <w:tblLayout w:type="fixed"/>
        <w:tblLook w:val="04A0" w:firstRow="1" w:lastRow="0" w:firstColumn="1" w:lastColumn="0" w:noHBand="0" w:noVBand="1"/>
        <w:tblCaption w:val="Patient Panel: Age by Practice Site (2025)"/>
      </w:tblPr>
      <w:tblGrid>
        <w:gridCol w:w="1435"/>
        <w:gridCol w:w="720"/>
        <w:gridCol w:w="810"/>
        <w:gridCol w:w="810"/>
        <w:gridCol w:w="810"/>
        <w:gridCol w:w="810"/>
        <w:gridCol w:w="900"/>
        <w:gridCol w:w="900"/>
        <w:gridCol w:w="900"/>
        <w:gridCol w:w="900"/>
        <w:gridCol w:w="720"/>
        <w:gridCol w:w="990"/>
      </w:tblGrid>
      <w:tr w:rsidR="00507820" w14:paraId="48003BFF" w14:textId="4E7B36F3" w:rsidTr="00AE6CB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35" w:type="dxa"/>
          </w:tcPr>
          <w:p w14:paraId="111D054A" w14:textId="60B38E26" w:rsidR="00C263D3" w:rsidRPr="00C11123" w:rsidRDefault="00000000" w:rsidP="00CC6024">
            <w:pPr>
              <w:jc w:val="center"/>
              <w:rPr>
                <w:rFonts w:cs="Arial"/>
                <w:sz w:val="22"/>
                <w:szCs w:val="22"/>
              </w:rPr>
            </w:pPr>
            <w:r w:rsidRPr="00C11123">
              <w:rPr>
                <w:rFonts w:cs="Arial"/>
                <w:sz w:val="22"/>
                <w:szCs w:val="22"/>
              </w:rPr>
              <w:t>Location</w:t>
            </w:r>
          </w:p>
        </w:tc>
        <w:tc>
          <w:tcPr>
            <w:tcW w:w="720" w:type="dxa"/>
          </w:tcPr>
          <w:p w14:paraId="6A8C9ABC" w14:textId="5AA369AC"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eastAsia="Times New Roman" w:cs="Arial"/>
                <w:kern w:val="0"/>
                <w:sz w:val="22"/>
                <w:szCs w:val="22"/>
                <w14:ligatures w14:val="none"/>
              </w:rPr>
              <w:t>0-18</w:t>
            </w:r>
          </w:p>
        </w:tc>
        <w:tc>
          <w:tcPr>
            <w:tcW w:w="810" w:type="dxa"/>
          </w:tcPr>
          <w:p w14:paraId="2F190626" w14:textId="25872969"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eastAsia="Times New Roman" w:cs="Arial"/>
                <w:kern w:val="0"/>
                <w:sz w:val="22"/>
                <w:szCs w:val="22"/>
                <w14:ligatures w14:val="none"/>
              </w:rPr>
              <w:t>19-24</w:t>
            </w:r>
          </w:p>
        </w:tc>
        <w:tc>
          <w:tcPr>
            <w:tcW w:w="810" w:type="dxa"/>
          </w:tcPr>
          <w:p w14:paraId="3812566B" w14:textId="2E8D7991"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eastAsia="Times New Roman" w:cs="Arial"/>
                <w:kern w:val="0"/>
                <w:sz w:val="22"/>
                <w:szCs w:val="22"/>
                <w14:ligatures w14:val="none"/>
              </w:rPr>
              <w:t>25-34</w:t>
            </w:r>
          </w:p>
        </w:tc>
        <w:tc>
          <w:tcPr>
            <w:tcW w:w="810" w:type="dxa"/>
          </w:tcPr>
          <w:p w14:paraId="328A17CB" w14:textId="012B0DDC"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eastAsia="Times New Roman" w:cs="Arial"/>
                <w:kern w:val="0"/>
                <w:sz w:val="22"/>
                <w:szCs w:val="22"/>
                <w14:ligatures w14:val="none"/>
              </w:rPr>
              <w:t>35-44</w:t>
            </w:r>
          </w:p>
        </w:tc>
        <w:tc>
          <w:tcPr>
            <w:tcW w:w="810" w:type="dxa"/>
          </w:tcPr>
          <w:p w14:paraId="51D85513" w14:textId="6FA389CA"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45-54</w:t>
            </w:r>
          </w:p>
        </w:tc>
        <w:tc>
          <w:tcPr>
            <w:tcW w:w="900" w:type="dxa"/>
          </w:tcPr>
          <w:p w14:paraId="73448E6B" w14:textId="676454F5"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55-64</w:t>
            </w:r>
          </w:p>
        </w:tc>
        <w:tc>
          <w:tcPr>
            <w:tcW w:w="900" w:type="dxa"/>
          </w:tcPr>
          <w:p w14:paraId="28189AE1" w14:textId="5004C012"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65-74</w:t>
            </w:r>
          </w:p>
        </w:tc>
        <w:tc>
          <w:tcPr>
            <w:tcW w:w="900" w:type="dxa"/>
          </w:tcPr>
          <w:p w14:paraId="0798B486" w14:textId="01F28B08"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75-84</w:t>
            </w:r>
          </w:p>
        </w:tc>
        <w:tc>
          <w:tcPr>
            <w:tcW w:w="900" w:type="dxa"/>
          </w:tcPr>
          <w:p w14:paraId="085233BA" w14:textId="18704F1F"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85-94</w:t>
            </w:r>
          </w:p>
        </w:tc>
        <w:tc>
          <w:tcPr>
            <w:tcW w:w="720" w:type="dxa"/>
          </w:tcPr>
          <w:p w14:paraId="54971F24" w14:textId="4520358A"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95+</w:t>
            </w:r>
          </w:p>
        </w:tc>
        <w:tc>
          <w:tcPr>
            <w:tcW w:w="990" w:type="dxa"/>
          </w:tcPr>
          <w:p w14:paraId="67F7EEED" w14:textId="5D2BD09E" w:rsidR="00C263D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0"/>
                <w:sz w:val="22"/>
                <w:szCs w:val="22"/>
                <w14:ligatures w14:val="none"/>
              </w:rPr>
            </w:pPr>
            <w:r w:rsidRPr="00C11123">
              <w:rPr>
                <w:rFonts w:eastAsia="Times New Roman" w:cs="Arial"/>
                <w:kern w:val="0"/>
                <w:sz w:val="22"/>
                <w:szCs w:val="22"/>
                <w14:ligatures w14:val="none"/>
              </w:rPr>
              <w:t>Total by Site</w:t>
            </w:r>
          </w:p>
        </w:tc>
      </w:tr>
      <w:tr w:rsidR="00507820" w14:paraId="1C528EF5" w14:textId="2D95F475" w:rsidTr="00AE6C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5" w:type="dxa"/>
          </w:tcPr>
          <w:p w14:paraId="4C0A797B" w14:textId="0EF20998" w:rsidR="00C263D3" w:rsidRPr="00C11123" w:rsidRDefault="00000000" w:rsidP="00CC6024">
            <w:pPr>
              <w:rPr>
                <w:rFonts w:cs="Arial"/>
                <w:b w:val="0"/>
                <w:bCs w:val="0"/>
                <w:sz w:val="22"/>
                <w:szCs w:val="22"/>
              </w:rPr>
            </w:pPr>
            <w:r w:rsidRPr="00C11123">
              <w:rPr>
                <w:rFonts w:cs="Arial"/>
                <w:sz w:val="22"/>
                <w:szCs w:val="22"/>
              </w:rPr>
              <w:t>Attleboro</w:t>
            </w:r>
          </w:p>
        </w:tc>
        <w:tc>
          <w:tcPr>
            <w:tcW w:w="720" w:type="dxa"/>
          </w:tcPr>
          <w:p w14:paraId="1E2D90E9" w14:textId="2AEF7C15"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28</w:t>
            </w:r>
          </w:p>
        </w:tc>
        <w:tc>
          <w:tcPr>
            <w:tcW w:w="810" w:type="dxa"/>
          </w:tcPr>
          <w:p w14:paraId="551D0233" w14:textId="4077EB66"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135</w:t>
            </w:r>
          </w:p>
        </w:tc>
        <w:tc>
          <w:tcPr>
            <w:tcW w:w="810" w:type="dxa"/>
          </w:tcPr>
          <w:p w14:paraId="317D60C9" w14:textId="538E839E"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381</w:t>
            </w:r>
          </w:p>
        </w:tc>
        <w:tc>
          <w:tcPr>
            <w:tcW w:w="810" w:type="dxa"/>
          </w:tcPr>
          <w:p w14:paraId="31F6C72D" w14:textId="1D5C1CE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761</w:t>
            </w:r>
          </w:p>
        </w:tc>
        <w:tc>
          <w:tcPr>
            <w:tcW w:w="810" w:type="dxa"/>
          </w:tcPr>
          <w:p w14:paraId="6D632FC8" w14:textId="71CD1E28"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904</w:t>
            </w:r>
          </w:p>
        </w:tc>
        <w:tc>
          <w:tcPr>
            <w:tcW w:w="900" w:type="dxa"/>
          </w:tcPr>
          <w:p w14:paraId="112D0D83" w14:textId="650AE1BC"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2046</w:t>
            </w:r>
          </w:p>
        </w:tc>
        <w:tc>
          <w:tcPr>
            <w:tcW w:w="900" w:type="dxa"/>
          </w:tcPr>
          <w:p w14:paraId="086C05D4" w14:textId="1364753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2549</w:t>
            </w:r>
          </w:p>
        </w:tc>
        <w:tc>
          <w:tcPr>
            <w:tcW w:w="900" w:type="dxa"/>
          </w:tcPr>
          <w:p w14:paraId="445AFCDC" w14:textId="1D28FBBE"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1842</w:t>
            </w:r>
          </w:p>
        </w:tc>
        <w:tc>
          <w:tcPr>
            <w:tcW w:w="900" w:type="dxa"/>
          </w:tcPr>
          <w:p w14:paraId="71A36B9F" w14:textId="2D82179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604</w:t>
            </w:r>
          </w:p>
        </w:tc>
        <w:tc>
          <w:tcPr>
            <w:tcW w:w="720" w:type="dxa"/>
          </w:tcPr>
          <w:p w14:paraId="25649B97" w14:textId="72CECE05"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50</w:t>
            </w:r>
          </w:p>
        </w:tc>
        <w:tc>
          <w:tcPr>
            <w:tcW w:w="990" w:type="dxa"/>
          </w:tcPr>
          <w:p w14:paraId="6CCFF7BB" w14:textId="361FCC9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2"/>
                <w:szCs w:val="22"/>
                <w:highlight w:val="yellow"/>
              </w:rPr>
            </w:pPr>
            <w:r w:rsidRPr="00C11123">
              <w:rPr>
                <w:rFonts w:cs="Arial"/>
                <w:b/>
                <w:bCs/>
                <w:color w:val="000000"/>
                <w:sz w:val="22"/>
                <w:szCs w:val="22"/>
              </w:rPr>
              <w:t>9,300</w:t>
            </w:r>
          </w:p>
        </w:tc>
      </w:tr>
      <w:tr w:rsidR="00507820" w14:paraId="24951F85" w14:textId="015FA8DD" w:rsidTr="00AE6CB3">
        <w:trPr>
          <w:cantSplit/>
        </w:trPr>
        <w:tc>
          <w:tcPr>
            <w:cnfStyle w:val="001000000000" w:firstRow="0" w:lastRow="0" w:firstColumn="1" w:lastColumn="0" w:oddVBand="0" w:evenVBand="0" w:oddHBand="0" w:evenHBand="0" w:firstRowFirstColumn="0" w:firstRowLastColumn="0" w:lastRowFirstColumn="0" w:lastRowLastColumn="0"/>
            <w:tcW w:w="1435" w:type="dxa"/>
          </w:tcPr>
          <w:p w14:paraId="4A37E5A9" w14:textId="38AE032D" w:rsidR="00C263D3" w:rsidRPr="00C11123" w:rsidRDefault="00000000" w:rsidP="00CC6024">
            <w:pPr>
              <w:rPr>
                <w:rFonts w:cs="Arial"/>
                <w:b w:val="0"/>
                <w:bCs w:val="0"/>
                <w:sz w:val="22"/>
                <w:szCs w:val="22"/>
              </w:rPr>
            </w:pPr>
            <w:r w:rsidRPr="00C11123">
              <w:rPr>
                <w:rFonts w:cs="Arial"/>
                <w:sz w:val="22"/>
                <w:szCs w:val="22"/>
              </w:rPr>
              <w:t>Dedham</w:t>
            </w:r>
          </w:p>
        </w:tc>
        <w:tc>
          <w:tcPr>
            <w:tcW w:w="720" w:type="dxa"/>
          </w:tcPr>
          <w:p w14:paraId="3B3040E9" w14:textId="7CF7B48F"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17</w:t>
            </w:r>
          </w:p>
        </w:tc>
        <w:tc>
          <w:tcPr>
            <w:tcW w:w="810" w:type="dxa"/>
          </w:tcPr>
          <w:p w14:paraId="4537108C" w14:textId="45D6C2A4"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209</w:t>
            </w:r>
          </w:p>
        </w:tc>
        <w:tc>
          <w:tcPr>
            <w:tcW w:w="810" w:type="dxa"/>
          </w:tcPr>
          <w:p w14:paraId="3DF99F6A" w14:textId="5AF5EE9C"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603</w:t>
            </w:r>
          </w:p>
        </w:tc>
        <w:tc>
          <w:tcPr>
            <w:tcW w:w="810" w:type="dxa"/>
          </w:tcPr>
          <w:p w14:paraId="2C65680C" w14:textId="37956C28"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1309</w:t>
            </w:r>
          </w:p>
        </w:tc>
        <w:tc>
          <w:tcPr>
            <w:tcW w:w="810" w:type="dxa"/>
          </w:tcPr>
          <w:p w14:paraId="2A7BA540" w14:textId="003CA0AD"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1694</w:t>
            </w:r>
          </w:p>
        </w:tc>
        <w:tc>
          <w:tcPr>
            <w:tcW w:w="900" w:type="dxa"/>
          </w:tcPr>
          <w:p w14:paraId="647F53A0" w14:textId="6776385A"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3952</w:t>
            </w:r>
          </w:p>
        </w:tc>
        <w:tc>
          <w:tcPr>
            <w:tcW w:w="900" w:type="dxa"/>
          </w:tcPr>
          <w:p w14:paraId="03B816FE" w14:textId="4394CE03"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5837</w:t>
            </w:r>
          </w:p>
        </w:tc>
        <w:tc>
          <w:tcPr>
            <w:tcW w:w="900" w:type="dxa"/>
          </w:tcPr>
          <w:p w14:paraId="7D803DCA" w14:textId="14BF5F81"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4776</w:t>
            </w:r>
          </w:p>
        </w:tc>
        <w:tc>
          <w:tcPr>
            <w:tcW w:w="900" w:type="dxa"/>
          </w:tcPr>
          <w:p w14:paraId="3BCF5D0D" w14:textId="245910F6"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1872</w:t>
            </w:r>
          </w:p>
        </w:tc>
        <w:tc>
          <w:tcPr>
            <w:tcW w:w="720" w:type="dxa"/>
          </w:tcPr>
          <w:p w14:paraId="1D31A081" w14:textId="07EC72C1"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C11123">
              <w:rPr>
                <w:rFonts w:cs="Arial"/>
                <w:color w:val="000000"/>
                <w:sz w:val="22"/>
                <w:szCs w:val="22"/>
              </w:rPr>
              <w:t>92</w:t>
            </w:r>
          </w:p>
        </w:tc>
        <w:tc>
          <w:tcPr>
            <w:tcW w:w="990" w:type="dxa"/>
          </w:tcPr>
          <w:p w14:paraId="4DDDD75D" w14:textId="2A6F584F"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highlight w:val="yellow"/>
              </w:rPr>
            </w:pPr>
            <w:r w:rsidRPr="00C11123">
              <w:rPr>
                <w:rFonts w:cs="Arial"/>
                <w:b/>
                <w:bCs/>
                <w:color w:val="000000"/>
                <w:sz w:val="22"/>
                <w:szCs w:val="22"/>
              </w:rPr>
              <w:t>20,361</w:t>
            </w:r>
          </w:p>
        </w:tc>
      </w:tr>
      <w:tr w:rsidR="00507820" w14:paraId="12CCF9AB" w14:textId="529BE3A7" w:rsidTr="00AE6C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5" w:type="dxa"/>
          </w:tcPr>
          <w:p w14:paraId="691E29AC" w14:textId="4C6802AE" w:rsidR="00C263D3" w:rsidRPr="00C11123" w:rsidRDefault="00000000" w:rsidP="00CC6024">
            <w:pPr>
              <w:rPr>
                <w:rFonts w:cs="Arial"/>
                <w:b w:val="0"/>
                <w:bCs w:val="0"/>
                <w:sz w:val="22"/>
                <w:szCs w:val="22"/>
              </w:rPr>
            </w:pPr>
            <w:r w:rsidRPr="00C11123">
              <w:rPr>
                <w:rFonts w:cs="Arial"/>
                <w:sz w:val="22"/>
                <w:szCs w:val="22"/>
              </w:rPr>
              <w:t>Falmouth</w:t>
            </w:r>
          </w:p>
        </w:tc>
        <w:tc>
          <w:tcPr>
            <w:tcW w:w="720" w:type="dxa"/>
          </w:tcPr>
          <w:p w14:paraId="1F422CDC" w14:textId="0C9B937D"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33</w:t>
            </w:r>
          </w:p>
          <w:p w14:paraId="6B2336A1"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810" w:type="dxa"/>
          </w:tcPr>
          <w:p w14:paraId="1CDB79E4" w14:textId="4775CC25"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39</w:t>
            </w:r>
          </w:p>
          <w:p w14:paraId="40F3A2D1"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810" w:type="dxa"/>
          </w:tcPr>
          <w:p w14:paraId="3F8AB86F" w14:textId="0D2587F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121</w:t>
            </w:r>
          </w:p>
          <w:p w14:paraId="69669AC1"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810" w:type="dxa"/>
          </w:tcPr>
          <w:p w14:paraId="669AB7B3" w14:textId="73DD4D5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305</w:t>
            </w:r>
          </w:p>
          <w:p w14:paraId="204BD148"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810" w:type="dxa"/>
          </w:tcPr>
          <w:p w14:paraId="0BE622AF" w14:textId="0BEC06AD"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392</w:t>
            </w:r>
          </w:p>
          <w:p w14:paraId="41B8A6EA"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00" w:type="dxa"/>
          </w:tcPr>
          <w:p w14:paraId="72BAA74B" w14:textId="78C8E433"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1294</w:t>
            </w:r>
          </w:p>
          <w:p w14:paraId="63E84642"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00" w:type="dxa"/>
          </w:tcPr>
          <w:p w14:paraId="595745B2" w14:textId="48C4562C"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3733</w:t>
            </w:r>
          </w:p>
          <w:p w14:paraId="60DC375A"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00" w:type="dxa"/>
          </w:tcPr>
          <w:p w14:paraId="7FCB6362" w14:textId="651E7A30"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3963</w:t>
            </w:r>
          </w:p>
          <w:p w14:paraId="27C6AEFA"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00" w:type="dxa"/>
          </w:tcPr>
          <w:p w14:paraId="2C4D327F" w14:textId="7651EFDE"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1415</w:t>
            </w:r>
          </w:p>
          <w:p w14:paraId="0C336505"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720" w:type="dxa"/>
          </w:tcPr>
          <w:p w14:paraId="25E54A3D" w14:textId="406C0545"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C11123">
              <w:rPr>
                <w:rFonts w:cs="Arial"/>
                <w:color w:val="000000"/>
                <w:sz w:val="22"/>
                <w:szCs w:val="22"/>
              </w:rPr>
              <w:t>101</w:t>
            </w:r>
          </w:p>
          <w:p w14:paraId="2AB72D23" w14:textId="77777777" w:rsidR="00C263D3" w:rsidRPr="00C11123" w:rsidRDefault="00C263D3"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990" w:type="dxa"/>
          </w:tcPr>
          <w:p w14:paraId="41794CF1" w14:textId="25E82A7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2"/>
                <w:szCs w:val="22"/>
                <w:highlight w:val="yellow"/>
              </w:rPr>
            </w:pPr>
            <w:r w:rsidRPr="00C11123">
              <w:rPr>
                <w:rFonts w:cs="Arial"/>
                <w:b/>
                <w:bCs/>
                <w:color w:val="000000"/>
                <w:sz w:val="22"/>
                <w:szCs w:val="22"/>
              </w:rPr>
              <w:t>11,396</w:t>
            </w:r>
          </w:p>
        </w:tc>
      </w:tr>
      <w:tr w:rsidR="00507820" w14:paraId="29B05036" w14:textId="65899A22" w:rsidTr="00AE6CB3">
        <w:trPr>
          <w:cantSplit/>
        </w:trPr>
        <w:tc>
          <w:tcPr>
            <w:cnfStyle w:val="001000000000" w:firstRow="0" w:lastRow="0" w:firstColumn="1" w:lastColumn="0" w:oddVBand="0" w:evenVBand="0" w:oddHBand="0" w:evenHBand="0" w:firstRowFirstColumn="0" w:firstRowLastColumn="0" w:lastRowFirstColumn="0" w:lastRowLastColumn="0"/>
            <w:tcW w:w="1435" w:type="dxa"/>
          </w:tcPr>
          <w:p w14:paraId="2642FE62" w14:textId="5B832804" w:rsidR="00C263D3" w:rsidRPr="00C11123" w:rsidRDefault="00000000" w:rsidP="00CC6024">
            <w:pPr>
              <w:rPr>
                <w:rFonts w:cs="Arial"/>
                <w:b w:val="0"/>
                <w:bCs w:val="0"/>
                <w:sz w:val="22"/>
                <w:szCs w:val="22"/>
              </w:rPr>
            </w:pPr>
            <w:r w:rsidRPr="00C11123">
              <w:rPr>
                <w:rFonts w:cs="Arial"/>
                <w:sz w:val="22"/>
                <w:szCs w:val="22"/>
              </w:rPr>
              <w:t>Framingham</w:t>
            </w:r>
          </w:p>
        </w:tc>
        <w:tc>
          <w:tcPr>
            <w:tcW w:w="720" w:type="dxa"/>
          </w:tcPr>
          <w:p w14:paraId="45BDF364" w14:textId="69859842" w:rsidR="00C263D3" w:rsidRPr="00C11123" w:rsidRDefault="009B6A25"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[redacted]</w:t>
            </w:r>
          </w:p>
        </w:tc>
        <w:tc>
          <w:tcPr>
            <w:tcW w:w="810" w:type="dxa"/>
          </w:tcPr>
          <w:p w14:paraId="232F1B85" w14:textId="60970306"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96</w:t>
            </w:r>
          </w:p>
        </w:tc>
        <w:tc>
          <w:tcPr>
            <w:tcW w:w="810" w:type="dxa"/>
          </w:tcPr>
          <w:p w14:paraId="341AEE7F" w14:textId="1C5BF3B8"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367</w:t>
            </w:r>
          </w:p>
        </w:tc>
        <w:tc>
          <w:tcPr>
            <w:tcW w:w="810" w:type="dxa"/>
          </w:tcPr>
          <w:p w14:paraId="083C57E8" w14:textId="0EA19AF6"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649</w:t>
            </w:r>
          </w:p>
        </w:tc>
        <w:tc>
          <w:tcPr>
            <w:tcW w:w="810" w:type="dxa"/>
          </w:tcPr>
          <w:p w14:paraId="0B56F423" w14:textId="68C27CEC"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1133</w:t>
            </w:r>
          </w:p>
        </w:tc>
        <w:tc>
          <w:tcPr>
            <w:tcW w:w="900" w:type="dxa"/>
          </w:tcPr>
          <w:p w14:paraId="21E09DFC" w14:textId="4BADC9CD"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2809</w:t>
            </w:r>
          </w:p>
        </w:tc>
        <w:tc>
          <w:tcPr>
            <w:tcW w:w="900" w:type="dxa"/>
          </w:tcPr>
          <w:p w14:paraId="41199A06" w14:textId="11A9CF5A"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4858</w:t>
            </w:r>
          </w:p>
        </w:tc>
        <w:tc>
          <w:tcPr>
            <w:tcW w:w="900" w:type="dxa"/>
          </w:tcPr>
          <w:p w14:paraId="74D539DB" w14:textId="115D160C"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4231</w:t>
            </w:r>
          </w:p>
        </w:tc>
        <w:tc>
          <w:tcPr>
            <w:tcW w:w="900" w:type="dxa"/>
          </w:tcPr>
          <w:p w14:paraId="331980FE" w14:textId="1ADDD0E7"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1509</w:t>
            </w:r>
          </w:p>
        </w:tc>
        <w:tc>
          <w:tcPr>
            <w:tcW w:w="720" w:type="dxa"/>
          </w:tcPr>
          <w:p w14:paraId="7476629E" w14:textId="4AA3EDC2"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117</w:t>
            </w:r>
          </w:p>
        </w:tc>
        <w:tc>
          <w:tcPr>
            <w:tcW w:w="990" w:type="dxa"/>
          </w:tcPr>
          <w:p w14:paraId="6AEAE95C" w14:textId="1C99C50B"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color w:val="000000"/>
                <w:sz w:val="22"/>
                <w:szCs w:val="22"/>
              </w:rPr>
              <w:t>15,778</w:t>
            </w:r>
          </w:p>
        </w:tc>
      </w:tr>
      <w:tr w:rsidR="00507820" w14:paraId="4BFA3EBE" w14:textId="5107548C" w:rsidTr="00AE6C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5" w:type="dxa"/>
          </w:tcPr>
          <w:p w14:paraId="0F85071B" w14:textId="485EA509" w:rsidR="00C263D3" w:rsidRPr="00C11123" w:rsidRDefault="00000000" w:rsidP="00CC6024">
            <w:pPr>
              <w:rPr>
                <w:rFonts w:cs="Arial"/>
                <w:b w:val="0"/>
                <w:bCs w:val="0"/>
                <w:sz w:val="22"/>
                <w:szCs w:val="22"/>
              </w:rPr>
            </w:pPr>
            <w:r w:rsidRPr="00C11123">
              <w:rPr>
                <w:rFonts w:cs="Arial"/>
                <w:sz w:val="22"/>
                <w:szCs w:val="22"/>
              </w:rPr>
              <w:t>Hyannis</w:t>
            </w:r>
          </w:p>
        </w:tc>
        <w:tc>
          <w:tcPr>
            <w:tcW w:w="720" w:type="dxa"/>
          </w:tcPr>
          <w:p w14:paraId="5E63190A" w14:textId="5228EB12"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64</w:t>
            </w:r>
          </w:p>
        </w:tc>
        <w:tc>
          <w:tcPr>
            <w:tcW w:w="810" w:type="dxa"/>
          </w:tcPr>
          <w:p w14:paraId="1AC480FB" w14:textId="06CEF499"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81</w:t>
            </w:r>
          </w:p>
        </w:tc>
        <w:tc>
          <w:tcPr>
            <w:tcW w:w="810" w:type="dxa"/>
          </w:tcPr>
          <w:p w14:paraId="7168C845" w14:textId="4C8A4A0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223</w:t>
            </w:r>
          </w:p>
        </w:tc>
        <w:tc>
          <w:tcPr>
            <w:tcW w:w="810" w:type="dxa"/>
          </w:tcPr>
          <w:p w14:paraId="5BD7F347" w14:textId="7045D995"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380</w:t>
            </w:r>
          </w:p>
        </w:tc>
        <w:tc>
          <w:tcPr>
            <w:tcW w:w="810" w:type="dxa"/>
          </w:tcPr>
          <w:p w14:paraId="624A07A5" w14:textId="42B9256F"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439</w:t>
            </w:r>
          </w:p>
        </w:tc>
        <w:tc>
          <w:tcPr>
            <w:tcW w:w="900" w:type="dxa"/>
          </w:tcPr>
          <w:p w14:paraId="4D142214" w14:textId="53DDFA5A"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1115</w:t>
            </w:r>
          </w:p>
        </w:tc>
        <w:tc>
          <w:tcPr>
            <w:tcW w:w="900" w:type="dxa"/>
          </w:tcPr>
          <w:p w14:paraId="186C2AA4" w14:textId="10E0D11C"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2234</w:t>
            </w:r>
          </w:p>
        </w:tc>
        <w:tc>
          <w:tcPr>
            <w:tcW w:w="900" w:type="dxa"/>
          </w:tcPr>
          <w:p w14:paraId="5C46E9BA" w14:textId="7A476C87"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1942</w:t>
            </w:r>
          </w:p>
        </w:tc>
        <w:tc>
          <w:tcPr>
            <w:tcW w:w="900" w:type="dxa"/>
          </w:tcPr>
          <w:p w14:paraId="278161B5" w14:textId="211B7A52"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508</w:t>
            </w:r>
          </w:p>
        </w:tc>
        <w:tc>
          <w:tcPr>
            <w:tcW w:w="720" w:type="dxa"/>
          </w:tcPr>
          <w:p w14:paraId="298E2E21" w14:textId="36305842"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32</w:t>
            </w:r>
          </w:p>
        </w:tc>
        <w:tc>
          <w:tcPr>
            <w:tcW w:w="990" w:type="dxa"/>
          </w:tcPr>
          <w:p w14:paraId="21436EE1" w14:textId="04B90DA0"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color w:val="000000"/>
                <w:sz w:val="22"/>
                <w:szCs w:val="22"/>
              </w:rPr>
              <w:t>7,018</w:t>
            </w:r>
          </w:p>
        </w:tc>
      </w:tr>
      <w:tr w:rsidR="009B6A25" w14:paraId="3F55DC12" w14:textId="3301766B" w:rsidTr="00AE6CB3">
        <w:trPr>
          <w:cantSplit/>
        </w:trPr>
        <w:tc>
          <w:tcPr>
            <w:cnfStyle w:val="001000000000" w:firstRow="0" w:lastRow="0" w:firstColumn="1" w:lastColumn="0" w:oddVBand="0" w:evenVBand="0" w:oddHBand="0" w:evenHBand="0" w:firstRowFirstColumn="0" w:firstRowLastColumn="0" w:lastRowFirstColumn="0" w:lastRowLastColumn="0"/>
            <w:tcW w:w="1435" w:type="dxa"/>
          </w:tcPr>
          <w:p w14:paraId="5A45E3A7" w14:textId="199468E8" w:rsidR="009B6A25" w:rsidRPr="00C11123" w:rsidRDefault="009B6A25" w:rsidP="009B6A25">
            <w:pPr>
              <w:rPr>
                <w:rFonts w:cs="Arial"/>
                <w:b w:val="0"/>
                <w:bCs w:val="0"/>
                <w:sz w:val="22"/>
                <w:szCs w:val="22"/>
              </w:rPr>
            </w:pPr>
            <w:r w:rsidRPr="00C11123">
              <w:rPr>
                <w:rFonts w:cs="Arial"/>
                <w:sz w:val="22"/>
                <w:szCs w:val="22"/>
              </w:rPr>
              <w:t>Leominster</w:t>
            </w:r>
          </w:p>
        </w:tc>
        <w:tc>
          <w:tcPr>
            <w:tcW w:w="720" w:type="dxa"/>
          </w:tcPr>
          <w:p w14:paraId="0ED5C9E0" w14:textId="70AFF529"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925825">
              <w:rPr>
                <w:rFonts w:cs="Arial"/>
                <w:sz w:val="22"/>
                <w:szCs w:val="22"/>
              </w:rPr>
              <w:t>[redacted]</w:t>
            </w:r>
          </w:p>
        </w:tc>
        <w:tc>
          <w:tcPr>
            <w:tcW w:w="810" w:type="dxa"/>
          </w:tcPr>
          <w:p w14:paraId="3AAE4E0C" w14:textId="4A4C68A0"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10</w:t>
            </w:r>
          </w:p>
        </w:tc>
        <w:tc>
          <w:tcPr>
            <w:tcW w:w="810" w:type="dxa"/>
          </w:tcPr>
          <w:p w14:paraId="4B5D9C6A" w14:textId="7056901F"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93</w:t>
            </w:r>
          </w:p>
        </w:tc>
        <w:tc>
          <w:tcPr>
            <w:tcW w:w="810" w:type="dxa"/>
          </w:tcPr>
          <w:p w14:paraId="61466965" w14:textId="43E3F8D6"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213</w:t>
            </w:r>
          </w:p>
        </w:tc>
        <w:tc>
          <w:tcPr>
            <w:tcW w:w="810" w:type="dxa"/>
          </w:tcPr>
          <w:p w14:paraId="5F93DE6D" w14:textId="1BCE0216"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358</w:t>
            </w:r>
          </w:p>
        </w:tc>
        <w:tc>
          <w:tcPr>
            <w:tcW w:w="900" w:type="dxa"/>
          </w:tcPr>
          <w:p w14:paraId="46C8EC37" w14:textId="4932BF63"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784</w:t>
            </w:r>
          </w:p>
        </w:tc>
        <w:tc>
          <w:tcPr>
            <w:tcW w:w="900" w:type="dxa"/>
          </w:tcPr>
          <w:p w14:paraId="251AD40C" w14:textId="3AE5180D"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1225</w:t>
            </w:r>
          </w:p>
        </w:tc>
        <w:tc>
          <w:tcPr>
            <w:tcW w:w="900" w:type="dxa"/>
          </w:tcPr>
          <w:p w14:paraId="7B1EE492" w14:textId="01D87176"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947</w:t>
            </w:r>
          </w:p>
        </w:tc>
        <w:tc>
          <w:tcPr>
            <w:tcW w:w="900" w:type="dxa"/>
          </w:tcPr>
          <w:p w14:paraId="6B33A5A7" w14:textId="67855AF6"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364</w:t>
            </w:r>
          </w:p>
        </w:tc>
        <w:tc>
          <w:tcPr>
            <w:tcW w:w="720" w:type="dxa"/>
          </w:tcPr>
          <w:p w14:paraId="3766F82C" w14:textId="567B75FF"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[redacted]</w:t>
            </w:r>
          </w:p>
        </w:tc>
        <w:tc>
          <w:tcPr>
            <w:tcW w:w="990" w:type="dxa"/>
          </w:tcPr>
          <w:p w14:paraId="5A28C80D" w14:textId="42C83978" w:rsidR="009B6A25" w:rsidRPr="00C11123" w:rsidRDefault="009B6A25" w:rsidP="009B6A25">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color w:val="000000"/>
                <w:sz w:val="22"/>
                <w:szCs w:val="22"/>
              </w:rPr>
              <w:t>4,005</w:t>
            </w:r>
          </w:p>
        </w:tc>
      </w:tr>
      <w:tr w:rsidR="009B6A25" w14:paraId="5BFC9BF4" w14:textId="698F8B1D" w:rsidTr="00AE6C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5" w:type="dxa"/>
          </w:tcPr>
          <w:p w14:paraId="3F935515" w14:textId="20962057" w:rsidR="009B6A25" w:rsidRPr="00C11123" w:rsidRDefault="009B6A25" w:rsidP="009B6A25">
            <w:pPr>
              <w:rPr>
                <w:rFonts w:cs="Arial"/>
                <w:b w:val="0"/>
                <w:bCs w:val="0"/>
                <w:sz w:val="22"/>
                <w:szCs w:val="22"/>
              </w:rPr>
            </w:pPr>
            <w:r w:rsidRPr="00C11123">
              <w:rPr>
                <w:rFonts w:cs="Arial"/>
                <w:sz w:val="22"/>
                <w:szCs w:val="22"/>
              </w:rPr>
              <w:t>Milton</w:t>
            </w:r>
          </w:p>
        </w:tc>
        <w:tc>
          <w:tcPr>
            <w:tcW w:w="720" w:type="dxa"/>
          </w:tcPr>
          <w:p w14:paraId="103FA4EB" w14:textId="73693766"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925825">
              <w:rPr>
                <w:rFonts w:cs="Arial"/>
                <w:sz w:val="22"/>
                <w:szCs w:val="22"/>
              </w:rPr>
              <w:t>[redacted]</w:t>
            </w:r>
          </w:p>
        </w:tc>
        <w:tc>
          <w:tcPr>
            <w:tcW w:w="810" w:type="dxa"/>
          </w:tcPr>
          <w:p w14:paraId="74A68836" w14:textId="1651978C"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115</w:t>
            </w:r>
          </w:p>
        </w:tc>
        <w:tc>
          <w:tcPr>
            <w:tcW w:w="810" w:type="dxa"/>
          </w:tcPr>
          <w:p w14:paraId="5066FA39" w14:textId="532F9F5D"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444</w:t>
            </w:r>
          </w:p>
        </w:tc>
        <w:tc>
          <w:tcPr>
            <w:tcW w:w="810" w:type="dxa"/>
          </w:tcPr>
          <w:p w14:paraId="199A302E" w14:textId="650193E4"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724</w:t>
            </w:r>
          </w:p>
        </w:tc>
        <w:tc>
          <w:tcPr>
            <w:tcW w:w="810" w:type="dxa"/>
          </w:tcPr>
          <w:p w14:paraId="34C8246E" w14:textId="08937B42"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1170</w:t>
            </w:r>
          </w:p>
        </w:tc>
        <w:tc>
          <w:tcPr>
            <w:tcW w:w="900" w:type="dxa"/>
          </w:tcPr>
          <w:p w14:paraId="7D2A5F4E" w14:textId="1D1E181E"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2950</w:t>
            </w:r>
          </w:p>
        </w:tc>
        <w:tc>
          <w:tcPr>
            <w:tcW w:w="900" w:type="dxa"/>
          </w:tcPr>
          <w:p w14:paraId="5D974140" w14:textId="7E669C12"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4812</w:t>
            </w:r>
          </w:p>
        </w:tc>
        <w:tc>
          <w:tcPr>
            <w:tcW w:w="900" w:type="dxa"/>
          </w:tcPr>
          <w:p w14:paraId="5E2A5565" w14:textId="6A7FDBD1"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3263</w:t>
            </w:r>
          </w:p>
        </w:tc>
        <w:tc>
          <w:tcPr>
            <w:tcW w:w="900" w:type="dxa"/>
          </w:tcPr>
          <w:p w14:paraId="191AF5A9" w14:textId="4620D058"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784</w:t>
            </w:r>
          </w:p>
        </w:tc>
        <w:tc>
          <w:tcPr>
            <w:tcW w:w="720" w:type="dxa"/>
          </w:tcPr>
          <w:p w14:paraId="3A4F1270" w14:textId="73E59DA0"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82</w:t>
            </w:r>
          </w:p>
        </w:tc>
        <w:tc>
          <w:tcPr>
            <w:tcW w:w="990" w:type="dxa"/>
          </w:tcPr>
          <w:p w14:paraId="42D8C30F" w14:textId="695A7B67" w:rsidR="009B6A25" w:rsidRPr="00C11123" w:rsidRDefault="009B6A25" w:rsidP="009B6A25">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color w:val="000000"/>
                <w:sz w:val="22"/>
                <w:szCs w:val="22"/>
              </w:rPr>
              <w:t>14,349</w:t>
            </w:r>
          </w:p>
        </w:tc>
      </w:tr>
      <w:tr w:rsidR="00507820" w14:paraId="01ABB3D8" w14:textId="10BFE307" w:rsidTr="00AE6CB3">
        <w:trPr>
          <w:cantSplit/>
        </w:trPr>
        <w:tc>
          <w:tcPr>
            <w:cnfStyle w:val="001000000000" w:firstRow="0" w:lastRow="0" w:firstColumn="1" w:lastColumn="0" w:oddVBand="0" w:evenVBand="0" w:oddHBand="0" w:evenHBand="0" w:firstRowFirstColumn="0" w:firstRowLastColumn="0" w:lastRowFirstColumn="0" w:lastRowLastColumn="0"/>
            <w:tcW w:w="1435" w:type="dxa"/>
          </w:tcPr>
          <w:p w14:paraId="04F7C852" w14:textId="7B04FA47" w:rsidR="00C263D3" w:rsidRPr="00C11123" w:rsidRDefault="00000000" w:rsidP="00CC6024">
            <w:pPr>
              <w:rPr>
                <w:rFonts w:cs="Arial"/>
                <w:b w:val="0"/>
                <w:bCs w:val="0"/>
                <w:sz w:val="22"/>
                <w:szCs w:val="22"/>
              </w:rPr>
            </w:pPr>
            <w:r w:rsidRPr="00C11123">
              <w:rPr>
                <w:rFonts w:cs="Arial"/>
                <w:sz w:val="22"/>
                <w:szCs w:val="22"/>
              </w:rPr>
              <w:t>North Easton</w:t>
            </w:r>
          </w:p>
        </w:tc>
        <w:tc>
          <w:tcPr>
            <w:tcW w:w="720" w:type="dxa"/>
          </w:tcPr>
          <w:p w14:paraId="117D0EAA" w14:textId="4F3D0212"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54</w:t>
            </w:r>
          </w:p>
        </w:tc>
        <w:tc>
          <w:tcPr>
            <w:tcW w:w="810" w:type="dxa"/>
          </w:tcPr>
          <w:p w14:paraId="05A8470F" w14:textId="72855CB4"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253</w:t>
            </w:r>
          </w:p>
        </w:tc>
        <w:tc>
          <w:tcPr>
            <w:tcW w:w="810" w:type="dxa"/>
          </w:tcPr>
          <w:p w14:paraId="1B419418" w14:textId="01426260"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861</w:t>
            </w:r>
          </w:p>
        </w:tc>
        <w:tc>
          <w:tcPr>
            <w:tcW w:w="810" w:type="dxa"/>
          </w:tcPr>
          <w:p w14:paraId="3DDB0B1A" w14:textId="0A4E8A64"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1660</w:t>
            </w:r>
          </w:p>
        </w:tc>
        <w:tc>
          <w:tcPr>
            <w:tcW w:w="810" w:type="dxa"/>
          </w:tcPr>
          <w:p w14:paraId="6CEA57F5" w14:textId="753E6CAC"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2286</w:t>
            </w:r>
          </w:p>
        </w:tc>
        <w:tc>
          <w:tcPr>
            <w:tcW w:w="900" w:type="dxa"/>
          </w:tcPr>
          <w:p w14:paraId="753D362E" w14:textId="626B2B7D"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4994</w:t>
            </w:r>
          </w:p>
        </w:tc>
        <w:tc>
          <w:tcPr>
            <w:tcW w:w="900" w:type="dxa"/>
          </w:tcPr>
          <w:p w14:paraId="48547D5E" w14:textId="3FDA34E0"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7207</w:t>
            </w:r>
          </w:p>
        </w:tc>
        <w:tc>
          <w:tcPr>
            <w:tcW w:w="900" w:type="dxa"/>
          </w:tcPr>
          <w:p w14:paraId="6DDAB08B" w14:textId="5CB725C0"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6361</w:t>
            </w:r>
          </w:p>
        </w:tc>
        <w:tc>
          <w:tcPr>
            <w:tcW w:w="900" w:type="dxa"/>
          </w:tcPr>
          <w:p w14:paraId="79B3C78B" w14:textId="092343EA"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1660</w:t>
            </w:r>
          </w:p>
        </w:tc>
        <w:tc>
          <w:tcPr>
            <w:tcW w:w="720" w:type="dxa"/>
          </w:tcPr>
          <w:p w14:paraId="00FB13DD" w14:textId="28F11052"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92</w:t>
            </w:r>
          </w:p>
        </w:tc>
        <w:tc>
          <w:tcPr>
            <w:tcW w:w="990" w:type="dxa"/>
          </w:tcPr>
          <w:p w14:paraId="2C754F72" w14:textId="011D48F5"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color w:val="000000"/>
                <w:sz w:val="22"/>
                <w:szCs w:val="22"/>
              </w:rPr>
              <w:t>25,428</w:t>
            </w:r>
          </w:p>
        </w:tc>
      </w:tr>
      <w:tr w:rsidR="00507820" w14:paraId="48CD85BA" w14:textId="2B75A254" w:rsidTr="00AE6C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5" w:type="dxa"/>
          </w:tcPr>
          <w:p w14:paraId="36194556" w14:textId="3AFC5860" w:rsidR="00C263D3" w:rsidRPr="00C11123" w:rsidRDefault="00000000" w:rsidP="00CC6024">
            <w:pPr>
              <w:rPr>
                <w:rFonts w:cs="Arial"/>
                <w:b w:val="0"/>
                <w:bCs w:val="0"/>
                <w:sz w:val="22"/>
                <w:szCs w:val="22"/>
              </w:rPr>
            </w:pPr>
            <w:r w:rsidRPr="00C11123">
              <w:rPr>
                <w:rFonts w:cs="Arial"/>
                <w:sz w:val="22"/>
                <w:szCs w:val="22"/>
              </w:rPr>
              <w:t>Plymouth</w:t>
            </w:r>
          </w:p>
        </w:tc>
        <w:tc>
          <w:tcPr>
            <w:tcW w:w="720" w:type="dxa"/>
          </w:tcPr>
          <w:p w14:paraId="4E5FBB68" w14:textId="5B8485BE"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23</w:t>
            </w:r>
          </w:p>
        </w:tc>
        <w:tc>
          <w:tcPr>
            <w:tcW w:w="810" w:type="dxa"/>
          </w:tcPr>
          <w:p w14:paraId="49A5661D" w14:textId="060BA059"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142</w:t>
            </w:r>
          </w:p>
        </w:tc>
        <w:tc>
          <w:tcPr>
            <w:tcW w:w="810" w:type="dxa"/>
          </w:tcPr>
          <w:p w14:paraId="66630D91" w14:textId="0713188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534</w:t>
            </w:r>
          </w:p>
        </w:tc>
        <w:tc>
          <w:tcPr>
            <w:tcW w:w="810" w:type="dxa"/>
          </w:tcPr>
          <w:p w14:paraId="010C4ECB" w14:textId="029FB9C0"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1047</w:t>
            </w:r>
          </w:p>
        </w:tc>
        <w:tc>
          <w:tcPr>
            <w:tcW w:w="810" w:type="dxa"/>
          </w:tcPr>
          <w:p w14:paraId="63145C8F" w14:textId="2B097A76"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1448</w:t>
            </w:r>
          </w:p>
        </w:tc>
        <w:tc>
          <w:tcPr>
            <w:tcW w:w="900" w:type="dxa"/>
          </w:tcPr>
          <w:p w14:paraId="1F2FD50F" w14:textId="2048A167"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4004</w:t>
            </w:r>
          </w:p>
        </w:tc>
        <w:tc>
          <w:tcPr>
            <w:tcW w:w="900" w:type="dxa"/>
          </w:tcPr>
          <w:p w14:paraId="090D64A3" w14:textId="7AA40CBC"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8013</w:t>
            </w:r>
          </w:p>
        </w:tc>
        <w:tc>
          <w:tcPr>
            <w:tcW w:w="900" w:type="dxa"/>
          </w:tcPr>
          <w:p w14:paraId="17821C91" w14:textId="79F790A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7234</w:t>
            </w:r>
          </w:p>
        </w:tc>
        <w:tc>
          <w:tcPr>
            <w:tcW w:w="900" w:type="dxa"/>
          </w:tcPr>
          <w:p w14:paraId="758EA769" w14:textId="3CA4225C"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2016</w:t>
            </w:r>
          </w:p>
        </w:tc>
        <w:tc>
          <w:tcPr>
            <w:tcW w:w="720" w:type="dxa"/>
          </w:tcPr>
          <w:p w14:paraId="7CB964F2" w14:textId="7FC708F3"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66</w:t>
            </w:r>
          </w:p>
        </w:tc>
        <w:tc>
          <w:tcPr>
            <w:tcW w:w="990" w:type="dxa"/>
          </w:tcPr>
          <w:p w14:paraId="5AE14928" w14:textId="005CDD1B"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color w:val="000000"/>
                <w:sz w:val="22"/>
                <w:szCs w:val="22"/>
              </w:rPr>
              <w:t>24,527</w:t>
            </w:r>
          </w:p>
        </w:tc>
      </w:tr>
      <w:tr w:rsidR="00507820" w14:paraId="4E6E4471" w14:textId="0FC058CE" w:rsidTr="00AE6CB3">
        <w:trPr>
          <w:cantSplit/>
        </w:trPr>
        <w:tc>
          <w:tcPr>
            <w:cnfStyle w:val="001000000000" w:firstRow="0" w:lastRow="0" w:firstColumn="1" w:lastColumn="0" w:oddVBand="0" w:evenVBand="0" w:oddHBand="0" w:evenHBand="0" w:firstRowFirstColumn="0" w:firstRowLastColumn="0" w:lastRowFirstColumn="0" w:lastRowLastColumn="0"/>
            <w:tcW w:w="1435" w:type="dxa"/>
          </w:tcPr>
          <w:p w14:paraId="6C01F9E3" w14:textId="01BFE8C9" w:rsidR="00C263D3" w:rsidRPr="00C11123" w:rsidRDefault="00000000" w:rsidP="00CC6024">
            <w:pPr>
              <w:jc w:val="center"/>
              <w:rPr>
                <w:rFonts w:cs="Arial"/>
                <w:sz w:val="22"/>
                <w:szCs w:val="22"/>
              </w:rPr>
            </w:pPr>
            <w:r w:rsidRPr="00C11123">
              <w:rPr>
                <w:rFonts w:cs="Arial"/>
                <w:sz w:val="22"/>
                <w:szCs w:val="22"/>
              </w:rPr>
              <w:t>Total by Age</w:t>
            </w:r>
          </w:p>
        </w:tc>
        <w:tc>
          <w:tcPr>
            <w:tcW w:w="720" w:type="dxa"/>
          </w:tcPr>
          <w:p w14:paraId="06A997C9" w14:textId="059AFC00"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236</w:t>
            </w:r>
          </w:p>
        </w:tc>
        <w:tc>
          <w:tcPr>
            <w:tcW w:w="810" w:type="dxa"/>
          </w:tcPr>
          <w:p w14:paraId="3330A0FC" w14:textId="25C23F67"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1,080</w:t>
            </w:r>
          </w:p>
        </w:tc>
        <w:tc>
          <w:tcPr>
            <w:tcW w:w="810" w:type="dxa"/>
          </w:tcPr>
          <w:p w14:paraId="79E0E5A7" w14:textId="7AF381F0"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3,627</w:t>
            </w:r>
          </w:p>
        </w:tc>
        <w:tc>
          <w:tcPr>
            <w:tcW w:w="810" w:type="dxa"/>
          </w:tcPr>
          <w:p w14:paraId="43D73E17" w14:textId="4E3D5A2A"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7,048</w:t>
            </w:r>
          </w:p>
        </w:tc>
        <w:tc>
          <w:tcPr>
            <w:tcW w:w="810" w:type="dxa"/>
          </w:tcPr>
          <w:p w14:paraId="166AA894" w14:textId="430D18CF"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9,824</w:t>
            </w:r>
          </w:p>
        </w:tc>
        <w:tc>
          <w:tcPr>
            <w:tcW w:w="900" w:type="dxa"/>
          </w:tcPr>
          <w:p w14:paraId="14D1E473" w14:textId="424EDE2A"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23,948</w:t>
            </w:r>
          </w:p>
        </w:tc>
        <w:tc>
          <w:tcPr>
            <w:tcW w:w="900" w:type="dxa"/>
          </w:tcPr>
          <w:p w14:paraId="5335C979" w14:textId="65BF15A2"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40,468</w:t>
            </w:r>
          </w:p>
        </w:tc>
        <w:tc>
          <w:tcPr>
            <w:tcW w:w="900" w:type="dxa"/>
          </w:tcPr>
          <w:p w14:paraId="34500A33" w14:textId="737D9A85"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34,559</w:t>
            </w:r>
          </w:p>
        </w:tc>
        <w:tc>
          <w:tcPr>
            <w:tcW w:w="900" w:type="dxa"/>
          </w:tcPr>
          <w:p w14:paraId="7DA40BAF" w14:textId="1FEA4045"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10,732</w:t>
            </w:r>
          </w:p>
        </w:tc>
        <w:tc>
          <w:tcPr>
            <w:tcW w:w="720" w:type="dxa"/>
          </w:tcPr>
          <w:p w14:paraId="19612B84" w14:textId="78B06477"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highlight w:val="yellow"/>
              </w:rPr>
            </w:pPr>
            <w:r w:rsidRPr="00C11123">
              <w:rPr>
                <w:rFonts w:cs="Arial"/>
                <w:b/>
                <w:bCs/>
                <w:sz w:val="22"/>
                <w:szCs w:val="22"/>
              </w:rPr>
              <w:t>640</w:t>
            </w:r>
          </w:p>
        </w:tc>
        <w:tc>
          <w:tcPr>
            <w:tcW w:w="990" w:type="dxa"/>
          </w:tcPr>
          <w:p w14:paraId="611B7F12" w14:textId="2A822CDA" w:rsidR="00C263D3"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highlight w:val="yellow"/>
                <w:u w:val="single"/>
              </w:rPr>
            </w:pPr>
            <w:r w:rsidRPr="00C11123">
              <w:rPr>
                <w:rFonts w:cs="Arial"/>
                <w:b/>
                <w:bCs/>
                <w:color w:val="000000"/>
                <w:sz w:val="22"/>
                <w:szCs w:val="22"/>
                <w:u w:val="single"/>
              </w:rPr>
              <w:t>132,162</w:t>
            </w:r>
          </w:p>
        </w:tc>
      </w:tr>
      <w:tr w:rsidR="00507820" w14:paraId="6F4F3F79" w14:textId="76E6C421" w:rsidTr="00AE6C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5" w:type="dxa"/>
          </w:tcPr>
          <w:p w14:paraId="507C0D60" w14:textId="22706129" w:rsidR="00C263D3" w:rsidRPr="00C11123" w:rsidRDefault="00000000" w:rsidP="00CC6024">
            <w:pPr>
              <w:jc w:val="center"/>
              <w:rPr>
                <w:rFonts w:cs="Arial"/>
                <w:sz w:val="22"/>
                <w:szCs w:val="22"/>
              </w:rPr>
            </w:pPr>
            <w:r w:rsidRPr="00C11123">
              <w:rPr>
                <w:rFonts w:cs="Arial"/>
                <w:sz w:val="22"/>
                <w:szCs w:val="22"/>
              </w:rPr>
              <w:lastRenderedPageBreak/>
              <w:t>% of Total</w:t>
            </w:r>
            <w:r>
              <w:rPr>
                <w:rStyle w:val="FootnoteReference"/>
                <w:rFonts w:cs="Arial"/>
                <w:sz w:val="22"/>
                <w:szCs w:val="22"/>
              </w:rPr>
              <w:footnoteReference w:id="2"/>
            </w:r>
          </w:p>
        </w:tc>
        <w:tc>
          <w:tcPr>
            <w:tcW w:w="720" w:type="dxa"/>
          </w:tcPr>
          <w:p w14:paraId="4219FA5C" w14:textId="34D6391C" w:rsidR="00C263D3" w:rsidRPr="00C11123" w:rsidRDefault="00000000" w:rsidP="00CC6024">
            <w:pP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0.18</w:t>
            </w:r>
          </w:p>
        </w:tc>
        <w:tc>
          <w:tcPr>
            <w:tcW w:w="810" w:type="dxa"/>
          </w:tcPr>
          <w:p w14:paraId="79A67722" w14:textId="5EFF795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0.</w:t>
            </w:r>
            <w:r w:rsidR="00755D84" w:rsidRPr="00C11123">
              <w:rPr>
                <w:rFonts w:cs="Arial"/>
                <w:b/>
                <w:bCs/>
                <w:sz w:val="22"/>
                <w:szCs w:val="22"/>
              </w:rPr>
              <w:t>82</w:t>
            </w:r>
          </w:p>
        </w:tc>
        <w:tc>
          <w:tcPr>
            <w:tcW w:w="810" w:type="dxa"/>
          </w:tcPr>
          <w:p w14:paraId="023539C8" w14:textId="09DDF54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2.74</w:t>
            </w:r>
          </w:p>
        </w:tc>
        <w:tc>
          <w:tcPr>
            <w:tcW w:w="810" w:type="dxa"/>
          </w:tcPr>
          <w:p w14:paraId="4EF66CD2" w14:textId="2316E73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5.</w:t>
            </w:r>
            <w:r w:rsidR="001454DD" w:rsidRPr="00C11123">
              <w:rPr>
                <w:rFonts w:cs="Arial"/>
                <w:b/>
                <w:bCs/>
                <w:sz w:val="22"/>
                <w:szCs w:val="22"/>
              </w:rPr>
              <w:t>33</w:t>
            </w:r>
          </w:p>
        </w:tc>
        <w:tc>
          <w:tcPr>
            <w:tcW w:w="810" w:type="dxa"/>
          </w:tcPr>
          <w:p w14:paraId="5EB992D9" w14:textId="40B083E4"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7.</w:t>
            </w:r>
            <w:r w:rsidR="004E165B" w:rsidRPr="00C11123">
              <w:rPr>
                <w:rFonts w:cs="Arial"/>
                <w:b/>
                <w:bCs/>
                <w:sz w:val="22"/>
                <w:szCs w:val="22"/>
              </w:rPr>
              <w:t>43</w:t>
            </w:r>
          </w:p>
        </w:tc>
        <w:tc>
          <w:tcPr>
            <w:tcW w:w="900" w:type="dxa"/>
          </w:tcPr>
          <w:p w14:paraId="10438885" w14:textId="4EC09F0A"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18.12</w:t>
            </w:r>
          </w:p>
        </w:tc>
        <w:tc>
          <w:tcPr>
            <w:tcW w:w="900" w:type="dxa"/>
          </w:tcPr>
          <w:p w14:paraId="09D90932" w14:textId="4EA21AF9"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30.</w:t>
            </w:r>
            <w:r w:rsidR="004958E2" w:rsidRPr="00C11123">
              <w:rPr>
                <w:rFonts w:cs="Arial"/>
                <w:b/>
                <w:bCs/>
                <w:sz w:val="22"/>
                <w:szCs w:val="22"/>
              </w:rPr>
              <w:t>62</w:t>
            </w:r>
          </w:p>
        </w:tc>
        <w:tc>
          <w:tcPr>
            <w:tcW w:w="900" w:type="dxa"/>
          </w:tcPr>
          <w:p w14:paraId="66428373" w14:textId="3BF1A237"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26.15</w:t>
            </w:r>
          </w:p>
        </w:tc>
        <w:tc>
          <w:tcPr>
            <w:tcW w:w="900" w:type="dxa"/>
          </w:tcPr>
          <w:p w14:paraId="20B9CD23" w14:textId="3FE8F711"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8.12</w:t>
            </w:r>
          </w:p>
        </w:tc>
        <w:tc>
          <w:tcPr>
            <w:tcW w:w="720" w:type="dxa"/>
          </w:tcPr>
          <w:p w14:paraId="12FF82F2" w14:textId="675B0DE8"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0.48</w:t>
            </w:r>
          </w:p>
        </w:tc>
        <w:tc>
          <w:tcPr>
            <w:tcW w:w="990" w:type="dxa"/>
          </w:tcPr>
          <w:p w14:paraId="0DFF2A17" w14:textId="085A4F76" w:rsidR="00C263D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highlight w:val="yellow"/>
              </w:rPr>
            </w:pPr>
            <w:r w:rsidRPr="00C11123">
              <w:rPr>
                <w:rFonts w:cs="Arial"/>
                <w:b/>
                <w:bCs/>
                <w:sz w:val="22"/>
                <w:szCs w:val="22"/>
              </w:rPr>
              <w:t>100%</w:t>
            </w:r>
          </w:p>
        </w:tc>
      </w:tr>
    </w:tbl>
    <w:p w14:paraId="44E33E20" w14:textId="77777777" w:rsidR="008509D7" w:rsidRPr="00C11123" w:rsidRDefault="008509D7" w:rsidP="00CC6024">
      <w:pPr>
        <w:spacing w:after="0" w:line="240" w:lineRule="auto"/>
        <w:jc w:val="both"/>
        <w:rPr>
          <w:rFonts w:cs="Arial"/>
          <w:sz w:val="22"/>
          <w:szCs w:val="22"/>
        </w:rPr>
      </w:pPr>
    </w:p>
    <w:p w14:paraId="056A0661" w14:textId="1361D0AB" w:rsidR="00CA75CF" w:rsidRPr="00C11123" w:rsidRDefault="00000000" w:rsidP="00CC6024">
      <w:pPr>
        <w:spacing w:after="0" w:line="240" w:lineRule="auto"/>
        <w:jc w:val="both"/>
        <w:rPr>
          <w:rFonts w:cs="Arial"/>
          <w:sz w:val="22"/>
          <w:szCs w:val="22"/>
        </w:rPr>
      </w:pPr>
      <w:r w:rsidRPr="00C11123">
        <w:rPr>
          <w:rFonts w:cs="Arial"/>
          <w:sz w:val="22"/>
          <w:szCs w:val="22"/>
        </w:rPr>
        <w:t xml:space="preserve">The Patient Panel </w:t>
      </w:r>
      <w:r w:rsidR="00AE2ECF" w:rsidRPr="00C11123">
        <w:rPr>
          <w:rFonts w:cs="Arial"/>
          <w:sz w:val="22"/>
          <w:szCs w:val="22"/>
        </w:rPr>
        <w:t>includes a high number of males over age 65</w:t>
      </w:r>
      <w:r w:rsidRPr="00C11123">
        <w:rPr>
          <w:rFonts w:cs="Arial"/>
          <w:sz w:val="22"/>
          <w:szCs w:val="22"/>
        </w:rPr>
        <w:t xml:space="preserve">, which </w:t>
      </w:r>
      <w:r w:rsidR="004E7B6A" w:rsidRPr="00C11123">
        <w:rPr>
          <w:rFonts w:cs="Arial"/>
          <w:sz w:val="22"/>
          <w:szCs w:val="22"/>
        </w:rPr>
        <w:t xml:space="preserve">demographic </w:t>
      </w:r>
      <w:r w:rsidRPr="00C11123">
        <w:rPr>
          <w:rFonts w:cs="Arial"/>
          <w:sz w:val="22"/>
          <w:szCs w:val="22"/>
        </w:rPr>
        <w:t xml:space="preserve">is of </w:t>
      </w:r>
      <w:proofErr w:type="gramStart"/>
      <w:r w:rsidRPr="00C11123">
        <w:rPr>
          <w:rFonts w:cs="Arial"/>
          <w:sz w:val="22"/>
          <w:szCs w:val="22"/>
        </w:rPr>
        <w:t xml:space="preserve">particular </w:t>
      </w:r>
      <w:r w:rsidR="004E7B6A" w:rsidRPr="00C11123">
        <w:rPr>
          <w:rFonts w:cs="Arial"/>
          <w:sz w:val="22"/>
          <w:szCs w:val="22"/>
        </w:rPr>
        <w:t>relevance</w:t>
      </w:r>
      <w:proofErr w:type="gramEnd"/>
      <w:r w:rsidR="004E7B6A" w:rsidRPr="00C11123">
        <w:rPr>
          <w:rFonts w:cs="Arial"/>
          <w:sz w:val="22"/>
          <w:szCs w:val="22"/>
        </w:rPr>
        <w:t xml:space="preserve"> given the elevated incidence of prostate cancer in this </w:t>
      </w:r>
      <w:r w:rsidR="00AE2ECF" w:rsidRPr="00C11123">
        <w:rPr>
          <w:rFonts w:cs="Arial"/>
          <w:sz w:val="22"/>
          <w:szCs w:val="22"/>
        </w:rPr>
        <w:t>demographic group</w:t>
      </w:r>
      <w:r w:rsidRPr="00C11123">
        <w:rPr>
          <w:rFonts w:cs="Arial"/>
          <w:sz w:val="22"/>
          <w:szCs w:val="22"/>
        </w:rPr>
        <w:t>.</w:t>
      </w:r>
      <w:r>
        <w:rPr>
          <w:rStyle w:val="FootnoteReference"/>
          <w:rFonts w:cs="Arial"/>
          <w:sz w:val="22"/>
          <w:szCs w:val="22"/>
        </w:rPr>
        <w:footnoteReference w:id="3"/>
      </w:r>
      <w:r w:rsidRPr="00C11123">
        <w:rPr>
          <w:rFonts w:cs="Arial"/>
          <w:sz w:val="22"/>
          <w:szCs w:val="22"/>
        </w:rPr>
        <w:t xml:space="preserve"> </w:t>
      </w:r>
      <w:r w:rsidR="00685990" w:rsidRPr="00C11123">
        <w:rPr>
          <w:rFonts w:cs="Arial"/>
          <w:sz w:val="22"/>
          <w:szCs w:val="22"/>
        </w:rPr>
        <w:t xml:space="preserve">See </w:t>
      </w:r>
      <w:r w:rsidRPr="00C11123">
        <w:rPr>
          <w:rFonts w:cs="Arial"/>
          <w:sz w:val="22"/>
          <w:szCs w:val="22"/>
        </w:rPr>
        <w:t>Table 7.</w:t>
      </w:r>
    </w:p>
    <w:p w14:paraId="7CE8E34D" w14:textId="77777777" w:rsidR="005A466A" w:rsidRPr="00C11123" w:rsidRDefault="005A466A" w:rsidP="00CC6024">
      <w:pPr>
        <w:spacing w:after="0" w:line="240" w:lineRule="auto"/>
        <w:jc w:val="both"/>
        <w:rPr>
          <w:rFonts w:cs="Arial"/>
          <w:sz w:val="22"/>
          <w:szCs w:val="22"/>
        </w:rPr>
      </w:pPr>
    </w:p>
    <w:p w14:paraId="1DE2F35C" w14:textId="20FC1BE6" w:rsidR="0077543E" w:rsidRPr="00C11123" w:rsidRDefault="00000000" w:rsidP="00CC6024">
      <w:pPr>
        <w:spacing w:after="0" w:line="240" w:lineRule="auto"/>
        <w:jc w:val="both"/>
        <w:rPr>
          <w:rFonts w:cs="Arial"/>
          <w:b/>
          <w:bCs/>
          <w:sz w:val="22"/>
          <w:szCs w:val="22"/>
        </w:rPr>
      </w:pPr>
      <w:r w:rsidRPr="00C11123">
        <w:rPr>
          <w:rFonts w:cs="Arial"/>
          <w:b/>
          <w:bCs/>
          <w:sz w:val="22"/>
          <w:szCs w:val="22"/>
        </w:rPr>
        <w:t xml:space="preserve">Table </w:t>
      </w:r>
      <w:r w:rsidR="00A55D07" w:rsidRPr="00C11123">
        <w:rPr>
          <w:rFonts w:cs="Arial"/>
          <w:b/>
          <w:bCs/>
          <w:sz w:val="22"/>
          <w:szCs w:val="22"/>
        </w:rPr>
        <w:t>7</w:t>
      </w:r>
      <w:r w:rsidRPr="00C11123">
        <w:rPr>
          <w:rFonts w:cs="Arial"/>
          <w:b/>
          <w:bCs/>
          <w:sz w:val="22"/>
          <w:szCs w:val="22"/>
        </w:rPr>
        <w:t xml:space="preserve"> – Patient Panel</w:t>
      </w:r>
      <w:r w:rsidR="009F1C4A" w:rsidRPr="00C11123">
        <w:rPr>
          <w:rFonts w:cs="Arial"/>
          <w:b/>
          <w:bCs/>
          <w:sz w:val="22"/>
          <w:szCs w:val="22"/>
        </w:rPr>
        <w:t xml:space="preserve">: </w:t>
      </w:r>
      <w:r w:rsidRPr="00C11123">
        <w:rPr>
          <w:rFonts w:cs="Arial"/>
          <w:b/>
          <w:bCs/>
          <w:sz w:val="22"/>
          <w:szCs w:val="22"/>
        </w:rPr>
        <w:t>Males Aged 65+</w:t>
      </w:r>
      <w:r>
        <w:rPr>
          <w:rStyle w:val="FootnoteReference"/>
          <w:rFonts w:cs="Arial"/>
          <w:b/>
          <w:bCs/>
          <w:sz w:val="22"/>
          <w:szCs w:val="22"/>
        </w:rPr>
        <w:footnoteReference w:id="4"/>
      </w:r>
    </w:p>
    <w:tbl>
      <w:tblPr>
        <w:tblStyle w:val="GridTable4"/>
        <w:tblW w:w="0" w:type="auto"/>
        <w:tblLook w:val="04A0" w:firstRow="1" w:lastRow="0" w:firstColumn="1" w:lastColumn="0" w:noHBand="0" w:noVBand="1"/>
        <w:tblCaption w:val="Patient Panel: Males Aged 65+"/>
      </w:tblPr>
      <w:tblGrid>
        <w:gridCol w:w="1715"/>
        <w:gridCol w:w="1402"/>
        <w:gridCol w:w="1400"/>
        <w:gridCol w:w="1344"/>
        <w:gridCol w:w="1669"/>
        <w:gridCol w:w="1820"/>
      </w:tblGrid>
      <w:tr w:rsidR="00507820" w14:paraId="45855832" w14:textId="50DF4E29" w:rsidTr="006065D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15" w:type="dxa"/>
          </w:tcPr>
          <w:p w14:paraId="00B8AB1F" w14:textId="77777777" w:rsidR="00E24028" w:rsidRPr="00C11123" w:rsidRDefault="00E24028" w:rsidP="00CC6024">
            <w:pPr>
              <w:jc w:val="center"/>
              <w:rPr>
                <w:rFonts w:cs="Arial"/>
                <w:sz w:val="22"/>
                <w:szCs w:val="22"/>
              </w:rPr>
            </w:pPr>
          </w:p>
          <w:p w14:paraId="116DCD65" w14:textId="7667A1D7" w:rsidR="00EB4280" w:rsidRPr="00C11123" w:rsidRDefault="00000000" w:rsidP="00CC6024">
            <w:pPr>
              <w:jc w:val="center"/>
              <w:rPr>
                <w:rFonts w:cs="Arial"/>
                <w:sz w:val="22"/>
                <w:szCs w:val="22"/>
              </w:rPr>
            </w:pPr>
            <w:r w:rsidRPr="00C11123">
              <w:rPr>
                <w:rFonts w:cs="Arial"/>
                <w:sz w:val="22"/>
                <w:szCs w:val="22"/>
              </w:rPr>
              <w:t>Location</w:t>
            </w:r>
          </w:p>
        </w:tc>
        <w:tc>
          <w:tcPr>
            <w:tcW w:w="1402" w:type="dxa"/>
          </w:tcPr>
          <w:p w14:paraId="3C6D5E3A" w14:textId="72EF6D16" w:rsidR="00EB4280"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w:t>
            </w:r>
          </w:p>
        </w:tc>
        <w:tc>
          <w:tcPr>
            <w:tcW w:w="1400" w:type="dxa"/>
          </w:tcPr>
          <w:p w14:paraId="4AC4BC4C" w14:textId="6AA5240B" w:rsidR="00EB4280"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2024</w:t>
            </w:r>
          </w:p>
        </w:tc>
        <w:tc>
          <w:tcPr>
            <w:tcW w:w="1344" w:type="dxa"/>
          </w:tcPr>
          <w:p w14:paraId="3BA5F4AD" w14:textId="7399245C" w:rsidR="00EB4280"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2025</w:t>
            </w:r>
          </w:p>
        </w:tc>
        <w:tc>
          <w:tcPr>
            <w:tcW w:w="1669" w:type="dxa"/>
          </w:tcPr>
          <w:p w14:paraId="77BAF188" w14:textId="132C6362" w:rsidR="00EB4280"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Numeric Change (2023-2025)</w:t>
            </w:r>
          </w:p>
        </w:tc>
        <w:tc>
          <w:tcPr>
            <w:tcW w:w="1820" w:type="dxa"/>
          </w:tcPr>
          <w:p w14:paraId="21C658EF" w14:textId="6E601964" w:rsidR="00EB4280"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Change (2023-2025)</w:t>
            </w:r>
          </w:p>
        </w:tc>
      </w:tr>
      <w:tr w:rsidR="00507820" w14:paraId="0C1A1B34" w14:textId="514E7ABA" w:rsidTr="006065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5" w:type="dxa"/>
          </w:tcPr>
          <w:p w14:paraId="2795570C" w14:textId="77777777" w:rsidR="00EB4280" w:rsidRPr="00C11123" w:rsidRDefault="00000000" w:rsidP="00CC6024">
            <w:pPr>
              <w:rPr>
                <w:rFonts w:cs="Arial"/>
                <w:b w:val="0"/>
                <w:bCs w:val="0"/>
                <w:sz w:val="22"/>
                <w:szCs w:val="22"/>
              </w:rPr>
            </w:pPr>
            <w:r w:rsidRPr="00C11123">
              <w:rPr>
                <w:rFonts w:cs="Arial"/>
                <w:sz w:val="22"/>
                <w:szCs w:val="22"/>
              </w:rPr>
              <w:t>Attleboro</w:t>
            </w:r>
          </w:p>
        </w:tc>
        <w:tc>
          <w:tcPr>
            <w:tcW w:w="1402" w:type="dxa"/>
          </w:tcPr>
          <w:p w14:paraId="27393BE1" w14:textId="0F4F93B7"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N/A</w:t>
            </w:r>
          </w:p>
        </w:tc>
        <w:tc>
          <w:tcPr>
            <w:tcW w:w="1400" w:type="dxa"/>
          </w:tcPr>
          <w:p w14:paraId="59BAFC61" w14:textId="4EAAF232"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N/A</w:t>
            </w:r>
          </w:p>
        </w:tc>
        <w:tc>
          <w:tcPr>
            <w:tcW w:w="1344" w:type="dxa"/>
          </w:tcPr>
          <w:p w14:paraId="1DCD0DBC" w14:textId="03C5EFBE"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3985</w:t>
            </w:r>
          </w:p>
        </w:tc>
        <w:tc>
          <w:tcPr>
            <w:tcW w:w="1669" w:type="dxa"/>
          </w:tcPr>
          <w:p w14:paraId="40AC196B" w14:textId="43AE9D37"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N/A</w:t>
            </w:r>
          </w:p>
        </w:tc>
        <w:tc>
          <w:tcPr>
            <w:tcW w:w="1820" w:type="dxa"/>
          </w:tcPr>
          <w:p w14:paraId="4AC70A5C" w14:textId="59D0F74D"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N/A</w:t>
            </w:r>
          </w:p>
        </w:tc>
      </w:tr>
      <w:tr w:rsidR="00507820" w14:paraId="04A7E93A" w14:textId="50E54EA0" w:rsidTr="006065DC">
        <w:trPr>
          <w:cantSplit/>
        </w:trPr>
        <w:tc>
          <w:tcPr>
            <w:cnfStyle w:val="001000000000" w:firstRow="0" w:lastRow="0" w:firstColumn="1" w:lastColumn="0" w:oddVBand="0" w:evenVBand="0" w:oddHBand="0" w:evenHBand="0" w:firstRowFirstColumn="0" w:firstRowLastColumn="0" w:lastRowFirstColumn="0" w:lastRowLastColumn="0"/>
            <w:tcW w:w="1715" w:type="dxa"/>
          </w:tcPr>
          <w:p w14:paraId="60925336" w14:textId="77777777" w:rsidR="00EB4280" w:rsidRPr="00C11123" w:rsidRDefault="00000000" w:rsidP="00CC6024">
            <w:pPr>
              <w:rPr>
                <w:rFonts w:cs="Arial"/>
                <w:b w:val="0"/>
                <w:bCs w:val="0"/>
                <w:sz w:val="22"/>
                <w:szCs w:val="22"/>
              </w:rPr>
            </w:pPr>
            <w:r w:rsidRPr="00C11123">
              <w:rPr>
                <w:rFonts w:cs="Arial"/>
                <w:sz w:val="22"/>
                <w:szCs w:val="22"/>
              </w:rPr>
              <w:t>Dedham</w:t>
            </w:r>
          </w:p>
        </w:tc>
        <w:tc>
          <w:tcPr>
            <w:tcW w:w="1402" w:type="dxa"/>
          </w:tcPr>
          <w:p w14:paraId="688F16BB" w14:textId="162D2EA2"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5334</w:t>
            </w:r>
          </w:p>
        </w:tc>
        <w:tc>
          <w:tcPr>
            <w:tcW w:w="1400" w:type="dxa"/>
          </w:tcPr>
          <w:p w14:paraId="5467F526" w14:textId="0ADC3A13"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7893</w:t>
            </w:r>
          </w:p>
        </w:tc>
        <w:tc>
          <w:tcPr>
            <w:tcW w:w="1344" w:type="dxa"/>
          </w:tcPr>
          <w:p w14:paraId="09A98815" w14:textId="23E2871B"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7737</w:t>
            </w:r>
          </w:p>
        </w:tc>
        <w:tc>
          <w:tcPr>
            <w:tcW w:w="1669" w:type="dxa"/>
          </w:tcPr>
          <w:p w14:paraId="391A860F" w14:textId="66CD12EF"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+2403</w:t>
            </w:r>
          </w:p>
        </w:tc>
        <w:tc>
          <w:tcPr>
            <w:tcW w:w="1820" w:type="dxa"/>
          </w:tcPr>
          <w:p w14:paraId="08063CDA" w14:textId="44F3D523"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xml:space="preserve">+45.1% </w:t>
            </w:r>
          </w:p>
        </w:tc>
      </w:tr>
      <w:tr w:rsidR="00507820" w14:paraId="680038A7" w14:textId="725919CF" w:rsidTr="006065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5" w:type="dxa"/>
          </w:tcPr>
          <w:p w14:paraId="38AAFFBB" w14:textId="77777777" w:rsidR="00EB4280" w:rsidRPr="00C11123" w:rsidRDefault="00000000" w:rsidP="00CC6024">
            <w:pPr>
              <w:rPr>
                <w:rFonts w:cs="Arial"/>
                <w:sz w:val="22"/>
                <w:szCs w:val="22"/>
              </w:rPr>
            </w:pPr>
            <w:r w:rsidRPr="00C11123">
              <w:rPr>
                <w:rFonts w:cs="Arial"/>
                <w:sz w:val="22"/>
                <w:szCs w:val="22"/>
              </w:rPr>
              <w:t>Falmouth</w:t>
            </w:r>
          </w:p>
        </w:tc>
        <w:tc>
          <w:tcPr>
            <w:tcW w:w="1402" w:type="dxa"/>
          </w:tcPr>
          <w:p w14:paraId="1321827A" w14:textId="244786DB"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6305</w:t>
            </w:r>
          </w:p>
        </w:tc>
        <w:tc>
          <w:tcPr>
            <w:tcW w:w="1400" w:type="dxa"/>
          </w:tcPr>
          <w:p w14:paraId="0797381F" w14:textId="1DBC9473"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6699</w:t>
            </w:r>
          </w:p>
        </w:tc>
        <w:tc>
          <w:tcPr>
            <w:tcW w:w="1344" w:type="dxa"/>
          </w:tcPr>
          <w:p w14:paraId="028F2ED8" w14:textId="2A36EF0F"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7533</w:t>
            </w:r>
          </w:p>
        </w:tc>
        <w:tc>
          <w:tcPr>
            <w:tcW w:w="1669" w:type="dxa"/>
          </w:tcPr>
          <w:p w14:paraId="120293F2" w14:textId="3C85B133"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+1228</w:t>
            </w:r>
          </w:p>
        </w:tc>
        <w:tc>
          <w:tcPr>
            <w:tcW w:w="1820" w:type="dxa"/>
          </w:tcPr>
          <w:p w14:paraId="5F401741" w14:textId="07FCDE77"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 xml:space="preserve">+19.5% </w:t>
            </w:r>
          </w:p>
        </w:tc>
      </w:tr>
      <w:tr w:rsidR="00507820" w14:paraId="28644F8A" w14:textId="38C8F899" w:rsidTr="006065DC">
        <w:trPr>
          <w:cantSplit/>
        </w:trPr>
        <w:tc>
          <w:tcPr>
            <w:cnfStyle w:val="001000000000" w:firstRow="0" w:lastRow="0" w:firstColumn="1" w:lastColumn="0" w:oddVBand="0" w:evenVBand="0" w:oddHBand="0" w:evenHBand="0" w:firstRowFirstColumn="0" w:firstRowLastColumn="0" w:lastRowFirstColumn="0" w:lastRowLastColumn="0"/>
            <w:tcW w:w="1715" w:type="dxa"/>
          </w:tcPr>
          <w:p w14:paraId="6B8A5EDE" w14:textId="77777777" w:rsidR="00EB4280" w:rsidRPr="00C11123" w:rsidRDefault="00000000" w:rsidP="00CC6024">
            <w:pPr>
              <w:rPr>
                <w:rFonts w:cs="Arial"/>
                <w:b w:val="0"/>
                <w:bCs w:val="0"/>
                <w:sz w:val="22"/>
                <w:szCs w:val="22"/>
              </w:rPr>
            </w:pPr>
            <w:r w:rsidRPr="00C11123">
              <w:rPr>
                <w:rFonts w:cs="Arial"/>
                <w:sz w:val="22"/>
                <w:szCs w:val="22"/>
              </w:rPr>
              <w:t>Framingham</w:t>
            </w:r>
          </w:p>
        </w:tc>
        <w:tc>
          <w:tcPr>
            <w:tcW w:w="1402" w:type="dxa"/>
          </w:tcPr>
          <w:p w14:paraId="366662AF" w14:textId="10FE3AE5"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7297</w:t>
            </w:r>
          </w:p>
        </w:tc>
        <w:tc>
          <w:tcPr>
            <w:tcW w:w="1400" w:type="dxa"/>
          </w:tcPr>
          <w:p w14:paraId="10E4AD1E" w14:textId="093EA02F"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7795</w:t>
            </w:r>
          </w:p>
        </w:tc>
        <w:tc>
          <w:tcPr>
            <w:tcW w:w="1344" w:type="dxa"/>
          </w:tcPr>
          <w:p w14:paraId="364ECB61" w14:textId="4E07D24B"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8497</w:t>
            </w:r>
          </w:p>
        </w:tc>
        <w:tc>
          <w:tcPr>
            <w:tcW w:w="1669" w:type="dxa"/>
          </w:tcPr>
          <w:p w14:paraId="79E4FF6F" w14:textId="22A1096E"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+1200</w:t>
            </w:r>
          </w:p>
        </w:tc>
        <w:tc>
          <w:tcPr>
            <w:tcW w:w="1820" w:type="dxa"/>
          </w:tcPr>
          <w:p w14:paraId="10F5D336" w14:textId="652EF2ED"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xml:space="preserve">+16.4% </w:t>
            </w:r>
          </w:p>
        </w:tc>
      </w:tr>
      <w:tr w:rsidR="00507820" w14:paraId="50F76968" w14:textId="41B478FD" w:rsidTr="006065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5" w:type="dxa"/>
          </w:tcPr>
          <w:p w14:paraId="2B4C2DDC" w14:textId="77777777" w:rsidR="00EB4280" w:rsidRPr="00C11123" w:rsidRDefault="00000000" w:rsidP="00CC6024">
            <w:pPr>
              <w:rPr>
                <w:rFonts w:cs="Arial"/>
                <w:b w:val="0"/>
                <w:bCs w:val="0"/>
                <w:sz w:val="22"/>
                <w:szCs w:val="22"/>
              </w:rPr>
            </w:pPr>
            <w:r w:rsidRPr="00C11123">
              <w:rPr>
                <w:rFonts w:cs="Arial"/>
                <w:sz w:val="22"/>
                <w:szCs w:val="22"/>
              </w:rPr>
              <w:t>Hyannis</w:t>
            </w:r>
          </w:p>
        </w:tc>
        <w:tc>
          <w:tcPr>
            <w:tcW w:w="1402" w:type="dxa"/>
          </w:tcPr>
          <w:p w14:paraId="24882AC3" w14:textId="44814BF5"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1996</w:t>
            </w:r>
          </w:p>
        </w:tc>
        <w:tc>
          <w:tcPr>
            <w:tcW w:w="1400" w:type="dxa"/>
          </w:tcPr>
          <w:p w14:paraId="16DD4C84" w14:textId="0D0FF621"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2360</w:t>
            </w:r>
          </w:p>
        </w:tc>
        <w:tc>
          <w:tcPr>
            <w:tcW w:w="1344" w:type="dxa"/>
          </w:tcPr>
          <w:p w14:paraId="49460CE1" w14:textId="0E3852C2"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3007</w:t>
            </w:r>
          </w:p>
        </w:tc>
        <w:tc>
          <w:tcPr>
            <w:tcW w:w="1669" w:type="dxa"/>
          </w:tcPr>
          <w:p w14:paraId="607903CB" w14:textId="5165CF84"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+1011</w:t>
            </w:r>
          </w:p>
        </w:tc>
        <w:tc>
          <w:tcPr>
            <w:tcW w:w="1820" w:type="dxa"/>
          </w:tcPr>
          <w:p w14:paraId="4392487E" w14:textId="57159EBA"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 xml:space="preserve">+50.7% </w:t>
            </w:r>
          </w:p>
        </w:tc>
      </w:tr>
      <w:tr w:rsidR="00507820" w14:paraId="468D3110" w14:textId="5DF3E7A8" w:rsidTr="006065DC">
        <w:trPr>
          <w:cantSplit/>
        </w:trPr>
        <w:tc>
          <w:tcPr>
            <w:cnfStyle w:val="001000000000" w:firstRow="0" w:lastRow="0" w:firstColumn="1" w:lastColumn="0" w:oddVBand="0" w:evenVBand="0" w:oddHBand="0" w:evenHBand="0" w:firstRowFirstColumn="0" w:firstRowLastColumn="0" w:lastRowFirstColumn="0" w:lastRowLastColumn="0"/>
            <w:tcW w:w="1715" w:type="dxa"/>
          </w:tcPr>
          <w:p w14:paraId="3E93ACE6" w14:textId="77777777" w:rsidR="00EB4280" w:rsidRPr="00C11123" w:rsidRDefault="00000000" w:rsidP="00CC6024">
            <w:pPr>
              <w:rPr>
                <w:rFonts w:cs="Arial"/>
                <w:sz w:val="22"/>
                <w:szCs w:val="22"/>
              </w:rPr>
            </w:pPr>
            <w:r w:rsidRPr="00C11123">
              <w:rPr>
                <w:rFonts w:cs="Arial"/>
                <w:sz w:val="22"/>
                <w:szCs w:val="22"/>
              </w:rPr>
              <w:t>Leominster</w:t>
            </w:r>
          </w:p>
        </w:tc>
        <w:tc>
          <w:tcPr>
            <w:tcW w:w="1402" w:type="dxa"/>
          </w:tcPr>
          <w:p w14:paraId="425CBF88" w14:textId="03F18F50"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N/A</w:t>
            </w:r>
          </w:p>
        </w:tc>
        <w:tc>
          <w:tcPr>
            <w:tcW w:w="1400" w:type="dxa"/>
          </w:tcPr>
          <w:p w14:paraId="7B2CA549" w14:textId="731B769F"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N/A</w:t>
            </w:r>
          </w:p>
        </w:tc>
        <w:tc>
          <w:tcPr>
            <w:tcW w:w="1344" w:type="dxa"/>
          </w:tcPr>
          <w:p w14:paraId="1521D2F4" w14:textId="013E7F82"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2035</w:t>
            </w:r>
          </w:p>
        </w:tc>
        <w:tc>
          <w:tcPr>
            <w:tcW w:w="1669" w:type="dxa"/>
          </w:tcPr>
          <w:p w14:paraId="398A55B5" w14:textId="32FDEEB7"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N/A</w:t>
            </w:r>
          </w:p>
        </w:tc>
        <w:tc>
          <w:tcPr>
            <w:tcW w:w="1820" w:type="dxa"/>
          </w:tcPr>
          <w:p w14:paraId="710B08B9" w14:textId="1D935E03"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N/A</w:t>
            </w:r>
          </w:p>
        </w:tc>
      </w:tr>
      <w:tr w:rsidR="00507820" w14:paraId="0650EFB8" w14:textId="4F5A823D" w:rsidTr="006065D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5" w:type="dxa"/>
          </w:tcPr>
          <w:p w14:paraId="319FFDF7" w14:textId="77777777" w:rsidR="00EB4280" w:rsidRPr="00C11123" w:rsidRDefault="00000000" w:rsidP="00CC6024">
            <w:pPr>
              <w:rPr>
                <w:rFonts w:cs="Arial"/>
                <w:b w:val="0"/>
                <w:bCs w:val="0"/>
                <w:sz w:val="22"/>
                <w:szCs w:val="22"/>
              </w:rPr>
            </w:pPr>
            <w:r w:rsidRPr="00C11123">
              <w:rPr>
                <w:rFonts w:cs="Arial"/>
                <w:sz w:val="22"/>
                <w:szCs w:val="22"/>
              </w:rPr>
              <w:t>Milton</w:t>
            </w:r>
          </w:p>
        </w:tc>
        <w:tc>
          <w:tcPr>
            <w:tcW w:w="1402" w:type="dxa"/>
          </w:tcPr>
          <w:p w14:paraId="61DECDB0" w14:textId="01F8EC8B"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5832</w:t>
            </w:r>
          </w:p>
        </w:tc>
        <w:tc>
          <w:tcPr>
            <w:tcW w:w="1400" w:type="dxa"/>
          </w:tcPr>
          <w:p w14:paraId="3B85B46D" w14:textId="72952521"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6694</w:t>
            </w:r>
          </w:p>
        </w:tc>
        <w:tc>
          <w:tcPr>
            <w:tcW w:w="1344" w:type="dxa"/>
          </w:tcPr>
          <w:p w14:paraId="09B545ED" w14:textId="0B62B24D"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7477</w:t>
            </w:r>
          </w:p>
        </w:tc>
        <w:tc>
          <w:tcPr>
            <w:tcW w:w="1669" w:type="dxa"/>
          </w:tcPr>
          <w:p w14:paraId="20AF2E62" w14:textId="44D67CF1"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w:t>
            </w:r>
            <w:r w:rsidR="00702B72" w:rsidRPr="00C11123">
              <w:rPr>
                <w:rFonts w:cs="Arial"/>
                <w:sz w:val="22"/>
                <w:szCs w:val="22"/>
              </w:rPr>
              <w:t>1645</w:t>
            </w:r>
          </w:p>
        </w:tc>
        <w:tc>
          <w:tcPr>
            <w:tcW w:w="1820" w:type="dxa"/>
          </w:tcPr>
          <w:p w14:paraId="5E4340B0" w14:textId="6E644C1B"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 xml:space="preserve">+28.2% </w:t>
            </w:r>
          </w:p>
        </w:tc>
      </w:tr>
      <w:tr w:rsidR="00507820" w14:paraId="33EC1D0A" w14:textId="55159AAB" w:rsidTr="006065DC">
        <w:trPr>
          <w:cantSplit/>
        </w:trPr>
        <w:tc>
          <w:tcPr>
            <w:cnfStyle w:val="001000000000" w:firstRow="0" w:lastRow="0" w:firstColumn="1" w:lastColumn="0" w:oddVBand="0" w:evenVBand="0" w:oddHBand="0" w:evenHBand="0" w:firstRowFirstColumn="0" w:firstRowLastColumn="0" w:lastRowFirstColumn="0" w:lastRowLastColumn="0"/>
            <w:tcW w:w="1715" w:type="dxa"/>
          </w:tcPr>
          <w:p w14:paraId="6A0915F2" w14:textId="77777777" w:rsidR="00EB4280" w:rsidRPr="00C11123" w:rsidRDefault="00000000" w:rsidP="00CC6024">
            <w:pPr>
              <w:rPr>
                <w:rFonts w:cs="Arial"/>
                <w:b w:val="0"/>
                <w:bCs w:val="0"/>
                <w:sz w:val="22"/>
                <w:szCs w:val="22"/>
              </w:rPr>
            </w:pPr>
            <w:r w:rsidRPr="00C11123">
              <w:rPr>
                <w:rFonts w:cs="Arial"/>
                <w:sz w:val="22"/>
                <w:szCs w:val="22"/>
              </w:rPr>
              <w:t>North Easton</w:t>
            </w:r>
          </w:p>
        </w:tc>
        <w:tc>
          <w:tcPr>
            <w:tcW w:w="1402" w:type="dxa"/>
          </w:tcPr>
          <w:p w14:paraId="799BD647" w14:textId="13206AE3"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10722</w:t>
            </w:r>
          </w:p>
        </w:tc>
        <w:tc>
          <w:tcPr>
            <w:tcW w:w="1400" w:type="dxa"/>
          </w:tcPr>
          <w:p w14:paraId="6A785B2D" w14:textId="4C2859B4"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10823</w:t>
            </w:r>
          </w:p>
        </w:tc>
        <w:tc>
          <w:tcPr>
            <w:tcW w:w="1344" w:type="dxa"/>
          </w:tcPr>
          <w:p w14:paraId="14AD0334" w14:textId="7682D41E"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11848</w:t>
            </w:r>
          </w:p>
        </w:tc>
        <w:tc>
          <w:tcPr>
            <w:tcW w:w="1669" w:type="dxa"/>
          </w:tcPr>
          <w:p w14:paraId="5A51CB18" w14:textId="13CF9301"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w:t>
            </w:r>
            <w:r w:rsidR="00702B72" w:rsidRPr="00C11123">
              <w:rPr>
                <w:rFonts w:cs="Arial"/>
                <w:sz w:val="22"/>
                <w:szCs w:val="22"/>
              </w:rPr>
              <w:t>1126</w:t>
            </w:r>
          </w:p>
        </w:tc>
        <w:tc>
          <w:tcPr>
            <w:tcW w:w="1820" w:type="dxa"/>
          </w:tcPr>
          <w:p w14:paraId="38DB8031" w14:textId="749CB211"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xml:space="preserve">+10.5% </w:t>
            </w:r>
          </w:p>
        </w:tc>
      </w:tr>
      <w:tr w:rsidR="00507820" w14:paraId="63FB7078" w14:textId="57D1AB1F" w:rsidTr="006065DC">
        <w:trPr>
          <w:cnfStyle w:val="000000100000" w:firstRow="0" w:lastRow="0" w:firstColumn="0" w:lastColumn="0" w:oddVBand="0" w:evenVBand="0" w:oddHBand="1" w:evenHBand="0" w:firstRowFirstColumn="0" w:firstRowLastColumn="0" w:lastRowFirstColumn="0" w:lastRowLastColumn="0"/>
          <w:cantSplit/>
          <w:trHeight w:val="58"/>
        </w:trPr>
        <w:tc>
          <w:tcPr>
            <w:cnfStyle w:val="001000000000" w:firstRow="0" w:lastRow="0" w:firstColumn="1" w:lastColumn="0" w:oddVBand="0" w:evenVBand="0" w:oddHBand="0" w:evenHBand="0" w:firstRowFirstColumn="0" w:firstRowLastColumn="0" w:lastRowFirstColumn="0" w:lastRowLastColumn="0"/>
            <w:tcW w:w="1715" w:type="dxa"/>
          </w:tcPr>
          <w:p w14:paraId="0422DB22" w14:textId="77777777" w:rsidR="00EB4280" w:rsidRPr="00C11123" w:rsidRDefault="00000000" w:rsidP="00CC6024">
            <w:pPr>
              <w:rPr>
                <w:rFonts w:cs="Arial"/>
                <w:sz w:val="22"/>
                <w:szCs w:val="22"/>
              </w:rPr>
            </w:pPr>
            <w:r w:rsidRPr="00C11123">
              <w:rPr>
                <w:rFonts w:cs="Arial"/>
                <w:sz w:val="22"/>
                <w:szCs w:val="22"/>
              </w:rPr>
              <w:t>Plymouth</w:t>
            </w:r>
          </w:p>
        </w:tc>
        <w:tc>
          <w:tcPr>
            <w:tcW w:w="1402" w:type="dxa"/>
          </w:tcPr>
          <w:p w14:paraId="483D5A4D" w14:textId="7BA68941"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11208</w:t>
            </w:r>
          </w:p>
        </w:tc>
        <w:tc>
          <w:tcPr>
            <w:tcW w:w="1400" w:type="dxa"/>
          </w:tcPr>
          <w:p w14:paraId="74BE2997" w14:textId="5198292A"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12165</w:t>
            </w:r>
          </w:p>
        </w:tc>
        <w:tc>
          <w:tcPr>
            <w:tcW w:w="1344" w:type="dxa"/>
          </w:tcPr>
          <w:p w14:paraId="314EDD50" w14:textId="5E08C1B7"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13287</w:t>
            </w:r>
          </w:p>
        </w:tc>
        <w:tc>
          <w:tcPr>
            <w:tcW w:w="1669" w:type="dxa"/>
          </w:tcPr>
          <w:p w14:paraId="23C5C51F" w14:textId="65E83D72"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+2079</w:t>
            </w:r>
          </w:p>
        </w:tc>
        <w:tc>
          <w:tcPr>
            <w:tcW w:w="1820" w:type="dxa"/>
          </w:tcPr>
          <w:p w14:paraId="219E9D81" w14:textId="593C89DC" w:rsidR="00EB4280"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+18.5%</w:t>
            </w:r>
          </w:p>
        </w:tc>
      </w:tr>
      <w:tr w:rsidR="00507820" w14:paraId="64EE985D" w14:textId="77777777" w:rsidTr="006065DC">
        <w:trPr>
          <w:cantSplit/>
        </w:trPr>
        <w:tc>
          <w:tcPr>
            <w:cnfStyle w:val="001000000000" w:firstRow="0" w:lastRow="0" w:firstColumn="1" w:lastColumn="0" w:oddVBand="0" w:evenVBand="0" w:oddHBand="0" w:evenHBand="0" w:firstRowFirstColumn="0" w:firstRowLastColumn="0" w:lastRowFirstColumn="0" w:lastRowLastColumn="0"/>
            <w:tcW w:w="1715" w:type="dxa"/>
          </w:tcPr>
          <w:p w14:paraId="5B84704F" w14:textId="5FA05F2C" w:rsidR="00EB4280" w:rsidRPr="00C11123" w:rsidRDefault="00000000" w:rsidP="00CC6024">
            <w:pPr>
              <w:rPr>
                <w:rFonts w:cs="Arial"/>
                <w:sz w:val="22"/>
                <w:szCs w:val="22"/>
              </w:rPr>
            </w:pPr>
            <w:r w:rsidRPr="00C11123">
              <w:rPr>
                <w:rFonts w:cs="Arial"/>
                <w:sz w:val="22"/>
                <w:szCs w:val="22"/>
              </w:rPr>
              <w:t>Total</w:t>
            </w:r>
          </w:p>
        </w:tc>
        <w:tc>
          <w:tcPr>
            <w:tcW w:w="1402" w:type="dxa"/>
          </w:tcPr>
          <w:p w14:paraId="02D56E7B" w14:textId="7A804D60"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rPr>
            </w:pPr>
            <w:r w:rsidRPr="00C11123">
              <w:rPr>
                <w:rFonts w:cs="Arial"/>
                <w:b/>
                <w:bCs/>
                <w:color w:val="000000"/>
                <w:sz w:val="22"/>
                <w:szCs w:val="22"/>
              </w:rPr>
              <w:t>48</w:t>
            </w:r>
            <w:r w:rsidR="00D465E4" w:rsidRPr="00C11123">
              <w:rPr>
                <w:rFonts w:cs="Arial"/>
                <w:b/>
                <w:bCs/>
                <w:color w:val="000000"/>
                <w:sz w:val="22"/>
                <w:szCs w:val="22"/>
              </w:rPr>
              <w:t>,</w:t>
            </w:r>
            <w:r w:rsidRPr="00C11123">
              <w:rPr>
                <w:rFonts w:cs="Arial"/>
                <w:b/>
                <w:bCs/>
                <w:color w:val="000000"/>
                <w:sz w:val="22"/>
                <w:szCs w:val="22"/>
              </w:rPr>
              <w:t>694</w:t>
            </w:r>
          </w:p>
        </w:tc>
        <w:tc>
          <w:tcPr>
            <w:tcW w:w="1400" w:type="dxa"/>
          </w:tcPr>
          <w:p w14:paraId="50FC07C0" w14:textId="3E1535ED"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rPr>
            </w:pPr>
            <w:r w:rsidRPr="00C11123">
              <w:rPr>
                <w:rFonts w:cs="Arial"/>
                <w:b/>
                <w:bCs/>
                <w:color w:val="000000"/>
                <w:sz w:val="22"/>
                <w:szCs w:val="22"/>
              </w:rPr>
              <w:t>54</w:t>
            </w:r>
            <w:r w:rsidR="00D465E4" w:rsidRPr="00C11123">
              <w:rPr>
                <w:rFonts w:cs="Arial"/>
                <w:b/>
                <w:bCs/>
                <w:color w:val="000000"/>
                <w:sz w:val="22"/>
                <w:szCs w:val="22"/>
              </w:rPr>
              <w:t>,</w:t>
            </w:r>
            <w:r w:rsidRPr="00C11123">
              <w:rPr>
                <w:rFonts w:cs="Arial"/>
                <w:b/>
                <w:bCs/>
                <w:color w:val="000000"/>
                <w:sz w:val="22"/>
                <w:szCs w:val="22"/>
              </w:rPr>
              <w:t>429</w:t>
            </w:r>
          </w:p>
        </w:tc>
        <w:tc>
          <w:tcPr>
            <w:tcW w:w="1344" w:type="dxa"/>
          </w:tcPr>
          <w:p w14:paraId="6FC22AE3" w14:textId="00001A41"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color w:val="000000"/>
                <w:sz w:val="22"/>
                <w:szCs w:val="22"/>
              </w:rPr>
            </w:pPr>
            <w:r w:rsidRPr="00C11123">
              <w:rPr>
                <w:rFonts w:cs="Arial"/>
                <w:b/>
                <w:bCs/>
                <w:color w:val="000000"/>
                <w:sz w:val="22"/>
                <w:szCs w:val="22"/>
              </w:rPr>
              <w:t>65</w:t>
            </w:r>
            <w:r w:rsidR="00D465E4" w:rsidRPr="00C11123">
              <w:rPr>
                <w:rFonts w:cs="Arial"/>
                <w:b/>
                <w:bCs/>
                <w:color w:val="000000"/>
                <w:sz w:val="22"/>
                <w:szCs w:val="22"/>
              </w:rPr>
              <w:t>,</w:t>
            </w:r>
            <w:r w:rsidRPr="00C11123">
              <w:rPr>
                <w:rFonts w:cs="Arial"/>
                <w:b/>
                <w:bCs/>
                <w:color w:val="000000"/>
                <w:sz w:val="22"/>
                <w:szCs w:val="22"/>
              </w:rPr>
              <w:t>406</w:t>
            </w:r>
          </w:p>
        </w:tc>
        <w:tc>
          <w:tcPr>
            <w:tcW w:w="1669" w:type="dxa"/>
          </w:tcPr>
          <w:p w14:paraId="1B9A1728" w14:textId="0358B578"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+16</w:t>
            </w:r>
            <w:r w:rsidR="00D465E4" w:rsidRPr="00C11123">
              <w:rPr>
                <w:rFonts w:cs="Arial"/>
                <w:b/>
                <w:bCs/>
                <w:sz w:val="22"/>
                <w:szCs w:val="22"/>
              </w:rPr>
              <w:t>,</w:t>
            </w:r>
            <w:r w:rsidRPr="00C11123">
              <w:rPr>
                <w:rFonts w:cs="Arial"/>
                <w:b/>
                <w:bCs/>
                <w:sz w:val="22"/>
                <w:szCs w:val="22"/>
              </w:rPr>
              <w:t>712</w:t>
            </w:r>
          </w:p>
        </w:tc>
        <w:tc>
          <w:tcPr>
            <w:tcW w:w="1820" w:type="dxa"/>
          </w:tcPr>
          <w:p w14:paraId="06F44B04" w14:textId="40B3CFC3" w:rsidR="00EB4280"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+34.3%</w:t>
            </w:r>
          </w:p>
        </w:tc>
      </w:tr>
    </w:tbl>
    <w:p w14:paraId="07AD133A" w14:textId="77777777" w:rsidR="008C1411" w:rsidRPr="00C11123" w:rsidRDefault="008C1411" w:rsidP="00CC6024">
      <w:pPr>
        <w:spacing w:after="0" w:line="240" w:lineRule="auto"/>
        <w:jc w:val="both"/>
        <w:rPr>
          <w:rFonts w:cs="Arial"/>
          <w:sz w:val="22"/>
          <w:szCs w:val="22"/>
        </w:rPr>
      </w:pPr>
    </w:p>
    <w:p w14:paraId="50BF59AC" w14:textId="60E492F9" w:rsidR="00D513CC" w:rsidRPr="00C11123" w:rsidRDefault="00000000" w:rsidP="00CD18F3">
      <w:pPr>
        <w:pStyle w:val="Heading3"/>
      </w:pPr>
      <w:r w:rsidRPr="00C11123">
        <w:t xml:space="preserve">E. </w:t>
      </w:r>
      <w:r w:rsidRPr="00CD18F3">
        <w:rPr>
          <w:u w:val="single"/>
        </w:rPr>
        <w:t>Patient Panel by Prostate Cancer Diagnos</w:t>
      </w:r>
      <w:r w:rsidR="002644CB" w:rsidRPr="00CD18F3">
        <w:rPr>
          <w:u w:val="single"/>
        </w:rPr>
        <w:t>e</w:t>
      </w:r>
      <w:r w:rsidRPr="00CD18F3">
        <w:rPr>
          <w:u w:val="single"/>
        </w:rPr>
        <w:t>s</w:t>
      </w:r>
    </w:p>
    <w:p w14:paraId="3C267990" w14:textId="77777777" w:rsidR="00FF5133" w:rsidRPr="00C11123" w:rsidRDefault="00FF5133" w:rsidP="00CC6024">
      <w:pPr>
        <w:spacing w:after="0" w:line="240" w:lineRule="auto"/>
        <w:jc w:val="both"/>
        <w:rPr>
          <w:rFonts w:cs="Arial"/>
          <w:sz w:val="22"/>
          <w:szCs w:val="22"/>
          <w:u w:val="single"/>
        </w:rPr>
      </w:pPr>
    </w:p>
    <w:p w14:paraId="71107950" w14:textId="4495CE25" w:rsidR="00BF2F38" w:rsidRPr="00C11123" w:rsidRDefault="00000000" w:rsidP="00CC6024">
      <w:pPr>
        <w:spacing w:after="0" w:line="240" w:lineRule="auto"/>
        <w:jc w:val="both"/>
        <w:rPr>
          <w:rFonts w:cs="Arial"/>
          <w:sz w:val="22"/>
          <w:szCs w:val="22"/>
        </w:rPr>
      </w:pPr>
      <w:r w:rsidRPr="00C11123">
        <w:rPr>
          <w:rFonts w:cs="Arial"/>
          <w:sz w:val="22"/>
          <w:szCs w:val="22"/>
        </w:rPr>
        <w:t>The following table provides the number of unique patients with prostate cancer grouped by age.</w:t>
      </w:r>
    </w:p>
    <w:p w14:paraId="3842E3CE" w14:textId="77777777" w:rsidR="00BF2F38" w:rsidRPr="00C11123" w:rsidRDefault="00BF2F38" w:rsidP="00CC6024">
      <w:pPr>
        <w:spacing w:after="0" w:line="240" w:lineRule="auto"/>
        <w:jc w:val="both"/>
        <w:rPr>
          <w:rFonts w:cs="Arial"/>
          <w:sz w:val="22"/>
          <w:szCs w:val="22"/>
        </w:rPr>
      </w:pPr>
    </w:p>
    <w:p w14:paraId="7420808B" w14:textId="32931E33" w:rsidR="00BF2F38" w:rsidRPr="00C11123" w:rsidRDefault="00000000" w:rsidP="00CC6024">
      <w:pPr>
        <w:spacing w:after="0" w:line="240" w:lineRule="auto"/>
        <w:jc w:val="both"/>
        <w:rPr>
          <w:rFonts w:cs="Arial"/>
          <w:b/>
          <w:bCs/>
          <w:sz w:val="22"/>
          <w:szCs w:val="22"/>
        </w:rPr>
      </w:pPr>
      <w:r w:rsidRPr="00C11123">
        <w:rPr>
          <w:rFonts w:cs="Arial"/>
          <w:b/>
          <w:bCs/>
          <w:sz w:val="22"/>
          <w:szCs w:val="22"/>
        </w:rPr>
        <w:t>Table 8</w:t>
      </w:r>
      <w:r w:rsidR="00D86C95" w:rsidRPr="00C11123">
        <w:rPr>
          <w:rFonts w:cs="Arial"/>
          <w:b/>
          <w:bCs/>
          <w:sz w:val="22"/>
          <w:szCs w:val="22"/>
        </w:rPr>
        <w:t xml:space="preserve"> – Prostate Cancer among Patient Panel by Age</w:t>
      </w:r>
    </w:p>
    <w:tbl>
      <w:tblPr>
        <w:tblStyle w:val="GridTable4"/>
        <w:tblW w:w="0" w:type="auto"/>
        <w:tblLook w:val="04A0" w:firstRow="1" w:lastRow="0" w:firstColumn="1" w:lastColumn="0" w:noHBand="0" w:noVBand="1"/>
        <w:tblCaption w:val="Prostate Cancer among Patient Panel by Age"/>
      </w:tblPr>
      <w:tblGrid>
        <w:gridCol w:w="2402"/>
        <w:gridCol w:w="2364"/>
        <w:gridCol w:w="2364"/>
        <w:gridCol w:w="2220"/>
      </w:tblGrid>
      <w:tr w:rsidR="00507820" w14:paraId="13B74CD2" w14:textId="274BDB49" w:rsidTr="00660DB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2" w:type="dxa"/>
          </w:tcPr>
          <w:p w14:paraId="0DD5C772" w14:textId="439604FE" w:rsidR="00395AD6" w:rsidRPr="00C11123" w:rsidRDefault="00000000" w:rsidP="00D70747">
            <w:pPr>
              <w:jc w:val="center"/>
              <w:rPr>
                <w:rFonts w:cs="Arial"/>
                <w:b w:val="0"/>
                <w:bCs w:val="0"/>
                <w:sz w:val="22"/>
                <w:szCs w:val="22"/>
              </w:rPr>
            </w:pPr>
            <w:r w:rsidRPr="00C11123">
              <w:rPr>
                <w:rFonts w:cs="Arial"/>
                <w:sz w:val="22"/>
                <w:szCs w:val="22"/>
              </w:rPr>
              <w:t>Age Group</w:t>
            </w:r>
          </w:p>
        </w:tc>
        <w:tc>
          <w:tcPr>
            <w:tcW w:w="2364" w:type="dxa"/>
          </w:tcPr>
          <w:p w14:paraId="5D511EE7" w14:textId="3A88D02A" w:rsidR="00395AD6"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2023</w:t>
            </w:r>
          </w:p>
        </w:tc>
        <w:tc>
          <w:tcPr>
            <w:tcW w:w="2364" w:type="dxa"/>
          </w:tcPr>
          <w:p w14:paraId="0C1B707E" w14:textId="121D0CB9" w:rsidR="00395AD6"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2024</w:t>
            </w:r>
          </w:p>
        </w:tc>
        <w:tc>
          <w:tcPr>
            <w:tcW w:w="2220" w:type="dxa"/>
          </w:tcPr>
          <w:p w14:paraId="24283EC3" w14:textId="56273CED" w:rsidR="00395AD6"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2025</w:t>
            </w:r>
          </w:p>
        </w:tc>
      </w:tr>
      <w:tr w:rsidR="00507820" w14:paraId="5B4B4FF5" w14:textId="36FC7E01" w:rsidTr="00660D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2" w:type="dxa"/>
          </w:tcPr>
          <w:p w14:paraId="7A0ACCDB" w14:textId="3D061D85" w:rsidR="00395AD6" w:rsidRPr="00C11123" w:rsidRDefault="00000000" w:rsidP="00CC6024">
            <w:pPr>
              <w:jc w:val="both"/>
              <w:rPr>
                <w:rFonts w:cs="Arial"/>
                <w:b w:val="0"/>
                <w:bCs w:val="0"/>
                <w:sz w:val="22"/>
                <w:szCs w:val="22"/>
              </w:rPr>
            </w:pPr>
            <w:r w:rsidRPr="00C11123">
              <w:rPr>
                <w:rFonts w:cs="Arial"/>
                <w:sz w:val="22"/>
                <w:szCs w:val="22"/>
              </w:rPr>
              <w:t>40-49</w:t>
            </w:r>
          </w:p>
        </w:tc>
        <w:tc>
          <w:tcPr>
            <w:tcW w:w="2364" w:type="dxa"/>
          </w:tcPr>
          <w:p w14:paraId="0B61F316" w14:textId="49922C19" w:rsidR="00395AD6" w:rsidRPr="00C11123" w:rsidRDefault="000A363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[redacted]</w:t>
            </w:r>
          </w:p>
        </w:tc>
        <w:tc>
          <w:tcPr>
            <w:tcW w:w="2364" w:type="dxa"/>
          </w:tcPr>
          <w:p w14:paraId="47B73A7B" w14:textId="13720DFD"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16</w:t>
            </w:r>
          </w:p>
        </w:tc>
        <w:tc>
          <w:tcPr>
            <w:tcW w:w="2220" w:type="dxa"/>
          </w:tcPr>
          <w:p w14:paraId="0F7ACAED" w14:textId="4A4A7B37"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20</w:t>
            </w:r>
          </w:p>
        </w:tc>
      </w:tr>
      <w:tr w:rsidR="00507820" w14:paraId="776E8111" w14:textId="74C7A269" w:rsidTr="00660DB0">
        <w:trPr>
          <w:cantSplit/>
        </w:trPr>
        <w:tc>
          <w:tcPr>
            <w:cnfStyle w:val="001000000000" w:firstRow="0" w:lastRow="0" w:firstColumn="1" w:lastColumn="0" w:oddVBand="0" w:evenVBand="0" w:oddHBand="0" w:evenHBand="0" w:firstRowFirstColumn="0" w:firstRowLastColumn="0" w:lastRowFirstColumn="0" w:lastRowLastColumn="0"/>
            <w:tcW w:w="2402" w:type="dxa"/>
          </w:tcPr>
          <w:p w14:paraId="73474A95" w14:textId="3C894A3A" w:rsidR="00395AD6" w:rsidRPr="00C11123" w:rsidRDefault="00000000" w:rsidP="00CC6024">
            <w:pPr>
              <w:jc w:val="both"/>
              <w:rPr>
                <w:rFonts w:cs="Arial"/>
                <w:b w:val="0"/>
                <w:bCs w:val="0"/>
                <w:sz w:val="22"/>
                <w:szCs w:val="22"/>
              </w:rPr>
            </w:pPr>
            <w:r w:rsidRPr="00C11123">
              <w:rPr>
                <w:rFonts w:cs="Arial"/>
                <w:sz w:val="22"/>
                <w:szCs w:val="22"/>
              </w:rPr>
              <w:t>50-59</w:t>
            </w:r>
          </w:p>
        </w:tc>
        <w:tc>
          <w:tcPr>
            <w:tcW w:w="2364" w:type="dxa"/>
          </w:tcPr>
          <w:p w14:paraId="11053B81" w14:textId="04A84097"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237</w:t>
            </w:r>
          </w:p>
        </w:tc>
        <w:tc>
          <w:tcPr>
            <w:tcW w:w="2364" w:type="dxa"/>
          </w:tcPr>
          <w:p w14:paraId="10C883A1" w14:textId="49052026"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270</w:t>
            </w:r>
          </w:p>
        </w:tc>
        <w:tc>
          <w:tcPr>
            <w:tcW w:w="2220" w:type="dxa"/>
          </w:tcPr>
          <w:p w14:paraId="29AE9ED1" w14:textId="10D4D050"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335</w:t>
            </w:r>
          </w:p>
        </w:tc>
      </w:tr>
      <w:tr w:rsidR="00507820" w14:paraId="22819B19" w14:textId="2B0F7764" w:rsidTr="00660D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2" w:type="dxa"/>
          </w:tcPr>
          <w:p w14:paraId="655A5140" w14:textId="47C226A7" w:rsidR="00395AD6" w:rsidRPr="00C11123" w:rsidRDefault="00000000" w:rsidP="00CC6024">
            <w:pPr>
              <w:jc w:val="both"/>
              <w:rPr>
                <w:rFonts w:cs="Arial"/>
                <w:b w:val="0"/>
                <w:bCs w:val="0"/>
                <w:sz w:val="22"/>
                <w:szCs w:val="22"/>
              </w:rPr>
            </w:pPr>
            <w:r w:rsidRPr="00C11123">
              <w:rPr>
                <w:rFonts w:cs="Arial"/>
                <w:sz w:val="22"/>
                <w:szCs w:val="22"/>
              </w:rPr>
              <w:t>60-69</w:t>
            </w:r>
          </w:p>
        </w:tc>
        <w:tc>
          <w:tcPr>
            <w:tcW w:w="2364" w:type="dxa"/>
          </w:tcPr>
          <w:p w14:paraId="54EBE9A1" w14:textId="42442A73"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1,315</w:t>
            </w:r>
          </w:p>
        </w:tc>
        <w:tc>
          <w:tcPr>
            <w:tcW w:w="2364" w:type="dxa"/>
          </w:tcPr>
          <w:p w14:paraId="796E961C" w14:textId="7F6A2A67"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1,493</w:t>
            </w:r>
          </w:p>
        </w:tc>
        <w:tc>
          <w:tcPr>
            <w:tcW w:w="2220" w:type="dxa"/>
          </w:tcPr>
          <w:p w14:paraId="0B640B67" w14:textId="73EEF229"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1,693</w:t>
            </w:r>
          </w:p>
        </w:tc>
      </w:tr>
      <w:tr w:rsidR="00507820" w14:paraId="5F09507B" w14:textId="18161A41" w:rsidTr="00660DB0">
        <w:trPr>
          <w:cantSplit/>
        </w:trPr>
        <w:tc>
          <w:tcPr>
            <w:cnfStyle w:val="001000000000" w:firstRow="0" w:lastRow="0" w:firstColumn="1" w:lastColumn="0" w:oddVBand="0" w:evenVBand="0" w:oddHBand="0" w:evenHBand="0" w:firstRowFirstColumn="0" w:firstRowLastColumn="0" w:lastRowFirstColumn="0" w:lastRowLastColumn="0"/>
            <w:tcW w:w="2402" w:type="dxa"/>
          </w:tcPr>
          <w:p w14:paraId="6127C959" w14:textId="55D839F7" w:rsidR="00395AD6" w:rsidRPr="00C11123" w:rsidRDefault="00000000" w:rsidP="00CC6024">
            <w:pPr>
              <w:jc w:val="both"/>
              <w:rPr>
                <w:rFonts w:cs="Arial"/>
                <w:b w:val="0"/>
                <w:bCs w:val="0"/>
                <w:sz w:val="22"/>
                <w:szCs w:val="22"/>
              </w:rPr>
            </w:pPr>
            <w:r w:rsidRPr="00C11123">
              <w:rPr>
                <w:rFonts w:cs="Arial"/>
                <w:sz w:val="22"/>
                <w:szCs w:val="22"/>
              </w:rPr>
              <w:t>70-79</w:t>
            </w:r>
          </w:p>
        </w:tc>
        <w:tc>
          <w:tcPr>
            <w:tcW w:w="2364" w:type="dxa"/>
          </w:tcPr>
          <w:p w14:paraId="4E644F2C" w14:textId="29C1D798"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2,168</w:t>
            </w:r>
          </w:p>
        </w:tc>
        <w:tc>
          <w:tcPr>
            <w:tcW w:w="2364" w:type="dxa"/>
          </w:tcPr>
          <w:p w14:paraId="793E1DC7" w14:textId="5B582883"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2,315</w:t>
            </w:r>
          </w:p>
        </w:tc>
        <w:tc>
          <w:tcPr>
            <w:tcW w:w="2220" w:type="dxa"/>
          </w:tcPr>
          <w:p w14:paraId="22F9ED0E" w14:textId="62368C13"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2,606</w:t>
            </w:r>
          </w:p>
        </w:tc>
      </w:tr>
      <w:tr w:rsidR="00507820" w14:paraId="43CC6F24" w14:textId="690809D3" w:rsidTr="00660D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2" w:type="dxa"/>
          </w:tcPr>
          <w:p w14:paraId="03615BD3" w14:textId="76B613DE" w:rsidR="00395AD6" w:rsidRPr="00C11123" w:rsidRDefault="00000000" w:rsidP="00CC6024">
            <w:pPr>
              <w:jc w:val="both"/>
              <w:rPr>
                <w:rFonts w:cs="Arial"/>
                <w:b w:val="0"/>
                <w:bCs w:val="0"/>
                <w:sz w:val="22"/>
                <w:szCs w:val="22"/>
              </w:rPr>
            </w:pPr>
            <w:r w:rsidRPr="00C11123">
              <w:rPr>
                <w:rFonts w:cs="Arial"/>
                <w:sz w:val="22"/>
                <w:szCs w:val="22"/>
              </w:rPr>
              <w:t>80-89</w:t>
            </w:r>
          </w:p>
        </w:tc>
        <w:tc>
          <w:tcPr>
            <w:tcW w:w="2364" w:type="dxa"/>
          </w:tcPr>
          <w:p w14:paraId="490C58A9" w14:textId="449840AF"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1,383</w:t>
            </w:r>
          </w:p>
        </w:tc>
        <w:tc>
          <w:tcPr>
            <w:tcW w:w="2364" w:type="dxa"/>
          </w:tcPr>
          <w:p w14:paraId="79B22F45" w14:textId="2E70E74C"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1,361</w:t>
            </w:r>
          </w:p>
        </w:tc>
        <w:tc>
          <w:tcPr>
            <w:tcW w:w="2220" w:type="dxa"/>
          </w:tcPr>
          <w:p w14:paraId="746DD863" w14:textId="61412A5F"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1,393</w:t>
            </w:r>
          </w:p>
        </w:tc>
      </w:tr>
      <w:tr w:rsidR="00507820" w14:paraId="5527F6D8" w14:textId="35134E05" w:rsidTr="00660DB0">
        <w:trPr>
          <w:cantSplit/>
        </w:trPr>
        <w:tc>
          <w:tcPr>
            <w:cnfStyle w:val="001000000000" w:firstRow="0" w:lastRow="0" w:firstColumn="1" w:lastColumn="0" w:oddVBand="0" w:evenVBand="0" w:oddHBand="0" w:evenHBand="0" w:firstRowFirstColumn="0" w:firstRowLastColumn="0" w:lastRowFirstColumn="0" w:lastRowLastColumn="0"/>
            <w:tcW w:w="2402" w:type="dxa"/>
          </w:tcPr>
          <w:p w14:paraId="6D42436F" w14:textId="6934B512" w:rsidR="00395AD6" w:rsidRPr="00C11123" w:rsidRDefault="00000000" w:rsidP="00CC6024">
            <w:pPr>
              <w:jc w:val="both"/>
              <w:rPr>
                <w:rFonts w:cs="Arial"/>
                <w:b w:val="0"/>
                <w:bCs w:val="0"/>
                <w:sz w:val="22"/>
                <w:szCs w:val="22"/>
              </w:rPr>
            </w:pPr>
            <w:r w:rsidRPr="00C11123">
              <w:rPr>
                <w:rFonts w:cs="Arial"/>
                <w:sz w:val="22"/>
                <w:szCs w:val="22"/>
              </w:rPr>
              <w:t>90-110</w:t>
            </w:r>
          </w:p>
        </w:tc>
        <w:tc>
          <w:tcPr>
            <w:tcW w:w="2364" w:type="dxa"/>
          </w:tcPr>
          <w:p w14:paraId="2221FC1B" w14:textId="332C42F0"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331</w:t>
            </w:r>
          </w:p>
        </w:tc>
        <w:tc>
          <w:tcPr>
            <w:tcW w:w="2364" w:type="dxa"/>
          </w:tcPr>
          <w:p w14:paraId="0CD15148" w14:textId="5B8BF9AF"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264</w:t>
            </w:r>
          </w:p>
        </w:tc>
        <w:tc>
          <w:tcPr>
            <w:tcW w:w="2220" w:type="dxa"/>
          </w:tcPr>
          <w:p w14:paraId="40A4D9A0" w14:textId="4CC5A0EB" w:rsidR="00395AD6" w:rsidRPr="00C11123" w:rsidRDefault="00000000" w:rsidP="00CC6024">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257</w:t>
            </w:r>
          </w:p>
        </w:tc>
      </w:tr>
      <w:tr w:rsidR="00507820" w14:paraId="2B88B895" w14:textId="77777777" w:rsidTr="00660D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2" w:type="dxa"/>
          </w:tcPr>
          <w:p w14:paraId="4A5F08E3" w14:textId="425F47EE" w:rsidR="00395AD6" w:rsidRPr="00C11123" w:rsidRDefault="00000000" w:rsidP="00CC6024">
            <w:pPr>
              <w:jc w:val="both"/>
              <w:rPr>
                <w:rFonts w:cs="Arial"/>
                <w:b w:val="0"/>
                <w:bCs w:val="0"/>
                <w:sz w:val="22"/>
                <w:szCs w:val="22"/>
              </w:rPr>
            </w:pPr>
            <w:r w:rsidRPr="00C11123">
              <w:rPr>
                <w:rFonts w:cs="Arial"/>
                <w:sz w:val="22"/>
                <w:szCs w:val="22"/>
              </w:rPr>
              <w:t>Total</w:t>
            </w:r>
          </w:p>
        </w:tc>
        <w:tc>
          <w:tcPr>
            <w:tcW w:w="2364" w:type="dxa"/>
          </w:tcPr>
          <w:p w14:paraId="3AE4CB40" w14:textId="64E9D06B"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b/>
                <w:bCs/>
                <w:sz w:val="22"/>
                <w:szCs w:val="22"/>
              </w:rPr>
              <w:t>5,444</w:t>
            </w:r>
          </w:p>
        </w:tc>
        <w:tc>
          <w:tcPr>
            <w:tcW w:w="2364" w:type="dxa"/>
          </w:tcPr>
          <w:p w14:paraId="76562778" w14:textId="72C14316"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b/>
                <w:bCs/>
                <w:sz w:val="22"/>
                <w:szCs w:val="22"/>
              </w:rPr>
              <w:t>5,719</w:t>
            </w:r>
          </w:p>
        </w:tc>
        <w:tc>
          <w:tcPr>
            <w:tcW w:w="2220" w:type="dxa"/>
          </w:tcPr>
          <w:p w14:paraId="623522E6" w14:textId="43CBF528" w:rsidR="00395AD6" w:rsidRPr="00C11123" w:rsidRDefault="00000000" w:rsidP="00CC6024">
            <w:pPr>
              <w:jc w:val="both"/>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rFonts w:cs="Arial"/>
                <w:b/>
                <w:bCs/>
                <w:sz w:val="22"/>
                <w:szCs w:val="22"/>
              </w:rPr>
              <w:t>6,304</w:t>
            </w:r>
          </w:p>
        </w:tc>
      </w:tr>
    </w:tbl>
    <w:p w14:paraId="4953F98B" w14:textId="77777777" w:rsidR="00BF2F38" w:rsidRPr="00C11123" w:rsidRDefault="00BF2F38" w:rsidP="00CC6024">
      <w:pPr>
        <w:spacing w:after="0" w:line="240" w:lineRule="auto"/>
        <w:jc w:val="both"/>
        <w:rPr>
          <w:rFonts w:cs="Arial"/>
          <w:sz w:val="22"/>
          <w:szCs w:val="22"/>
          <w:u w:val="single"/>
        </w:rPr>
      </w:pPr>
    </w:p>
    <w:p w14:paraId="093C5413" w14:textId="75547B4D" w:rsidR="00AB1205" w:rsidRPr="00C11123" w:rsidRDefault="00000000" w:rsidP="00CC6024">
      <w:pPr>
        <w:spacing w:after="0" w:line="240" w:lineRule="auto"/>
        <w:jc w:val="both"/>
        <w:rPr>
          <w:rFonts w:cs="Arial"/>
          <w:sz w:val="22"/>
          <w:szCs w:val="22"/>
        </w:rPr>
      </w:pPr>
      <w:r w:rsidRPr="00C11123">
        <w:rPr>
          <w:rFonts w:cs="Arial"/>
          <w:sz w:val="22"/>
          <w:szCs w:val="22"/>
        </w:rPr>
        <w:t>The following table provides the number of</w:t>
      </w:r>
      <w:r w:rsidR="00BF2F38" w:rsidRPr="00C11123">
        <w:rPr>
          <w:rFonts w:cs="Arial"/>
          <w:sz w:val="22"/>
          <w:szCs w:val="22"/>
        </w:rPr>
        <w:t xml:space="preserve"> patient</w:t>
      </w:r>
      <w:r w:rsidRPr="00C11123">
        <w:rPr>
          <w:rFonts w:cs="Arial"/>
          <w:sz w:val="22"/>
          <w:szCs w:val="22"/>
        </w:rPr>
        <w:t xml:space="preserve"> </w:t>
      </w:r>
      <w:r w:rsidR="00BF2F38" w:rsidRPr="00C11123">
        <w:rPr>
          <w:rFonts w:cs="Arial"/>
          <w:sz w:val="22"/>
          <w:szCs w:val="22"/>
        </w:rPr>
        <w:t>visits</w:t>
      </w:r>
      <w:r w:rsidRPr="00C11123">
        <w:rPr>
          <w:rFonts w:cs="Arial"/>
          <w:sz w:val="22"/>
          <w:szCs w:val="22"/>
        </w:rPr>
        <w:t xml:space="preserve"> </w:t>
      </w:r>
      <w:r w:rsidR="00BF2F38" w:rsidRPr="00C11123">
        <w:rPr>
          <w:rFonts w:cs="Arial"/>
          <w:sz w:val="22"/>
          <w:szCs w:val="22"/>
        </w:rPr>
        <w:t xml:space="preserve">for </w:t>
      </w:r>
      <w:r w:rsidRPr="00C11123">
        <w:rPr>
          <w:rFonts w:cs="Arial"/>
          <w:sz w:val="22"/>
          <w:szCs w:val="22"/>
        </w:rPr>
        <w:t xml:space="preserve">prostate cancer at each practice site </w:t>
      </w:r>
      <w:r w:rsidR="00E97570" w:rsidRPr="00C11123">
        <w:rPr>
          <w:rFonts w:cs="Arial"/>
          <w:sz w:val="22"/>
          <w:szCs w:val="22"/>
        </w:rPr>
        <w:t>in 2025.</w:t>
      </w:r>
    </w:p>
    <w:p w14:paraId="64F4A8D3" w14:textId="77777777" w:rsidR="00AB1205" w:rsidRPr="00C11123" w:rsidRDefault="00AB1205" w:rsidP="00CC6024">
      <w:pPr>
        <w:spacing w:after="0" w:line="240" w:lineRule="auto"/>
        <w:jc w:val="both"/>
        <w:rPr>
          <w:rFonts w:cs="Arial"/>
          <w:sz w:val="22"/>
          <w:szCs w:val="22"/>
          <w:u w:val="single"/>
        </w:rPr>
      </w:pPr>
    </w:p>
    <w:p w14:paraId="2580C790" w14:textId="22CD5713" w:rsidR="00CA10DF" w:rsidRPr="00C11123" w:rsidRDefault="00000000" w:rsidP="00CC6024">
      <w:pPr>
        <w:spacing w:after="0" w:line="240" w:lineRule="auto"/>
        <w:jc w:val="both"/>
        <w:rPr>
          <w:rFonts w:cs="Arial"/>
          <w:b/>
          <w:bCs/>
          <w:sz w:val="22"/>
          <w:szCs w:val="22"/>
        </w:rPr>
      </w:pPr>
      <w:r w:rsidRPr="00C11123">
        <w:rPr>
          <w:rFonts w:cs="Arial"/>
          <w:b/>
          <w:bCs/>
          <w:sz w:val="22"/>
          <w:szCs w:val="22"/>
        </w:rPr>
        <w:t xml:space="preserve">Table </w:t>
      </w:r>
      <w:r w:rsidR="00D70747" w:rsidRPr="00C11123">
        <w:rPr>
          <w:rFonts w:cs="Arial"/>
          <w:b/>
          <w:bCs/>
          <w:sz w:val="22"/>
          <w:szCs w:val="22"/>
        </w:rPr>
        <w:t>9</w:t>
      </w:r>
      <w:r w:rsidRPr="00C11123">
        <w:rPr>
          <w:rFonts w:cs="Arial"/>
          <w:b/>
          <w:bCs/>
          <w:sz w:val="22"/>
          <w:szCs w:val="22"/>
        </w:rPr>
        <w:t xml:space="preserve"> – Patient Panel: </w:t>
      </w:r>
      <w:r w:rsidR="00BF2F38" w:rsidRPr="00C11123">
        <w:rPr>
          <w:rFonts w:cs="Arial"/>
          <w:b/>
          <w:bCs/>
          <w:sz w:val="22"/>
          <w:szCs w:val="22"/>
        </w:rPr>
        <w:t>Patient Visits for</w:t>
      </w:r>
      <w:r w:rsidRPr="00C11123">
        <w:rPr>
          <w:rFonts w:cs="Arial"/>
          <w:b/>
          <w:bCs/>
          <w:sz w:val="22"/>
          <w:szCs w:val="22"/>
        </w:rPr>
        <w:t xml:space="preserve"> Prostate Cancer</w:t>
      </w:r>
      <w:r w:rsidR="00E54238" w:rsidRPr="00C11123">
        <w:rPr>
          <w:rFonts w:cs="Arial"/>
          <w:b/>
          <w:bCs/>
          <w:sz w:val="22"/>
          <w:szCs w:val="22"/>
        </w:rPr>
        <w:t xml:space="preserve"> </w:t>
      </w:r>
      <w:proofErr w:type="gramStart"/>
      <w:r w:rsidR="00E54238" w:rsidRPr="00C11123">
        <w:rPr>
          <w:rFonts w:cs="Arial"/>
          <w:b/>
          <w:bCs/>
          <w:sz w:val="22"/>
          <w:szCs w:val="22"/>
        </w:rPr>
        <w:t>By</w:t>
      </w:r>
      <w:proofErr w:type="gramEnd"/>
      <w:r w:rsidR="00E54238" w:rsidRPr="00C11123">
        <w:rPr>
          <w:rFonts w:cs="Arial"/>
          <w:b/>
          <w:bCs/>
          <w:sz w:val="22"/>
          <w:szCs w:val="22"/>
        </w:rPr>
        <w:t xml:space="preserve"> Location</w:t>
      </w:r>
    </w:p>
    <w:tbl>
      <w:tblPr>
        <w:tblStyle w:val="GridTable4"/>
        <w:tblW w:w="0" w:type="auto"/>
        <w:tblLook w:val="04A0" w:firstRow="1" w:lastRow="0" w:firstColumn="1" w:lastColumn="0" w:noHBand="0" w:noVBand="1"/>
        <w:tblCaption w:val="Patient Panel: Patient Visits for Prostate Cancer By Location"/>
      </w:tblPr>
      <w:tblGrid>
        <w:gridCol w:w="2278"/>
        <w:gridCol w:w="2520"/>
      </w:tblGrid>
      <w:tr w:rsidR="00507820" w14:paraId="40EA576C" w14:textId="5E6BC461" w:rsidTr="00660DB0">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2278" w:type="dxa"/>
            <w:hideMark/>
          </w:tcPr>
          <w:p w14:paraId="5874952F" w14:textId="394B4443" w:rsidR="006A6AAB" w:rsidRPr="00C11123" w:rsidRDefault="00000000" w:rsidP="00CC6024">
            <w:pPr>
              <w:jc w:val="both"/>
              <w:rPr>
                <w:rFonts w:cs="Arial"/>
                <w:sz w:val="22"/>
                <w:szCs w:val="22"/>
              </w:rPr>
            </w:pPr>
            <w:r w:rsidRPr="00C11123">
              <w:rPr>
                <w:rFonts w:cs="Arial"/>
                <w:sz w:val="22"/>
                <w:szCs w:val="22"/>
              </w:rPr>
              <w:lastRenderedPageBreak/>
              <w:t>Location</w:t>
            </w:r>
          </w:p>
        </w:tc>
        <w:tc>
          <w:tcPr>
            <w:tcW w:w="2520" w:type="dxa"/>
            <w:hideMark/>
          </w:tcPr>
          <w:p w14:paraId="0129F00A" w14:textId="29344A61" w:rsidR="006A6AAB"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Patient Visits for Prostate Cancer (2025)</w:t>
            </w:r>
          </w:p>
        </w:tc>
      </w:tr>
      <w:tr w:rsidR="00507820" w14:paraId="47024354" w14:textId="76F0DECD" w:rsidTr="00660DB0">
        <w:trPr>
          <w:cnfStyle w:val="000000100000" w:firstRow="0" w:lastRow="0" w:firstColumn="0" w:lastColumn="0" w:oddVBand="0" w:evenVBand="0" w:oddHBand="1" w:evenHBand="0" w:firstRowFirstColumn="0" w:firstRowLastColumn="0" w:lastRowFirstColumn="0" w:lastRowLastColumn="0"/>
          <w:cantSplit/>
          <w:trHeight w:val="282"/>
        </w:trPr>
        <w:tc>
          <w:tcPr>
            <w:cnfStyle w:val="001000000000" w:firstRow="0" w:lastRow="0" w:firstColumn="1" w:lastColumn="0" w:oddVBand="0" w:evenVBand="0" w:oddHBand="0" w:evenHBand="0" w:firstRowFirstColumn="0" w:firstRowLastColumn="0" w:lastRowFirstColumn="0" w:lastRowLastColumn="0"/>
            <w:tcW w:w="2278" w:type="dxa"/>
            <w:noWrap/>
            <w:hideMark/>
          </w:tcPr>
          <w:p w14:paraId="79288F04" w14:textId="77777777" w:rsidR="006A6AAB" w:rsidRPr="00C11123" w:rsidRDefault="00000000" w:rsidP="00CC6024">
            <w:pPr>
              <w:jc w:val="both"/>
              <w:rPr>
                <w:rFonts w:cs="Arial"/>
                <w:b w:val="0"/>
                <w:bCs w:val="0"/>
                <w:sz w:val="22"/>
                <w:szCs w:val="22"/>
              </w:rPr>
            </w:pPr>
            <w:r w:rsidRPr="00C11123">
              <w:rPr>
                <w:rFonts w:cs="Arial"/>
                <w:sz w:val="22"/>
                <w:szCs w:val="22"/>
              </w:rPr>
              <w:t>Attleboro</w:t>
            </w:r>
          </w:p>
        </w:tc>
        <w:tc>
          <w:tcPr>
            <w:tcW w:w="2520" w:type="dxa"/>
            <w:noWrap/>
            <w:hideMark/>
          </w:tcPr>
          <w:p w14:paraId="5D274801" w14:textId="77777777" w:rsidR="006A6AAB" w:rsidRPr="00C11123" w:rsidRDefault="00000000" w:rsidP="00D70747">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262</w:t>
            </w:r>
          </w:p>
        </w:tc>
      </w:tr>
      <w:tr w:rsidR="00507820" w14:paraId="17D3F948" w14:textId="4D7A25E8" w:rsidTr="00660DB0">
        <w:trPr>
          <w:cantSplit/>
          <w:trHeight w:val="309"/>
        </w:trPr>
        <w:tc>
          <w:tcPr>
            <w:cnfStyle w:val="001000000000" w:firstRow="0" w:lastRow="0" w:firstColumn="1" w:lastColumn="0" w:oddVBand="0" w:evenVBand="0" w:oddHBand="0" w:evenHBand="0" w:firstRowFirstColumn="0" w:firstRowLastColumn="0" w:lastRowFirstColumn="0" w:lastRowLastColumn="0"/>
            <w:tcW w:w="2278" w:type="dxa"/>
            <w:noWrap/>
            <w:hideMark/>
          </w:tcPr>
          <w:p w14:paraId="3CDDB5BF" w14:textId="77777777" w:rsidR="006A6AAB" w:rsidRPr="00C11123" w:rsidRDefault="00000000" w:rsidP="00CC6024">
            <w:pPr>
              <w:jc w:val="both"/>
              <w:rPr>
                <w:rFonts w:cs="Arial"/>
                <w:b w:val="0"/>
                <w:bCs w:val="0"/>
                <w:sz w:val="22"/>
                <w:szCs w:val="22"/>
              </w:rPr>
            </w:pPr>
            <w:r w:rsidRPr="00C11123">
              <w:rPr>
                <w:rFonts w:cs="Arial"/>
                <w:sz w:val="22"/>
                <w:szCs w:val="22"/>
              </w:rPr>
              <w:t>Dedham</w:t>
            </w:r>
          </w:p>
        </w:tc>
        <w:tc>
          <w:tcPr>
            <w:tcW w:w="2520" w:type="dxa"/>
            <w:noWrap/>
            <w:hideMark/>
          </w:tcPr>
          <w:p w14:paraId="573498BA" w14:textId="77777777" w:rsidR="006A6AAB" w:rsidRPr="00C11123" w:rsidRDefault="00000000" w:rsidP="00D7074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2356</w:t>
            </w:r>
          </w:p>
        </w:tc>
      </w:tr>
      <w:tr w:rsidR="00507820" w14:paraId="022B0064" w14:textId="29CD8CA7" w:rsidTr="00660DB0">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2278" w:type="dxa"/>
            <w:noWrap/>
            <w:hideMark/>
          </w:tcPr>
          <w:p w14:paraId="3A0EED3D" w14:textId="77777777" w:rsidR="006A6AAB" w:rsidRPr="00C11123" w:rsidRDefault="00000000" w:rsidP="00CC6024">
            <w:pPr>
              <w:jc w:val="both"/>
              <w:rPr>
                <w:rFonts w:cs="Arial"/>
                <w:b w:val="0"/>
                <w:bCs w:val="0"/>
                <w:sz w:val="22"/>
                <w:szCs w:val="22"/>
              </w:rPr>
            </w:pPr>
            <w:r w:rsidRPr="00C11123">
              <w:rPr>
                <w:rFonts w:cs="Arial"/>
                <w:sz w:val="22"/>
                <w:szCs w:val="22"/>
              </w:rPr>
              <w:t>Falmouth</w:t>
            </w:r>
          </w:p>
        </w:tc>
        <w:tc>
          <w:tcPr>
            <w:tcW w:w="2520" w:type="dxa"/>
            <w:noWrap/>
            <w:hideMark/>
          </w:tcPr>
          <w:p w14:paraId="4C15FA2A" w14:textId="77777777" w:rsidR="006A6AAB" w:rsidRPr="00C11123" w:rsidRDefault="00000000" w:rsidP="00D70747">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2557</w:t>
            </w:r>
          </w:p>
        </w:tc>
      </w:tr>
      <w:tr w:rsidR="00507820" w14:paraId="089077FC" w14:textId="19892AF3" w:rsidTr="00660DB0">
        <w:trPr>
          <w:cantSplit/>
          <w:trHeight w:val="290"/>
        </w:trPr>
        <w:tc>
          <w:tcPr>
            <w:cnfStyle w:val="001000000000" w:firstRow="0" w:lastRow="0" w:firstColumn="1" w:lastColumn="0" w:oddVBand="0" w:evenVBand="0" w:oddHBand="0" w:evenHBand="0" w:firstRowFirstColumn="0" w:firstRowLastColumn="0" w:lastRowFirstColumn="0" w:lastRowLastColumn="0"/>
            <w:tcW w:w="2278" w:type="dxa"/>
            <w:noWrap/>
            <w:hideMark/>
          </w:tcPr>
          <w:p w14:paraId="46BABBB8" w14:textId="77777777" w:rsidR="006A6AAB" w:rsidRPr="00C11123" w:rsidRDefault="00000000" w:rsidP="00CC6024">
            <w:pPr>
              <w:jc w:val="both"/>
              <w:rPr>
                <w:rFonts w:cs="Arial"/>
                <w:b w:val="0"/>
                <w:bCs w:val="0"/>
                <w:sz w:val="22"/>
                <w:szCs w:val="22"/>
              </w:rPr>
            </w:pPr>
            <w:r w:rsidRPr="00C11123">
              <w:rPr>
                <w:rFonts w:cs="Arial"/>
                <w:sz w:val="22"/>
                <w:szCs w:val="22"/>
              </w:rPr>
              <w:t>Framingham</w:t>
            </w:r>
          </w:p>
        </w:tc>
        <w:tc>
          <w:tcPr>
            <w:tcW w:w="2520" w:type="dxa"/>
            <w:noWrap/>
            <w:hideMark/>
          </w:tcPr>
          <w:p w14:paraId="2FCDE329" w14:textId="77777777" w:rsidR="006A6AAB" w:rsidRPr="00C11123" w:rsidRDefault="00000000" w:rsidP="00D7074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1924</w:t>
            </w:r>
          </w:p>
        </w:tc>
      </w:tr>
      <w:tr w:rsidR="00507820" w14:paraId="1F52DB3F" w14:textId="703C3BAA" w:rsidTr="00660DB0">
        <w:trPr>
          <w:cnfStyle w:val="000000100000" w:firstRow="0" w:lastRow="0" w:firstColumn="0" w:lastColumn="0" w:oddVBand="0" w:evenVBand="0" w:oddHBand="1"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2278" w:type="dxa"/>
            <w:noWrap/>
            <w:hideMark/>
          </w:tcPr>
          <w:p w14:paraId="2957BB17" w14:textId="77777777" w:rsidR="006A6AAB" w:rsidRPr="00C11123" w:rsidRDefault="00000000" w:rsidP="00CC6024">
            <w:pPr>
              <w:jc w:val="both"/>
              <w:rPr>
                <w:rFonts w:cs="Arial"/>
                <w:b w:val="0"/>
                <w:bCs w:val="0"/>
                <w:sz w:val="22"/>
                <w:szCs w:val="22"/>
              </w:rPr>
            </w:pPr>
            <w:r w:rsidRPr="00C11123">
              <w:rPr>
                <w:rFonts w:cs="Arial"/>
                <w:sz w:val="22"/>
                <w:szCs w:val="22"/>
              </w:rPr>
              <w:t>Hyannis</w:t>
            </w:r>
          </w:p>
        </w:tc>
        <w:tc>
          <w:tcPr>
            <w:tcW w:w="2520" w:type="dxa"/>
            <w:noWrap/>
            <w:hideMark/>
          </w:tcPr>
          <w:p w14:paraId="39FC4E41" w14:textId="77777777" w:rsidR="006A6AAB" w:rsidRPr="00C11123" w:rsidRDefault="00000000" w:rsidP="00D70747">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509</w:t>
            </w:r>
          </w:p>
        </w:tc>
      </w:tr>
      <w:tr w:rsidR="00507820" w14:paraId="63497721" w14:textId="4AE3CC90" w:rsidTr="00660DB0">
        <w:trPr>
          <w:cantSplit/>
          <w:trHeight w:val="290"/>
        </w:trPr>
        <w:tc>
          <w:tcPr>
            <w:cnfStyle w:val="001000000000" w:firstRow="0" w:lastRow="0" w:firstColumn="1" w:lastColumn="0" w:oddVBand="0" w:evenVBand="0" w:oddHBand="0" w:evenHBand="0" w:firstRowFirstColumn="0" w:firstRowLastColumn="0" w:lastRowFirstColumn="0" w:lastRowLastColumn="0"/>
            <w:tcW w:w="2278" w:type="dxa"/>
            <w:noWrap/>
            <w:hideMark/>
          </w:tcPr>
          <w:p w14:paraId="48B1CC3D" w14:textId="77777777" w:rsidR="006A6AAB" w:rsidRPr="00C11123" w:rsidRDefault="00000000" w:rsidP="00CC6024">
            <w:pPr>
              <w:jc w:val="both"/>
              <w:rPr>
                <w:rFonts w:cs="Arial"/>
                <w:b w:val="0"/>
                <w:bCs w:val="0"/>
                <w:sz w:val="22"/>
                <w:szCs w:val="22"/>
              </w:rPr>
            </w:pPr>
            <w:r w:rsidRPr="00C11123">
              <w:rPr>
                <w:rFonts w:cs="Arial"/>
                <w:sz w:val="22"/>
                <w:szCs w:val="22"/>
              </w:rPr>
              <w:t>Leominster</w:t>
            </w:r>
          </w:p>
        </w:tc>
        <w:tc>
          <w:tcPr>
            <w:tcW w:w="2520" w:type="dxa"/>
            <w:noWrap/>
            <w:hideMark/>
          </w:tcPr>
          <w:p w14:paraId="0E6567BD" w14:textId="77777777" w:rsidR="006A6AAB" w:rsidRPr="00C11123" w:rsidRDefault="00000000" w:rsidP="00D7074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358</w:t>
            </w:r>
          </w:p>
        </w:tc>
      </w:tr>
      <w:tr w:rsidR="00507820" w14:paraId="202E4EED" w14:textId="430658D4" w:rsidTr="00660DB0">
        <w:trPr>
          <w:cnfStyle w:val="000000100000" w:firstRow="0" w:lastRow="0" w:firstColumn="0" w:lastColumn="0" w:oddVBand="0" w:evenVBand="0" w:oddHBand="1" w:evenHBand="0" w:firstRowFirstColumn="0" w:firstRowLastColumn="0" w:lastRowFirstColumn="0" w:lastRowLastColumn="0"/>
          <w:cantSplit/>
          <w:trHeight w:val="291"/>
        </w:trPr>
        <w:tc>
          <w:tcPr>
            <w:cnfStyle w:val="001000000000" w:firstRow="0" w:lastRow="0" w:firstColumn="1" w:lastColumn="0" w:oddVBand="0" w:evenVBand="0" w:oddHBand="0" w:evenHBand="0" w:firstRowFirstColumn="0" w:firstRowLastColumn="0" w:lastRowFirstColumn="0" w:lastRowLastColumn="0"/>
            <w:tcW w:w="2278" w:type="dxa"/>
            <w:noWrap/>
            <w:hideMark/>
          </w:tcPr>
          <w:p w14:paraId="146C130B" w14:textId="77777777" w:rsidR="006A6AAB" w:rsidRPr="00C11123" w:rsidRDefault="00000000" w:rsidP="00CC6024">
            <w:pPr>
              <w:jc w:val="both"/>
              <w:rPr>
                <w:rFonts w:cs="Arial"/>
                <w:b w:val="0"/>
                <w:bCs w:val="0"/>
                <w:sz w:val="22"/>
                <w:szCs w:val="22"/>
              </w:rPr>
            </w:pPr>
            <w:r w:rsidRPr="00C11123">
              <w:rPr>
                <w:rFonts w:cs="Arial"/>
                <w:sz w:val="22"/>
                <w:szCs w:val="22"/>
              </w:rPr>
              <w:t>Milton</w:t>
            </w:r>
          </w:p>
        </w:tc>
        <w:tc>
          <w:tcPr>
            <w:tcW w:w="2520" w:type="dxa"/>
            <w:noWrap/>
            <w:hideMark/>
          </w:tcPr>
          <w:p w14:paraId="4BF20ECB" w14:textId="77777777" w:rsidR="006A6AAB" w:rsidRPr="00C11123" w:rsidRDefault="00000000" w:rsidP="00D70747">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1876</w:t>
            </w:r>
          </w:p>
        </w:tc>
      </w:tr>
      <w:tr w:rsidR="00507820" w14:paraId="3DFABBAF" w14:textId="11EC742C" w:rsidTr="00660DB0">
        <w:trPr>
          <w:cantSplit/>
          <w:trHeight w:val="290"/>
        </w:trPr>
        <w:tc>
          <w:tcPr>
            <w:cnfStyle w:val="001000000000" w:firstRow="0" w:lastRow="0" w:firstColumn="1" w:lastColumn="0" w:oddVBand="0" w:evenVBand="0" w:oddHBand="0" w:evenHBand="0" w:firstRowFirstColumn="0" w:firstRowLastColumn="0" w:lastRowFirstColumn="0" w:lastRowLastColumn="0"/>
            <w:tcW w:w="2278" w:type="dxa"/>
            <w:noWrap/>
            <w:hideMark/>
          </w:tcPr>
          <w:p w14:paraId="2B969106" w14:textId="77777777" w:rsidR="006A6AAB" w:rsidRPr="00C11123" w:rsidRDefault="00000000" w:rsidP="00CC6024">
            <w:pPr>
              <w:jc w:val="both"/>
              <w:rPr>
                <w:rFonts w:cs="Arial"/>
                <w:b w:val="0"/>
                <w:bCs w:val="0"/>
                <w:sz w:val="22"/>
                <w:szCs w:val="22"/>
              </w:rPr>
            </w:pPr>
            <w:r w:rsidRPr="00C11123">
              <w:rPr>
                <w:rFonts w:cs="Arial"/>
                <w:sz w:val="22"/>
                <w:szCs w:val="22"/>
              </w:rPr>
              <w:t>N. Easton</w:t>
            </w:r>
          </w:p>
        </w:tc>
        <w:tc>
          <w:tcPr>
            <w:tcW w:w="2520" w:type="dxa"/>
            <w:noWrap/>
            <w:hideMark/>
          </w:tcPr>
          <w:p w14:paraId="7A9840CC" w14:textId="77777777" w:rsidR="006A6AAB" w:rsidRPr="00C11123" w:rsidRDefault="00000000" w:rsidP="00D7074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2478</w:t>
            </w:r>
          </w:p>
        </w:tc>
      </w:tr>
      <w:tr w:rsidR="00507820" w14:paraId="516152B1" w14:textId="7F59EA5A" w:rsidTr="00660DB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78" w:type="dxa"/>
            <w:noWrap/>
            <w:hideMark/>
          </w:tcPr>
          <w:p w14:paraId="56FEFFDD" w14:textId="77777777" w:rsidR="006A6AAB" w:rsidRPr="00C11123" w:rsidRDefault="00000000" w:rsidP="00CC6024">
            <w:pPr>
              <w:jc w:val="both"/>
              <w:rPr>
                <w:rFonts w:cs="Arial"/>
                <w:b w:val="0"/>
                <w:bCs w:val="0"/>
                <w:sz w:val="22"/>
                <w:szCs w:val="22"/>
              </w:rPr>
            </w:pPr>
            <w:r w:rsidRPr="00C11123">
              <w:rPr>
                <w:rFonts w:cs="Arial"/>
                <w:sz w:val="22"/>
                <w:szCs w:val="22"/>
              </w:rPr>
              <w:t>Plymouth</w:t>
            </w:r>
          </w:p>
        </w:tc>
        <w:tc>
          <w:tcPr>
            <w:tcW w:w="2520" w:type="dxa"/>
            <w:noWrap/>
            <w:hideMark/>
          </w:tcPr>
          <w:p w14:paraId="484670C7" w14:textId="77777777" w:rsidR="006A6AAB" w:rsidRPr="00C11123" w:rsidRDefault="00000000" w:rsidP="00D70747">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2184</w:t>
            </w:r>
          </w:p>
        </w:tc>
      </w:tr>
      <w:tr w:rsidR="00507820" w14:paraId="3D19D487" w14:textId="59A4D74D" w:rsidTr="00660DB0">
        <w:trPr>
          <w:cantSplit/>
          <w:trHeight w:val="246"/>
        </w:trPr>
        <w:tc>
          <w:tcPr>
            <w:cnfStyle w:val="001000000000" w:firstRow="0" w:lastRow="0" w:firstColumn="1" w:lastColumn="0" w:oddVBand="0" w:evenVBand="0" w:oddHBand="0" w:evenHBand="0" w:firstRowFirstColumn="0" w:firstRowLastColumn="0" w:lastRowFirstColumn="0" w:lastRowLastColumn="0"/>
            <w:tcW w:w="2278" w:type="dxa"/>
            <w:noWrap/>
            <w:hideMark/>
          </w:tcPr>
          <w:p w14:paraId="0F0C0A91" w14:textId="3BE3586C" w:rsidR="006A6AAB" w:rsidRPr="00C11123" w:rsidRDefault="00000000" w:rsidP="00CC6024">
            <w:pPr>
              <w:jc w:val="both"/>
              <w:rPr>
                <w:rFonts w:cs="Arial"/>
                <w:sz w:val="22"/>
                <w:szCs w:val="22"/>
              </w:rPr>
            </w:pPr>
            <w:r w:rsidRPr="00C11123">
              <w:rPr>
                <w:rFonts w:cs="Arial"/>
                <w:sz w:val="22"/>
                <w:szCs w:val="22"/>
              </w:rPr>
              <w:t>Total</w:t>
            </w:r>
          </w:p>
        </w:tc>
        <w:tc>
          <w:tcPr>
            <w:tcW w:w="2520" w:type="dxa"/>
            <w:noWrap/>
            <w:hideMark/>
          </w:tcPr>
          <w:p w14:paraId="512615A9" w14:textId="5FA72212" w:rsidR="006A6AAB" w:rsidRPr="00C11123" w:rsidRDefault="00000000" w:rsidP="00D70747">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rFonts w:cs="Arial"/>
                <w:b/>
                <w:bCs/>
                <w:sz w:val="22"/>
                <w:szCs w:val="22"/>
              </w:rPr>
              <w:t>14,504</w:t>
            </w:r>
          </w:p>
        </w:tc>
      </w:tr>
    </w:tbl>
    <w:p w14:paraId="7F03A579" w14:textId="77777777" w:rsidR="00BF2F38" w:rsidRPr="00C11123" w:rsidRDefault="00BF2F38" w:rsidP="00CC6024">
      <w:pPr>
        <w:spacing w:after="0" w:line="240" w:lineRule="auto"/>
        <w:jc w:val="both"/>
        <w:rPr>
          <w:rFonts w:cs="Arial"/>
          <w:sz w:val="22"/>
          <w:szCs w:val="22"/>
        </w:rPr>
      </w:pPr>
    </w:p>
    <w:p w14:paraId="0C9F8487" w14:textId="04470ECA" w:rsidR="00CA10DF" w:rsidRPr="00C11123" w:rsidRDefault="00000000" w:rsidP="00CC6024">
      <w:pPr>
        <w:spacing w:after="0" w:line="240" w:lineRule="auto"/>
        <w:jc w:val="both"/>
        <w:rPr>
          <w:rFonts w:cs="Arial"/>
          <w:sz w:val="22"/>
          <w:szCs w:val="22"/>
        </w:rPr>
      </w:pPr>
      <w:r w:rsidRPr="00C11123">
        <w:rPr>
          <w:rFonts w:cs="Arial"/>
          <w:sz w:val="22"/>
          <w:szCs w:val="22"/>
        </w:rPr>
        <w:t xml:space="preserve">Patients newly diagnosed with prostate cancer are listed in Table 9, showing a steady </w:t>
      </w:r>
      <w:r w:rsidR="004A7348" w:rsidRPr="00C11123">
        <w:rPr>
          <w:rFonts w:cs="Arial"/>
          <w:sz w:val="22"/>
          <w:szCs w:val="22"/>
        </w:rPr>
        <w:t xml:space="preserve">increase </w:t>
      </w:r>
      <w:r w:rsidRPr="00C11123">
        <w:rPr>
          <w:rFonts w:cs="Arial"/>
          <w:sz w:val="22"/>
          <w:szCs w:val="22"/>
        </w:rPr>
        <w:t xml:space="preserve">in diagnoses in the last three (3) years. </w:t>
      </w:r>
    </w:p>
    <w:p w14:paraId="46C48DB5" w14:textId="77777777" w:rsidR="00AB1205" w:rsidRPr="00C11123" w:rsidRDefault="00AB1205" w:rsidP="00CC6024">
      <w:pPr>
        <w:spacing w:after="0" w:line="240" w:lineRule="auto"/>
        <w:jc w:val="both"/>
        <w:rPr>
          <w:rFonts w:cs="Arial"/>
          <w:sz w:val="22"/>
          <w:szCs w:val="22"/>
        </w:rPr>
      </w:pPr>
    </w:p>
    <w:p w14:paraId="0AFBAD59" w14:textId="4EF28993" w:rsidR="00AB1205" w:rsidRPr="00C11123" w:rsidRDefault="00000000" w:rsidP="00CC6024">
      <w:pPr>
        <w:spacing w:after="0" w:line="240" w:lineRule="auto"/>
        <w:jc w:val="both"/>
        <w:rPr>
          <w:rFonts w:cs="Arial"/>
          <w:b/>
          <w:bCs/>
          <w:sz w:val="22"/>
          <w:szCs w:val="22"/>
        </w:rPr>
      </w:pPr>
      <w:r w:rsidRPr="00C11123">
        <w:rPr>
          <w:rFonts w:cs="Arial"/>
          <w:b/>
          <w:bCs/>
          <w:sz w:val="22"/>
          <w:szCs w:val="22"/>
        </w:rPr>
        <w:t xml:space="preserve">Table </w:t>
      </w:r>
      <w:r w:rsidR="00D70747" w:rsidRPr="00C11123">
        <w:rPr>
          <w:rFonts w:cs="Arial"/>
          <w:b/>
          <w:bCs/>
          <w:sz w:val="22"/>
          <w:szCs w:val="22"/>
        </w:rPr>
        <w:t>10</w:t>
      </w:r>
      <w:r w:rsidRPr="00C11123">
        <w:rPr>
          <w:rFonts w:cs="Arial"/>
          <w:b/>
          <w:bCs/>
          <w:sz w:val="22"/>
          <w:szCs w:val="22"/>
        </w:rPr>
        <w:t xml:space="preserve"> – Patients With New Prostate Cancer Diagnosis</w:t>
      </w:r>
    </w:p>
    <w:tbl>
      <w:tblPr>
        <w:tblStyle w:val="GridTable4"/>
        <w:tblW w:w="0" w:type="auto"/>
        <w:tblLook w:val="04A0" w:firstRow="1" w:lastRow="0" w:firstColumn="1" w:lastColumn="0" w:noHBand="0" w:noVBand="1"/>
        <w:tblCaption w:val="Patients With New Prostate Cancer Diagnosis"/>
      </w:tblPr>
      <w:tblGrid>
        <w:gridCol w:w="1435"/>
        <w:gridCol w:w="990"/>
        <w:gridCol w:w="990"/>
        <w:gridCol w:w="990"/>
        <w:gridCol w:w="1440"/>
      </w:tblGrid>
      <w:tr w:rsidR="00507820" w14:paraId="28402DD1" w14:textId="2B819806" w:rsidTr="007D3D2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35" w:type="dxa"/>
          </w:tcPr>
          <w:p w14:paraId="7435F7B6" w14:textId="64121360" w:rsidR="000157A3" w:rsidRPr="00C11123" w:rsidRDefault="007D3D24" w:rsidP="00CC6024">
            <w:pPr>
              <w:jc w:val="both"/>
              <w:rPr>
                <w:rFonts w:cs="Arial"/>
                <w:sz w:val="22"/>
                <w:szCs w:val="22"/>
              </w:rPr>
            </w:pPr>
            <w:r>
              <w:rPr>
                <w:rFonts w:cs="Arial"/>
                <w:sz w:val="22"/>
                <w:szCs w:val="22"/>
              </w:rPr>
              <w:t>N/A</w:t>
            </w:r>
          </w:p>
        </w:tc>
        <w:tc>
          <w:tcPr>
            <w:tcW w:w="990" w:type="dxa"/>
          </w:tcPr>
          <w:p w14:paraId="4EC4DBF8" w14:textId="77777777" w:rsidR="000157A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w:t>
            </w:r>
          </w:p>
        </w:tc>
        <w:tc>
          <w:tcPr>
            <w:tcW w:w="990" w:type="dxa"/>
          </w:tcPr>
          <w:p w14:paraId="7137AA15" w14:textId="77777777" w:rsidR="000157A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2024</w:t>
            </w:r>
          </w:p>
        </w:tc>
        <w:tc>
          <w:tcPr>
            <w:tcW w:w="990" w:type="dxa"/>
          </w:tcPr>
          <w:p w14:paraId="7F84E488" w14:textId="77777777" w:rsidR="000157A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2025</w:t>
            </w:r>
          </w:p>
        </w:tc>
        <w:tc>
          <w:tcPr>
            <w:tcW w:w="1440" w:type="dxa"/>
          </w:tcPr>
          <w:p w14:paraId="57741CB0" w14:textId="77777777" w:rsidR="000157A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 Change</w:t>
            </w:r>
          </w:p>
          <w:p w14:paraId="25B1DEB2" w14:textId="36116741" w:rsidR="000157A3"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2023-2025</w:t>
            </w:r>
          </w:p>
        </w:tc>
      </w:tr>
      <w:tr w:rsidR="00507820" w14:paraId="37AB3753" w14:textId="33B91534" w:rsidTr="007D3D24">
        <w:trPr>
          <w:cnfStyle w:val="000000100000" w:firstRow="0" w:lastRow="0" w:firstColumn="0" w:lastColumn="0" w:oddVBand="0" w:evenVBand="0" w:oddHBand="1" w:evenHBand="0" w:firstRowFirstColumn="0" w:firstRowLastColumn="0" w:lastRowFirstColumn="0" w:lastRowLastColumn="0"/>
          <w:cantSplit/>
          <w:trHeight w:val="989"/>
        </w:trPr>
        <w:tc>
          <w:tcPr>
            <w:cnfStyle w:val="001000000000" w:firstRow="0" w:lastRow="0" w:firstColumn="1" w:lastColumn="0" w:oddVBand="0" w:evenVBand="0" w:oddHBand="0" w:evenHBand="0" w:firstRowFirstColumn="0" w:firstRowLastColumn="0" w:lastRowFirstColumn="0" w:lastRowLastColumn="0"/>
            <w:tcW w:w="1435" w:type="dxa"/>
          </w:tcPr>
          <w:p w14:paraId="2CA10D09" w14:textId="350F1D8C" w:rsidR="005C2072" w:rsidRPr="00C11123" w:rsidRDefault="00000000" w:rsidP="00CC6024">
            <w:pPr>
              <w:jc w:val="both"/>
              <w:rPr>
                <w:rFonts w:cs="Arial"/>
                <w:sz w:val="22"/>
                <w:szCs w:val="22"/>
              </w:rPr>
            </w:pPr>
            <w:r w:rsidRPr="00C11123">
              <w:rPr>
                <w:rFonts w:cs="Arial"/>
                <w:sz w:val="22"/>
                <w:szCs w:val="22"/>
              </w:rPr>
              <w:t xml:space="preserve">New </w:t>
            </w:r>
            <w:r w:rsidR="007845C8" w:rsidRPr="00C11123">
              <w:rPr>
                <w:rFonts w:cs="Arial"/>
                <w:sz w:val="22"/>
                <w:szCs w:val="22"/>
              </w:rPr>
              <w:t>Prostate Cancer</w:t>
            </w:r>
          </w:p>
          <w:p w14:paraId="412A80DE" w14:textId="5612DC7A" w:rsidR="000157A3" w:rsidRPr="00C11123" w:rsidRDefault="00000000" w:rsidP="00CC6024">
            <w:pPr>
              <w:jc w:val="both"/>
              <w:rPr>
                <w:rFonts w:cs="Arial"/>
                <w:sz w:val="22"/>
                <w:szCs w:val="22"/>
              </w:rPr>
            </w:pPr>
            <w:r w:rsidRPr="00C11123">
              <w:rPr>
                <w:rFonts w:cs="Arial"/>
                <w:sz w:val="22"/>
                <w:szCs w:val="22"/>
              </w:rPr>
              <w:t>Diagnosis</w:t>
            </w:r>
          </w:p>
        </w:tc>
        <w:tc>
          <w:tcPr>
            <w:tcW w:w="990" w:type="dxa"/>
          </w:tcPr>
          <w:p w14:paraId="6029FC73" w14:textId="77777777" w:rsidR="000157A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868</w:t>
            </w:r>
          </w:p>
        </w:tc>
        <w:tc>
          <w:tcPr>
            <w:tcW w:w="990" w:type="dxa"/>
          </w:tcPr>
          <w:p w14:paraId="45C6A8E2" w14:textId="77777777" w:rsidR="000157A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975</w:t>
            </w:r>
          </w:p>
        </w:tc>
        <w:tc>
          <w:tcPr>
            <w:tcW w:w="990" w:type="dxa"/>
          </w:tcPr>
          <w:p w14:paraId="7149CF86" w14:textId="77777777" w:rsidR="000157A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1,114</w:t>
            </w:r>
          </w:p>
        </w:tc>
        <w:tc>
          <w:tcPr>
            <w:tcW w:w="1440" w:type="dxa"/>
          </w:tcPr>
          <w:p w14:paraId="5E6F2AC1" w14:textId="6C230947" w:rsidR="000157A3"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b/>
                <w:bCs/>
                <w:sz w:val="22"/>
                <w:szCs w:val="22"/>
              </w:rPr>
              <w:t>+ 28%</w:t>
            </w:r>
          </w:p>
        </w:tc>
      </w:tr>
    </w:tbl>
    <w:p w14:paraId="4C914313" w14:textId="59829FD7" w:rsidR="00C21231" w:rsidRPr="00C11123" w:rsidRDefault="00C21231" w:rsidP="00CC6024">
      <w:pPr>
        <w:spacing w:after="0" w:line="240" w:lineRule="auto"/>
        <w:jc w:val="both"/>
        <w:rPr>
          <w:rFonts w:cs="Arial"/>
          <w:sz w:val="22"/>
          <w:szCs w:val="22"/>
          <w:highlight w:val="yellow"/>
        </w:rPr>
      </w:pPr>
    </w:p>
    <w:p w14:paraId="1C45B11D" w14:textId="290C1048" w:rsidR="007845C8" w:rsidRPr="00C11123" w:rsidRDefault="00000000" w:rsidP="00CC6024">
      <w:pPr>
        <w:spacing w:after="0" w:line="240" w:lineRule="auto"/>
        <w:jc w:val="both"/>
        <w:rPr>
          <w:sz w:val="22"/>
          <w:szCs w:val="22"/>
        </w:rPr>
      </w:pPr>
      <w:r w:rsidRPr="00C11123">
        <w:rPr>
          <w:rFonts w:cs="Arial"/>
          <w:sz w:val="22"/>
          <w:szCs w:val="22"/>
        </w:rPr>
        <w:t>Additionally, the Applicant provides Table 1</w:t>
      </w:r>
      <w:r w:rsidR="00D86C95" w:rsidRPr="00C11123">
        <w:rPr>
          <w:rFonts w:cs="Arial"/>
          <w:sz w:val="22"/>
          <w:szCs w:val="22"/>
        </w:rPr>
        <w:t>1</w:t>
      </w:r>
      <w:r w:rsidRPr="00C11123">
        <w:rPr>
          <w:rFonts w:cs="Arial"/>
          <w:sz w:val="22"/>
          <w:szCs w:val="22"/>
        </w:rPr>
        <w:t xml:space="preserve"> showing its newly diagnosed patients with prostate cancer who have been assigned a Gleason Score.</w:t>
      </w:r>
      <w:r w:rsidRPr="00C11123">
        <w:rPr>
          <w:rStyle w:val="FootnoteReference"/>
          <w:rFonts w:cs="Arial"/>
          <w:sz w:val="22"/>
          <w:szCs w:val="22"/>
        </w:rPr>
        <w:t xml:space="preserve"> </w:t>
      </w:r>
      <w:r w:rsidR="00495BB2" w:rsidRPr="00C11123">
        <w:rPr>
          <w:rFonts w:cs="Arial"/>
          <w:sz w:val="22"/>
          <w:szCs w:val="22"/>
        </w:rPr>
        <w:t xml:space="preserve"> </w:t>
      </w:r>
      <w:r w:rsidR="00960311" w:rsidRPr="00C11123">
        <w:rPr>
          <w:sz w:val="22"/>
          <w:szCs w:val="22"/>
        </w:rPr>
        <w:t>Gleason Scores represent the staging of prostate cancer and are sometimes referred to as Grade</w:t>
      </w:r>
      <w:r w:rsidR="001C4E66" w:rsidRPr="00C11123">
        <w:rPr>
          <w:sz w:val="22"/>
          <w:szCs w:val="22"/>
        </w:rPr>
        <w:t xml:space="preserve"> group</w:t>
      </w:r>
      <w:r w:rsidR="00960311" w:rsidRPr="00C11123">
        <w:rPr>
          <w:sz w:val="22"/>
          <w:szCs w:val="22"/>
        </w:rPr>
        <w:t xml:space="preserve"> 1 (Gleason 6), Grade</w:t>
      </w:r>
      <w:r w:rsidR="001C4E66" w:rsidRPr="00C11123">
        <w:rPr>
          <w:sz w:val="22"/>
          <w:szCs w:val="22"/>
        </w:rPr>
        <w:t xml:space="preserve"> group</w:t>
      </w:r>
      <w:r w:rsidR="00960311" w:rsidRPr="00C11123">
        <w:rPr>
          <w:sz w:val="22"/>
          <w:szCs w:val="22"/>
        </w:rPr>
        <w:t xml:space="preserve"> 2 (Gleason 3+4), Grade</w:t>
      </w:r>
      <w:r w:rsidR="0010204C" w:rsidRPr="00C11123">
        <w:rPr>
          <w:sz w:val="22"/>
          <w:szCs w:val="22"/>
        </w:rPr>
        <w:t xml:space="preserve"> group</w:t>
      </w:r>
      <w:r w:rsidR="00960311" w:rsidRPr="00C11123">
        <w:rPr>
          <w:sz w:val="22"/>
          <w:szCs w:val="22"/>
        </w:rPr>
        <w:t xml:space="preserve"> 3 (Gleason 4+3), Grade</w:t>
      </w:r>
      <w:r w:rsidR="0010204C" w:rsidRPr="00C11123">
        <w:rPr>
          <w:sz w:val="22"/>
          <w:szCs w:val="22"/>
        </w:rPr>
        <w:t xml:space="preserve"> group</w:t>
      </w:r>
      <w:r w:rsidR="00960311" w:rsidRPr="00C11123">
        <w:rPr>
          <w:sz w:val="22"/>
          <w:szCs w:val="22"/>
        </w:rPr>
        <w:t xml:space="preserve"> 4 (Gleason 8), and Grade </w:t>
      </w:r>
      <w:r w:rsidR="0010204C" w:rsidRPr="00C11123">
        <w:rPr>
          <w:sz w:val="22"/>
          <w:szCs w:val="22"/>
        </w:rPr>
        <w:t xml:space="preserve">group </w:t>
      </w:r>
      <w:r w:rsidR="00960311" w:rsidRPr="00C11123">
        <w:rPr>
          <w:sz w:val="22"/>
          <w:szCs w:val="22"/>
        </w:rPr>
        <w:t>5 (Gleason 9 and 10).</w:t>
      </w:r>
      <w:r>
        <w:rPr>
          <w:rStyle w:val="FootnoteReference"/>
          <w:rFonts w:cs="Arial"/>
          <w:sz w:val="22"/>
          <w:szCs w:val="22"/>
        </w:rPr>
        <w:footnoteReference w:id="5"/>
      </w:r>
    </w:p>
    <w:p w14:paraId="5E1B0E6F" w14:textId="77777777" w:rsidR="00551AC1" w:rsidRPr="00C11123" w:rsidRDefault="00551AC1" w:rsidP="00CC6024">
      <w:pPr>
        <w:spacing w:after="0" w:line="240" w:lineRule="auto"/>
        <w:jc w:val="both"/>
        <w:rPr>
          <w:rFonts w:cs="Arial"/>
          <w:sz w:val="22"/>
          <w:szCs w:val="22"/>
        </w:rPr>
      </w:pPr>
    </w:p>
    <w:p w14:paraId="747C9B90" w14:textId="4CA673D6" w:rsidR="0074385E" w:rsidRPr="00C11123" w:rsidRDefault="00000000" w:rsidP="00CC6024">
      <w:pPr>
        <w:spacing w:after="0" w:line="240" w:lineRule="auto"/>
        <w:jc w:val="both"/>
        <w:rPr>
          <w:rFonts w:cs="Arial"/>
          <w:b/>
          <w:bCs/>
          <w:sz w:val="22"/>
          <w:szCs w:val="22"/>
        </w:rPr>
      </w:pPr>
      <w:r w:rsidRPr="00C11123">
        <w:rPr>
          <w:rFonts w:cs="Arial"/>
          <w:b/>
          <w:bCs/>
          <w:sz w:val="22"/>
          <w:szCs w:val="22"/>
        </w:rPr>
        <w:t xml:space="preserve">Table </w:t>
      </w:r>
      <w:r w:rsidR="005C2072" w:rsidRPr="00C11123">
        <w:rPr>
          <w:rFonts w:cs="Arial"/>
          <w:b/>
          <w:bCs/>
          <w:sz w:val="22"/>
          <w:szCs w:val="22"/>
        </w:rPr>
        <w:t>1</w:t>
      </w:r>
      <w:r w:rsidR="00D70747" w:rsidRPr="00C11123">
        <w:rPr>
          <w:rFonts w:cs="Arial"/>
          <w:b/>
          <w:bCs/>
          <w:sz w:val="22"/>
          <w:szCs w:val="22"/>
        </w:rPr>
        <w:t>1</w:t>
      </w:r>
      <w:r w:rsidRPr="00C11123">
        <w:rPr>
          <w:rFonts w:cs="Arial"/>
          <w:b/>
          <w:bCs/>
          <w:sz w:val="22"/>
          <w:szCs w:val="22"/>
        </w:rPr>
        <w:t xml:space="preserve"> – Patient Panel:</w:t>
      </w:r>
      <w:r w:rsidR="005C2072" w:rsidRPr="00C11123">
        <w:rPr>
          <w:rFonts w:cs="Arial"/>
          <w:b/>
          <w:bCs/>
          <w:sz w:val="22"/>
          <w:szCs w:val="22"/>
        </w:rPr>
        <w:t xml:space="preserve"> New Prostate Cancer Patients </w:t>
      </w:r>
      <w:proofErr w:type="gramStart"/>
      <w:r w:rsidR="005C2072" w:rsidRPr="00C11123">
        <w:rPr>
          <w:rFonts w:cs="Arial"/>
          <w:b/>
          <w:bCs/>
          <w:sz w:val="22"/>
          <w:szCs w:val="22"/>
        </w:rPr>
        <w:t>With</w:t>
      </w:r>
      <w:proofErr w:type="gramEnd"/>
      <w:r w:rsidR="005C2072" w:rsidRPr="00C11123">
        <w:rPr>
          <w:rFonts w:cs="Arial"/>
          <w:b/>
          <w:bCs/>
          <w:sz w:val="22"/>
          <w:szCs w:val="22"/>
        </w:rPr>
        <w:t xml:space="preserve"> Gleason Score</w:t>
      </w:r>
    </w:p>
    <w:tbl>
      <w:tblPr>
        <w:tblStyle w:val="GridTable4"/>
        <w:tblW w:w="0" w:type="auto"/>
        <w:tblLook w:val="04A0" w:firstRow="1" w:lastRow="0" w:firstColumn="1" w:lastColumn="0" w:noHBand="0" w:noVBand="1"/>
        <w:tblCaption w:val="Patient Panel: New Prostate Cancer Patients With Gleason Score"/>
      </w:tblPr>
      <w:tblGrid>
        <w:gridCol w:w="2785"/>
        <w:gridCol w:w="1350"/>
        <w:gridCol w:w="1260"/>
        <w:gridCol w:w="1197"/>
        <w:gridCol w:w="1260"/>
      </w:tblGrid>
      <w:tr w:rsidR="00507820" w14:paraId="26F02C24" w14:textId="77777777" w:rsidTr="003D11F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85" w:type="dxa"/>
          </w:tcPr>
          <w:p w14:paraId="0E221BD4" w14:textId="2B97205E" w:rsidR="0074385E" w:rsidRPr="00C11123" w:rsidRDefault="00000000" w:rsidP="00CC6024">
            <w:pPr>
              <w:jc w:val="center"/>
              <w:rPr>
                <w:rFonts w:cs="Arial"/>
                <w:sz w:val="22"/>
                <w:szCs w:val="22"/>
              </w:rPr>
            </w:pPr>
            <w:r w:rsidRPr="00C11123">
              <w:rPr>
                <w:rFonts w:cs="Arial"/>
                <w:sz w:val="22"/>
                <w:szCs w:val="22"/>
              </w:rPr>
              <w:t>Gleason Score</w:t>
            </w:r>
            <w:r>
              <w:rPr>
                <w:rStyle w:val="FootnoteReference"/>
                <w:rFonts w:cs="Arial"/>
                <w:sz w:val="22"/>
                <w:szCs w:val="22"/>
              </w:rPr>
              <w:footnoteReference w:id="6"/>
            </w:r>
          </w:p>
        </w:tc>
        <w:tc>
          <w:tcPr>
            <w:tcW w:w="1350" w:type="dxa"/>
          </w:tcPr>
          <w:p w14:paraId="4D924B63" w14:textId="3C31F2DE" w:rsidR="0074385E"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2022</w:t>
            </w:r>
          </w:p>
        </w:tc>
        <w:tc>
          <w:tcPr>
            <w:tcW w:w="1260" w:type="dxa"/>
          </w:tcPr>
          <w:p w14:paraId="0062F7B9" w14:textId="3B1D0D0E" w:rsidR="0074385E"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w:t>
            </w:r>
          </w:p>
        </w:tc>
        <w:tc>
          <w:tcPr>
            <w:tcW w:w="1170" w:type="dxa"/>
          </w:tcPr>
          <w:p w14:paraId="6FC6371E" w14:textId="59BA3E7A" w:rsidR="0074385E"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2024</w:t>
            </w:r>
          </w:p>
        </w:tc>
        <w:tc>
          <w:tcPr>
            <w:tcW w:w="1260" w:type="dxa"/>
          </w:tcPr>
          <w:p w14:paraId="223D5B9C" w14:textId="0E9CF8DE" w:rsidR="0074385E"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2025</w:t>
            </w:r>
          </w:p>
        </w:tc>
      </w:tr>
      <w:tr w:rsidR="00507820" w14:paraId="524D74FE" w14:textId="77777777" w:rsidTr="003D11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5" w:type="dxa"/>
          </w:tcPr>
          <w:p w14:paraId="66DA2AF5" w14:textId="06A7BDF1" w:rsidR="0074385E" w:rsidRPr="00C11123" w:rsidRDefault="00000000" w:rsidP="00CC6024">
            <w:pPr>
              <w:jc w:val="both"/>
              <w:rPr>
                <w:rFonts w:cs="Arial"/>
                <w:sz w:val="22"/>
                <w:szCs w:val="22"/>
              </w:rPr>
            </w:pPr>
            <w:r w:rsidRPr="00C11123">
              <w:rPr>
                <w:color w:val="000000"/>
                <w:sz w:val="22"/>
                <w:szCs w:val="22"/>
              </w:rPr>
              <w:t>GS 6</w:t>
            </w:r>
            <w:r w:rsidR="002642F4" w:rsidRPr="00C11123">
              <w:rPr>
                <w:color w:val="000000"/>
                <w:sz w:val="22"/>
                <w:szCs w:val="22"/>
              </w:rPr>
              <w:t xml:space="preserve">        Lower Risk</w:t>
            </w:r>
          </w:p>
        </w:tc>
        <w:tc>
          <w:tcPr>
            <w:tcW w:w="1350" w:type="dxa"/>
          </w:tcPr>
          <w:p w14:paraId="5AAED697" w14:textId="407E0510"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222</w:t>
            </w:r>
          </w:p>
        </w:tc>
        <w:tc>
          <w:tcPr>
            <w:tcW w:w="1260" w:type="dxa"/>
          </w:tcPr>
          <w:p w14:paraId="006B33AE" w14:textId="3D951CDE"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242</w:t>
            </w:r>
          </w:p>
        </w:tc>
        <w:tc>
          <w:tcPr>
            <w:tcW w:w="1170" w:type="dxa"/>
          </w:tcPr>
          <w:p w14:paraId="2BAA3F01" w14:textId="1C813343"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287</w:t>
            </w:r>
          </w:p>
        </w:tc>
        <w:tc>
          <w:tcPr>
            <w:tcW w:w="1260" w:type="dxa"/>
          </w:tcPr>
          <w:p w14:paraId="3D3FC3F5" w14:textId="2398572D"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276</w:t>
            </w:r>
          </w:p>
        </w:tc>
      </w:tr>
      <w:tr w:rsidR="00507820" w14:paraId="19FBD22D" w14:textId="77777777" w:rsidTr="003D11FB">
        <w:trPr>
          <w:cantSplit/>
        </w:trPr>
        <w:tc>
          <w:tcPr>
            <w:cnfStyle w:val="001000000000" w:firstRow="0" w:lastRow="0" w:firstColumn="1" w:lastColumn="0" w:oddVBand="0" w:evenVBand="0" w:oddHBand="0" w:evenHBand="0" w:firstRowFirstColumn="0" w:firstRowLastColumn="0" w:lastRowFirstColumn="0" w:lastRowLastColumn="0"/>
            <w:tcW w:w="2785" w:type="dxa"/>
          </w:tcPr>
          <w:p w14:paraId="008E147C" w14:textId="78EE110D" w:rsidR="0074385E" w:rsidRPr="00C11123" w:rsidRDefault="00000000" w:rsidP="00CC6024">
            <w:pPr>
              <w:jc w:val="both"/>
              <w:rPr>
                <w:rFonts w:cs="Arial"/>
                <w:sz w:val="22"/>
                <w:szCs w:val="22"/>
              </w:rPr>
            </w:pPr>
            <w:r w:rsidRPr="00C11123">
              <w:rPr>
                <w:color w:val="000000"/>
                <w:sz w:val="22"/>
                <w:szCs w:val="22"/>
              </w:rPr>
              <w:t>GS 3+4</w:t>
            </w:r>
            <w:r w:rsidR="002642F4" w:rsidRPr="00C11123">
              <w:rPr>
                <w:color w:val="000000"/>
                <w:sz w:val="22"/>
                <w:szCs w:val="22"/>
              </w:rPr>
              <w:t xml:space="preserve">   Intermediate Risk</w:t>
            </w:r>
          </w:p>
        </w:tc>
        <w:tc>
          <w:tcPr>
            <w:tcW w:w="1350" w:type="dxa"/>
          </w:tcPr>
          <w:p w14:paraId="65B49536" w14:textId="33E1867E" w:rsidR="0074385E"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231</w:t>
            </w:r>
          </w:p>
        </w:tc>
        <w:tc>
          <w:tcPr>
            <w:tcW w:w="1260" w:type="dxa"/>
          </w:tcPr>
          <w:p w14:paraId="5BCD3359" w14:textId="6DF16E08" w:rsidR="0074385E"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207</w:t>
            </w:r>
          </w:p>
        </w:tc>
        <w:tc>
          <w:tcPr>
            <w:tcW w:w="1170" w:type="dxa"/>
          </w:tcPr>
          <w:p w14:paraId="6A37D6DD" w14:textId="62171613" w:rsidR="0074385E"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244</w:t>
            </w:r>
          </w:p>
        </w:tc>
        <w:tc>
          <w:tcPr>
            <w:tcW w:w="1260" w:type="dxa"/>
          </w:tcPr>
          <w:p w14:paraId="7B3ACDF3" w14:textId="2AB6C9C5" w:rsidR="0074385E"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267</w:t>
            </w:r>
          </w:p>
        </w:tc>
      </w:tr>
      <w:tr w:rsidR="00507820" w14:paraId="08066BFD" w14:textId="77777777" w:rsidTr="003D11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5" w:type="dxa"/>
          </w:tcPr>
          <w:p w14:paraId="6CBAB53A" w14:textId="460770F7" w:rsidR="0074385E" w:rsidRPr="00C11123" w:rsidRDefault="00000000" w:rsidP="00CC6024">
            <w:pPr>
              <w:jc w:val="both"/>
              <w:rPr>
                <w:rFonts w:cs="Arial"/>
                <w:sz w:val="22"/>
                <w:szCs w:val="22"/>
              </w:rPr>
            </w:pPr>
            <w:r w:rsidRPr="00C11123">
              <w:rPr>
                <w:color w:val="000000"/>
                <w:sz w:val="22"/>
                <w:szCs w:val="22"/>
              </w:rPr>
              <w:t>GS 4+3</w:t>
            </w:r>
            <w:r w:rsidR="002642F4" w:rsidRPr="00C11123">
              <w:rPr>
                <w:color w:val="000000"/>
                <w:sz w:val="22"/>
                <w:szCs w:val="22"/>
              </w:rPr>
              <w:t xml:space="preserve">   Intermediate Risk</w:t>
            </w:r>
          </w:p>
        </w:tc>
        <w:tc>
          <w:tcPr>
            <w:tcW w:w="1350" w:type="dxa"/>
          </w:tcPr>
          <w:p w14:paraId="51C76AB4" w14:textId="0204D326"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65</w:t>
            </w:r>
          </w:p>
        </w:tc>
        <w:tc>
          <w:tcPr>
            <w:tcW w:w="1260" w:type="dxa"/>
          </w:tcPr>
          <w:p w14:paraId="6A556650" w14:textId="0E25059D"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86</w:t>
            </w:r>
          </w:p>
        </w:tc>
        <w:tc>
          <w:tcPr>
            <w:tcW w:w="1170" w:type="dxa"/>
          </w:tcPr>
          <w:p w14:paraId="6942EC9E" w14:textId="3D552357"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140</w:t>
            </w:r>
          </w:p>
        </w:tc>
        <w:tc>
          <w:tcPr>
            <w:tcW w:w="1260" w:type="dxa"/>
          </w:tcPr>
          <w:p w14:paraId="477C5645" w14:textId="0639A025" w:rsidR="0074385E"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132</w:t>
            </w:r>
          </w:p>
        </w:tc>
      </w:tr>
      <w:tr w:rsidR="00507820" w14:paraId="7387B748" w14:textId="77777777" w:rsidTr="003D11FB">
        <w:trPr>
          <w:cantSplit/>
        </w:trPr>
        <w:tc>
          <w:tcPr>
            <w:cnfStyle w:val="001000000000" w:firstRow="0" w:lastRow="0" w:firstColumn="1" w:lastColumn="0" w:oddVBand="0" w:evenVBand="0" w:oddHBand="0" w:evenHBand="0" w:firstRowFirstColumn="0" w:firstRowLastColumn="0" w:lastRowFirstColumn="0" w:lastRowLastColumn="0"/>
            <w:tcW w:w="2785" w:type="dxa"/>
          </w:tcPr>
          <w:p w14:paraId="796970FE" w14:textId="433EAF5A" w:rsidR="00960311" w:rsidRPr="00C11123" w:rsidRDefault="00000000" w:rsidP="00CC6024">
            <w:pPr>
              <w:jc w:val="both"/>
              <w:rPr>
                <w:rFonts w:cs="Arial"/>
                <w:sz w:val="22"/>
                <w:szCs w:val="22"/>
              </w:rPr>
            </w:pPr>
            <w:r w:rsidRPr="00C11123">
              <w:rPr>
                <w:color w:val="000000"/>
                <w:sz w:val="22"/>
                <w:szCs w:val="22"/>
              </w:rPr>
              <w:t>GS 8</w:t>
            </w:r>
            <w:r w:rsidR="002642F4" w:rsidRPr="00C11123">
              <w:rPr>
                <w:color w:val="000000"/>
                <w:sz w:val="22"/>
                <w:szCs w:val="22"/>
              </w:rPr>
              <w:t xml:space="preserve">        High Risk</w:t>
            </w:r>
          </w:p>
        </w:tc>
        <w:tc>
          <w:tcPr>
            <w:tcW w:w="1350" w:type="dxa"/>
          </w:tcPr>
          <w:p w14:paraId="5D20C74B" w14:textId="58DB73B7" w:rsidR="00960311"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80</w:t>
            </w:r>
          </w:p>
        </w:tc>
        <w:tc>
          <w:tcPr>
            <w:tcW w:w="1260" w:type="dxa"/>
          </w:tcPr>
          <w:p w14:paraId="4D8A6E5F" w14:textId="75F31A81" w:rsidR="00960311"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77</w:t>
            </w:r>
          </w:p>
        </w:tc>
        <w:tc>
          <w:tcPr>
            <w:tcW w:w="1170" w:type="dxa"/>
          </w:tcPr>
          <w:p w14:paraId="52B92274" w14:textId="0A4CBDB4" w:rsidR="00960311"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75</w:t>
            </w:r>
          </w:p>
        </w:tc>
        <w:tc>
          <w:tcPr>
            <w:tcW w:w="1260" w:type="dxa"/>
          </w:tcPr>
          <w:p w14:paraId="236BA438" w14:textId="3D16592A" w:rsidR="00960311"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88</w:t>
            </w:r>
          </w:p>
        </w:tc>
      </w:tr>
      <w:tr w:rsidR="00507820" w14:paraId="61CF1EC1" w14:textId="77777777" w:rsidTr="003D11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5" w:type="dxa"/>
          </w:tcPr>
          <w:p w14:paraId="388F352D" w14:textId="1FED4640" w:rsidR="00960311" w:rsidRPr="00C11123" w:rsidRDefault="00000000" w:rsidP="00CC6024">
            <w:pPr>
              <w:jc w:val="both"/>
              <w:rPr>
                <w:rFonts w:cs="Arial"/>
                <w:sz w:val="22"/>
                <w:szCs w:val="22"/>
              </w:rPr>
            </w:pPr>
            <w:r w:rsidRPr="00C11123">
              <w:rPr>
                <w:color w:val="000000"/>
                <w:sz w:val="22"/>
                <w:szCs w:val="22"/>
              </w:rPr>
              <w:t>GS 9</w:t>
            </w:r>
            <w:r w:rsidR="002642F4" w:rsidRPr="00C11123">
              <w:rPr>
                <w:color w:val="000000"/>
                <w:sz w:val="22"/>
                <w:szCs w:val="22"/>
              </w:rPr>
              <w:t xml:space="preserve">        </w:t>
            </w:r>
            <w:r w:rsidR="00380B49" w:rsidRPr="00C11123">
              <w:rPr>
                <w:color w:val="000000"/>
                <w:sz w:val="22"/>
                <w:szCs w:val="22"/>
              </w:rPr>
              <w:t>High Risk</w:t>
            </w:r>
          </w:p>
        </w:tc>
        <w:tc>
          <w:tcPr>
            <w:tcW w:w="1350" w:type="dxa"/>
          </w:tcPr>
          <w:p w14:paraId="68F7C81A" w14:textId="162421D3" w:rsidR="00960311"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106</w:t>
            </w:r>
          </w:p>
        </w:tc>
        <w:tc>
          <w:tcPr>
            <w:tcW w:w="1260" w:type="dxa"/>
          </w:tcPr>
          <w:p w14:paraId="04C47599" w14:textId="03326456" w:rsidR="00960311"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103</w:t>
            </w:r>
          </w:p>
        </w:tc>
        <w:tc>
          <w:tcPr>
            <w:tcW w:w="1170" w:type="dxa"/>
          </w:tcPr>
          <w:p w14:paraId="7FE0347D" w14:textId="3F3FF210" w:rsidR="00960311"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137</w:t>
            </w:r>
          </w:p>
        </w:tc>
        <w:tc>
          <w:tcPr>
            <w:tcW w:w="1260" w:type="dxa"/>
          </w:tcPr>
          <w:p w14:paraId="574A8B4E" w14:textId="133619D9" w:rsidR="00960311"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C11123">
              <w:rPr>
                <w:color w:val="000000"/>
                <w:sz w:val="22"/>
                <w:szCs w:val="22"/>
              </w:rPr>
              <w:t>132</w:t>
            </w:r>
          </w:p>
        </w:tc>
      </w:tr>
      <w:tr w:rsidR="000A3630" w14:paraId="65056DC0" w14:textId="77777777" w:rsidTr="003D11FB">
        <w:trPr>
          <w:cantSplit/>
        </w:trPr>
        <w:tc>
          <w:tcPr>
            <w:cnfStyle w:val="001000000000" w:firstRow="0" w:lastRow="0" w:firstColumn="1" w:lastColumn="0" w:oddVBand="0" w:evenVBand="0" w:oddHBand="0" w:evenHBand="0" w:firstRowFirstColumn="0" w:firstRowLastColumn="0" w:lastRowFirstColumn="0" w:lastRowLastColumn="0"/>
            <w:tcW w:w="2785" w:type="dxa"/>
          </w:tcPr>
          <w:p w14:paraId="4674DBE7" w14:textId="7D3ED8A0" w:rsidR="000A3630" w:rsidRPr="00C11123" w:rsidRDefault="000A3630" w:rsidP="000A3630">
            <w:pPr>
              <w:jc w:val="both"/>
              <w:rPr>
                <w:rFonts w:cs="Arial"/>
                <w:sz w:val="22"/>
                <w:szCs w:val="22"/>
              </w:rPr>
            </w:pPr>
            <w:r w:rsidRPr="00C11123">
              <w:rPr>
                <w:color w:val="000000"/>
                <w:sz w:val="22"/>
                <w:szCs w:val="22"/>
              </w:rPr>
              <w:t>GS 10     High Risk</w:t>
            </w:r>
          </w:p>
        </w:tc>
        <w:tc>
          <w:tcPr>
            <w:tcW w:w="1350" w:type="dxa"/>
          </w:tcPr>
          <w:p w14:paraId="0C24F587" w14:textId="7F07B974" w:rsidR="000A3630" w:rsidRPr="00C11123" w:rsidRDefault="000A3630" w:rsidP="000A3630">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F30C7A">
              <w:rPr>
                <w:rFonts w:cs="Arial"/>
                <w:sz w:val="22"/>
                <w:szCs w:val="22"/>
              </w:rPr>
              <w:t>[redacted]</w:t>
            </w:r>
          </w:p>
        </w:tc>
        <w:tc>
          <w:tcPr>
            <w:tcW w:w="1260" w:type="dxa"/>
          </w:tcPr>
          <w:p w14:paraId="00EBEFE6" w14:textId="6E15CAFE" w:rsidR="000A3630" w:rsidRPr="00C11123" w:rsidRDefault="000A3630" w:rsidP="000A3630">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F30C7A">
              <w:rPr>
                <w:rFonts w:cs="Arial"/>
                <w:sz w:val="22"/>
                <w:szCs w:val="22"/>
              </w:rPr>
              <w:t>[redacted]</w:t>
            </w:r>
          </w:p>
        </w:tc>
        <w:tc>
          <w:tcPr>
            <w:tcW w:w="1170" w:type="dxa"/>
          </w:tcPr>
          <w:p w14:paraId="765EF257" w14:textId="4BC829F6" w:rsidR="000A3630" w:rsidRPr="00C11123" w:rsidRDefault="000A3630" w:rsidP="000A3630">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F30C7A">
              <w:rPr>
                <w:rFonts w:cs="Arial"/>
                <w:sz w:val="22"/>
                <w:szCs w:val="22"/>
              </w:rPr>
              <w:t>[redacted]</w:t>
            </w:r>
          </w:p>
        </w:tc>
        <w:tc>
          <w:tcPr>
            <w:tcW w:w="1260" w:type="dxa"/>
          </w:tcPr>
          <w:p w14:paraId="3383DEC1" w14:textId="3020A499" w:rsidR="000A3630" w:rsidRPr="00C11123" w:rsidRDefault="000A3630" w:rsidP="000A3630">
            <w:pPr>
              <w:jc w:val="cente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C11123">
              <w:rPr>
                <w:color w:val="000000"/>
                <w:sz w:val="22"/>
                <w:szCs w:val="22"/>
              </w:rPr>
              <w:t>85</w:t>
            </w:r>
          </w:p>
        </w:tc>
      </w:tr>
    </w:tbl>
    <w:p w14:paraId="40352A46" w14:textId="77777777" w:rsidR="0074385E" w:rsidRPr="00C11123" w:rsidRDefault="0074385E" w:rsidP="00CC6024">
      <w:pPr>
        <w:spacing w:after="0" w:line="240" w:lineRule="auto"/>
        <w:jc w:val="both"/>
        <w:rPr>
          <w:rFonts w:cs="Arial"/>
          <w:b/>
          <w:bCs/>
          <w:sz w:val="22"/>
          <w:szCs w:val="22"/>
        </w:rPr>
      </w:pPr>
    </w:p>
    <w:p w14:paraId="2200973E" w14:textId="6FC5DB97" w:rsidR="007845C8" w:rsidRPr="00C11123" w:rsidRDefault="00000000" w:rsidP="007845C8">
      <w:pPr>
        <w:spacing w:after="0" w:line="240" w:lineRule="auto"/>
        <w:jc w:val="both"/>
        <w:rPr>
          <w:rFonts w:cs="Arial"/>
          <w:sz w:val="22"/>
          <w:szCs w:val="22"/>
        </w:rPr>
      </w:pPr>
      <w:r w:rsidRPr="00C11123">
        <w:rPr>
          <w:sz w:val="22"/>
          <w:szCs w:val="22"/>
        </w:rPr>
        <w:t xml:space="preserve">Note: Not all patients newly diagnosed with Prostate cancer have been assigned a Gleason score, so the numbers in the above table do not necessarily equal the total patients diagnosed in Table </w:t>
      </w:r>
      <w:r w:rsidR="00D70747" w:rsidRPr="00C11123">
        <w:rPr>
          <w:sz w:val="22"/>
          <w:szCs w:val="22"/>
        </w:rPr>
        <w:t>10</w:t>
      </w:r>
      <w:r w:rsidRPr="00C11123">
        <w:rPr>
          <w:sz w:val="22"/>
          <w:szCs w:val="22"/>
        </w:rPr>
        <w:t xml:space="preserve">. </w:t>
      </w:r>
    </w:p>
    <w:p w14:paraId="5CCCEB52" w14:textId="77777777" w:rsidR="007845C8" w:rsidRPr="00C11123" w:rsidRDefault="007845C8" w:rsidP="00CC6024">
      <w:pPr>
        <w:spacing w:after="0" w:line="240" w:lineRule="auto"/>
        <w:jc w:val="both"/>
        <w:rPr>
          <w:rFonts w:cs="Arial"/>
          <w:b/>
          <w:bCs/>
          <w:sz w:val="22"/>
          <w:szCs w:val="22"/>
        </w:rPr>
      </w:pPr>
    </w:p>
    <w:p w14:paraId="1E623094" w14:textId="59382DA5" w:rsidR="00650514" w:rsidRPr="00C11123" w:rsidRDefault="00000000" w:rsidP="00CD18F3">
      <w:pPr>
        <w:pStyle w:val="Heading3"/>
      </w:pPr>
      <w:r w:rsidRPr="00C11123">
        <w:lastRenderedPageBreak/>
        <w:t>F</w:t>
      </w:r>
      <w:r w:rsidR="00E309AA" w:rsidRPr="00C11123">
        <w:t xml:space="preserve">. </w:t>
      </w:r>
      <w:r w:rsidRPr="00CD18F3">
        <w:rPr>
          <w:u w:val="single"/>
        </w:rPr>
        <w:t xml:space="preserve">Patient Panel by Advanced </w:t>
      </w:r>
      <w:r w:rsidR="00375D8E" w:rsidRPr="00CD18F3">
        <w:rPr>
          <w:u w:val="single"/>
        </w:rPr>
        <w:t xml:space="preserve">Diagnostic </w:t>
      </w:r>
      <w:r w:rsidRPr="00CD18F3">
        <w:rPr>
          <w:u w:val="single"/>
        </w:rPr>
        <w:t>Imaging</w:t>
      </w:r>
    </w:p>
    <w:p w14:paraId="1F0D8BD5" w14:textId="77777777" w:rsidR="00650514" w:rsidRPr="00C11123" w:rsidRDefault="00650514" w:rsidP="00CC6024">
      <w:pPr>
        <w:spacing w:after="0" w:line="240" w:lineRule="auto"/>
        <w:jc w:val="both"/>
        <w:rPr>
          <w:rFonts w:cs="Arial"/>
          <w:sz w:val="22"/>
          <w:szCs w:val="22"/>
        </w:rPr>
      </w:pPr>
    </w:p>
    <w:p w14:paraId="3F37F576" w14:textId="67B36C78" w:rsidR="005A1B38" w:rsidRPr="00C11123" w:rsidRDefault="00000000" w:rsidP="00CC6024">
      <w:pPr>
        <w:spacing w:after="0" w:line="240" w:lineRule="auto"/>
        <w:jc w:val="both"/>
        <w:rPr>
          <w:rFonts w:cs="Arial"/>
          <w:sz w:val="22"/>
          <w:szCs w:val="22"/>
        </w:rPr>
      </w:pPr>
      <w:r w:rsidRPr="00C11123">
        <w:rPr>
          <w:rFonts w:cs="Arial"/>
          <w:sz w:val="22"/>
          <w:szCs w:val="22"/>
        </w:rPr>
        <w:t xml:space="preserve">At present, the Applicant orders advanced imaging scans for its </w:t>
      </w:r>
      <w:r w:rsidR="00AE2ECF" w:rsidRPr="00C11123">
        <w:rPr>
          <w:rFonts w:cs="Arial"/>
          <w:sz w:val="22"/>
          <w:szCs w:val="22"/>
        </w:rPr>
        <w:t>patients</w:t>
      </w:r>
      <w:r w:rsidR="0032014C" w:rsidRPr="00C11123">
        <w:rPr>
          <w:rFonts w:cs="Arial"/>
          <w:sz w:val="22"/>
          <w:szCs w:val="22"/>
        </w:rPr>
        <w:t xml:space="preserve"> who have new or ongoing cancer diagnoses.</w:t>
      </w:r>
      <w:r w:rsidRPr="00C11123">
        <w:rPr>
          <w:rFonts w:cs="Arial"/>
          <w:sz w:val="22"/>
          <w:szCs w:val="22"/>
        </w:rPr>
        <w:t xml:space="preserve"> </w:t>
      </w:r>
      <w:r w:rsidR="0032014C" w:rsidRPr="00C11123">
        <w:rPr>
          <w:rFonts w:cs="Arial"/>
          <w:sz w:val="22"/>
          <w:szCs w:val="22"/>
        </w:rPr>
        <w:t xml:space="preserve">The Applicant primarily orders Bone Scans, </w:t>
      </w:r>
      <w:proofErr w:type="gramStart"/>
      <w:r w:rsidR="0032014C" w:rsidRPr="00C11123">
        <w:rPr>
          <w:rFonts w:cs="Arial"/>
          <w:sz w:val="22"/>
          <w:szCs w:val="22"/>
        </w:rPr>
        <w:t>CT Scans</w:t>
      </w:r>
      <w:proofErr w:type="gramEnd"/>
      <w:r w:rsidR="0032014C" w:rsidRPr="00C11123">
        <w:rPr>
          <w:rFonts w:cs="Arial"/>
          <w:sz w:val="22"/>
          <w:szCs w:val="22"/>
        </w:rPr>
        <w:t>,</w:t>
      </w:r>
      <w:r w:rsidR="00375D8E" w:rsidRPr="00C11123">
        <w:rPr>
          <w:rFonts w:cs="Arial"/>
          <w:sz w:val="22"/>
          <w:szCs w:val="22"/>
        </w:rPr>
        <w:t xml:space="preserve"> </w:t>
      </w:r>
      <w:r w:rsidR="00610145" w:rsidRPr="00C11123">
        <w:rPr>
          <w:rFonts w:cs="Arial"/>
          <w:sz w:val="22"/>
          <w:szCs w:val="22"/>
        </w:rPr>
        <w:t xml:space="preserve">and </w:t>
      </w:r>
      <w:r w:rsidR="00375D8E" w:rsidRPr="00C11123">
        <w:rPr>
          <w:rFonts w:cs="Arial"/>
          <w:sz w:val="22"/>
          <w:szCs w:val="22"/>
        </w:rPr>
        <w:t>PSMA PET</w:t>
      </w:r>
      <w:r w:rsidR="007845C8" w:rsidRPr="00C11123">
        <w:rPr>
          <w:rFonts w:cs="Arial"/>
          <w:sz w:val="22"/>
          <w:szCs w:val="22"/>
        </w:rPr>
        <w:t>/</w:t>
      </w:r>
      <w:proofErr w:type="gramStart"/>
      <w:r w:rsidR="007845C8" w:rsidRPr="00C11123">
        <w:rPr>
          <w:rFonts w:cs="Arial"/>
          <w:sz w:val="22"/>
          <w:szCs w:val="22"/>
        </w:rPr>
        <w:t>CT</w:t>
      </w:r>
      <w:r w:rsidR="00375D8E" w:rsidRPr="00C11123">
        <w:rPr>
          <w:rFonts w:cs="Arial"/>
          <w:sz w:val="22"/>
          <w:szCs w:val="22"/>
        </w:rPr>
        <w:t xml:space="preserve"> Scans</w:t>
      </w:r>
      <w:proofErr w:type="gramEnd"/>
      <w:r w:rsidR="00375D8E" w:rsidRPr="00C11123">
        <w:rPr>
          <w:rFonts w:cs="Arial"/>
          <w:sz w:val="22"/>
          <w:szCs w:val="22"/>
        </w:rPr>
        <w:t xml:space="preserve">.  </w:t>
      </w:r>
      <w:r w:rsidR="0032014C" w:rsidRPr="00C11123">
        <w:rPr>
          <w:rFonts w:cs="Arial"/>
          <w:sz w:val="22"/>
          <w:szCs w:val="22"/>
        </w:rPr>
        <w:t xml:space="preserve">Table </w:t>
      </w:r>
      <w:r w:rsidR="00495BB2" w:rsidRPr="00C11123">
        <w:rPr>
          <w:rFonts w:cs="Arial"/>
          <w:sz w:val="22"/>
          <w:szCs w:val="22"/>
        </w:rPr>
        <w:t>1</w:t>
      </w:r>
      <w:r w:rsidR="00D70747" w:rsidRPr="00C11123">
        <w:rPr>
          <w:rFonts w:cs="Arial"/>
          <w:sz w:val="22"/>
          <w:szCs w:val="22"/>
        </w:rPr>
        <w:t>2</w:t>
      </w:r>
      <w:r w:rsidR="00495BB2" w:rsidRPr="00C11123">
        <w:rPr>
          <w:rFonts w:cs="Arial"/>
          <w:sz w:val="22"/>
          <w:szCs w:val="22"/>
        </w:rPr>
        <w:t xml:space="preserve"> </w:t>
      </w:r>
      <w:r w:rsidR="0032014C" w:rsidRPr="00C11123">
        <w:rPr>
          <w:rFonts w:cs="Arial"/>
          <w:sz w:val="22"/>
          <w:szCs w:val="22"/>
        </w:rPr>
        <w:t xml:space="preserve">provides data concerning the </w:t>
      </w:r>
      <w:r w:rsidR="00375D8E" w:rsidRPr="00C11123">
        <w:rPr>
          <w:rFonts w:cs="Arial"/>
          <w:sz w:val="22"/>
          <w:szCs w:val="22"/>
        </w:rPr>
        <w:t>Patient Panel’s utilization of these technologies.</w:t>
      </w:r>
    </w:p>
    <w:p w14:paraId="59EB1AD3" w14:textId="77777777" w:rsidR="005A466A" w:rsidRPr="00C11123" w:rsidRDefault="005A466A" w:rsidP="00CC6024">
      <w:pPr>
        <w:spacing w:after="0" w:line="240" w:lineRule="auto"/>
        <w:jc w:val="both"/>
        <w:rPr>
          <w:rFonts w:cs="Arial"/>
          <w:sz w:val="22"/>
          <w:szCs w:val="22"/>
        </w:rPr>
      </w:pPr>
    </w:p>
    <w:p w14:paraId="0011DF68" w14:textId="23FAF6E1" w:rsidR="005A1B38" w:rsidRPr="00C11123" w:rsidRDefault="00000000" w:rsidP="00CC6024">
      <w:pPr>
        <w:spacing w:after="0" w:line="240" w:lineRule="auto"/>
        <w:jc w:val="both"/>
        <w:rPr>
          <w:rFonts w:cs="Arial"/>
          <w:sz w:val="22"/>
          <w:szCs w:val="22"/>
        </w:rPr>
      </w:pPr>
      <w:r w:rsidRPr="00C11123">
        <w:rPr>
          <w:rFonts w:cs="Arial"/>
          <w:b/>
          <w:bCs/>
          <w:sz w:val="22"/>
          <w:szCs w:val="22"/>
        </w:rPr>
        <w:t xml:space="preserve">Table </w:t>
      </w:r>
      <w:r w:rsidR="00663992" w:rsidRPr="00C11123">
        <w:rPr>
          <w:rFonts w:cs="Arial"/>
          <w:b/>
          <w:bCs/>
          <w:sz w:val="22"/>
          <w:szCs w:val="22"/>
        </w:rPr>
        <w:t>1</w:t>
      </w:r>
      <w:r w:rsidR="00D70747" w:rsidRPr="00C11123">
        <w:rPr>
          <w:rFonts w:cs="Arial"/>
          <w:b/>
          <w:bCs/>
          <w:sz w:val="22"/>
          <w:szCs w:val="22"/>
        </w:rPr>
        <w:t>2</w:t>
      </w:r>
      <w:r w:rsidRPr="00C11123">
        <w:rPr>
          <w:rFonts w:cs="Arial"/>
          <w:b/>
          <w:bCs/>
          <w:sz w:val="22"/>
          <w:szCs w:val="22"/>
        </w:rPr>
        <w:t xml:space="preserve"> – Patient Panel: Advanced Diagnostic Imaging</w:t>
      </w:r>
      <w:r w:rsidR="007C4427" w:rsidRPr="00C11123">
        <w:rPr>
          <w:rFonts w:cs="Arial"/>
          <w:b/>
          <w:bCs/>
          <w:sz w:val="22"/>
          <w:szCs w:val="22"/>
        </w:rPr>
        <w:t xml:space="preserve"> by Year</w:t>
      </w:r>
    </w:p>
    <w:tbl>
      <w:tblPr>
        <w:tblStyle w:val="GridTable4"/>
        <w:tblW w:w="4620" w:type="pct"/>
        <w:tblLook w:val="04A0" w:firstRow="1" w:lastRow="0" w:firstColumn="1" w:lastColumn="0" w:noHBand="0" w:noVBand="1"/>
        <w:tblCaption w:val="Patient Panel: Advanced Diagnostic Imaging by Year"/>
      </w:tblPr>
      <w:tblGrid>
        <w:gridCol w:w="2081"/>
        <w:gridCol w:w="1155"/>
        <w:gridCol w:w="1080"/>
        <w:gridCol w:w="1441"/>
        <w:gridCol w:w="1441"/>
        <w:gridCol w:w="1441"/>
      </w:tblGrid>
      <w:tr w:rsidR="00507820" w14:paraId="6BD72428" w14:textId="371058C7" w:rsidTr="00DC0C3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04" w:type="pct"/>
          </w:tcPr>
          <w:p w14:paraId="27D32825" w14:textId="77777777" w:rsidR="002D706A" w:rsidRPr="00C11123" w:rsidRDefault="002D706A" w:rsidP="00CC6024">
            <w:pPr>
              <w:rPr>
                <w:rFonts w:cs="Arial"/>
                <w:sz w:val="22"/>
                <w:szCs w:val="22"/>
              </w:rPr>
            </w:pPr>
          </w:p>
          <w:p w14:paraId="3C3608C6" w14:textId="4F0D84B3" w:rsidR="002D706A" w:rsidRPr="00C11123" w:rsidRDefault="00000000" w:rsidP="00CC6024">
            <w:pPr>
              <w:jc w:val="center"/>
              <w:rPr>
                <w:rFonts w:cs="Arial"/>
                <w:sz w:val="22"/>
                <w:szCs w:val="22"/>
              </w:rPr>
            </w:pPr>
            <w:r w:rsidRPr="00C11123">
              <w:rPr>
                <w:rFonts w:cs="Arial"/>
                <w:sz w:val="22"/>
                <w:szCs w:val="22"/>
              </w:rPr>
              <w:t>Scan</w:t>
            </w:r>
          </w:p>
        </w:tc>
        <w:tc>
          <w:tcPr>
            <w:tcW w:w="668" w:type="pct"/>
          </w:tcPr>
          <w:p w14:paraId="6B5F0F81" w14:textId="77777777" w:rsidR="002D706A" w:rsidRPr="00C11123" w:rsidRDefault="002D706A"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2D18F3C5" w14:textId="25ECE419" w:rsidR="002D706A"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C11123">
              <w:rPr>
                <w:rFonts w:cs="Arial"/>
                <w:sz w:val="22"/>
                <w:szCs w:val="22"/>
              </w:rPr>
              <w:t>2022</w:t>
            </w:r>
          </w:p>
          <w:p w14:paraId="3FBD2C78" w14:textId="5CF9848D" w:rsidR="002D706A" w:rsidRPr="00C11123" w:rsidRDefault="002D706A"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tc>
        <w:tc>
          <w:tcPr>
            <w:tcW w:w="625" w:type="pct"/>
          </w:tcPr>
          <w:p w14:paraId="188601B4" w14:textId="77777777" w:rsidR="002D706A" w:rsidRPr="00C11123" w:rsidRDefault="002D706A"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3606F33B" w14:textId="3718DB0B" w:rsidR="002D706A"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2023</w:t>
            </w:r>
          </w:p>
        </w:tc>
        <w:tc>
          <w:tcPr>
            <w:tcW w:w="834" w:type="pct"/>
          </w:tcPr>
          <w:p w14:paraId="55887907" w14:textId="77777777" w:rsidR="002D706A" w:rsidRPr="00C11123" w:rsidRDefault="002D706A"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67FCE481" w14:textId="52347FCC" w:rsidR="002D706A"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2024</w:t>
            </w:r>
          </w:p>
        </w:tc>
        <w:tc>
          <w:tcPr>
            <w:tcW w:w="834" w:type="pct"/>
          </w:tcPr>
          <w:p w14:paraId="325FFD5D" w14:textId="77777777" w:rsidR="002D706A" w:rsidRPr="00C11123" w:rsidRDefault="002D706A"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3BBD8E91" w14:textId="70766553" w:rsidR="002D706A"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2025</w:t>
            </w:r>
          </w:p>
        </w:tc>
        <w:tc>
          <w:tcPr>
            <w:tcW w:w="834" w:type="pct"/>
          </w:tcPr>
          <w:p w14:paraId="208992DE" w14:textId="77777777" w:rsidR="002D706A" w:rsidRPr="00C11123" w:rsidRDefault="002D706A"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p>
          <w:p w14:paraId="092A8D0F" w14:textId="762E1608" w:rsidR="002D706A" w:rsidRPr="00C11123" w:rsidRDefault="00000000" w:rsidP="00CC6024">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Utilization Rate of Change 2022 - 2025</w:t>
            </w:r>
          </w:p>
        </w:tc>
      </w:tr>
      <w:tr w:rsidR="00507820" w14:paraId="6D618C17" w14:textId="407225DB" w:rsidTr="00DC0C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04" w:type="pct"/>
          </w:tcPr>
          <w:p w14:paraId="3792FB48" w14:textId="57B4DB97" w:rsidR="002D706A" w:rsidRPr="00C11123" w:rsidRDefault="00000000" w:rsidP="00CC6024">
            <w:pPr>
              <w:jc w:val="center"/>
              <w:rPr>
                <w:rFonts w:cs="Arial"/>
                <w:b w:val="0"/>
                <w:bCs w:val="0"/>
                <w:sz w:val="22"/>
                <w:szCs w:val="22"/>
              </w:rPr>
            </w:pPr>
            <w:r w:rsidRPr="00C11123">
              <w:rPr>
                <w:rFonts w:cs="Arial"/>
                <w:sz w:val="22"/>
                <w:szCs w:val="22"/>
              </w:rPr>
              <w:t>Bone Scan</w:t>
            </w:r>
          </w:p>
        </w:tc>
        <w:tc>
          <w:tcPr>
            <w:tcW w:w="668" w:type="pct"/>
          </w:tcPr>
          <w:p w14:paraId="1CBED09A" w14:textId="44A195D7"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sz w:val="22"/>
                <w:szCs w:val="22"/>
              </w:rPr>
              <w:t>299</w:t>
            </w:r>
          </w:p>
        </w:tc>
        <w:tc>
          <w:tcPr>
            <w:tcW w:w="625" w:type="pct"/>
          </w:tcPr>
          <w:p w14:paraId="5F555672" w14:textId="05FE2097"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highlight w:val="yellow"/>
              </w:rPr>
            </w:pPr>
            <w:r w:rsidRPr="00C11123">
              <w:rPr>
                <w:sz w:val="22"/>
                <w:szCs w:val="22"/>
              </w:rPr>
              <w:t>145</w:t>
            </w:r>
          </w:p>
        </w:tc>
        <w:tc>
          <w:tcPr>
            <w:tcW w:w="834" w:type="pct"/>
          </w:tcPr>
          <w:p w14:paraId="67E23D96" w14:textId="0134FF46"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highlight w:val="yellow"/>
              </w:rPr>
            </w:pPr>
            <w:r w:rsidRPr="00C11123">
              <w:rPr>
                <w:sz w:val="22"/>
                <w:szCs w:val="22"/>
              </w:rPr>
              <w:t>118</w:t>
            </w:r>
          </w:p>
        </w:tc>
        <w:tc>
          <w:tcPr>
            <w:tcW w:w="834" w:type="pct"/>
          </w:tcPr>
          <w:p w14:paraId="6647051F" w14:textId="6931DFAB"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highlight w:val="yellow"/>
              </w:rPr>
            </w:pPr>
            <w:r w:rsidRPr="00C11123">
              <w:rPr>
                <w:sz w:val="22"/>
                <w:szCs w:val="22"/>
              </w:rPr>
              <w:t>94</w:t>
            </w:r>
          </w:p>
        </w:tc>
        <w:tc>
          <w:tcPr>
            <w:tcW w:w="834" w:type="pct"/>
          </w:tcPr>
          <w:p w14:paraId="76231F3E" w14:textId="24D6C10D"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C11123">
              <w:rPr>
                <w:sz w:val="22"/>
                <w:szCs w:val="22"/>
              </w:rPr>
              <w:t>- 69%</w:t>
            </w:r>
          </w:p>
        </w:tc>
      </w:tr>
      <w:tr w:rsidR="00507820" w14:paraId="376B358B" w14:textId="3C7281D0" w:rsidTr="00DC0C31">
        <w:trPr>
          <w:cantSplit/>
        </w:trPr>
        <w:tc>
          <w:tcPr>
            <w:cnfStyle w:val="001000000000" w:firstRow="0" w:lastRow="0" w:firstColumn="1" w:lastColumn="0" w:oddVBand="0" w:evenVBand="0" w:oddHBand="0" w:evenHBand="0" w:firstRowFirstColumn="0" w:firstRowLastColumn="0" w:lastRowFirstColumn="0" w:lastRowLastColumn="0"/>
            <w:tcW w:w="1204" w:type="pct"/>
          </w:tcPr>
          <w:p w14:paraId="52483E13" w14:textId="4D32C6B0" w:rsidR="002D706A" w:rsidRPr="00C11123" w:rsidRDefault="00000000" w:rsidP="00CC6024">
            <w:pPr>
              <w:jc w:val="center"/>
              <w:rPr>
                <w:rFonts w:cs="Arial"/>
                <w:b w:val="0"/>
                <w:bCs w:val="0"/>
                <w:sz w:val="22"/>
                <w:szCs w:val="22"/>
              </w:rPr>
            </w:pPr>
            <w:r w:rsidRPr="00C11123">
              <w:rPr>
                <w:rFonts w:cs="Arial"/>
                <w:sz w:val="22"/>
                <w:szCs w:val="22"/>
              </w:rPr>
              <w:t>CT</w:t>
            </w:r>
          </w:p>
        </w:tc>
        <w:tc>
          <w:tcPr>
            <w:tcW w:w="668" w:type="pct"/>
          </w:tcPr>
          <w:p w14:paraId="38823226" w14:textId="3E45AB63" w:rsidR="002D706A"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sz w:val="22"/>
                <w:szCs w:val="22"/>
              </w:rPr>
              <w:t>656</w:t>
            </w:r>
          </w:p>
        </w:tc>
        <w:tc>
          <w:tcPr>
            <w:tcW w:w="625" w:type="pct"/>
          </w:tcPr>
          <w:p w14:paraId="75CAAE13" w14:textId="11CCD16E" w:rsidR="002D706A"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C11123">
              <w:rPr>
                <w:sz w:val="22"/>
                <w:szCs w:val="22"/>
              </w:rPr>
              <w:t>516</w:t>
            </w:r>
          </w:p>
        </w:tc>
        <w:tc>
          <w:tcPr>
            <w:tcW w:w="834" w:type="pct"/>
          </w:tcPr>
          <w:p w14:paraId="7B84F9AC" w14:textId="798B21FA" w:rsidR="002D706A"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C11123">
              <w:rPr>
                <w:sz w:val="22"/>
                <w:szCs w:val="22"/>
              </w:rPr>
              <w:t>467</w:t>
            </w:r>
          </w:p>
        </w:tc>
        <w:tc>
          <w:tcPr>
            <w:tcW w:w="834" w:type="pct"/>
          </w:tcPr>
          <w:p w14:paraId="026EB377" w14:textId="69A37CC9" w:rsidR="002D706A"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rFonts w:cs="Arial"/>
                <w:sz w:val="22"/>
                <w:szCs w:val="22"/>
                <w:highlight w:val="yellow"/>
              </w:rPr>
            </w:pPr>
            <w:r w:rsidRPr="00C11123">
              <w:rPr>
                <w:sz w:val="22"/>
                <w:szCs w:val="22"/>
              </w:rPr>
              <w:t>671</w:t>
            </w:r>
          </w:p>
        </w:tc>
        <w:tc>
          <w:tcPr>
            <w:tcW w:w="834" w:type="pct"/>
          </w:tcPr>
          <w:p w14:paraId="0FEADECF" w14:textId="363147C0" w:rsidR="002D706A" w:rsidRPr="00C11123" w:rsidRDefault="00000000" w:rsidP="00CC6024">
            <w:pPr>
              <w:jc w:val="center"/>
              <w:cnfStyle w:val="000000000000" w:firstRow="0" w:lastRow="0" w:firstColumn="0" w:lastColumn="0" w:oddVBand="0" w:evenVBand="0" w:oddHBand="0" w:evenHBand="0" w:firstRowFirstColumn="0" w:firstRowLastColumn="0" w:lastRowFirstColumn="0" w:lastRowLastColumn="0"/>
              <w:rPr>
                <w:sz w:val="22"/>
                <w:szCs w:val="22"/>
              </w:rPr>
            </w:pPr>
            <w:r w:rsidRPr="00C11123">
              <w:rPr>
                <w:sz w:val="22"/>
                <w:szCs w:val="22"/>
              </w:rPr>
              <w:t xml:space="preserve">    </w:t>
            </w:r>
            <w:r w:rsidR="002938B2" w:rsidRPr="00C11123">
              <w:rPr>
                <w:sz w:val="22"/>
                <w:szCs w:val="22"/>
              </w:rPr>
              <w:t>+ 2.3%</w:t>
            </w:r>
            <w:r>
              <w:rPr>
                <w:rStyle w:val="FootnoteReference"/>
                <w:sz w:val="22"/>
                <w:szCs w:val="22"/>
              </w:rPr>
              <w:footnoteReference w:id="7"/>
            </w:r>
          </w:p>
        </w:tc>
      </w:tr>
      <w:tr w:rsidR="00507820" w14:paraId="02F6DFFD" w14:textId="4072614C" w:rsidTr="00DC0C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04" w:type="pct"/>
          </w:tcPr>
          <w:p w14:paraId="26F1EB4A" w14:textId="5DB49D72" w:rsidR="002D706A" w:rsidRPr="00C11123" w:rsidRDefault="00000000" w:rsidP="00CC6024">
            <w:pPr>
              <w:jc w:val="center"/>
              <w:rPr>
                <w:rFonts w:cs="Arial"/>
                <w:b w:val="0"/>
                <w:bCs w:val="0"/>
                <w:sz w:val="22"/>
                <w:szCs w:val="22"/>
              </w:rPr>
            </w:pPr>
            <w:r w:rsidRPr="00C11123">
              <w:rPr>
                <w:rFonts w:cs="Arial"/>
                <w:sz w:val="22"/>
                <w:szCs w:val="22"/>
              </w:rPr>
              <w:t>PSMA PET</w:t>
            </w:r>
            <w:r w:rsidR="007845C8" w:rsidRPr="00C11123">
              <w:rPr>
                <w:rFonts w:cs="Arial"/>
                <w:sz w:val="22"/>
                <w:szCs w:val="22"/>
              </w:rPr>
              <w:t>/CT</w:t>
            </w:r>
          </w:p>
        </w:tc>
        <w:tc>
          <w:tcPr>
            <w:tcW w:w="668" w:type="pct"/>
          </w:tcPr>
          <w:p w14:paraId="29DC4EE6" w14:textId="437AFB38"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sz w:val="22"/>
                <w:szCs w:val="22"/>
              </w:rPr>
              <w:t>292</w:t>
            </w:r>
          </w:p>
        </w:tc>
        <w:tc>
          <w:tcPr>
            <w:tcW w:w="625" w:type="pct"/>
          </w:tcPr>
          <w:p w14:paraId="03CB9F4E" w14:textId="60046AC9"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highlight w:val="yellow"/>
              </w:rPr>
            </w:pPr>
            <w:r w:rsidRPr="00C11123">
              <w:rPr>
                <w:sz w:val="22"/>
                <w:szCs w:val="22"/>
              </w:rPr>
              <w:t>369</w:t>
            </w:r>
          </w:p>
        </w:tc>
        <w:tc>
          <w:tcPr>
            <w:tcW w:w="834" w:type="pct"/>
          </w:tcPr>
          <w:p w14:paraId="35AB2D55" w14:textId="248179E3"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highlight w:val="yellow"/>
              </w:rPr>
            </w:pPr>
            <w:r w:rsidRPr="00C11123">
              <w:rPr>
                <w:sz w:val="22"/>
                <w:szCs w:val="22"/>
              </w:rPr>
              <w:t>563</w:t>
            </w:r>
          </w:p>
        </w:tc>
        <w:tc>
          <w:tcPr>
            <w:tcW w:w="834" w:type="pct"/>
          </w:tcPr>
          <w:p w14:paraId="2B8CBAEF" w14:textId="162DBD47"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rFonts w:cs="Arial"/>
                <w:sz w:val="22"/>
                <w:szCs w:val="22"/>
                <w:highlight w:val="yellow"/>
              </w:rPr>
            </w:pPr>
            <w:r w:rsidRPr="00C11123">
              <w:rPr>
                <w:sz w:val="22"/>
                <w:szCs w:val="22"/>
              </w:rPr>
              <w:t>744</w:t>
            </w:r>
          </w:p>
        </w:tc>
        <w:tc>
          <w:tcPr>
            <w:tcW w:w="834" w:type="pct"/>
          </w:tcPr>
          <w:p w14:paraId="7F0B7FFD" w14:textId="10F83030" w:rsidR="002D706A" w:rsidRPr="00C11123" w:rsidRDefault="00000000" w:rsidP="00CC60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C11123">
              <w:rPr>
                <w:sz w:val="22"/>
                <w:szCs w:val="22"/>
              </w:rPr>
              <w:t xml:space="preserve">  </w:t>
            </w:r>
            <w:r w:rsidR="002938B2" w:rsidRPr="00C11123">
              <w:rPr>
                <w:sz w:val="22"/>
                <w:szCs w:val="22"/>
              </w:rPr>
              <w:t xml:space="preserve">+ </w:t>
            </w:r>
            <w:r w:rsidR="00C10909" w:rsidRPr="00C11123">
              <w:rPr>
                <w:sz w:val="22"/>
                <w:szCs w:val="22"/>
              </w:rPr>
              <w:t>155</w:t>
            </w:r>
            <w:r w:rsidR="002938B2" w:rsidRPr="00C11123">
              <w:rPr>
                <w:sz w:val="22"/>
                <w:szCs w:val="22"/>
              </w:rPr>
              <w:t>%</w:t>
            </w:r>
          </w:p>
        </w:tc>
      </w:tr>
    </w:tbl>
    <w:p w14:paraId="57621A58" w14:textId="77777777" w:rsidR="00650514" w:rsidRPr="00C11123" w:rsidRDefault="00650514" w:rsidP="00CC6024">
      <w:pPr>
        <w:spacing w:after="0" w:line="240" w:lineRule="auto"/>
        <w:jc w:val="both"/>
        <w:rPr>
          <w:rFonts w:cs="Arial"/>
          <w:sz w:val="22"/>
          <w:szCs w:val="22"/>
        </w:rPr>
      </w:pPr>
    </w:p>
    <w:p w14:paraId="66469F2A" w14:textId="4040450C" w:rsidR="00AE2ECF" w:rsidRPr="00C11123" w:rsidRDefault="00000000" w:rsidP="00CC6024">
      <w:pPr>
        <w:spacing w:after="0" w:line="240" w:lineRule="auto"/>
        <w:jc w:val="both"/>
        <w:rPr>
          <w:rFonts w:cs="Arial"/>
          <w:sz w:val="22"/>
          <w:szCs w:val="22"/>
        </w:rPr>
      </w:pPr>
      <w:r w:rsidRPr="00C11123">
        <w:rPr>
          <w:rFonts w:cs="Arial"/>
          <w:sz w:val="22"/>
          <w:szCs w:val="22"/>
        </w:rPr>
        <w:t xml:space="preserve">Note: Some patients undergo multiple types of imaging, therefore the above numbers don’t necessarily correspond to total of patients with prostate cancer diagnoses. </w:t>
      </w:r>
    </w:p>
    <w:p w14:paraId="782AB5D5" w14:textId="77777777" w:rsidR="003C4031" w:rsidRPr="00C11123" w:rsidRDefault="003C4031" w:rsidP="00CC6024">
      <w:pPr>
        <w:spacing w:after="0" w:line="240" w:lineRule="auto"/>
        <w:jc w:val="both"/>
        <w:rPr>
          <w:rFonts w:cs="Arial"/>
          <w:sz w:val="22"/>
          <w:szCs w:val="22"/>
        </w:rPr>
      </w:pPr>
    </w:p>
    <w:p w14:paraId="51C7EC9E" w14:textId="2EC8F710" w:rsidR="00106E26" w:rsidRPr="00C11123" w:rsidRDefault="00000000" w:rsidP="00CD18F3">
      <w:pPr>
        <w:pStyle w:val="Heading3"/>
      </w:pPr>
      <w:r w:rsidRPr="00C11123">
        <w:t xml:space="preserve">G.  </w:t>
      </w:r>
      <w:r w:rsidRPr="00CD18F3">
        <w:rPr>
          <w:u w:val="single"/>
        </w:rPr>
        <w:t>Patient Panel by Race/Ethnicity</w:t>
      </w:r>
    </w:p>
    <w:p w14:paraId="5F239D5D" w14:textId="77777777" w:rsidR="00106E26" w:rsidRPr="00C11123" w:rsidRDefault="00106E26" w:rsidP="00CC6024">
      <w:pPr>
        <w:spacing w:after="0" w:line="240" w:lineRule="auto"/>
        <w:jc w:val="both"/>
        <w:rPr>
          <w:rFonts w:cs="Arial"/>
          <w:sz w:val="22"/>
          <w:szCs w:val="22"/>
        </w:rPr>
      </w:pPr>
    </w:p>
    <w:p w14:paraId="2FFEF969" w14:textId="1440BAC3" w:rsidR="00FD6E98" w:rsidRPr="00C11123" w:rsidRDefault="00000000" w:rsidP="00CC6024">
      <w:pPr>
        <w:spacing w:after="0" w:line="240" w:lineRule="auto"/>
        <w:jc w:val="both"/>
        <w:rPr>
          <w:bCs/>
          <w:kern w:val="0"/>
          <w:sz w:val="22"/>
          <w:szCs w:val="22"/>
          <w14:ligatures w14:val="none"/>
        </w:rPr>
      </w:pPr>
      <w:r w:rsidRPr="00C11123">
        <w:rPr>
          <w:bCs/>
          <w:kern w:val="0"/>
          <w:sz w:val="22"/>
          <w:szCs w:val="22"/>
          <w14:ligatures w14:val="none"/>
        </w:rPr>
        <w:t xml:space="preserve">The Applicant’s race/ethnicity demographics are set forth in Table </w:t>
      </w:r>
      <w:r w:rsidR="00663992" w:rsidRPr="00C11123">
        <w:rPr>
          <w:bCs/>
          <w:kern w:val="0"/>
          <w:sz w:val="22"/>
          <w:szCs w:val="22"/>
          <w14:ligatures w14:val="none"/>
        </w:rPr>
        <w:t>1</w:t>
      </w:r>
      <w:r w:rsidR="00D86C95" w:rsidRPr="00C11123">
        <w:rPr>
          <w:bCs/>
          <w:kern w:val="0"/>
          <w:sz w:val="22"/>
          <w:szCs w:val="22"/>
          <w14:ligatures w14:val="none"/>
        </w:rPr>
        <w:t>3</w:t>
      </w:r>
      <w:r w:rsidRPr="00C11123">
        <w:rPr>
          <w:bCs/>
          <w:kern w:val="0"/>
          <w:sz w:val="22"/>
          <w:szCs w:val="22"/>
          <w14:ligatures w14:val="none"/>
        </w:rPr>
        <w:t xml:space="preserve"> below.</w:t>
      </w:r>
    </w:p>
    <w:p w14:paraId="7EB82532" w14:textId="77777777" w:rsidR="00663992" w:rsidRPr="00C11123" w:rsidRDefault="00663992" w:rsidP="00CC6024">
      <w:pPr>
        <w:spacing w:after="0" w:line="240" w:lineRule="auto"/>
        <w:jc w:val="both"/>
        <w:rPr>
          <w:bCs/>
          <w:kern w:val="0"/>
          <w:sz w:val="22"/>
          <w:szCs w:val="22"/>
          <w14:ligatures w14:val="none"/>
        </w:rPr>
      </w:pPr>
    </w:p>
    <w:p w14:paraId="7A322FA4" w14:textId="22756BFD" w:rsidR="00106E26" w:rsidRPr="00C11123" w:rsidRDefault="00000000" w:rsidP="00CC6024">
      <w:pPr>
        <w:spacing w:after="0" w:line="240" w:lineRule="auto"/>
        <w:jc w:val="both"/>
        <w:rPr>
          <w:b/>
          <w:kern w:val="0"/>
          <w:sz w:val="22"/>
          <w:szCs w:val="22"/>
          <w14:ligatures w14:val="none"/>
        </w:rPr>
      </w:pPr>
      <w:r w:rsidRPr="00C11123">
        <w:rPr>
          <w:b/>
          <w:kern w:val="0"/>
          <w:sz w:val="22"/>
          <w:szCs w:val="22"/>
          <w14:ligatures w14:val="none"/>
        </w:rPr>
        <w:t>Table 1</w:t>
      </w:r>
      <w:r w:rsidR="00D70747" w:rsidRPr="00C11123">
        <w:rPr>
          <w:b/>
          <w:kern w:val="0"/>
          <w:sz w:val="22"/>
          <w:szCs w:val="22"/>
          <w14:ligatures w14:val="none"/>
        </w:rPr>
        <w:t>3</w:t>
      </w:r>
      <w:r w:rsidRPr="00C11123">
        <w:rPr>
          <w:b/>
          <w:kern w:val="0"/>
          <w:sz w:val="22"/>
          <w:szCs w:val="22"/>
          <w14:ligatures w14:val="none"/>
        </w:rPr>
        <w:t xml:space="preserve"> – </w:t>
      </w:r>
      <w:r w:rsidR="00E418E7" w:rsidRPr="00C11123">
        <w:rPr>
          <w:b/>
          <w:kern w:val="0"/>
          <w:sz w:val="22"/>
          <w:szCs w:val="22"/>
          <w14:ligatures w14:val="none"/>
        </w:rPr>
        <w:t>Patient Panel:</w:t>
      </w:r>
      <w:r w:rsidR="00AE2ECF" w:rsidRPr="00C11123">
        <w:rPr>
          <w:b/>
          <w:kern w:val="0"/>
          <w:sz w:val="22"/>
          <w:szCs w:val="22"/>
          <w14:ligatures w14:val="none"/>
        </w:rPr>
        <w:t xml:space="preserve"> Self-Reported</w:t>
      </w:r>
      <w:r w:rsidR="00E418E7" w:rsidRPr="00C11123">
        <w:rPr>
          <w:b/>
          <w:kern w:val="0"/>
          <w:sz w:val="22"/>
          <w:szCs w:val="22"/>
          <w14:ligatures w14:val="none"/>
        </w:rPr>
        <w:t xml:space="preserve"> Race/Ethnicity</w:t>
      </w:r>
    </w:p>
    <w:tbl>
      <w:tblPr>
        <w:tblStyle w:val="GridTable4"/>
        <w:tblW w:w="9555" w:type="dxa"/>
        <w:tblLook w:val="04A0" w:firstRow="1" w:lastRow="0" w:firstColumn="1" w:lastColumn="0" w:noHBand="0" w:noVBand="1"/>
        <w:tblCaption w:val="Patient Panel: Self-Reported Race/Ethnicity"/>
      </w:tblPr>
      <w:tblGrid>
        <w:gridCol w:w="1526"/>
        <w:gridCol w:w="2803"/>
        <w:gridCol w:w="2331"/>
        <w:gridCol w:w="931"/>
        <w:gridCol w:w="931"/>
        <w:gridCol w:w="1033"/>
      </w:tblGrid>
      <w:tr w:rsidR="00507820" w14:paraId="149AED99" w14:textId="77777777" w:rsidTr="006E5BC8">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A09AD0" w14:textId="0451701A" w:rsidR="00CC4E29" w:rsidRPr="00C11123" w:rsidRDefault="00000000" w:rsidP="00CC6024">
            <w:pPr>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Practice Site</w:t>
            </w:r>
          </w:p>
        </w:tc>
        <w:tc>
          <w:tcPr>
            <w:tcW w:w="0" w:type="auto"/>
            <w:noWrap/>
            <w:hideMark/>
          </w:tcPr>
          <w:p w14:paraId="655FCCC4" w14:textId="43463DD5" w:rsidR="00CC4E29"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Race</w:t>
            </w:r>
          </w:p>
        </w:tc>
        <w:tc>
          <w:tcPr>
            <w:tcW w:w="0" w:type="auto"/>
            <w:noWrap/>
            <w:hideMark/>
          </w:tcPr>
          <w:p w14:paraId="273F65AE" w14:textId="78BEEA8B" w:rsidR="00CC4E29"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Ethnicity</w:t>
            </w:r>
          </w:p>
        </w:tc>
        <w:tc>
          <w:tcPr>
            <w:tcW w:w="0" w:type="auto"/>
            <w:noWrap/>
            <w:hideMark/>
          </w:tcPr>
          <w:p w14:paraId="462C7BF5" w14:textId="77777777" w:rsidR="00CC4E29" w:rsidRPr="00C11123" w:rsidRDefault="00000000" w:rsidP="00CC6024">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2023</w:t>
            </w:r>
          </w:p>
        </w:tc>
        <w:tc>
          <w:tcPr>
            <w:tcW w:w="0" w:type="auto"/>
            <w:noWrap/>
            <w:hideMark/>
          </w:tcPr>
          <w:p w14:paraId="339C453D" w14:textId="77777777" w:rsidR="00CC4E29" w:rsidRPr="00C11123" w:rsidRDefault="00000000" w:rsidP="00CC6024">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2024</w:t>
            </w:r>
          </w:p>
        </w:tc>
        <w:tc>
          <w:tcPr>
            <w:tcW w:w="1033" w:type="dxa"/>
            <w:noWrap/>
            <w:hideMark/>
          </w:tcPr>
          <w:p w14:paraId="0D1909D5" w14:textId="77777777" w:rsidR="00CC4E29" w:rsidRPr="00C11123" w:rsidRDefault="00000000" w:rsidP="00CC6024">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2025</w:t>
            </w:r>
          </w:p>
        </w:tc>
      </w:tr>
      <w:tr w:rsidR="00507820" w14:paraId="63B1AD43"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699C96C" w14:textId="51EAAA46"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Attleboro </w:t>
            </w:r>
          </w:p>
        </w:tc>
        <w:tc>
          <w:tcPr>
            <w:tcW w:w="0" w:type="auto"/>
            <w:noWrap/>
            <w:hideMark/>
          </w:tcPr>
          <w:p w14:paraId="24D0E89C"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7D78813C" w14:textId="5D88D7E5"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w:t>
            </w:r>
            <w:r w:rsidR="006E5BC8">
              <w:rPr>
                <w:rFonts w:eastAsia="Times New Roman" w:cs="Times New Roman"/>
                <w:color w:val="000000"/>
                <w:kern w:val="0"/>
                <w:sz w:val="22"/>
                <w:szCs w:val="22"/>
                <w14:ligatures w14:val="none"/>
              </w:rPr>
              <w:t>N/A</w:t>
            </w:r>
          </w:p>
        </w:tc>
        <w:tc>
          <w:tcPr>
            <w:tcW w:w="0" w:type="auto"/>
            <w:noWrap/>
            <w:hideMark/>
          </w:tcPr>
          <w:p w14:paraId="1302CF77"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6DDDB4A9"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6D68AC94"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3.08%</w:t>
            </w:r>
          </w:p>
        </w:tc>
      </w:tr>
      <w:tr w:rsidR="00507820" w14:paraId="70BD1F85"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250DB27" w14:textId="5A6E70CD"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Attleboro</w:t>
            </w:r>
          </w:p>
        </w:tc>
        <w:tc>
          <w:tcPr>
            <w:tcW w:w="0" w:type="auto"/>
            <w:noWrap/>
            <w:hideMark/>
          </w:tcPr>
          <w:p w14:paraId="62F42BA7"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4C3B8041"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21B42E9B"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186CC6DA"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20156B2B"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96.92%</w:t>
            </w:r>
          </w:p>
        </w:tc>
      </w:tr>
      <w:tr w:rsidR="00507820" w14:paraId="39E4DE34"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6F156C" w14:textId="26D920A3"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Dedham </w:t>
            </w:r>
          </w:p>
        </w:tc>
        <w:tc>
          <w:tcPr>
            <w:tcW w:w="0" w:type="auto"/>
            <w:noWrap/>
            <w:hideMark/>
          </w:tcPr>
          <w:p w14:paraId="1A959D7D"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African American</w:t>
            </w:r>
          </w:p>
        </w:tc>
        <w:tc>
          <w:tcPr>
            <w:tcW w:w="0" w:type="auto"/>
            <w:noWrap/>
            <w:hideMark/>
          </w:tcPr>
          <w:p w14:paraId="78C7824C"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18DE9F2A"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2F8CC3FC"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46475717"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0.11%</w:t>
            </w:r>
          </w:p>
        </w:tc>
      </w:tr>
      <w:tr w:rsidR="00507820" w14:paraId="28B683D0"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C2D4A5C" w14:textId="060C47CC"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108A5A41"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Asian</w:t>
            </w:r>
          </w:p>
        </w:tc>
        <w:tc>
          <w:tcPr>
            <w:tcW w:w="0" w:type="auto"/>
            <w:noWrap/>
            <w:hideMark/>
          </w:tcPr>
          <w:p w14:paraId="26B5373F"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1115383E"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1.15%</w:t>
            </w:r>
          </w:p>
        </w:tc>
        <w:tc>
          <w:tcPr>
            <w:tcW w:w="0" w:type="auto"/>
            <w:noWrap/>
            <w:hideMark/>
          </w:tcPr>
          <w:p w14:paraId="761B5985"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12462999"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0.46%</w:t>
            </w:r>
          </w:p>
        </w:tc>
      </w:tr>
      <w:tr w:rsidR="00507820" w14:paraId="30DEB197"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7CEB82FF" w14:textId="0F5E3FEE"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720D78EE"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09E52BE4"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7D16CD2"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8.96%</w:t>
            </w:r>
          </w:p>
        </w:tc>
        <w:tc>
          <w:tcPr>
            <w:tcW w:w="0" w:type="auto"/>
            <w:noWrap/>
            <w:hideMark/>
          </w:tcPr>
          <w:p w14:paraId="78488775"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11.65%</w:t>
            </w:r>
          </w:p>
        </w:tc>
        <w:tc>
          <w:tcPr>
            <w:tcW w:w="1033" w:type="dxa"/>
            <w:noWrap/>
            <w:hideMark/>
          </w:tcPr>
          <w:p w14:paraId="1181852C"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11.59%</w:t>
            </w:r>
          </w:p>
        </w:tc>
      </w:tr>
      <w:tr w:rsidR="00507820" w14:paraId="5EBFE966"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A4FC811" w14:textId="1B3D0554"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11BB28B1"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5414D316"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3DF2C317"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1.28%</w:t>
            </w:r>
          </w:p>
        </w:tc>
        <w:tc>
          <w:tcPr>
            <w:tcW w:w="0" w:type="auto"/>
            <w:noWrap/>
            <w:hideMark/>
          </w:tcPr>
          <w:p w14:paraId="253329DD"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36D9DB54"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507820" w14:paraId="370C4A67"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69DDA0" w14:textId="43A513B8"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0F68085D"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251584F8"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459AE5E0"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4.44%</w:t>
            </w:r>
          </w:p>
        </w:tc>
        <w:tc>
          <w:tcPr>
            <w:tcW w:w="0" w:type="auto"/>
            <w:noWrap/>
            <w:hideMark/>
          </w:tcPr>
          <w:p w14:paraId="62719CA9"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4.91%</w:t>
            </w:r>
          </w:p>
        </w:tc>
        <w:tc>
          <w:tcPr>
            <w:tcW w:w="1033" w:type="dxa"/>
            <w:noWrap/>
            <w:hideMark/>
          </w:tcPr>
          <w:p w14:paraId="3B93FAE0"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3.30%</w:t>
            </w:r>
          </w:p>
        </w:tc>
      </w:tr>
      <w:tr w:rsidR="00507820" w14:paraId="30BFC5A0"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D8F21E3" w14:textId="30F1DE1A"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271404D1"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46098970"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76EA5A69"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2.32%</w:t>
            </w:r>
          </w:p>
        </w:tc>
        <w:tc>
          <w:tcPr>
            <w:tcW w:w="0" w:type="auto"/>
            <w:noWrap/>
            <w:hideMark/>
          </w:tcPr>
          <w:p w14:paraId="179B6E5A"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7.89%</w:t>
            </w:r>
          </w:p>
        </w:tc>
        <w:tc>
          <w:tcPr>
            <w:tcW w:w="1033" w:type="dxa"/>
            <w:noWrap/>
            <w:hideMark/>
          </w:tcPr>
          <w:p w14:paraId="40E51E14"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9.84%</w:t>
            </w:r>
          </w:p>
        </w:tc>
      </w:tr>
      <w:tr w:rsidR="00507820" w14:paraId="4504C7B6"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80D553B" w14:textId="43787DCD"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428B8490"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7D6950C4"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Mexican</w:t>
            </w:r>
          </w:p>
        </w:tc>
        <w:tc>
          <w:tcPr>
            <w:tcW w:w="0" w:type="auto"/>
            <w:noWrap/>
            <w:hideMark/>
          </w:tcPr>
          <w:p w14:paraId="4C4C61D8"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29527203"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0.98%</w:t>
            </w:r>
          </w:p>
        </w:tc>
        <w:tc>
          <w:tcPr>
            <w:tcW w:w="1033" w:type="dxa"/>
            <w:noWrap/>
            <w:hideMark/>
          </w:tcPr>
          <w:p w14:paraId="5AECAF0F"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0.84%</w:t>
            </w:r>
          </w:p>
        </w:tc>
      </w:tr>
      <w:tr w:rsidR="00507820" w14:paraId="43E65F55"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6E7538" w14:textId="3400BA32"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Dedham</w:t>
            </w:r>
          </w:p>
        </w:tc>
        <w:tc>
          <w:tcPr>
            <w:tcW w:w="0" w:type="auto"/>
            <w:noWrap/>
            <w:hideMark/>
          </w:tcPr>
          <w:p w14:paraId="1F93D8F6"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05F71343"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72AAA629"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81.87%</w:t>
            </w:r>
          </w:p>
        </w:tc>
        <w:tc>
          <w:tcPr>
            <w:tcW w:w="0" w:type="auto"/>
            <w:noWrap/>
            <w:hideMark/>
          </w:tcPr>
          <w:p w14:paraId="17B57546"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74.57%</w:t>
            </w:r>
          </w:p>
        </w:tc>
        <w:tc>
          <w:tcPr>
            <w:tcW w:w="1033" w:type="dxa"/>
            <w:noWrap/>
            <w:hideMark/>
          </w:tcPr>
          <w:p w14:paraId="2760B401"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73.86%</w:t>
            </w:r>
          </w:p>
        </w:tc>
      </w:tr>
      <w:tr w:rsidR="00507820" w14:paraId="63C789AB"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7E418F7" w14:textId="7570B5BF"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Falmouth</w:t>
            </w:r>
          </w:p>
        </w:tc>
        <w:tc>
          <w:tcPr>
            <w:tcW w:w="0" w:type="auto"/>
            <w:noWrap/>
            <w:hideMark/>
          </w:tcPr>
          <w:p w14:paraId="049EBAD0"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5871736F"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13665A2B"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589DEC3A"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3D7C4749"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0.49%</w:t>
            </w:r>
          </w:p>
        </w:tc>
      </w:tr>
      <w:tr w:rsidR="006E5BC8" w14:paraId="537A4977"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78F95044" w14:textId="4764970A" w:rsidR="006E5BC8" w:rsidRPr="00C11123" w:rsidRDefault="006E5BC8" w:rsidP="006E5BC8">
            <w:pPr>
              <w:rPr>
                <w:rFonts w:eastAsia="Times New Roman" w:cs="Times New Roman"/>
                <w:b w:val="0"/>
                <w:bCs w:val="0"/>
                <w:color w:val="000000"/>
                <w:kern w:val="0"/>
                <w:sz w:val="22"/>
                <w:szCs w:val="22"/>
                <w14:ligatures w14:val="none"/>
              </w:rPr>
            </w:pPr>
            <w:r w:rsidRPr="00E75005">
              <w:rPr>
                <w:rFonts w:eastAsia="Times New Roman" w:cs="Times New Roman"/>
                <w:color w:val="000000"/>
                <w:kern w:val="0"/>
                <w:sz w:val="22"/>
                <w:szCs w:val="22"/>
                <w14:ligatures w14:val="none"/>
              </w:rPr>
              <w:t>Falmouth</w:t>
            </w:r>
          </w:p>
        </w:tc>
        <w:tc>
          <w:tcPr>
            <w:tcW w:w="0" w:type="auto"/>
            <w:noWrap/>
            <w:hideMark/>
          </w:tcPr>
          <w:p w14:paraId="0F89372B"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1E1626D8"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52DCE51D"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2.90%</w:t>
            </w:r>
          </w:p>
        </w:tc>
        <w:tc>
          <w:tcPr>
            <w:tcW w:w="0" w:type="auto"/>
            <w:noWrap/>
            <w:hideMark/>
          </w:tcPr>
          <w:p w14:paraId="7F4E6FA9"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7F1E9655"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6E5BC8" w14:paraId="1988F285"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5614D8C" w14:textId="79033717" w:rsidR="006E5BC8" w:rsidRPr="00C11123" w:rsidRDefault="006E5BC8" w:rsidP="006E5BC8">
            <w:pPr>
              <w:rPr>
                <w:rFonts w:eastAsia="Times New Roman" w:cs="Times New Roman"/>
                <w:b w:val="0"/>
                <w:bCs w:val="0"/>
                <w:color w:val="000000"/>
                <w:kern w:val="0"/>
                <w:sz w:val="22"/>
                <w:szCs w:val="22"/>
                <w14:ligatures w14:val="none"/>
              </w:rPr>
            </w:pPr>
            <w:r w:rsidRPr="00E75005">
              <w:rPr>
                <w:rFonts w:eastAsia="Times New Roman" w:cs="Times New Roman"/>
                <w:color w:val="000000"/>
                <w:kern w:val="0"/>
                <w:sz w:val="22"/>
                <w:szCs w:val="22"/>
                <w14:ligatures w14:val="none"/>
              </w:rPr>
              <w:t>Falmouth</w:t>
            </w:r>
          </w:p>
        </w:tc>
        <w:tc>
          <w:tcPr>
            <w:tcW w:w="0" w:type="auto"/>
            <w:noWrap/>
            <w:hideMark/>
          </w:tcPr>
          <w:p w14:paraId="50E8BC3D" w14:textId="77777777" w:rsidR="006E5BC8" w:rsidRPr="00C11123" w:rsidRDefault="006E5BC8" w:rsidP="006E5BC8">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0B8A5BD6" w14:textId="77777777" w:rsidR="006E5BC8" w:rsidRPr="00C11123" w:rsidRDefault="006E5BC8" w:rsidP="006E5BC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55F1D4E4"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22.63%</w:t>
            </w:r>
          </w:p>
        </w:tc>
        <w:tc>
          <w:tcPr>
            <w:tcW w:w="0" w:type="auto"/>
            <w:noWrap/>
            <w:hideMark/>
          </w:tcPr>
          <w:p w14:paraId="398118DA"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17.02%</w:t>
            </w:r>
          </w:p>
        </w:tc>
        <w:tc>
          <w:tcPr>
            <w:tcW w:w="1033" w:type="dxa"/>
            <w:noWrap/>
            <w:hideMark/>
          </w:tcPr>
          <w:p w14:paraId="28A33DDC"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11.53%</w:t>
            </w:r>
          </w:p>
        </w:tc>
      </w:tr>
      <w:tr w:rsidR="006E5BC8" w14:paraId="13529EF0"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5CCAABD" w14:textId="0B65731B" w:rsidR="006E5BC8" w:rsidRPr="00C11123" w:rsidRDefault="006E5BC8" w:rsidP="006E5BC8">
            <w:pPr>
              <w:rPr>
                <w:rFonts w:eastAsia="Times New Roman" w:cs="Times New Roman"/>
                <w:b w:val="0"/>
                <w:bCs w:val="0"/>
                <w:color w:val="000000"/>
                <w:kern w:val="0"/>
                <w:sz w:val="22"/>
                <w:szCs w:val="22"/>
                <w14:ligatures w14:val="none"/>
              </w:rPr>
            </w:pPr>
            <w:r w:rsidRPr="00E75005">
              <w:rPr>
                <w:rFonts w:eastAsia="Times New Roman" w:cs="Times New Roman"/>
                <w:color w:val="000000"/>
                <w:kern w:val="0"/>
                <w:sz w:val="22"/>
                <w:szCs w:val="22"/>
                <w14:ligatures w14:val="none"/>
              </w:rPr>
              <w:t>Falmouth</w:t>
            </w:r>
          </w:p>
        </w:tc>
        <w:tc>
          <w:tcPr>
            <w:tcW w:w="0" w:type="auto"/>
            <w:noWrap/>
            <w:hideMark/>
          </w:tcPr>
          <w:p w14:paraId="07BEE703"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41B1031B"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ED0F24F"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74.47%</w:t>
            </w:r>
          </w:p>
        </w:tc>
        <w:tc>
          <w:tcPr>
            <w:tcW w:w="0" w:type="auto"/>
            <w:noWrap/>
            <w:hideMark/>
          </w:tcPr>
          <w:p w14:paraId="70EC8FD2"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82.98%</w:t>
            </w:r>
          </w:p>
        </w:tc>
        <w:tc>
          <w:tcPr>
            <w:tcW w:w="1033" w:type="dxa"/>
            <w:noWrap/>
            <w:hideMark/>
          </w:tcPr>
          <w:p w14:paraId="3E56644C"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87.98%</w:t>
            </w:r>
          </w:p>
        </w:tc>
      </w:tr>
      <w:tr w:rsidR="00507820" w14:paraId="5623EEBD"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A8232B" w14:textId="02CE3726"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Framingham </w:t>
            </w:r>
          </w:p>
        </w:tc>
        <w:tc>
          <w:tcPr>
            <w:tcW w:w="0" w:type="auto"/>
            <w:noWrap/>
            <w:hideMark/>
          </w:tcPr>
          <w:p w14:paraId="445A1B7C"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4FDD4F58"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7839C100"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14.59%</w:t>
            </w:r>
          </w:p>
        </w:tc>
        <w:tc>
          <w:tcPr>
            <w:tcW w:w="0" w:type="auto"/>
            <w:noWrap/>
            <w:hideMark/>
          </w:tcPr>
          <w:p w14:paraId="5AAE1BA1"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33.96%</w:t>
            </w:r>
          </w:p>
        </w:tc>
        <w:tc>
          <w:tcPr>
            <w:tcW w:w="1033" w:type="dxa"/>
            <w:noWrap/>
            <w:hideMark/>
          </w:tcPr>
          <w:p w14:paraId="6466C86D"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21.57%</w:t>
            </w:r>
          </w:p>
        </w:tc>
      </w:tr>
      <w:tr w:rsidR="00507820" w14:paraId="52677CAD"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B8AAD24" w14:textId="649564A4" w:rsidR="00CC4E29" w:rsidRPr="00C11123" w:rsidRDefault="006E5BC8"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Framingham</w:t>
            </w:r>
          </w:p>
        </w:tc>
        <w:tc>
          <w:tcPr>
            <w:tcW w:w="0" w:type="auto"/>
            <w:noWrap/>
            <w:hideMark/>
          </w:tcPr>
          <w:p w14:paraId="522107CF"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58355FD9"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12AAE4E5"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85.41%</w:t>
            </w:r>
          </w:p>
        </w:tc>
        <w:tc>
          <w:tcPr>
            <w:tcW w:w="0" w:type="auto"/>
            <w:noWrap/>
            <w:hideMark/>
          </w:tcPr>
          <w:p w14:paraId="411BEF98"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66.04%</w:t>
            </w:r>
          </w:p>
        </w:tc>
        <w:tc>
          <w:tcPr>
            <w:tcW w:w="1033" w:type="dxa"/>
            <w:noWrap/>
            <w:hideMark/>
          </w:tcPr>
          <w:p w14:paraId="67C38238"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78.43%</w:t>
            </w:r>
          </w:p>
        </w:tc>
      </w:tr>
      <w:tr w:rsidR="00507820" w14:paraId="40B011A6"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726ECFC" w14:textId="36E05302"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Hyannis </w:t>
            </w:r>
          </w:p>
        </w:tc>
        <w:tc>
          <w:tcPr>
            <w:tcW w:w="0" w:type="auto"/>
            <w:noWrap/>
            <w:hideMark/>
          </w:tcPr>
          <w:p w14:paraId="5B5E6E37"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50B718AF"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1B3AD036"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9.38%</w:t>
            </w:r>
          </w:p>
        </w:tc>
        <w:tc>
          <w:tcPr>
            <w:tcW w:w="0" w:type="auto"/>
            <w:noWrap/>
            <w:hideMark/>
          </w:tcPr>
          <w:p w14:paraId="3A526AE7"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06DBFE1B"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8.06%</w:t>
            </w:r>
          </w:p>
        </w:tc>
      </w:tr>
      <w:tr w:rsidR="006E5BC8" w14:paraId="309C97B5"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DA1DDDA" w14:textId="76CA8B7E" w:rsidR="006E5BC8" w:rsidRPr="00C11123" w:rsidRDefault="006E5BC8" w:rsidP="006E5BC8">
            <w:pPr>
              <w:rPr>
                <w:rFonts w:eastAsia="Times New Roman" w:cs="Times New Roman"/>
                <w:b w:val="0"/>
                <w:bCs w:val="0"/>
                <w:color w:val="000000"/>
                <w:kern w:val="0"/>
                <w:sz w:val="22"/>
                <w:szCs w:val="22"/>
                <w14:ligatures w14:val="none"/>
              </w:rPr>
            </w:pPr>
            <w:r w:rsidRPr="000E66C3">
              <w:rPr>
                <w:rFonts w:eastAsia="Times New Roman" w:cs="Times New Roman"/>
                <w:color w:val="000000"/>
                <w:kern w:val="0"/>
                <w:sz w:val="22"/>
                <w:szCs w:val="22"/>
                <w14:ligatures w14:val="none"/>
              </w:rPr>
              <w:t xml:space="preserve">Hyannis </w:t>
            </w:r>
          </w:p>
        </w:tc>
        <w:tc>
          <w:tcPr>
            <w:tcW w:w="0" w:type="auto"/>
            <w:noWrap/>
            <w:hideMark/>
          </w:tcPr>
          <w:p w14:paraId="05C8D827"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05190F7C"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2D73CE2E"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4EB99526"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12.70%</w:t>
            </w:r>
          </w:p>
        </w:tc>
        <w:tc>
          <w:tcPr>
            <w:tcW w:w="1033" w:type="dxa"/>
            <w:noWrap/>
            <w:hideMark/>
          </w:tcPr>
          <w:p w14:paraId="409BB5DC"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6E5BC8" w14:paraId="13212794"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0274CBFB" w14:textId="53565762" w:rsidR="006E5BC8" w:rsidRPr="00C11123" w:rsidRDefault="006E5BC8" w:rsidP="006E5BC8">
            <w:pPr>
              <w:rPr>
                <w:rFonts w:eastAsia="Times New Roman" w:cs="Times New Roman"/>
                <w:b w:val="0"/>
                <w:bCs w:val="0"/>
                <w:color w:val="000000"/>
                <w:kern w:val="0"/>
                <w:sz w:val="22"/>
                <w:szCs w:val="22"/>
                <w14:ligatures w14:val="none"/>
              </w:rPr>
            </w:pPr>
            <w:r w:rsidRPr="000E66C3">
              <w:rPr>
                <w:rFonts w:eastAsia="Times New Roman" w:cs="Times New Roman"/>
                <w:color w:val="000000"/>
                <w:kern w:val="0"/>
                <w:sz w:val="22"/>
                <w:szCs w:val="22"/>
                <w14:ligatures w14:val="none"/>
              </w:rPr>
              <w:t xml:space="preserve">Hyannis </w:t>
            </w:r>
          </w:p>
        </w:tc>
        <w:tc>
          <w:tcPr>
            <w:tcW w:w="0" w:type="auto"/>
            <w:noWrap/>
            <w:hideMark/>
          </w:tcPr>
          <w:p w14:paraId="55C20BC3" w14:textId="77777777" w:rsidR="006E5BC8" w:rsidRPr="00C11123" w:rsidRDefault="006E5BC8" w:rsidP="006E5BC8">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104A1ECC" w14:textId="77777777" w:rsidR="006E5BC8" w:rsidRPr="00C11123" w:rsidRDefault="006E5BC8" w:rsidP="006E5BC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068C3242"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20.31%</w:t>
            </w:r>
          </w:p>
        </w:tc>
        <w:tc>
          <w:tcPr>
            <w:tcW w:w="0" w:type="auto"/>
            <w:noWrap/>
            <w:hideMark/>
          </w:tcPr>
          <w:p w14:paraId="4B70BFA7"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25.40%</w:t>
            </w:r>
          </w:p>
        </w:tc>
        <w:tc>
          <w:tcPr>
            <w:tcW w:w="1033" w:type="dxa"/>
            <w:noWrap/>
            <w:hideMark/>
          </w:tcPr>
          <w:p w14:paraId="3F7553EB"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69.23%</w:t>
            </w:r>
          </w:p>
        </w:tc>
      </w:tr>
      <w:tr w:rsidR="006E5BC8" w14:paraId="5C0B5646"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79F81DFF" w14:textId="3263391F" w:rsidR="006E5BC8" w:rsidRPr="00C11123" w:rsidRDefault="006E5BC8" w:rsidP="006E5BC8">
            <w:pPr>
              <w:rPr>
                <w:rFonts w:eastAsia="Times New Roman" w:cs="Times New Roman"/>
                <w:b w:val="0"/>
                <w:bCs w:val="0"/>
                <w:color w:val="000000"/>
                <w:kern w:val="0"/>
                <w:sz w:val="22"/>
                <w:szCs w:val="22"/>
                <w14:ligatures w14:val="none"/>
              </w:rPr>
            </w:pPr>
            <w:r w:rsidRPr="000E66C3">
              <w:rPr>
                <w:rFonts w:eastAsia="Times New Roman" w:cs="Times New Roman"/>
                <w:color w:val="000000"/>
                <w:kern w:val="0"/>
                <w:sz w:val="22"/>
                <w:szCs w:val="22"/>
                <w14:ligatures w14:val="none"/>
              </w:rPr>
              <w:lastRenderedPageBreak/>
              <w:t xml:space="preserve">Hyannis </w:t>
            </w:r>
          </w:p>
        </w:tc>
        <w:tc>
          <w:tcPr>
            <w:tcW w:w="0" w:type="auto"/>
            <w:noWrap/>
            <w:hideMark/>
          </w:tcPr>
          <w:p w14:paraId="3EA3B98C"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2A11F7B8" w14:textId="77777777" w:rsidR="006E5BC8" w:rsidRPr="00C11123" w:rsidRDefault="006E5BC8" w:rsidP="006E5BC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0E5908BE"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7.29%</w:t>
            </w:r>
          </w:p>
        </w:tc>
        <w:tc>
          <w:tcPr>
            <w:tcW w:w="0" w:type="auto"/>
            <w:noWrap/>
            <w:hideMark/>
          </w:tcPr>
          <w:p w14:paraId="08B10BA9"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15.87%</w:t>
            </w:r>
          </w:p>
        </w:tc>
        <w:tc>
          <w:tcPr>
            <w:tcW w:w="1033" w:type="dxa"/>
            <w:noWrap/>
            <w:hideMark/>
          </w:tcPr>
          <w:p w14:paraId="0B191370" w14:textId="77777777" w:rsidR="006E5BC8" w:rsidRPr="00C11123" w:rsidRDefault="006E5BC8" w:rsidP="006E5BC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6E5BC8" w14:paraId="4AF11714"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9F9AA2D" w14:textId="23933108" w:rsidR="006E5BC8" w:rsidRPr="00C11123" w:rsidRDefault="006E5BC8" w:rsidP="006E5BC8">
            <w:pPr>
              <w:rPr>
                <w:rFonts w:eastAsia="Times New Roman" w:cs="Times New Roman"/>
                <w:b w:val="0"/>
                <w:bCs w:val="0"/>
                <w:color w:val="000000"/>
                <w:kern w:val="0"/>
                <w:sz w:val="22"/>
                <w:szCs w:val="22"/>
                <w14:ligatures w14:val="none"/>
              </w:rPr>
            </w:pPr>
            <w:r w:rsidRPr="000E66C3">
              <w:rPr>
                <w:rFonts w:eastAsia="Times New Roman" w:cs="Times New Roman"/>
                <w:color w:val="000000"/>
                <w:kern w:val="0"/>
                <w:sz w:val="22"/>
                <w:szCs w:val="22"/>
                <w14:ligatures w14:val="none"/>
              </w:rPr>
              <w:t xml:space="preserve">Hyannis </w:t>
            </w:r>
          </w:p>
        </w:tc>
        <w:tc>
          <w:tcPr>
            <w:tcW w:w="0" w:type="auto"/>
            <w:noWrap/>
            <w:hideMark/>
          </w:tcPr>
          <w:p w14:paraId="3A0245A8" w14:textId="77777777" w:rsidR="006E5BC8" w:rsidRPr="00C11123" w:rsidRDefault="006E5BC8" w:rsidP="006E5BC8">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0437188C" w14:textId="77777777" w:rsidR="006E5BC8" w:rsidRPr="00C11123" w:rsidRDefault="006E5BC8" w:rsidP="006E5BC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50B57685"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63.02%</w:t>
            </w:r>
          </w:p>
        </w:tc>
        <w:tc>
          <w:tcPr>
            <w:tcW w:w="0" w:type="auto"/>
            <w:noWrap/>
            <w:hideMark/>
          </w:tcPr>
          <w:p w14:paraId="5C90A6FA"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46.03%</w:t>
            </w:r>
          </w:p>
        </w:tc>
        <w:tc>
          <w:tcPr>
            <w:tcW w:w="1033" w:type="dxa"/>
            <w:noWrap/>
            <w:hideMark/>
          </w:tcPr>
          <w:p w14:paraId="3462BCC8" w14:textId="77777777" w:rsidR="006E5BC8" w:rsidRPr="00C11123" w:rsidRDefault="006E5BC8" w:rsidP="006E5BC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22.71%</w:t>
            </w:r>
          </w:p>
        </w:tc>
      </w:tr>
      <w:tr w:rsidR="00507820" w14:paraId="7790FF6F"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0F2C9D" w14:textId="04AE889E"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Leominster </w:t>
            </w:r>
          </w:p>
        </w:tc>
        <w:tc>
          <w:tcPr>
            <w:tcW w:w="0" w:type="auto"/>
            <w:noWrap/>
            <w:hideMark/>
          </w:tcPr>
          <w:p w14:paraId="472F4E6A"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7CE00801"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9A003DA"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4AC094D7"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591AE35B"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0.31%</w:t>
            </w:r>
          </w:p>
        </w:tc>
      </w:tr>
      <w:tr w:rsidR="00C848C4" w14:paraId="54862F6E"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0A43C50" w14:textId="46C24341" w:rsidR="00C848C4" w:rsidRPr="00C11123" w:rsidRDefault="00C848C4" w:rsidP="00C848C4">
            <w:pPr>
              <w:rPr>
                <w:rFonts w:eastAsia="Times New Roman" w:cs="Times New Roman"/>
                <w:b w:val="0"/>
                <w:bCs w:val="0"/>
                <w:color w:val="000000"/>
                <w:kern w:val="0"/>
                <w:sz w:val="22"/>
                <w:szCs w:val="22"/>
                <w14:ligatures w14:val="none"/>
              </w:rPr>
            </w:pPr>
            <w:r w:rsidRPr="00C3639E">
              <w:rPr>
                <w:rFonts w:eastAsia="Times New Roman" w:cs="Times New Roman"/>
                <w:color w:val="000000"/>
                <w:kern w:val="0"/>
                <w:sz w:val="22"/>
                <w:szCs w:val="22"/>
                <w14:ligatures w14:val="none"/>
              </w:rPr>
              <w:t xml:space="preserve">Leominster </w:t>
            </w:r>
          </w:p>
        </w:tc>
        <w:tc>
          <w:tcPr>
            <w:tcW w:w="0" w:type="auto"/>
            <w:noWrap/>
            <w:hideMark/>
          </w:tcPr>
          <w:p w14:paraId="07AA8DA0" w14:textId="77777777" w:rsidR="00C848C4" w:rsidRPr="00C11123" w:rsidRDefault="00C848C4" w:rsidP="00C848C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3507EE52" w14:textId="77777777" w:rsidR="00C848C4" w:rsidRPr="00C11123" w:rsidRDefault="00C848C4" w:rsidP="00C84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0C4E864D"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3B82E887"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281F517F"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0.72%</w:t>
            </w:r>
          </w:p>
        </w:tc>
      </w:tr>
      <w:tr w:rsidR="00C848C4" w14:paraId="518C6D49"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AD674F0" w14:textId="259AEF47" w:rsidR="00C848C4" w:rsidRPr="00C11123" w:rsidRDefault="00C848C4" w:rsidP="00C848C4">
            <w:pPr>
              <w:rPr>
                <w:rFonts w:eastAsia="Times New Roman" w:cs="Times New Roman"/>
                <w:b w:val="0"/>
                <w:bCs w:val="0"/>
                <w:color w:val="000000"/>
                <w:kern w:val="0"/>
                <w:sz w:val="22"/>
                <w:szCs w:val="22"/>
                <w14:ligatures w14:val="none"/>
              </w:rPr>
            </w:pPr>
            <w:r w:rsidRPr="00C3639E">
              <w:rPr>
                <w:rFonts w:eastAsia="Times New Roman" w:cs="Times New Roman"/>
                <w:color w:val="000000"/>
                <w:kern w:val="0"/>
                <w:sz w:val="22"/>
                <w:szCs w:val="22"/>
                <w14:ligatures w14:val="none"/>
              </w:rPr>
              <w:t xml:space="preserve">Leominster </w:t>
            </w:r>
          </w:p>
        </w:tc>
        <w:tc>
          <w:tcPr>
            <w:tcW w:w="0" w:type="auto"/>
            <w:noWrap/>
            <w:hideMark/>
          </w:tcPr>
          <w:p w14:paraId="5050FD31" w14:textId="77777777" w:rsidR="00C848C4" w:rsidRPr="00C11123" w:rsidRDefault="00C848C4" w:rsidP="00C848C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4E0E311E" w14:textId="77777777" w:rsidR="00C848C4" w:rsidRPr="00C11123" w:rsidRDefault="00C848C4" w:rsidP="00C848C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117F3075" w14:textId="77777777" w:rsidR="00C848C4" w:rsidRPr="00C11123" w:rsidRDefault="00C848C4" w:rsidP="00C84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5772A2D6" w14:textId="77777777" w:rsidR="00C848C4" w:rsidRPr="00C11123" w:rsidRDefault="00C848C4" w:rsidP="00C84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63DDDDA2" w14:textId="77777777" w:rsidR="00C848C4" w:rsidRPr="00C11123" w:rsidRDefault="00C848C4" w:rsidP="00C84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7.40%</w:t>
            </w:r>
          </w:p>
        </w:tc>
      </w:tr>
      <w:tr w:rsidR="00C848C4" w14:paraId="2382E43D"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34976C5" w14:textId="43DA4864" w:rsidR="00C848C4" w:rsidRPr="00C11123" w:rsidRDefault="00C848C4" w:rsidP="00C848C4">
            <w:pPr>
              <w:rPr>
                <w:rFonts w:eastAsia="Times New Roman" w:cs="Times New Roman"/>
                <w:b w:val="0"/>
                <w:bCs w:val="0"/>
                <w:color w:val="000000"/>
                <w:kern w:val="0"/>
                <w:sz w:val="22"/>
                <w:szCs w:val="22"/>
                <w14:ligatures w14:val="none"/>
              </w:rPr>
            </w:pPr>
            <w:r w:rsidRPr="00C3639E">
              <w:rPr>
                <w:rFonts w:eastAsia="Times New Roman" w:cs="Times New Roman"/>
                <w:color w:val="000000"/>
                <w:kern w:val="0"/>
                <w:sz w:val="22"/>
                <w:szCs w:val="22"/>
                <w14:ligatures w14:val="none"/>
              </w:rPr>
              <w:t xml:space="preserve">Leominster </w:t>
            </w:r>
          </w:p>
        </w:tc>
        <w:tc>
          <w:tcPr>
            <w:tcW w:w="0" w:type="auto"/>
            <w:noWrap/>
            <w:hideMark/>
          </w:tcPr>
          <w:p w14:paraId="045E109A" w14:textId="77777777" w:rsidR="00C848C4" w:rsidRPr="00C11123" w:rsidRDefault="00C848C4" w:rsidP="00C848C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27AF9DCB" w14:textId="77777777" w:rsidR="00C848C4" w:rsidRPr="00C11123" w:rsidRDefault="00C848C4" w:rsidP="00C84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174530EB"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54725560"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414231F2"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3.80%</w:t>
            </w:r>
          </w:p>
        </w:tc>
      </w:tr>
      <w:tr w:rsidR="00C848C4" w14:paraId="7E8CE8AA"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F7AAB09" w14:textId="2817F6C0" w:rsidR="00C848C4" w:rsidRPr="00C11123" w:rsidRDefault="00C848C4" w:rsidP="00C848C4">
            <w:pPr>
              <w:rPr>
                <w:rFonts w:eastAsia="Times New Roman" w:cs="Times New Roman"/>
                <w:b w:val="0"/>
                <w:bCs w:val="0"/>
                <w:color w:val="000000"/>
                <w:kern w:val="0"/>
                <w:sz w:val="22"/>
                <w:szCs w:val="22"/>
                <w14:ligatures w14:val="none"/>
              </w:rPr>
            </w:pPr>
            <w:r w:rsidRPr="00C3639E">
              <w:rPr>
                <w:rFonts w:eastAsia="Times New Roman" w:cs="Times New Roman"/>
                <w:color w:val="000000"/>
                <w:kern w:val="0"/>
                <w:sz w:val="22"/>
                <w:szCs w:val="22"/>
                <w14:ligatures w14:val="none"/>
              </w:rPr>
              <w:t xml:space="preserve">Leominster </w:t>
            </w:r>
          </w:p>
        </w:tc>
        <w:tc>
          <w:tcPr>
            <w:tcW w:w="0" w:type="auto"/>
            <w:noWrap/>
            <w:hideMark/>
          </w:tcPr>
          <w:p w14:paraId="50005EEC" w14:textId="77777777" w:rsidR="00C848C4" w:rsidRPr="00C11123" w:rsidRDefault="00C848C4" w:rsidP="00C848C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394657E1" w14:textId="77777777" w:rsidR="00C848C4" w:rsidRPr="00C11123" w:rsidRDefault="00C848C4" w:rsidP="00C848C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5AA62BE7" w14:textId="77777777" w:rsidR="00C848C4" w:rsidRPr="00C11123" w:rsidRDefault="00C848C4" w:rsidP="00C84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33EF1C9A" w14:textId="77777777" w:rsidR="00C848C4" w:rsidRPr="00C11123" w:rsidRDefault="00C848C4" w:rsidP="00C84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7729180F" w14:textId="77777777" w:rsidR="00C848C4" w:rsidRPr="00C11123" w:rsidRDefault="00C848C4" w:rsidP="00C84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87.26%</w:t>
            </w:r>
          </w:p>
        </w:tc>
      </w:tr>
      <w:tr w:rsidR="00C848C4" w14:paraId="7449C8E9"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7EC6AD47" w14:textId="3A61F619" w:rsidR="00C848C4" w:rsidRPr="00C11123" w:rsidRDefault="00C848C4" w:rsidP="00C848C4">
            <w:pPr>
              <w:rPr>
                <w:rFonts w:eastAsia="Times New Roman" w:cs="Times New Roman"/>
                <w:b w:val="0"/>
                <w:bCs w:val="0"/>
                <w:color w:val="000000"/>
                <w:kern w:val="0"/>
                <w:sz w:val="22"/>
                <w:szCs w:val="22"/>
                <w14:ligatures w14:val="none"/>
              </w:rPr>
            </w:pPr>
            <w:r w:rsidRPr="00C3639E">
              <w:rPr>
                <w:rFonts w:eastAsia="Times New Roman" w:cs="Times New Roman"/>
                <w:color w:val="000000"/>
                <w:kern w:val="0"/>
                <w:sz w:val="22"/>
                <w:szCs w:val="22"/>
                <w14:ligatures w14:val="none"/>
              </w:rPr>
              <w:t xml:space="preserve">Leominster </w:t>
            </w:r>
          </w:p>
        </w:tc>
        <w:tc>
          <w:tcPr>
            <w:tcW w:w="0" w:type="auto"/>
            <w:noWrap/>
            <w:hideMark/>
          </w:tcPr>
          <w:p w14:paraId="26F26FCF" w14:textId="77777777" w:rsidR="00C848C4" w:rsidRPr="00C11123" w:rsidRDefault="00C848C4" w:rsidP="00C848C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3DB82B25" w14:textId="77777777" w:rsidR="00C848C4" w:rsidRPr="00C11123" w:rsidRDefault="00C848C4" w:rsidP="00C84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Puerto Rican</w:t>
            </w:r>
          </w:p>
        </w:tc>
        <w:tc>
          <w:tcPr>
            <w:tcW w:w="0" w:type="auto"/>
            <w:noWrap/>
            <w:hideMark/>
          </w:tcPr>
          <w:p w14:paraId="5D5C0733"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2E8D2AC9"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78AF3323" w14:textId="77777777" w:rsidR="00C848C4" w:rsidRPr="00C11123" w:rsidRDefault="00C848C4" w:rsidP="00C84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0.52%</w:t>
            </w:r>
          </w:p>
        </w:tc>
      </w:tr>
      <w:tr w:rsidR="00507820" w14:paraId="3E7EF6AB"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DAD94F2" w14:textId="296D546F"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Milton </w:t>
            </w:r>
          </w:p>
        </w:tc>
        <w:tc>
          <w:tcPr>
            <w:tcW w:w="0" w:type="auto"/>
            <w:noWrap/>
            <w:hideMark/>
          </w:tcPr>
          <w:p w14:paraId="1737DCF6"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African American</w:t>
            </w:r>
          </w:p>
        </w:tc>
        <w:tc>
          <w:tcPr>
            <w:tcW w:w="0" w:type="auto"/>
            <w:noWrap/>
            <w:hideMark/>
          </w:tcPr>
          <w:p w14:paraId="55248310"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74C4D167"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0.03%</w:t>
            </w:r>
          </w:p>
        </w:tc>
        <w:tc>
          <w:tcPr>
            <w:tcW w:w="0" w:type="auto"/>
            <w:noWrap/>
            <w:hideMark/>
          </w:tcPr>
          <w:p w14:paraId="3DA25F65"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0.26%</w:t>
            </w:r>
          </w:p>
        </w:tc>
        <w:tc>
          <w:tcPr>
            <w:tcW w:w="1033" w:type="dxa"/>
            <w:noWrap/>
            <w:hideMark/>
          </w:tcPr>
          <w:p w14:paraId="19326CA7"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0.15%</w:t>
            </w:r>
          </w:p>
        </w:tc>
      </w:tr>
      <w:tr w:rsidR="00C941B6" w14:paraId="11CA57B0"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27C9DA36" w14:textId="036113F3"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05C5062A"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Asian</w:t>
            </w:r>
          </w:p>
        </w:tc>
        <w:tc>
          <w:tcPr>
            <w:tcW w:w="0" w:type="auto"/>
            <w:noWrap/>
            <w:hideMark/>
          </w:tcPr>
          <w:p w14:paraId="728A23BD"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88A097D"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0.23%</w:t>
            </w:r>
          </w:p>
        </w:tc>
        <w:tc>
          <w:tcPr>
            <w:tcW w:w="0" w:type="auto"/>
            <w:noWrap/>
            <w:hideMark/>
          </w:tcPr>
          <w:p w14:paraId="229AD5C1"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0.28%</w:t>
            </w:r>
          </w:p>
        </w:tc>
        <w:tc>
          <w:tcPr>
            <w:tcW w:w="1033" w:type="dxa"/>
            <w:noWrap/>
            <w:hideMark/>
          </w:tcPr>
          <w:p w14:paraId="290722AF"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0.25%</w:t>
            </w:r>
          </w:p>
        </w:tc>
      </w:tr>
      <w:tr w:rsidR="00C941B6" w14:paraId="6E8CF966"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A92B2B0" w14:textId="3E46F937"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08DDC2D0"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Asian</w:t>
            </w:r>
          </w:p>
        </w:tc>
        <w:tc>
          <w:tcPr>
            <w:tcW w:w="0" w:type="auto"/>
            <w:noWrap/>
            <w:hideMark/>
          </w:tcPr>
          <w:p w14:paraId="3E8753DE"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68A94F3A"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3.74%</w:t>
            </w:r>
          </w:p>
        </w:tc>
        <w:tc>
          <w:tcPr>
            <w:tcW w:w="0" w:type="auto"/>
            <w:noWrap/>
            <w:hideMark/>
          </w:tcPr>
          <w:p w14:paraId="42514D45"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3.46%</w:t>
            </w:r>
          </w:p>
        </w:tc>
        <w:tc>
          <w:tcPr>
            <w:tcW w:w="1033" w:type="dxa"/>
            <w:noWrap/>
            <w:hideMark/>
          </w:tcPr>
          <w:p w14:paraId="440E2ACE"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3.12%</w:t>
            </w:r>
          </w:p>
        </w:tc>
      </w:tr>
      <w:tr w:rsidR="00C941B6" w14:paraId="44BDA78D"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148B2B8" w14:textId="43D385B4"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4CFD0FA4"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234DD568"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7C00AD8D"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0.03%</w:t>
            </w:r>
          </w:p>
        </w:tc>
        <w:tc>
          <w:tcPr>
            <w:tcW w:w="0" w:type="auto"/>
            <w:noWrap/>
            <w:hideMark/>
          </w:tcPr>
          <w:p w14:paraId="410EF1F5"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0.06%</w:t>
            </w:r>
          </w:p>
        </w:tc>
        <w:tc>
          <w:tcPr>
            <w:tcW w:w="1033" w:type="dxa"/>
            <w:noWrap/>
            <w:hideMark/>
          </w:tcPr>
          <w:p w14:paraId="75652808"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C941B6" w14:paraId="036F3DF5"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AD1B4C0" w14:textId="24BD1240"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1A0FEC24"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6FE2D201"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6B9F61A7"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1.81%</w:t>
            </w:r>
          </w:p>
        </w:tc>
        <w:tc>
          <w:tcPr>
            <w:tcW w:w="0" w:type="auto"/>
            <w:noWrap/>
            <w:hideMark/>
          </w:tcPr>
          <w:p w14:paraId="5C723615"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2.08%</w:t>
            </w:r>
          </w:p>
        </w:tc>
        <w:tc>
          <w:tcPr>
            <w:tcW w:w="1033" w:type="dxa"/>
            <w:noWrap/>
            <w:hideMark/>
          </w:tcPr>
          <w:p w14:paraId="2491AB8E"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1.96%</w:t>
            </w:r>
          </w:p>
        </w:tc>
      </w:tr>
      <w:tr w:rsidR="00C941B6" w14:paraId="756CCEE2"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DA88B89" w14:textId="0471DC26"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25FDF511"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1AAF4F0A"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5277FF82"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12.15%</w:t>
            </w:r>
          </w:p>
        </w:tc>
        <w:tc>
          <w:tcPr>
            <w:tcW w:w="0" w:type="auto"/>
            <w:noWrap/>
            <w:hideMark/>
          </w:tcPr>
          <w:p w14:paraId="60920600"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11.65%</w:t>
            </w:r>
          </w:p>
        </w:tc>
        <w:tc>
          <w:tcPr>
            <w:tcW w:w="1033" w:type="dxa"/>
            <w:noWrap/>
            <w:hideMark/>
          </w:tcPr>
          <w:p w14:paraId="5CFD1DCB"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13.54%</w:t>
            </w:r>
          </w:p>
        </w:tc>
      </w:tr>
      <w:tr w:rsidR="00C941B6" w14:paraId="0BEF0D1C"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A49A1A5" w14:textId="1F174871"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25CB265D"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Haitian</w:t>
            </w:r>
          </w:p>
        </w:tc>
        <w:tc>
          <w:tcPr>
            <w:tcW w:w="0" w:type="auto"/>
            <w:noWrap/>
            <w:hideMark/>
          </w:tcPr>
          <w:p w14:paraId="7D8B7514"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6A17826A"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22F309FB"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0.09%</w:t>
            </w:r>
          </w:p>
        </w:tc>
        <w:tc>
          <w:tcPr>
            <w:tcW w:w="1033" w:type="dxa"/>
            <w:noWrap/>
            <w:hideMark/>
          </w:tcPr>
          <w:p w14:paraId="60D2A41E"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C941B6" w14:paraId="229D8E7F"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CD6A876" w14:textId="5B42D816"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0209A70A"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4759DAF6"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5D31EF47"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4.09%</w:t>
            </w:r>
          </w:p>
        </w:tc>
        <w:tc>
          <w:tcPr>
            <w:tcW w:w="0" w:type="auto"/>
            <w:noWrap/>
            <w:hideMark/>
          </w:tcPr>
          <w:p w14:paraId="5FB55474"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3.62%</w:t>
            </w:r>
          </w:p>
        </w:tc>
        <w:tc>
          <w:tcPr>
            <w:tcW w:w="1033" w:type="dxa"/>
            <w:noWrap/>
            <w:hideMark/>
          </w:tcPr>
          <w:p w14:paraId="4A75C1ED"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4.12%</w:t>
            </w:r>
          </w:p>
        </w:tc>
      </w:tr>
      <w:tr w:rsidR="00C941B6" w14:paraId="38C6A006"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170591C" w14:textId="2E68B74F"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1E1738C7"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Vietnamese</w:t>
            </w:r>
          </w:p>
        </w:tc>
        <w:tc>
          <w:tcPr>
            <w:tcW w:w="0" w:type="auto"/>
            <w:noWrap/>
            <w:hideMark/>
          </w:tcPr>
          <w:p w14:paraId="7BE9E735"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5757CFF1"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0.11%</w:t>
            </w:r>
          </w:p>
        </w:tc>
        <w:tc>
          <w:tcPr>
            <w:tcW w:w="0" w:type="auto"/>
            <w:noWrap/>
            <w:hideMark/>
          </w:tcPr>
          <w:p w14:paraId="5ED13BC6"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0.05%</w:t>
            </w:r>
          </w:p>
        </w:tc>
        <w:tc>
          <w:tcPr>
            <w:tcW w:w="1033" w:type="dxa"/>
            <w:noWrap/>
            <w:hideMark/>
          </w:tcPr>
          <w:p w14:paraId="1BEEF200"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0.05%</w:t>
            </w:r>
          </w:p>
        </w:tc>
      </w:tr>
      <w:tr w:rsidR="00C941B6" w14:paraId="0BE8B5CD"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6F5DE99" w14:textId="024D1A16"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116953F3"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10C645E1"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21738FD9"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4.67%</w:t>
            </w:r>
          </w:p>
        </w:tc>
        <w:tc>
          <w:tcPr>
            <w:tcW w:w="0" w:type="auto"/>
            <w:noWrap/>
            <w:hideMark/>
          </w:tcPr>
          <w:p w14:paraId="696239C4"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4.05%</w:t>
            </w:r>
          </w:p>
        </w:tc>
        <w:tc>
          <w:tcPr>
            <w:tcW w:w="1033" w:type="dxa"/>
            <w:noWrap/>
            <w:hideMark/>
          </w:tcPr>
          <w:p w14:paraId="784F0E68"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4.27%</w:t>
            </w:r>
          </w:p>
        </w:tc>
      </w:tr>
      <w:tr w:rsidR="00C941B6" w14:paraId="44196CB4"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7993436C" w14:textId="62EE5CF0" w:rsidR="00C941B6" w:rsidRPr="00C11123" w:rsidRDefault="00C941B6" w:rsidP="00C941B6">
            <w:pPr>
              <w:rPr>
                <w:rFonts w:eastAsia="Times New Roman" w:cs="Times New Roman"/>
                <w:b w:val="0"/>
                <w:bCs w:val="0"/>
                <w:color w:val="000000"/>
                <w:kern w:val="0"/>
                <w:sz w:val="22"/>
                <w:szCs w:val="22"/>
                <w14:ligatures w14:val="none"/>
              </w:rPr>
            </w:pPr>
            <w:r w:rsidRPr="00F73688">
              <w:rPr>
                <w:rFonts w:eastAsia="Times New Roman" w:cs="Times New Roman"/>
                <w:color w:val="000000"/>
                <w:kern w:val="0"/>
                <w:sz w:val="22"/>
                <w:szCs w:val="22"/>
                <w14:ligatures w14:val="none"/>
              </w:rPr>
              <w:t xml:space="preserve">Milton </w:t>
            </w:r>
          </w:p>
        </w:tc>
        <w:tc>
          <w:tcPr>
            <w:tcW w:w="0" w:type="auto"/>
            <w:noWrap/>
            <w:hideMark/>
          </w:tcPr>
          <w:p w14:paraId="218E9127"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75635603"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7EE7B0EA"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73.14%</w:t>
            </w:r>
          </w:p>
        </w:tc>
        <w:tc>
          <w:tcPr>
            <w:tcW w:w="0" w:type="auto"/>
            <w:noWrap/>
            <w:hideMark/>
          </w:tcPr>
          <w:p w14:paraId="197AFCB8"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74.41%</w:t>
            </w:r>
          </w:p>
        </w:tc>
        <w:tc>
          <w:tcPr>
            <w:tcW w:w="1033" w:type="dxa"/>
            <w:noWrap/>
            <w:hideMark/>
          </w:tcPr>
          <w:p w14:paraId="1E3DCE20"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72.55%</w:t>
            </w:r>
          </w:p>
        </w:tc>
      </w:tr>
      <w:tr w:rsidR="00507820" w14:paraId="5490F551"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6C0F62" w14:textId="76DE3ED8"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3296DBD9"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African American</w:t>
            </w:r>
          </w:p>
        </w:tc>
        <w:tc>
          <w:tcPr>
            <w:tcW w:w="0" w:type="auto"/>
            <w:noWrap/>
            <w:hideMark/>
          </w:tcPr>
          <w:p w14:paraId="607CE4FA" w14:textId="77777777" w:rsidR="00CC4E29" w:rsidRPr="00C11123" w:rsidRDefault="00000000" w:rsidP="00CC602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32694029"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0.70%</w:t>
            </w:r>
          </w:p>
        </w:tc>
        <w:tc>
          <w:tcPr>
            <w:tcW w:w="0" w:type="auto"/>
            <w:noWrap/>
            <w:hideMark/>
          </w:tcPr>
          <w:p w14:paraId="0ACF299B"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487BE870" w14:textId="77777777" w:rsidR="00CC4E29" w:rsidRPr="00C11123" w:rsidRDefault="00000000" w:rsidP="00CC602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C941B6" w14:paraId="1D8A183A"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81FFC17" w14:textId="76D79A26"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5E16EC20"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African American</w:t>
            </w:r>
          </w:p>
        </w:tc>
        <w:tc>
          <w:tcPr>
            <w:tcW w:w="0" w:type="auto"/>
            <w:noWrap/>
            <w:hideMark/>
          </w:tcPr>
          <w:p w14:paraId="306D6570"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6FD93D0C"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0.42%</w:t>
            </w:r>
          </w:p>
        </w:tc>
        <w:tc>
          <w:tcPr>
            <w:tcW w:w="0" w:type="auto"/>
            <w:noWrap/>
            <w:hideMark/>
          </w:tcPr>
          <w:p w14:paraId="7C07DA82"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0.52%</w:t>
            </w:r>
          </w:p>
        </w:tc>
        <w:tc>
          <w:tcPr>
            <w:tcW w:w="1033" w:type="dxa"/>
            <w:noWrap/>
            <w:hideMark/>
          </w:tcPr>
          <w:p w14:paraId="5456B5D2"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0.76%</w:t>
            </w:r>
          </w:p>
        </w:tc>
      </w:tr>
      <w:tr w:rsidR="00C941B6" w14:paraId="1A1B46C7"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5D021DD" w14:textId="4841A31C"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2CB00F5A"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Asian</w:t>
            </w:r>
          </w:p>
        </w:tc>
        <w:tc>
          <w:tcPr>
            <w:tcW w:w="0" w:type="auto"/>
            <w:noWrap/>
            <w:hideMark/>
          </w:tcPr>
          <w:p w14:paraId="7949B108"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1B1968BC"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0.26%</w:t>
            </w:r>
          </w:p>
        </w:tc>
        <w:tc>
          <w:tcPr>
            <w:tcW w:w="0" w:type="auto"/>
            <w:noWrap/>
            <w:hideMark/>
          </w:tcPr>
          <w:p w14:paraId="38D3AC45"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0.66%</w:t>
            </w:r>
          </w:p>
        </w:tc>
        <w:tc>
          <w:tcPr>
            <w:tcW w:w="1033" w:type="dxa"/>
            <w:noWrap/>
            <w:hideMark/>
          </w:tcPr>
          <w:p w14:paraId="2B84A0D8"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0.42%</w:t>
            </w:r>
          </w:p>
        </w:tc>
      </w:tr>
      <w:tr w:rsidR="00C941B6" w14:paraId="209ABCE2"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2376FEA3" w14:textId="191B3407"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27136B7D"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Asian</w:t>
            </w:r>
          </w:p>
        </w:tc>
        <w:tc>
          <w:tcPr>
            <w:tcW w:w="0" w:type="auto"/>
            <w:noWrap/>
            <w:hideMark/>
          </w:tcPr>
          <w:p w14:paraId="2F0F5DB2"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7B8A53D8"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0.57%</w:t>
            </w:r>
          </w:p>
        </w:tc>
        <w:tc>
          <w:tcPr>
            <w:tcW w:w="0" w:type="auto"/>
            <w:noWrap/>
            <w:hideMark/>
          </w:tcPr>
          <w:p w14:paraId="04BF920A"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0.25%</w:t>
            </w:r>
          </w:p>
        </w:tc>
        <w:tc>
          <w:tcPr>
            <w:tcW w:w="1033" w:type="dxa"/>
            <w:noWrap/>
            <w:hideMark/>
          </w:tcPr>
          <w:p w14:paraId="445233D1"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0.29%</w:t>
            </w:r>
          </w:p>
        </w:tc>
      </w:tr>
      <w:tr w:rsidR="00C941B6" w14:paraId="3E480252"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B4CE96A" w14:textId="43A7B5A1"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00A37402"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19A624CE"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15DEAF88"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8.07%</w:t>
            </w:r>
          </w:p>
        </w:tc>
        <w:tc>
          <w:tcPr>
            <w:tcW w:w="0" w:type="auto"/>
            <w:noWrap/>
            <w:hideMark/>
          </w:tcPr>
          <w:p w14:paraId="1B00B855"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6.64%</w:t>
            </w:r>
          </w:p>
        </w:tc>
        <w:tc>
          <w:tcPr>
            <w:tcW w:w="1033" w:type="dxa"/>
            <w:noWrap/>
            <w:hideMark/>
          </w:tcPr>
          <w:p w14:paraId="05AC4E64"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9.93%</w:t>
            </w:r>
          </w:p>
        </w:tc>
      </w:tr>
      <w:tr w:rsidR="00C941B6" w14:paraId="1B5BBD8A"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B8DD785" w14:textId="13EFA71A"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3B91F5AA"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698A4768"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78E25A03"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1.33%</w:t>
            </w:r>
          </w:p>
        </w:tc>
        <w:tc>
          <w:tcPr>
            <w:tcW w:w="0" w:type="auto"/>
            <w:noWrap/>
            <w:hideMark/>
          </w:tcPr>
          <w:p w14:paraId="1EA42140"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5.48%</w:t>
            </w:r>
          </w:p>
        </w:tc>
        <w:tc>
          <w:tcPr>
            <w:tcW w:w="1033" w:type="dxa"/>
            <w:noWrap/>
            <w:hideMark/>
          </w:tcPr>
          <w:p w14:paraId="199C46FB"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2.59%</w:t>
            </w:r>
          </w:p>
        </w:tc>
      </w:tr>
      <w:tr w:rsidR="00C941B6" w14:paraId="67E4B64B"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29830D02" w14:textId="6BEA3A1A"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2396D035"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Haitian</w:t>
            </w:r>
          </w:p>
        </w:tc>
        <w:tc>
          <w:tcPr>
            <w:tcW w:w="0" w:type="auto"/>
            <w:noWrap/>
            <w:hideMark/>
          </w:tcPr>
          <w:p w14:paraId="6BBE49DB"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7E245722"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532FA7DD"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0.58%</w:t>
            </w:r>
          </w:p>
        </w:tc>
        <w:tc>
          <w:tcPr>
            <w:tcW w:w="1033" w:type="dxa"/>
            <w:noWrap/>
            <w:hideMark/>
          </w:tcPr>
          <w:p w14:paraId="6647B481"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0.30%</w:t>
            </w:r>
          </w:p>
        </w:tc>
      </w:tr>
      <w:tr w:rsidR="00C941B6" w14:paraId="5D0B9CA5"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4C3237A2" w14:textId="13C3F75A"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3D8D1A44"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6935896D"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45E61BED"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0.95%</w:t>
            </w:r>
          </w:p>
        </w:tc>
        <w:tc>
          <w:tcPr>
            <w:tcW w:w="0" w:type="auto"/>
            <w:noWrap/>
            <w:hideMark/>
          </w:tcPr>
          <w:p w14:paraId="27CA1A35"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0F5C2532"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0.49%</w:t>
            </w:r>
          </w:p>
        </w:tc>
      </w:tr>
      <w:tr w:rsidR="00C941B6" w14:paraId="227580E7"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21854999" w14:textId="5FF4ED91"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11653C64"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73CA7894"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980C512"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1.37%</w:t>
            </w:r>
          </w:p>
        </w:tc>
        <w:tc>
          <w:tcPr>
            <w:tcW w:w="0" w:type="auto"/>
            <w:noWrap/>
            <w:hideMark/>
          </w:tcPr>
          <w:p w14:paraId="1C150E65"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0.83%</w:t>
            </w:r>
          </w:p>
        </w:tc>
        <w:tc>
          <w:tcPr>
            <w:tcW w:w="1033" w:type="dxa"/>
            <w:noWrap/>
            <w:hideMark/>
          </w:tcPr>
          <w:p w14:paraId="6ED5FDC6"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2.08%</w:t>
            </w:r>
          </w:p>
        </w:tc>
      </w:tr>
      <w:tr w:rsidR="00C941B6" w14:paraId="4A2A25FB"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10DEEE05" w14:textId="524AC484"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535DEFF6"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55CB8868"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7C3CE807"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1.12%</w:t>
            </w:r>
          </w:p>
        </w:tc>
        <w:tc>
          <w:tcPr>
            <w:tcW w:w="0" w:type="auto"/>
            <w:noWrap/>
            <w:hideMark/>
          </w:tcPr>
          <w:p w14:paraId="479E441C"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1.07%</w:t>
            </w:r>
          </w:p>
        </w:tc>
        <w:tc>
          <w:tcPr>
            <w:tcW w:w="1033" w:type="dxa"/>
            <w:noWrap/>
            <w:hideMark/>
          </w:tcPr>
          <w:p w14:paraId="1DA7D1D9"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1.24%</w:t>
            </w:r>
          </w:p>
        </w:tc>
      </w:tr>
      <w:tr w:rsidR="00C941B6" w14:paraId="66420278"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4DFFF835" w14:textId="1961EAED"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6FE1E3EA"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Other Race</w:t>
            </w:r>
          </w:p>
        </w:tc>
        <w:tc>
          <w:tcPr>
            <w:tcW w:w="0" w:type="auto"/>
            <w:noWrap/>
            <w:hideMark/>
          </w:tcPr>
          <w:p w14:paraId="47F17FF8"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Puerto Rican</w:t>
            </w:r>
          </w:p>
        </w:tc>
        <w:tc>
          <w:tcPr>
            <w:tcW w:w="0" w:type="auto"/>
            <w:noWrap/>
            <w:hideMark/>
          </w:tcPr>
          <w:p w14:paraId="16C71F98"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0.28%</w:t>
            </w:r>
          </w:p>
        </w:tc>
        <w:tc>
          <w:tcPr>
            <w:tcW w:w="0" w:type="auto"/>
            <w:noWrap/>
            <w:hideMark/>
          </w:tcPr>
          <w:p w14:paraId="7013BD2B"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0.41%</w:t>
            </w:r>
          </w:p>
        </w:tc>
        <w:tc>
          <w:tcPr>
            <w:tcW w:w="1033" w:type="dxa"/>
            <w:noWrap/>
            <w:hideMark/>
          </w:tcPr>
          <w:p w14:paraId="404D083E"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0.43%</w:t>
            </w:r>
          </w:p>
        </w:tc>
      </w:tr>
      <w:tr w:rsidR="00C941B6" w14:paraId="7E96BA2E"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0D65AE88" w14:textId="5C7E39F2"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10E55154"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486DC6A7"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Hispanic or Latino</w:t>
            </w:r>
          </w:p>
        </w:tc>
        <w:tc>
          <w:tcPr>
            <w:tcW w:w="0" w:type="auto"/>
            <w:noWrap/>
            <w:hideMark/>
          </w:tcPr>
          <w:p w14:paraId="366AC4EB"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0.19%</w:t>
            </w:r>
          </w:p>
        </w:tc>
        <w:tc>
          <w:tcPr>
            <w:tcW w:w="0" w:type="auto"/>
            <w:noWrap/>
            <w:hideMark/>
          </w:tcPr>
          <w:p w14:paraId="39113374"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0.33%</w:t>
            </w:r>
          </w:p>
        </w:tc>
        <w:tc>
          <w:tcPr>
            <w:tcW w:w="1033" w:type="dxa"/>
            <w:noWrap/>
            <w:hideMark/>
          </w:tcPr>
          <w:p w14:paraId="63EFB8F0"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0.17%</w:t>
            </w:r>
          </w:p>
        </w:tc>
      </w:tr>
      <w:tr w:rsidR="00C941B6" w14:paraId="5101FDA5"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77718599" w14:textId="7181ED6D"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591F2768"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1B379F1E"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3FE00FAD"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28.69%</w:t>
            </w:r>
          </w:p>
        </w:tc>
        <w:tc>
          <w:tcPr>
            <w:tcW w:w="0" w:type="auto"/>
            <w:noWrap/>
            <w:hideMark/>
          </w:tcPr>
          <w:p w14:paraId="11C62828"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16.72%</w:t>
            </w:r>
          </w:p>
        </w:tc>
        <w:tc>
          <w:tcPr>
            <w:tcW w:w="1033" w:type="dxa"/>
            <w:noWrap/>
            <w:hideMark/>
          </w:tcPr>
          <w:p w14:paraId="79FF44DE"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14.11%</w:t>
            </w:r>
          </w:p>
        </w:tc>
      </w:tr>
      <w:tr w:rsidR="00C941B6" w14:paraId="30E4D8AC"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46C8CAA" w14:textId="207E59BF"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635D3AE9"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Scottish</w:t>
            </w:r>
          </w:p>
        </w:tc>
        <w:tc>
          <w:tcPr>
            <w:tcW w:w="0" w:type="auto"/>
            <w:noWrap/>
            <w:hideMark/>
          </w:tcPr>
          <w:p w14:paraId="0AA9DEBB"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1D2567E"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0.23%</w:t>
            </w:r>
          </w:p>
        </w:tc>
        <w:tc>
          <w:tcPr>
            <w:tcW w:w="0" w:type="auto"/>
            <w:noWrap/>
            <w:hideMark/>
          </w:tcPr>
          <w:p w14:paraId="6D4D0034"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0.74%</w:t>
            </w:r>
          </w:p>
        </w:tc>
        <w:tc>
          <w:tcPr>
            <w:tcW w:w="1033" w:type="dxa"/>
            <w:noWrap/>
            <w:hideMark/>
          </w:tcPr>
          <w:p w14:paraId="3E0DC254"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0.42%</w:t>
            </w:r>
          </w:p>
        </w:tc>
      </w:tr>
      <w:tr w:rsidR="00C941B6" w14:paraId="0F161206"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6591540" w14:textId="2A45C4A3"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32911F21"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0463F787"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Central American</w:t>
            </w:r>
          </w:p>
        </w:tc>
        <w:tc>
          <w:tcPr>
            <w:tcW w:w="0" w:type="auto"/>
            <w:noWrap/>
            <w:hideMark/>
          </w:tcPr>
          <w:p w14:paraId="0A1BB4E9"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0.26%</w:t>
            </w:r>
          </w:p>
        </w:tc>
        <w:tc>
          <w:tcPr>
            <w:tcW w:w="0" w:type="auto"/>
            <w:noWrap/>
            <w:hideMark/>
          </w:tcPr>
          <w:p w14:paraId="63F81154"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0.36%</w:t>
            </w:r>
          </w:p>
        </w:tc>
        <w:tc>
          <w:tcPr>
            <w:tcW w:w="1033" w:type="dxa"/>
            <w:noWrap/>
            <w:hideMark/>
          </w:tcPr>
          <w:p w14:paraId="3EBDB6AE"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0.15%</w:t>
            </w:r>
          </w:p>
        </w:tc>
      </w:tr>
      <w:tr w:rsidR="00C941B6" w14:paraId="4459EA52"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CBE175E" w14:textId="5195694C"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03934AEB"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44ADBDB6" w14:textId="77777777" w:rsidR="00C941B6" w:rsidRPr="00C11123" w:rsidRDefault="00C941B6" w:rsidP="00C941B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5853CCA0"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36.59%</w:t>
            </w:r>
          </w:p>
        </w:tc>
        <w:tc>
          <w:tcPr>
            <w:tcW w:w="0" w:type="auto"/>
            <w:noWrap/>
            <w:hideMark/>
          </w:tcPr>
          <w:p w14:paraId="21DE0A57"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28.95%</w:t>
            </w:r>
          </w:p>
        </w:tc>
        <w:tc>
          <w:tcPr>
            <w:tcW w:w="1033" w:type="dxa"/>
            <w:noWrap/>
            <w:hideMark/>
          </w:tcPr>
          <w:p w14:paraId="5E3F7AE1" w14:textId="77777777" w:rsidR="00C941B6" w:rsidRPr="00C11123" w:rsidRDefault="00C941B6" w:rsidP="00C941B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37.00%</w:t>
            </w:r>
          </w:p>
        </w:tc>
      </w:tr>
      <w:tr w:rsidR="00C941B6" w14:paraId="140D4FA1"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487F2ACC" w14:textId="6BF55868" w:rsidR="00C941B6" w:rsidRPr="00C11123" w:rsidRDefault="00C941B6" w:rsidP="00C941B6">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North Easton </w:t>
            </w:r>
          </w:p>
        </w:tc>
        <w:tc>
          <w:tcPr>
            <w:tcW w:w="0" w:type="auto"/>
            <w:noWrap/>
            <w:hideMark/>
          </w:tcPr>
          <w:p w14:paraId="5199BA3C"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118A7FBE" w14:textId="77777777" w:rsidR="00C941B6" w:rsidRPr="00C11123" w:rsidRDefault="00C941B6" w:rsidP="00C941B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09535DBD"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18.67%</w:t>
            </w:r>
          </w:p>
        </w:tc>
        <w:tc>
          <w:tcPr>
            <w:tcW w:w="0" w:type="auto"/>
            <w:noWrap/>
            <w:hideMark/>
          </w:tcPr>
          <w:p w14:paraId="5E3FDA99"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36.45%</w:t>
            </w:r>
          </w:p>
        </w:tc>
        <w:tc>
          <w:tcPr>
            <w:tcW w:w="1033" w:type="dxa"/>
            <w:noWrap/>
            <w:hideMark/>
          </w:tcPr>
          <w:p w14:paraId="52B20F99" w14:textId="77777777" w:rsidR="00C941B6" w:rsidRPr="00C11123" w:rsidRDefault="00C941B6" w:rsidP="00C941B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29.43%</w:t>
            </w:r>
          </w:p>
        </w:tc>
      </w:tr>
      <w:tr w:rsidR="00507820" w14:paraId="01F42F9A"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B48E4E" w14:textId="06BABFBE" w:rsidR="00CC4E29" w:rsidRPr="00C11123" w:rsidRDefault="00000000" w:rsidP="00CC6024">
            <w:pPr>
              <w:rPr>
                <w:rFonts w:eastAsia="Times New Roman" w:cs="Times New Roman"/>
                <w:b w:val="0"/>
                <w:bCs w:val="0"/>
                <w:color w:val="000000"/>
                <w:kern w:val="0"/>
                <w:sz w:val="22"/>
                <w:szCs w:val="22"/>
                <w14:ligatures w14:val="none"/>
              </w:rPr>
            </w:pPr>
            <w:r w:rsidRPr="00C11123">
              <w:rPr>
                <w:rFonts w:eastAsia="Times New Roman" w:cs="Times New Roman"/>
                <w:color w:val="000000"/>
                <w:kern w:val="0"/>
                <w:sz w:val="22"/>
                <w:szCs w:val="22"/>
                <w14:ligatures w14:val="none"/>
              </w:rPr>
              <w:t xml:space="preserve">Plymouth </w:t>
            </w:r>
          </w:p>
        </w:tc>
        <w:tc>
          <w:tcPr>
            <w:tcW w:w="0" w:type="auto"/>
            <w:noWrap/>
            <w:hideMark/>
          </w:tcPr>
          <w:p w14:paraId="72C436BA"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African American</w:t>
            </w:r>
          </w:p>
        </w:tc>
        <w:tc>
          <w:tcPr>
            <w:tcW w:w="0" w:type="auto"/>
            <w:noWrap/>
            <w:hideMark/>
          </w:tcPr>
          <w:p w14:paraId="6C746917" w14:textId="77777777" w:rsidR="00CC4E29" w:rsidRPr="00C11123" w:rsidRDefault="00000000" w:rsidP="00CC602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48F08A5F"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0" w:type="auto"/>
            <w:noWrap/>
            <w:hideMark/>
          </w:tcPr>
          <w:p w14:paraId="4EF93175"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48EB3244" w14:textId="77777777" w:rsidR="00CC4E29" w:rsidRPr="00C11123" w:rsidRDefault="00000000" w:rsidP="00CC602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0.21%</w:t>
            </w:r>
          </w:p>
        </w:tc>
      </w:tr>
      <w:tr w:rsidR="00960B17" w14:paraId="0087132B"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0FD2D2B5" w14:textId="5E66CF3E" w:rsidR="00960B17" w:rsidRPr="00C11123" w:rsidRDefault="00960B17" w:rsidP="00960B17">
            <w:pPr>
              <w:rPr>
                <w:rFonts w:eastAsia="Times New Roman" w:cs="Times New Roman"/>
                <w:b w:val="0"/>
                <w:bCs w:val="0"/>
                <w:color w:val="000000"/>
                <w:kern w:val="0"/>
                <w:sz w:val="22"/>
                <w:szCs w:val="22"/>
                <w14:ligatures w14:val="none"/>
              </w:rPr>
            </w:pPr>
            <w:r w:rsidRPr="00A376D7">
              <w:rPr>
                <w:rFonts w:eastAsia="Times New Roman" w:cs="Times New Roman"/>
                <w:color w:val="000000"/>
                <w:kern w:val="0"/>
                <w:sz w:val="22"/>
                <w:szCs w:val="22"/>
                <w14:ligatures w14:val="none"/>
              </w:rPr>
              <w:t xml:space="preserve">Plymouth </w:t>
            </w:r>
          </w:p>
        </w:tc>
        <w:tc>
          <w:tcPr>
            <w:tcW w:w="0" w:type="auto"/>
            <w:noWrap/>
            <w:hideMark/>
          </w:tcPr>
          <w:p w14:paraId="25EA203B" w14:textId="77777777" w:rsidR="00960B17" w:rsidRPr="00C11123" w:rsidRDefault="00960B17" w:rsidP="00960B17">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Asian</w:t>
            </w:r>
          </w:p>
        </w:tc>
        <w:tc>
          <w:tcPr>
            <w:tcW w:w="0" w:type="auto"/>
            <w:noWrap/>
            <w:hideMark/>
          </w:tcPr>
          <w:p w14:paraId="21E343F0" w14:textId="77777777" w:rsidR="00960B17" w:rsidRPr="00C11123" w:rsidRDefault="00960B17" w:rsidP="00960B1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Central American</w:t>
            </w:r>
          </w:p>
        </w:tc>
        <w:tc>
          <w:tcPr>
            <w:tcW w:w="0" w:type="auto"/>
            <w:noWrap/>
            <w:hideMark/>
          </w:tcPr>
          <w:p w14:paraId="26B21320"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4.33%</w:t>
            </w:r>
          </w:p>
        </w:tc>
        <w:tc>
          <w:tcPr>
            <w:tcW w:w="0" w:type="auto"/>
            <w:noWrap/>
            <w:hideMark/>
          </w:tcPr>
          <w:p w14:paraId="18946A4D"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4.29%</w:t>
            </w:r>
          </w:p>
        </w:tc>
        <w:tc>
          <w:tcPr>
            <w:tcW w:w="1033" w:type="dxa"/>
            <w:noWrap/>
            <w:hideMark/>
          </w:tcPr>
          <w:p w14:paraId="10BEBDE1"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0.12%</w:t>
            </w:r>
          </w:p>
        </w:tc>
      </w:tr>
      <w:tr w:rsidR="00960B17" w14:paraId="3693E53C"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8F71576" w14:textId="292959E9" w:rsidR="00960B17" w:rsidRPr="00C11123" w:rsidRDefault="00960B17" w:rsidP="00960B17">
            <w:pPr>
              <w:rPr>
                <w:rFonts w:eastAsia="Times New Roman" w:cs="Times New Roman"/>
                <w:b w:val="0"/>
                <w:bCs w:val="0"/>
                <w:color w:val="000000"/>
                <w:kern w:val="0"/>
                <w:sz w:val="22"/>
                <w:szCs w:val="22"/>
                <w14:ligatures w14:val="none"/>
              </w:rPr>
            </w:pPr>
            <w:r w:rsidRPr="00A376D7">
              <w:rPr>
                <w:rFonts w:eastAsia="Times New Roman" w:cs="Times New Roman"/>
                <w:color w:val="000000"/>
                <w:kern w:val="0"/>
                <w:sz w:val="22"/>
                <w:szCs w:val="22"/>
                <w14:ligatures w14:val="none"/>
              </w:rPr>
              <w:t xml:space="preserve">Plymouth </w:t>
            </w:r>
          </w:p>
        </w:tc>
        <w:tc>
          <w:tcPr>
            <w:tcW w:w="0" w:type="auto"/>
            <w:noWrap/>
            <w:hideMark/>
          </w:tcPr>
          <w:p w14:paraId="19FF3C98" w14:textId="77777777" w:rsidR="00960B17" w:rsidRPr="00C11123" w:rsidRDefault="00960B17" w:rsidP="00960B17">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Black or African American</w:t>
            </w:r>
          </w:p>
        </w:tc>
        <w:tc>
          <w:tcPr>
            <w:tcW w:w="0" w:type="auto"/>
            <w:noWrap/>
            <w:hideMark/>
          </w:tcPr>
          <w:p w14:paraId="6FC4414C" w14:textId="77777777" w:rsidR="00960B17" w:rsidRPr="00C11123" w:rsidRDefault="00960B17" w:rsidP="00960B1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5709F5A5"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0.45%</w:t>
            </w:r>
          </w:p>
        </w:tc>
        <w:tc>
          <w:tcPr>
            <w:tcW w:w="0" w:type="auto"/>
            <w:noWrap/>
            <w:hideMark/>
          </w:tcPr>
          <w:p w14:paraId="3421B0A8"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2.32%</w:t>
            </w:r>
          </w:p>
        </w:tc>
        <w:tc>
          <w:tcPr>
            <w:tcW w:w="1033" w:type="dxa"/>
            <w:noWrap/>
            <w:hideMark/>
          </w:tcPr>
          <w:p w14:paraId="0B82DE39"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1.35%</w:t>
            </w:r>
          </w:p>
        </w:tc>
      </w:tr>
      <w:tr w:rsidR="00960B17" w14:paraId="30D7DB43"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2CDEEEF" w14:textId="326B1810" w:rsidR="00960B17" w:rsidRPr="00C11123" w:rsidRDefault="00960B17" w:rsidP="00960B17">
            <w:pPr>
              <w:rPr>
                <w:rFonts w:eastAsia="Times New Roman" w:cs="Times New Roman"/>
                <w:b w:val="0"/>
                <w:bCs w:val="0"/>
                <w:color w:val="000000"/>
                <w:kern w:val="0"/>
                <w:sz w:val="22"/>
                <w:szCs w:val="22"/>
                <w14:ligatures w14:val="none"/>
              </w:rPr>
            </w:pPr>
            <w:r w:rsidRPr="00A376D7">
              <w:rPr>
                <w:rFonts w:eastAsia="Times New Roman" w:cs="Times New Roman"/>
                <w:color w:val="000000"/>
                <w:kern w:val="0"/>
                <w:sz w:val="22"/>
                <w:szCs w:val="22"/>
                <w14:ligatures w14:val="none"/>
              </w:rPr>
              <w:t xml:space="preserve">Plymouth </w:t>
            </w:r>
          </w:p>
        </w:tc>
        <w:tc>
          <w:tcPr>
            <w:tcW w:w="0" w:type="auto"/>
            <w:noWrap/>
            <w:hideMark/>
          </w:tcPr>
          <w:p w14:paraId="11543340" w14:textId="77777777" w:rsidR="00960B17" w:rsidRPr="00C11123" w:rsidRDefault="00960B17" w:rsidP="00960B17">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Irish</w:t>
            </w:r>
          </w:p>
        </w:tc>
        <w:tc>
          <w:tcPr>
            <w:tcW w:w="0" w:type="auto"/>
            <w:noWrap/>
            <w:hideMark/>
          </w:tcPr>
          <w:p w14:paraId="663ECB5B" w14:textId="77777777" w:rsidR="00960B17" w:rsidRPr="00C11123" w:rsidRDefault="00960B17" w:rsidP="00960B1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120C493D"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3.70%</w:t>
            </w:r>
          </w:p>
        </w:tc>
        <w:tc>
          <w:tcPr>
            <w:tcW w:w="0" w:type="auto"/>
            <w:noWrap/>
            <w:hideMark/>
          </w:tcPr>
          <w:p w14:paraId="7C626134"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c>
          <w:tcPr>
            <w:tcW w:w="1033" w:type="dxa"/>
            <w:noWrap/>
            <w:hideMark/>
          </w:tcPr>
          <w:p w14:paraId="653802FF"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0.00%</w:t>
            </w:r>
          </w:p>
        </w:tc>
      </w:tr>
      <w:tr w:rsidR="00960B17" w14:paraId="67D6BE30"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64035F05" w14:textId="5186DE2D" w:rsidR="00960B17" w:rsidRPr="00C11123" w:rsidRDefault="00960B17" w:rsidP="00960B17">
            <w:pPr>
              <w:rPr>
                <w:rFonts w:eastAsia="Times New Roman" w:cs="Times New Roman"/>
                <w:b w:val="0"/>
                <w:bCs w:val="0"/>
                <w:color w:val="000000"/>
                <w:kern w:val="0"/>
                <w:sz w:val="22"/>
                <w:szCs w:val="22"/>
                <w14:ligatures w14:val="none"/>
              </w:rPr>
            </w:pPr>
            <w:r w:rsidRPr="00A376D7">
              <w:rPr>
                <w:rFonts w:eastAsia="Times New Roman" w:cs="Times New Roman"/>
                <w:color w:val="000000"/>
                <w:kern w:val="0"/>
                <w:sz w:val="22"/>
                <w:szCs w:val="22"/>
                <w14:ligatures w14:val="none"/>
              </w:rPr>
              <w:t xml:space="preserve">Plymouth </w:t>
            </w:r>
          </w:p>
        </w:tc>
        <w:tc>
          <w:tcPr>
            <w:tcW w:w="0" w:type="auto"/>
            <w:noWrap/>
            <w:hideMark/>
          </w:tcPr>
          <w:p w14:paraId="7061402B" w14:textId="77777777" w:rsidR="00960B17" w:rsidRPr="00C11123" w:rsidRDefault="00960B17" w:rsidP="00960B17">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Patient Declined</w:t>
            </w:r>
          </w:p>
        </w:tc>
        <w:tc>
          <w:tcPr>
            <w:tcW w:w="0" w:type="auto"/>
            <w:noWrap/>
            <w:hideMark/>
          </w:tcPr>
          <w:p w14:paraId="5DE7AD67" w14:textId="77777777" w:rsidR="00960B17" w:rsidRPr="00C11123" w:rsidRDefault="00960B17" w:rsidP="00960B1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1BF424F5"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18.49%</w:t>
            </w:r>
          </w:p>
        </w:tc>
        <w:tc>
          <w:tcPr>
            <w:tcW w:w="0" w:type="auto"/>
            <w:noWrap/>
            <w:hideMark/>
          </w:tcPr>
          <w:p w14:paraId="003A8AFF"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5.36%</w:t>
            </w:r>
          </w:p>
        </w:tc>
        <w:tc>
          <w:tcPr>
            <w:tcW w:w="1033" w:type="dxa"/>
            <w:noWrap/>
            <w:hideMark/>
          </w:tcPr>
          <w:p w14:paraId="60F310C2"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1.76%</w:t>
            </w:r>
          </w:p>
        </w:tc>
      </w:tr>
      <w:tr w:rsidR="00960B17" w14:paraId="68429FC8" w14:textId="77777777" w:rsidTr="006E5BC8">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344B2C40" w14:textId="3E063F50" w:rsidR="00960B17" w:rsidRPr="00C11123" w:rsidRDefault="00960B17" w:rsidP="00960B17">
            <w:pPr>
              <w:rPr>
                <w:rFonts w:eastAsia="Times New Roman" w:cs="Times New Roman"/>
                <w:b w:val="0"/>
                <w:bCs w:val="0"/>
                <w:color w:val="000000"/>
                <w:kern w:val="0"/>
                <w:sz w:val="22"/>
                <w:szCs w:val="22"/>
                <w14:ligatures w14:val="none"/>
              </w:rPr>
            </w:pPr>
            <w:r w:rsidRPr="00A376D7">
              <w:rPr>
                <w:rFonts w:eastAsia="Times New Roman" w:cs="Times New Roman"/>
                <w:color w:val="000000"/>
                <w:kern w:val="0"/>
                <w:sz w:val="22"/>
                <w:szCs w:val="22"/>
                <w14:ligatures w14:val="none"/>
              </w:rPr>
              <w:t xml:space="preserve">Plymouth </w:t>
            </w:r>
          </w:p>
        </w:tc>
        <w:tc>
          <w:tcPr>
            <w:tcW w:w="0" w:type="auto"/>
            <w:noWrap/>
            <w:hideMark/>
          </w:tcPr>
          <w:p w14:paraId="42ED73E8" w14:textId="77777777" w:rsidR="00960B17" w:rsidRPr="00C11123" w:rsidRDefault="00960B17" w:rsidP="00960B17">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2A847143" w14:textId="77777777" w:rsidR="00960B17" w:rsidRPr="00C11123" w:rsidRDefault="00960B17" w:rsidP="00960B1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Not Hispanic or Latino</w:t>
            </w:r>
          </w:p>
        </w:tc>
        <w:tc>
          <w:tcPr>
            <w:tcW w:w="0" w:type="auto"/>
            <w:noWrap/>
            <w:hideMark/>
          </w:tcPr>
          <w:p w14:paraId="35F9D2FC"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23.44%</w:t>
            </w:r>
          </w:p>
        </w:tc>
        <w:tc>
          <w:tcPr>
            <w:tcW w:w="0" w:type="auto"/>
            <w:noWrap/>
            <w:hideMark/>
          </w:tcPr>
          <w:p w14:paraId="4C1FD780"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35.71%</w:t>
            </w:r>
          </w:p>
        </w:tc>
        <w:tc>
          <w:tcPr>
            <w:tcW w:w="1033" w:type="dxa"/>
            <w:noWrap/>
            <w:hideMark/>
          </w:tcPr>
          <w:p w14:paraId="7C9B2E0D" w14:textId="77777777" w:rsidR="00960B17" w:rsidRPr="00C11123" w:rsidRDefault="00960B17" w:rsidP="00960B1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2.57%</w:t>
            </w:r>
          </w:p>
        </w:tc>
      </w:tr>
      <w:tr w:rsidR="00960B17" w14:paraId="1AA58363" w14:textId="77777777" w:rsidTr="006E5BC8">
        <w:trPr>
          <w:cantSplit/>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EF8AD9F" w14:textId="10B7A72C" w:rsidR="00960B17" w:rsidRPr="00C11123" w:rsidRDefault="00960B17" w:rsidP="00960B17">
            <w:pPr>
              <w:rPr>
                <w:rFonts w:eastAsia="Times New Roman" w:cs="Times New Roman"/>
                <w:b w:val="0"/>
                <w:bCs w:val="0"/>
                <w:color w:val="000000"/>
                <w:kern w:val="0"/>
                <w:sz w:val="22"/>
                <w:szCs w:val="22"/>
                <w14:ligatures w14:val="none"/>
              </w:rPr>
            </w:pPr>
            <w:r w:rsidRPr="00A376D7">
              <w:rPr>
                <w:rFonts w:eastAsia="Times New Roman" w:cs="Times New Roman"/>
                <w:color w:val="000000"/>
                <w:kern w:val="0"/>
                <w:sz w:val="22"/>
                <w:szCs w:val="22"/>
                <w14:ligatures w14:val="none"/>
              </w:rPr>
              <w:t xml:space="preserve">Plymouth </w:t>
            </w:r>
          </w:p>
        </w:tc>
        <w:tc>
          <w:tcPr>
            <w:tcW w:w="0" w:type="auto"/>
            <w:noWrap/>
            <w:hideMark/>
          </w:tcPr>
          <w:p w14:paraId="0529912B" w14:textId="77777777" w:rsidR="00960B17" w:rsidRPr="00C11123" w:rsidRDefault="00960B17" w:rsidP="00960B17">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kern w:val="0"/>
                <w:sz w:val="22"/>
                <w:szCs w:val="22"/>
                <w14:ligatures w14:val="none"/>
              </w:rPr>
            </w:pPr>
            <w:r w:rsidRPr="00C11123">
              <w:rPr>
                <w:rFonts w:eastAsia="Times New Roman" w:cs="Times New Roman"/>
                <w:b/>
                <w:bCs/>
                <w:color w:val="000000"/>
                <w:kern w:val="0"/>
                <w:sz w:val="22"/>
                <w:szCs w:val="22"/>
                <w14:ligatures w14:val="none"/>
              </w:rPr>
              <w:t>White</w:t>
            </w:r>
          </w:p>
        </w:tc>
        <w:tc>
          <w:tcPr>
            <w:tcW w:w="0" w:type="auto"/>
            <w:noWrap/>
            <w:hideMark/>
          </w:tcPr>
          <w:p w14:paraId="26B2E162" w14:textId="77777777" w:rsidR="00960B17" w:rsidRPr="00C11123" w:rsidRDefault="00960B17" w:rsidP="00960B1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Patient Declined</w:t>
            </w:r>
          </w:p>
        </w:tc>
        <w:tc>
          <w:tcPr>
            <w:tcW w:w="0" w:type="auto"/>
            <w:noWrap/>
            <w:hideMark/>
          </w:tcPr>
          <w:p w14:paraId="377D405F"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49.59%</w:t>
            </w:r>
          </w:p>
        </w:tc>
        <w:tc>
          <w:tcPr>
            <w:tcW w:w="0" w:type="auto"/>
            <w:noWrap/>
            <w:hideMark/>
          </w:tcPr>
          <w:p w14:paraId="5B1B5932"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52.32%</w:t>
            </w:r>
          </w:p>
        </w:tc>
        <w:tc>
          <w:tcPr>
            <w:tcW w:w="1033" w:type="dxa"/>
            <w:noWrap/>
            <w:hideMark/>
          </w:tcPr>
          <w:p w14:paraId="4339C774" w14:textId="77777777" w:rsidR="00960B17" w:rsidRPr="00C11123" w:rsidRDefault="00960B17" w:rsidP="00960B1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94.00%</w:t>
            </w:r>
          </w:p>
        </w:tc>
      </w:tr>
    </w:tbl>
    <w:p w14:paraId="455E7C6C" w14:textId="77777777" w:rsidR="00106E26" w:rsidRPr="00C11123" w:rsidRDefault="00106E26" w:rsidP="00CC6024">
      <w:pPr>
        <w:spacing w:after="0" w:line="240" w:lineRule="auto"/>
        <w:jc w:val="both"/>
        <w:rPr>
          <w:rFonts w:cs="Arial"/>
          <w:sz w:val="22"/>
          <w:szCs w:val="22"/>
        </w:rPr>
      </w:pPr>
    </w:p>
    <w:p w14:paraId="698F3D17" w14:textId="44091B06" w:rsidR="00E309AA" w:rsidRPr="00C11123" w:rsidRDefault="00000000" w:rsidP="00697E79">
      <w:pPr>
        <w:pStyle w:val="Heading3"/>
      </w:pPr>
      <w:r w:rsidRPr="00C11123">
        <w:t xml:space="preserve">H.  </w:t>
      </w:r>
      <w:r w:rsidRPr="00697E79">
        <w:rPr>
          <w:u w:val="single"/>
        </w:rPr>
        <w:t>Patient Panel by Payer Mix</w:t>
      </w:r>
    </w:p>
    <w:p w14:paraId="0CEAADB0" w14:textId="77777777" w:rsidR="00182152" w:rsidRPr="00C11123" w:rsidRDefault="00182152" w:rsidP="00CC6024">
      <w:pPr>
        <w:spacing w:after="0" w:line="240" w:lineRule="auto"/>
        <w:jc w:val="both"/>
        <w:rPr>
          <w:rFonts w:cs="Arial"/>
          <w:b/>
          <w:bCs/>
          <w:sz w:val="22"/>
          <w:szCs w:val="22"/>
        </w:rPr>
      </w:pPr>
    </w:p>
    <w:p w14:paraId="523C40AC" w14:textId="0AB99F6D" w:rsidR="00FD3852" w:rsidRPr="00C11123" w:rsidRDefault="00000000" w:rsidP="00CC6024">
      <w:pPr>
        <w:spacing w:after="0" w:line="240" w:lineRule="auto"/>
        <w:jc w:val="both"/>
        <w:rPr>
          <w:rFonts w:cs="Arial"/>
          <w:sz w:val="22"/>
          <w:szCs w:val="22"/>
        </w:rPr>
      </w:pPr>
      <w:r w:rsidRPr="00C11123">
        <w:rPr>
          <w:rFonts w:cs="Arial"/>
          <w:sz w:val="22"/>
          <w:szCs w:val="22"/>
        </w:rPr>
        <w:t>The Applicant’s Patient Panel also includes individuals with a diverse payer mix. Patients are</w:t>
      </w:r>
      <w:r w:rsidR="0010202E" w:rsidRPr="00C11123">
        <w:rPr>
          <w:rFonts w:cs="Arial"/>
          <w:sz w:val="22"/>
          <w:szCs w:val="22"/>
        </w:rPr>
        <w:t xml:space="preserve"> typically</w:t>
      </w:r>
      <w:r w:rsidRPr="00C11123">
        <w:rPr>
          <w:rFonts w:cs="Arial"/>
          <w:sz w:val="22"/>
          <w:szCs w:val="22"/>
        </w:rPr>
        <w:t xml:space="preserve"> insured by commercial insurance carriers</w:t>
      </w:r>
      <w:r w:rsidR="00314277" w:rsidRPr="00C11123">
        <w:rPr>
          <w:rFonts w:cs="Arial"/>
          <w:sz w:val="22"/>
          <w:szCs w:val="22"/>
        </w:rPr>
        <w:t xml:space="preserve"> and</w:t>
      </w:r>
      <w:r w:rsidRPr="00C11123">
        <w:rPr>
          <w:rFonts w:cs="Arial"/>
          <w:sz w:val="22"/>
          <w:szCs w:val="22"/>
        </w:rPr>
        <w:t xml:space="preserve"> Medicare</w:t>
      </w:r>
      <w:r w:rsidR="00314277" w:rsidRPr="00C11123">
        <w:rPr>
          <w:rFonts w:cs="Arial"/>
          <w:sz w:val="22"/>
          <w:szCs w:val="22"/>
        </w:rPr>
        <w:t>.</w:t>
      </w:r>
      <w:r w:rsidR="003726E9" w:rsidRPr="00C11123">
        <w:rPr>
          <w:rFonts w:cs="Arial"/>
          <w:sz w:val="22"/>
          <w:szCs w:val="22"/>
        </w:rPr>
        <w:t xml:space="preserve"> See Table</w:t>
      </w:r>
      <w:r w:rsidR="00106E26" w:rsidRPr="00C11123">
        <w:rPr>
          <w:rFonts w:cs="Arial"/>
          <w:sz w:val="22"/>
          <w:szCs w:val="22"/>
        </w:rPr>
        <w:t xml:space="preserve"> </w:t>
      </w:r>
      <w:r w:rsidR="004D1370" w:rsidRPr="00C11123">
        <w:rPr>
          <w:rFonts w:cs="Arial"/>
          <w:sz w:val="22"/>
          <w:szCs w:val="22"/>
        </w:rPr>
        <w:t>1</w:t>
      </w:r>
      <w:r w:rsidR="00D86C95" w:rsidRPr="00C11123">
        <w:rPr>
          <w:rFonts w:cs="Arial"/>
          <w:sz w:val="22"/>
          <w:szCs w:val="22"/>
        </w:rPr>
        <w:t>4</w:t>
      </w:r>
      <w:r w:rsidR="00FE3621" w:rsidRPr="00C11123">
        <w:rPr>
          <w:rFonts w:cs="Arial"/>
          <w:sz w:val="22"/>
          <w:szCs w:val="22"/>
        </w:rPr>
        <w:t>.</w:t>
      </w:r>
    </w:p>
    <w:p w14:paraId="48358ED6" w14:textId="77777777" w:rsidR="005A466A" w:rsidRPr="00C11123" w:rsidRDefault="005A466A" w:rsidP="00CC6024">
      <w:pPr>
        <w:spacing w:after="0" w:line="240" w:lineRule="auto"/>
        <w:jc w:val="both"/>
        <w:rPr>
          <w:rFonts w:cs="Arial"/>
          <w:b/>
          <w:bCs/>
          <w:sz w:val="22"/>
          <w:szCs w:val="22"/>
        </w:rPr>
      </w:pPr>
    </w:p>
    <w:p w14:paraId="1EE0CA34" w14:textId="26476962" w:rsidR="00EF26CB" w:rsidRPr="00C11123" w:rsidRDefault="00000000" w:rsidP="00CC6024">
      <w:pPr>
        <w:spacing w:after="0" w:line="240" w:lineRule="auto"/>
        <w:jc w:val="both"/>
        <w:rPr>
          <w:rFonts w:cs="Arial"/>
          <w:b/>
          <w:bCs/>
          <w:sz w:val="22"/>
          <w:szCs w:val="22"/>
        </w:rPr>
      </w:pPr>
      <w:r w:rsidRPr="00C11123">
        <w:rPr>
          <w:rFonts w:cs="Arial"/>
          <w:b/>
          <w:bCs/>
          <w:sz w:val="22"/>
          <w:szCs w:val="22"/>
        </w:rPr>
        <w:t>Table</w:t>
      </w:r>
      <w:r w:rsidR="00D70747" w:rsidRPr="00C11123">
        <w:rPr>
          <w:rFonts w:cs="Arial"/>
          <w:b/>
          <w:bCs/>
          <w:sz w:val="22"/>
          <w:szCs w:val="22"/>
        </w:rPr>
        <w:t xml:space="preserve"> </w:t>
      </w:r>
      <w:r w:rsidR="004D1370" w:rsidRPr="00C11123">
        <w:rPr>
          <w:rFonts w:cs="Arial"/>
          <w:b/>
          <w:bCs/>
          <w:sz w:val="22"/>
          <w:szCs w:val="22"/>
        </w:rPr>
        <w:t>1</w:t>
      </w:r>
      <w:r w:rsidR="00D70747" w:rsidRPr="00C11123">
        <w:rPr>
          <w:rFonts w:cs="Arial"/>
          <w:b/>
          <w:bCs/>
          <w:sz w:val="22"/>
          <w:szCs w:val="22"/>
        </w:rPr>
        <w:t>4</w:t>
      </w:r>
      <w:r w:rsidR="00BC3EF6" w:rsidRPr="00C11123">
        <w:rPr>
          <w:rFonts w:cs="Arial"/>
          <w:b/>
          <w:bCs/>
          <w:sz w:val="22"/>
          <w:szCs w:val="22"/>
        </w:rPr>
        <w:t xml:space="preserve"> </w:t>
      </w:r>
      <w:r w:rsidRPr="00C11123">
        <w:rPr>
          <w:rFonts w:cs="Arial"/>
          <w:b/>
          <w:bCs/>
          <w:sz w:val="22"/>
          <w:szCs w:val="22"/>
        </w:rPr>
        <w:t>– Patient Panel: Payer Mix</w:t>
      </w:r>
    </w:p>
    <w:tbl>
      <w:tblPr>
        <w:tblStyle w:val="GridTable4"/>
        <w:tblW w:w="10140" w:type="dxa"/>
        <w:tblLook w:val="04A0" w:firstRow="1" w:lastRow="0" w:firstColumn="1" w:lastColumn="0" w:noHBand="0" w:noVBand="1"/>
        <w:tblCaption w:val="Patient Panel: Payer Mix"/>
      </w:tblPr>
      <w:tblGrid>
        <w:gridCol w:w="1960"/>
        <w:gridCol w:w="1860"/>
        <w:gridCol w:w="1580"/>
        <w:gridCol w:w="1580"/>
        <w:gridCol w:w="1580"/>
        <w:gridCol w:w="1580"/>
      </w:tblGrid>
      <w:tr w:rsidR="00507820" w14:paraId="298046B0" w14:textId="77777777" w:rsidTr="00707046">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1960" w:type="dxa"/>
            <w:noWrap/>
          </w:tcPr>
          <w:p w14:paraId="74C74CFE" w14:textId="229AD818" w:rsidR="00610145" w:rsidRPr="00C11123" w:rsidRDefault="00000000" w:rsidP="00CC6024">
            <w:pPr>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Practice Site</w:t>
            </w:r>
          </w:p>
        </w:tc>
        <w:tc>
          <w:tcPr>
            <w:tcW w:w="1860" w:type="dxa"/>
            <w:noWrap/>
          </w:tcPr>
          <w:p w14:paraId="1CE19028" w14:textId="525BD40B" w:rsidR="00610145"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Payer</w:t>
            </w:r>
          </w:p>
        </w:tc>
        <w:tc>
          <w:tcPr>
            <w:tcW w:w="1580" w:type="dxa"/>
            <w:noWrap/>
          </w:tcPr>
          <w:p w14:paraId="146406F5" w14:textId="3A2B928F" w:rsidR="00610145"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2022</w:t>
            </w:r>
          </w:p>
        </w:tc>
        <w:tc>
          <w:tcPr>
            <w:tcW w:w="1580" w:type="dxa"/>
            <w:noWrap/>
          </w:tcPr>
          <w:p w14:paraId="5C6B8FDD" w14:textId="64E51EBE" w:rsidR="00610145"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2023</w:t>
            </w:r>
          </w:p>
        </w:tc>
        <w:tc>
          <w:tcPr>
            <w:tcW w:w="1580" w:type="dxa"/>
            <w:noWrap/>
          </w:tcPr>
          <w:p w14:paraId="257AE73B" w14:textId="09539783" w:rsidR="00610145"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2024</w:t>
            </w:r>
          </w:p>
        </w:tc>
        <w:tc>
          <w:tcPr>
            <w:tcW w:w="1580" w:type="dxa"/>
            <w:noWrap/>
          </w:tcPr>
          <w:p w14:paraId="77058305" w14:textId="0CF92D55" w:rsidR="00610145" w:rsidRPr="00C11123" w:rsidRDefault="00000000" w:rsidP="00CC6024">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kern w:val="0"/>
                <w:sz w:val="22"/>
                <w:szCs w:val="22"/>
                <w14:ligatures w14:val="none"/>
              </w:rPr>
            </w:pPr>
            <w:r w:rsidRPr="00C11123">
              <w:rPr>
                <w:rFonts w:eastAsia="Times New Roman" w:cs="Times New Roman"/>
                <w:color w:val="auto"/>
                <w:kern w:val="0"/>
                <w:sz w:val="22"/>
                <w:szCs w:val="22"/>
                <w14:ligatures w14:val="none"/>
              </w:rPr>
              <w:t>2025</w:t>
            </w:r>
          </w:p>
        </w:tc>
      </w:tr>
      <w:tr w:rsidR="00707046" w14:paraId="64D3245B"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463C4DA" w14:textId="77777777" w:rsidR="00707046" w:rsidRPr="00C11123" w:rsidRDefault="00707046" w:rsidP="00707046">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Attleboro</w:t>
            </w:r>
          </w:p>
        </w:tc>
        <w:tc>
          <w:tcPr>
            <w:tcW w:w="1860" w:type="dxa"/>
            <w:noWrap/>
            <w:hideMark/>
          </w:tcPr>
          <w:p w14:paraId="2283AC00" w14:textId="7777777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306A3672" w14:textId="3BD0E0C8"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5B780F6" w14:textId="628A7660"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BDB5D7F" w14:textId="008843F9"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499E9BFD" w14:textId="7777777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22.37% </w:t>
            </w:r>
          </w:p>
        </w:tc>
      </w:tr>
      <w:tr w:rsidR="00707046" w14:paraId="496DB416"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44ECE35" w14:textId="787CFB4D" w:rsidR="00707046" w:rsidRPr="00C11123" w:rsidRDefault="00707046" w:rsidP="00707046">
            <w:pPr>
              <w:rPr>
                <w:b w:val="0"/>
                <w:bCs w:val="0"/>
                <w:sz w:val="22"/>
                <w:szCs w:val="22"/>
              </w:rPr>
            </w:pPr>
            <w:r w:rsidRPr="0043210D">
              <w:rPr>
                <w:rFonts w:eastAsia="Times New Roman" w:cs="Times New Roman"/>
                <w:kern w:val="0"/>
                <w:sz w:val="22"/>
                <w:szCs w:val="22"/>
                <w14:ligatures w14:val="none"/>
              </w:rPr>
              <w:t>Attleboro</w:t>
            </w:r>
          </w:p>
        </w:tc>
        <w:tc>
          <w:tcPr>
            <w:tcW w:w="1860" w:type="dxa"/>
            <w:noWrap/>
            <w:hideMark/>
          </w:tcPr>
          <w:p w14:paraId="4C4939EE" w14:textId="77777777"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30403900" w14:textId="1F207BFF"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AD7912A" w14:textId="23AC6EEB"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AE8BBC5" w14:textId="68C305B2"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D78414B" w14:textId="77777777"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33.63% </w:t>
            </w:r>
          </w:p>
        </w:tc>
      </w:tr>
      <w:tr w:rsidR="00707046" w14:paraId="39C9271A"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E497BA1" w14:textId="6DC1B2E1" w:rsidR="00707046" w:rsidRPr="00C11123" w:rsidRDefault="00707046" w:rsidP="00707046">
            <w:pPr>
              <w:rPr>
                <w:b w:val="0"/>
                <w:bCs w:val="0"/>
                <w:sz w:val="22"/>
                <w:szCs w:val="22"/>
              </w:rPr>
            </w:pPr>
            <w:r w:rsidRPr="0043210D">
              <w:rPr>
                <w:rFonts w:eastAsia="Times New Roman" w:cs="Times New Roman"/>
                <w:kern w:val="0"/>
                <w:sz w:val="22"/>
                <w:szCs w:val="22"/>
                <w14:ligatures w14:val="none"/>
              </w:rPr>
              <w:t>Attleboro</w:t>
            </w:r>
          </w:p>
        </w:tc>
        <w:tc>
          <w:tcPr>
            <w:tcW w:w="1860" w:type="dxa"/>
            <w:noWrap/>
            <w:hideMark/>
          </w:tcPr>
          <w:p w14:paraId="45553026" w14:textId="7777777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7024F007" w14:textId="3C0BDA2A"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4192EA8" w14:textId="7C1D1D2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651FD572" w14:textId="507E1D7B"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14C5E45" w14:textId="7777777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0.99% </w:t>
            </w:r>
          </w:p>
        </w:tc>
      </w:tr>
      <w:tr w:rsidR="00707046" w14:paraId="4AD5C8DE"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418A80E" w14:textId="3AF84FF5" w:rsidR="00707046" w:rsidRPr="00C11123" w:rsidRDefault="00707046" w:rsidP="00707046">
            <w:pPr>
              <w:rPr>
                <w:b w:val="0"/>
                <w:bCs w:val="0"/>
                <w:sz w:val="22"/>
                <w:szCs w:val="22"/>
              </w:rPr>
            </w:pPr>
            <w:r w:rsidRPr="0043210D">
              <w:rPr>
                <w:rFonts w:eastAsia="Times New Roman" w:cs="Times New Roman"/>
                <w:kern w:val="0"/>
                <w:sz w:val="22"/>
                <w:szCs w:val="22"/>
                <w14:ligatures w14:val="none"/>
              </w:rPr>
              <w:t>Attleboro</w:t>
            </w:r>
          </w:p>
        </w:tc>
        <w:tc>
          <w:tcPr>
            <w:tcW w:w="1860" w:type="dxa"/>
            <w:noWrap/>
            <w:hideMark/>
          </w:tcPr>
          <w:p w14:paraId="65AF2AC9" w14:textId="77777777"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0C094CD8" w14:textId="529B1913"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BD5BC8E" w14:textId="50E68FA8"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1AF755E" w14:textId="0B2038EB"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3367290" w14:textId="77777777"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41.81% </w:t>
            </w:r>
          </w:p>
        </w:tc>
      </w:tr>
      <w:tr w:rsidR="00707046" w14:paraId="7D31254A"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0F3EF64" w14:textId="63204B55" w:rsidR="00707046" w:rsidRPr="00C11123" w:rsidRDefault="00707046" w:rsidP="00707046">
            <w:pPr>
              <w:rPr>
                <w:b w:val="0"/>
                <w:bCs w:val="0"/>
                <w:sz w:val="22"/>
                <w:szCs w:val="22"/>
              </w:rPr>
            </w:pPr>
            <w:r w:rsidRPr="0043210D">
              <w:rPr>
                <w:rFonts w:eastAsia="Times New Roman" w:cs="Times New Roman"/>
                <w:kern w:val="0"/>
                <w:sz w:val="22"/>
                <w:szCs w:val="22"/>
                <w14:ligatures w14:val="none"/>
              </w:rPr>
              <w:t>Attleboro</w:t>
            </w:r>
          </w:p>
        </w:tc>
        <w:tc>
          <w:tcPr>
            <w:tcW w:w="1860" w:type="dxa"/>
            <w:noWrap/>
            <w:hideMark/>
          </w:tcPr>
          <w:p w14:paraId="204CACCD" w14:textId="7777777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388E0300" w14:textId="48D23234"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B15D843" w14:textId="09761D75"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0166432" w14:textId="63B38A7F"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60EB48C" w14:textId="77777777" w:rsidR="00707046" w:rsidRPr="00C11123" w:rsidRDefault="00707046" w:rsidP="0070704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1.13% </w:t>
            </w:r>
          </w:p>
        </w:tc>
      </w:tr>
      <w:tr w:rsidR="00707046" w14:paraId="2B8360EA"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9337BB0" w14:textId="68F6FA35" w:rsidR="00707046" w:rsidRPr="00C11123" w:rsidRDefault="00707046" w:rsidP="00707046">
            <w:pPr>
              <w:rPr>
                <w:b w:val="0"/>
                <w:bCs w:val="0"/>
                <w:sz w:val="22"/>
                <w:szCs w:val="22"/>
              </w:rPr>
            </w:pPr>
            <w:r w:rsidRPr="0043210D">
              <w:rPr>
                <w:rFonts w:eastAsia="Times New Roman" w:cs="Times New Roman"/>
                <w:kern w:val="0"/>
                <w:sz w:val="22"/>
                <w:szCs w:val="22"/>
                <w14:ligatures w14:val="none"/>
              </w:rPr>
              <w:t>Attleboro</w:t>
            </w:r>
          </w:p>
        </w:tc>
        <w:tc>
          <w:tcPr>
            <w:tcW w:w="1860" w:type="dxa"/>
            <w:noWrap/>
            <w:hideMark/>
          </w:tcPr>
          <w:p w14:paraId="33A616D0" w14:textId="77777777"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05C5EA74" w14:textId="2C7507CA"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4C02329" w14:textId="34B9D281"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A118628" w14:textId="7F5EF8F3"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D547116" w14:textId="77777777" w:rsidR="00707046" w:rsidRPr="00C11123" w:rsidRDefault="00707046" w:rsidP="0070704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0.07% </w:t>
            </w:r>
          </w:p>
        </w:tc>
      </w:tr>
      <w:tr w:rsidR="00507820" w14:paraId="551583AD"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2C9DBE5" w14:textId="77777777" w:rsidR="00CD17F2" w:rsidRPr="00C11123" w:rsidRDefault="00000000" w:rsidP="00610145">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Dedham</w:t>
            </w:r>
          </w:p>
        </w:tc>
        <w:tc>
          <w:tcPr>
            <w:tcW w:w="1860" w:type="dxa"/>
            <w:noWrap/>
            <w:hideMark/>
          </w:tcPr>
          <w:p w14:paraId="6505A2A7"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243DBEEE"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18.68% </w:t>
            </w:r>
          </w:p>
        </w:tc>
        <w:tc>
          <w:tcPr>
            <w:tcW w:w="1580" w:type="dxa"/>
            <w:noWrap/>
            <w:hideMark/>
          </w:tcPr>
          <w:p w14:paraId="6FD27744"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20.66% </w:t>
            </w:r>
          </w:p>
        </w:tc>
        <w:tc>
          <w:tcPr>
            <w:tcW w:w="1580" w:type="dxa"/>
            <w:noWrap/>
            <w:hideMark/>
          </w:tcPr>
          <w:p w14:paraId="78365E7D"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21.34% </w:t>
            </w:r>
          </w:p>
        </w:tc>
        <w:tc>
          <w:tcPr>
            <w:tcW w:w="1580" w:type="dxa"/>
            <w:noWrap/>
            <w:hideMark/>
          </w:tcPr>
          <w:p w14:paraId="58D3EC1A"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17.88% </w:t>
            </w:r>
          </w:p>
        </w:tc>
      </w:tr>
      <w:tr w:rsidR="00507820" w14:paraId="221A78C9"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71CD6CC" w14:textId="32E3A8DC" w:rsidR="000B479F" w:rsidRPr="00C11123" w:rsidRDefault="00BC6AC6" w:rsidP="00610145">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26FC91F2" w14:textId="77777777" w:rsidR="00CD17F2" w:rsidRPr="00C11123" w:rsidRDefault="00000000" w:rsidP="006101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4277C2BC" w14:textId="77777777" w:rsidR="00CD17F2" w:rsidRPr="00C11123" w:rsidRDefault="00000000" w:rsidP="006101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40.65% </w:t>
            </w:r>
          </w:p>
        </w:tc>
        <w:tc>
          <w:tcPr>
            <w:tcW w:w="1580" w:type="dxa"/>
            <w:noWrap/>
            <w:hideMark/>
          </w:tcPr>
          <w:p w14:paraId="07768DA0" w14:textId="77777777" w:rsidR="00CD17F2" w:rsidRPr="00C11123" w:rsidRDefault="00000000" w:rsidP="006101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37.60% </w:t>
            </w:r>
          </w:p>
        </w:tc>
        <w:tc>
          <w:tcPr>
            <w:tcW w:w="1580" w:type="dxa"/>
            <w:noWrap/>
            <w:hideMark/>
          </w:tcPr>
          <w:p w14:paraId="6A23F91B" w14:textId="77777777" w:rsidR="00CD17F2" w:rsidRPr="00C11123" w:rsidRDefault="00000000" w:rsidP="006101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40.47% </w:t>
            </w:r>
          </w:p>
        </w:tc>
        <w:tc>
          <w:tcPr>
            <w:tcW w:w="1580" w:type="dxa"/>
            <w:noWrap/>
            <w:hideMark/>
          </w:tcPr>
          <w:p w14:paraId="011873AE" w14:textId="77777777" w:rsidR="00CD17F2" w:rsidRPr="00C11123" w:rsidRDefault="00000000" w:rsidP="0061014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39.33% </w:t>
            </w:r>
          </w:p>
        </w:tc>
      </w:tr>
      <w:tr w:rsidR="00507820" w14:paraId="7E633144"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8691681" w14:textId="4B76532F" w:rsidR="000B479F" w:rsidRPr="00C11123" w:rsidRDefault="00BC6AC6" w:rsidP="00610145">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2EDB6012"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310153A7"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0.16% </w:t>
            </w:r>
          </w:p>
        </w:tc>
        <w:tc>
          <w:tcPr>
            <w:tcW w:w="1580" w:type="dxa"/>
            <w:noWrap/>
            <w:hideMark/>
          </w:tcPr>
          <w:p w14:paraId="1AF30197"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0.05% </w:t>
            </w:r>
          </w:p>
        </w:tc>
        <w:tc>
          <w:tcPr>
            <w:tcW w:w="1580" w:type="dxa"/>
            <w:noWrap/>
            <w:hideMark/>
          </w:tcPr>
          <w:p w14:paraId="7790C21D"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0.02% </w:t>
            </w:r>
          </w:p>
        </w:tc>
        <w:tc>
          <w:tcPr>
            <w:tcW w:w="1580" w:type="dxa"/>
            <w:noWrap/>
            <w:hideMark/>
          </w:tcPr>
          <w:p w14:paraId="0773BE96" w14:textId="77777777" w:rsidR="00CD17F2" w:rsidRPr="00C11123" w:rsidRDefault="00000000" w:rsidP="00610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r>
      <w:tr w:rsidR="004547A1" w14:paraId="124DCDBD"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2913279" w14:textId="036C17CA" w:rsidR="004547A1" w:rsidRPr="00C11123" w:rsidRDefault="00BC6AC6" w:rsidP="004547A1">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6B378EA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Corporate Billing</w:t>
            </w:r>
          </w:p>
        </w:tc>
        <w:tc>
          <w:tcPr>
            <w:tcW w:w="1580" w:type="dxa"/>
            <w:noWrap/>
            <w:hideMark/>
          </w:tcPr>
          <w:p w14:paraId="4D6977E3" w14:textId="78E45011"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62290ED0"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5C2A291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5878186C" w14:textId="65084DC8"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4547A1" w14:paraId="7ABF08F7"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74A1D1B" w14:textId="39B54B40" w:rsidR="004547A1" w:rsidRPr="00C11123" w:rsidRDefault="00BC6AC6" w:rsidP="004547A1">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55151350"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2492CB3E"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1.53% </w:t>
            </w:r>
          </w:p>
        </w:tc>
        <w:tc>
          <w:tcPr>
            <w:tcW w:w="1580" w:type="dxa"/>
            <w:noWrap/>
            <w:hideMark/>
          </w:tcPr>
          <w:p w14:paraId="2E8BC192"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1.33% </w:t>
            </w:r>
          </w:p>
        </w:tc>
        <w:tc>
          <w:tcPr>
            <w:tcW w:w="1580" w:type="dxa"/>
            <w:noWrap/>
            <w:hideMark/>
          </w:tcPr>
          <w:p w14:paraId="428DD2C8"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1.27% </w:t>
            </w:r>
          </w:p>
        </w:tc>
        <w:tc>
          <w:tcPr>
            <w:tcW w:w="1580" w:type="dxa"/>
            <w:noWrap/>
            <w:hideMark/>
          </w:tcPr>
          <w:p w14:paraId="55DC2D3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0.89% </w:t>
            </w:r>
          </w:p>
        </w:tc>
      </w:tr>
      <w:tr w:rsidR="004547A1" w14:paraId="27970537"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14B63C9" w14:textId="6FD509F0" w:rsidR="004547A1" w:rsidRPr="00C11123" w:rsidRDefault="00BC6AC6" w:rsidP="004547A1">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49E3DF4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45FA46AB"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35.59% </w:t>
            </w:r>
          </w:p>
        </w:tc>
        <w:tc>
          <w:tcPr>
            <w:tcW w:w="1580" w:type="dxa"/>
            <w:noWrap/>
            <w:hideMark/>
          </w:tcPr>
          <w:p w14:paraId="2D75E2B7"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38.63% </w:t>
            </w:r>
          </w:p>
        </w:tc>
        <w:tc>
          <w:tcPr>
            <w:tcW w:w="1580" w:type="dxa"/>
            <w:noWrap/>
            <w:hideMark/>
          </w:tcPr>
          <w:p w14:paraId="1E87631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33.49% </w:t>
            </w:r>
          </w:p>
        </w:tc>
        <w:tc>
          <w:tcPr>
            <w:tcW w:w="1580" w:type="dxa"/>
            <w:noWrap/>
            <w:hideMark/>
          </w:tcPr>
          <w:p w14:paraId="4AF156A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36.73% </w:t>
            </w:r>
          </w:p>
        </w:tc>
      </w:tr>
      <w:tr w:rsidR="004547A1" w14:paraId="49339A4E"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43FDABB" w14:textId="6142041F" w:rsidR="004547A1" w:rsidRPr="00C11123" w:rsidRDefault="00BC6AC6" w:rsidP="004547A1">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5D1A104B"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4BF0047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3.38% </w:t>
            </w:r>
          </w:p>
        </w:tc>
        <w:tc>
          <w:tcPr>
            <w:tcW w:w="1580" w:type="dxa"/>
            <w:noWrap/>
            <w:hideMark/>
          </w:tcPr>
          <w:p w14:paraId="51E7D5F8"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1.71% </w:t>
            </w:r>
          </w:p>
        </w:tc>
        <w:tc>
          <w:tcPr>
            <w:tcW w:w="1580" w:type="dxa"/>
            <w:noWrap/>
            <w:hideMark/>
          </w:tcPr>
          <w:p w14:paraId="4608604A"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3.39% </w:t>
            </w:r>
          </w:p>
        </w:tc>
        <w:tc>
          <w:tcPr>
            <w:tcW w:w="1580" w:type="dxa"/>
            <w:noWrap/>
            <w:hideMark/>
          </w:tcPr>
          <w:p w14:paraId="4A62BE8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5.16% </w:t>
            </w:r>
          </w:p>
        </w:tc>
      </w:tr>
      <w:tr w:rsidR="004547A1" w14:paraId="6D6EFFE6"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0B70111" w14:textId="0DD9417E" w:rsidR="004547A1" w:rsidRPr="00C11123" w:rsidRDefault="00BC6AC6" w:rsidP="004547A1">
            <w:pPr>
              <w:rPr>
                <w:b w:val="0"/>
                <w:bCs w:val="0"/>
                <w:sz w:val="22"/>
                <w:szCs w:val="22"/>
              </w:rPr>
            </w:pPr>
            <w:r w:rsidRPr="00C11123">
              <w:rPr>
                <w:rFonts w:eastAsia="Times New Roman" w:cs="Times New Roman"/>
                <w:kern w:val="0"/>
                <w:sz w:val="22"/>
                <w:szCs w:val="22"/>
                <w14:ligatures w14:val="none"/>
              </w:rPr>
              <w:t>Dedham</w:t>
            </w:r>
          </w:p>
        </w:tc>
        <w:tc>
          <w:tcPr>
            <w:tcW w:w="1860" w:type="dxa"/>
            <w:noWrap/>
            <w:hideMark/>
          </w:tcPr>
          <w:p w14:paraId="1036B5F2"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1DEEB612"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69CB8A02"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407A54C7"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30133F4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r>
      <w:tr w:rsidR="004547A1" w14:paraId="6C7196B2"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5321CDE" w14:textId="77777777" w:rsidR="004547A1" w:rsidRPr="00C11123" w:rsidRDefault="004547A1" w:rsidP="004547A1">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Falmouth</w:t>
            </w:r>
          </w:p>
        </w:tc>
        <w:tc>
          <w:tcPr>
            <w:tcW w:w="1860" w:type="dxa"/>
            <w:noWrap/>
            <w:hideMark/>
          </w:tcPr>
          <w:p w14:paraId="5E8A4B4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7A780DA8"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14.09% </w:t>
            </w:r>
          </w:p>
        </w:tc>
        <w:tc>
          <w:tcPr>
            <w:tcW w:w="1580" w:type="dxa"/>
            <w:noWrap/>
            <w:hideMark/>
          </w:tcPr>
          <w:p w14:paraId="6AB0DED0"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15.89% </w:t>
            </w:r>
          </w:p>
        </w:tc>
        <w:tc>
          <w:tcPr>
            <w:tcW w:w="1580" w:type="dxa"/>
            <w:noWrap/>
            <w:hideMark/>
          </w:tcPr>
          <w:p w14:paraId="1E60CA46"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12.66% </w:t>
            </w:r>
          </w:p>
        </w:tc>
        <w:tc>
          <w:tcPr>
            <w:tcW w:w="1580" w:type="dxa"/>
            <w:noWrap/>
            <w:hideMark/>
          </w:tcPr>
          <w:p w14:paraId="023CAAD0"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12.48% </w:t>
            </w:r>
          </w:p>
        </w:tc>
      </w:tr>
      <w:tr w:rsidR="004547A1" w14:paraId="1389C106"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7B0A771" w14:textId="76B63D53" w:rsidR="004547A1" w:rsidRPr="00C11123" w:rsidRDefault="00BC6AC6" w:rsidP="004547A1">
            <w:pPr>
              <w:rPr>
                <w:b w:val="0"/>
                <w:bCs w:val="0"/>
                <w:sz w:val="22"/>
                <w:szCs w:val="22"/>
              </w:rPr>
            </w:pPr>
            <w:r w:rsidRPr="00C11123">
              <w:rPr>
                <w:rFonts w:eastAsia="Times New Roman" w:cs="Times New Roman"/>
                <w:kern w:val="0"/>
                <w:sz w:val="22"/>
                <w:szCs w:val="22"/>
                <w14:ligatures w14:val="none"/>
              </w:rPr>
              <w:t>Falmouth</w:t>
            </w:r>
          </w:p>
        </w:tc>
        <w:tc>
          <w:tcPr>
            <w:tcW w:w="1860" w:type="dxa"/>
            <w:noWrap/>
            <w:hideMark/>
          </w:tcPr>
          <w:p w14:paraId="457161E4"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29C54CF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26.78% </w:t>
            </w:r>
          </w:p>
        </w:tc>
        <w:tc>
          <w:tcPr>
            <w:tcW w:w="1580" w:type="dxa"/>
            <w:noWrap/>
            <w:hideMark/>
          </w:tcPr>
          <w:p w14:paraId="11271B4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28.70% </w:t>
            </w:r>
          </w:p>
        </w:tc>
        <w:tc>
          <w:tcPr>
            <w:tcW w:w="1580" w:type="dxa"/>
            <w:noWrap/>
            <w:hideMark/>
          </w:tcPr>
          <w:p w14:paraId="244DD0A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27.98% </w:t>
            </w:r>
          </w:p>
        </w:tc>
        <w:tc>
          <w:tcPr>
            <w:tcW w:w="1580" w:type="dxa"/>
            <w:noWrap/>
            <w:hideMark/>
          </w:tcPr>
          <w:p w14:paraId="58496A8E"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25.57% </w:t>
            </w:r>
          </w:p>
        </w:tc>
      </w:tr>
      <w:tr w:rsidR="004547A1" w14:paraId="0991873B"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F1471B8" w14:textId="124D4C09" w:rsidR="004547A1" w:rsidRPr="00C11123" w:rsidRDefault="00BC6AC6" w:rsidP="004547A1">
            <w:pPr>
              <w:rPr>
                <w:b w:val="0"/>
                <w:bCs w:val="0"/>
                <w:sz w:val="22"/>
                <w:szCs w:val="22"/>
              </w:rPr>
            </w:pPr>
            <w:r w:rsidRPr="00C11123">
              <w:rPr>
                <w:rFonts w:eastAsia="Times New Roman" w:cs="Times New Roman"/>
                <w:kern w:val="0"/>
                <w:sz w:val="22"/>
                <w:szCs w:val="22"/>
                <w14:ligatures w14:val="none"/>
              </w:rPr>
              <w:t>Falmouth</w:t>
            </w:r>
          </w:p>
        </w:tc>
        <w:tc>
          <w:tcPr>
            <w:tcW w:w="1860" w:type="dxa"/>
            <w:noWrap/>
            <w:hideMark/>
          </w:tcPr>
          <w:p w14:paraId="0085B946"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252154D3"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0.60% </w:t>
            </w:r>
          </w:p>
        </w:tc>
        <w:tc>
          <w:tcPr>
            <w:tcW w:w="1580" w:type="dxa"/>
            <w:noWrap/>
            <w:hideMark/>
          </w:tcPr>
          <w:p w14:paraId="0ABFE472"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1.16% </w:t>
            </w:r>
          </w:p>
        </w:tc>
        <w:tc>
          <w:tcPr>
            <w:tcW w:w="1580" w:type="dxa"/>
            <w:noWrap/>
            <w:hideMark/>
          </w:tcPr>
          <w:p w14:paraId="7EAB947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0.80% </w:t>
            </w:r>
          </w:p>
        </w:tc>
        <w:tc>
          <w:tcPr>
            <w:tcW w:w="1580" w:type="dxa"/>
            <w:noWrap/>
            <w:hideMark/>
          </w:tcPr>
          <w:p w14:paraId="176B470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0.73% </w:t>
            </w:r>
          </w:p>
        </w:tc>
      </w:tr>
      <w:tr w:rsidR="004547A1" w14:paraId="7D4DCAFA"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E5B6740" w14:textId="356E114B" w:rsidR="004547A1" w:rsidRPr="00C11123" w:rsidRDefault="00BC6AC6" w:rsidP="004547A1">
            <w:pPr>
              <w:rPr>
                <w:b w:val="0"/>
                <w:bCs w:val="0"/>
                <w:sz w:val="22"/>
                <w:szCs w:val="22"/>
              </w:rPr>
            </w:pPr>
            <w:r w:rsidRPr="00C11123">
              <w:rPr>
                <w:rFonts w:eastAsia="Times New Roman" w:cs="Times New Roman"/>
                <w:kern w:val="0"/>
                <w:sz w:val="22"/>
                <w:szCs w:val="22"/>
                <w14:ligatures w14:val="none"/>
              </w:rPr>
              <w:t>Falmouth</w:t>
            </w:r>
          </w:p>
        </w:tc>
        <w:tc>
          <w:tcPr>
            <w:tcW w:w="1860" w:type="dxa"/>
            <w:noWrap/>
            <w:hideMark/>
          </w:tcPr>
          <w:p w14:paraId="5283B0C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Corporate Billing</w:t>
            </w:r>
          </w:p>
        </w:tc>
        <w:tc>
          <w:tcPr>
            <w:tcW w:w="1580" w:type="dxa"/>
            <w:noWrap/>
            <w:hideMark/>
          </w:tcPr>
          <w:p w14:paraId="21216536" w14:textId="1CEDBB99"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93494D2" w14:textId="008ED643"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13E0BB7" w14:textId="606D14ED"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45433A4" w14:textId="543F703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4547A1" w14:paraId="5C7482CB"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394E00F" w14:textId="12DCBAA9" w:rsidR="004547A1" w:rsidRPr="00C11123" w:rsidRDefault="00BC6AC6" w:rsidP="004547A1">
            <w:pPr>
              <w:rPr>
                <w:b w:val="0"/>
                <w:bCs w:val="0"/>
                <w:sz w:val="22"/>
                <w:szCs w:val="22"/>
              </w:rPr>
            </w:pPr>
            <w:r w:rsidRPr="00C11123">
              <w:rPr>
                <w:rFonts w:eastAsia="Times New Roman" w:cs="Times New Roman"/>
                <w:kern w:val="0"/>
                <w:sz w:val="22"/>
                <w:szCs w:val="22"/>
                <w14:ligatures w14:val="none"/>
              </w:rPr>
              <w:t>Falmouth</w:t>
            </w:r>
          </w:p>
        </w:tc>
        <w:tc>
          <w:tcPr>
            <w:tcW w:w="1860" w:type="dxa"/>
            <w:noWrap/>
            <w:hideMark/>
          </w:tcPr>
          <w:p w14:paraId="0236B66E"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0801396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4.57% </w:t>
            </w:r>
          </w:p>
        </w:tc>
        <w:tc>
          <w:tcPr>
            <w:tcW w:w="1580" w:type="dxa"/>
            <w:noWrap/>
            <w:hideMark/>
          </w:tcPr>
          <w:p w14:paraId="320515E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1.79% </w:t>
            </w:r>
          </w:p>
        </w:tc>
        <w:tc>
          <w:tcPr>
            <w:tcW w:w="1580" w:type="dxa"/>
            <w:noWrap/>
            <w:hideMark/>
          </w:tcPr>
          <w:p w14:paraId="0825B000"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1.15% </w:t>
            </w:r>
          </w:p>
        </w:tc>
        <w:tc>
          <w:tcPr>
            <w:tcW w:w="1580" w:type="dxa"/>
            <w:noWrap/>
            <w:hideMark/>
          </w:tcPr>
          <w:p w14:paraId="28DDB4F9"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0.75% </w:t>
            </w:r>
          </w:p>
        </w:tc>
      </w:tr>
      <w:tr w:rsidR="004547A1" w14:paraId="5A273BD4"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164892D" w14:textId="2D1F7EDA" w:rsidR="004547A1" w:rsidRPr="00C11123" w:rsidRDefault="00BC6AC6" w:rsidP="004547A1">
            <w:pPr>
              <w:rPr>
                <w:b w:val="0"/>
                <w:bCs w:val="0"/>
                <w:sz w:val="22"/>
                <w:szCs w:val="22"/>
              </w:rPr>
            </w:pPr>
            <w:r w:rsidRPr="00C11123">
              <w:rPr>
                <w:rFonts w:eastAsia="Times New Roman" w:cs="Times New Roman"/>
                <w:kern w:val="0"/>
                <w:sz w:val="22"/>
                <w:szCs w:val="22"/>
                <w14:ligatures w14:val="none"/>
              </w:rPr>
              <w:t>Falmouth</w:t>
            </w:r>
          </w:p>
        </w:tc>
        <w:tc>
          <w:tcPr>
            <w:tcW w:w="1860" w:type="dxa"/>
            <w:noWrap/>
            <w:hideMark/>
          </w:tcPr>
          <w:p w14:paraId="01E1E45F"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5202BBE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53.67% </w:t>
            </w:r>
          </w:p>
        </w:tc>
        <w:tc>
          <w:tcPr>
            <w:tcW w:w="1580" w:type="dxa"/>
            <w:noWrap/>
            <w:hideMark/>
          </w:tcPr>
          <w:p w14:paraId="4DEF208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52.12% </w:t>
            </w:r>
          </w:p>
        </w:tc>
        <w:tc>
          <w:tcPr>
            <w:tcW w:w="1580" w:type="dxa"/>
            <w:noWrap/>
            <w:hideMark/>
          </w:tcPr>
          <w:p w14:paraId="69C0A254"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56.99% </w:t>
            </w:r>
          </w:p>
        </w:tc>
        <w:tc>
          <w:tcPr>
            <w:tcW w:w="1580" w:type="dxa"/>
            <w:noWrap/>
            <w:hideMark/>
          </w:tcPr>
          <w:p w14:paraId="1E2059F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60.33% </w:t>
            </w:r>
          </w:p>
        </w:tc>
      </w:tr>
      <w:tr w:rsidR="004547A1" w14:paraId="4936E58C"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8EF4223" w14:textId="25ADEFAB" w:rsidR="004547A1" w:rsidRPr="00C11123" w:rsidRDefault="00BC6AC6" w:rsidP="004547A1">
            <w:pPr>
              <w:rPr>
                <w:b w:val="0"/>
                <w:bCs w:val="0"/>
                <w:sz w:val="22"/>
                <w:szCs w:val="22"/>
              </w:rPr>
            </w:pPr>
            <w:r w:rsidRPr="00C11123">
              <w:rPr>
                <w:rFonts w:eastAsia="Times New Roman" w:cs="Times New Roman"/>
                <w:kern w:val="0"/>
                <w:sz w:val="22"/>
                <w:szCs w:val="22"/>
                <w14:ligatures w14:val="none"/>
              </w:rPr>
              <w:lastRenderedPageBreak/>
              <w:t>Falmouth</w:t>
            </w:r>
          </w:p>
        </w:tc>
        <w:tc>
          <w:tcPr>
            <w:tcW w:w="1860" w:type="dxa"/>
            <w:noWrap/>
            <w:hideMark/>
          </w:tcPr>
          <w:p w14:paraId="61E7F18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1A2A9CB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0.23% </w:t>
            </w:r>
          </w:p>
        </w:tc>
        <w:tc>
          <w:tcPr>
            <w:tcW w:w="1580" w:type="dxa"/>
            <w:noWrap/>
            <w:hideMark/>
          </w:tcPr>
          <w:p w14:paraId="6FCBFBCA"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0.34% </w:t>
            </w:r>
          </w:p>
        </w:tc>
        <w:tc>
          <w:tcPr>
            <w:tcW w:w="1580" w:type="dxa"/>
            <w:noWrap/>
            <w:hideMark/>
          </w:tcPr>
          <w:p w14:paraId="7F875B4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0.41% </w:t>
            </w:r>
          </w:p>
        </w:tc>
        <w:tc>
          <w:tcPr>
            <w:tcW w:w="1580" w:type="dxa"/>
            <w:noWrap/>
            <w:hideMark/>
          </w:tcPr>
          <w:p w14:paraId="06C4DBF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0.14% </w:t>
            </w:r>
          </w:p>
        </w:tc>
      </w:tr>
      <w:tr w:rsidR="004547A1" w14:paraId="44A5EBF3"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DC91ACB" w14:textId="7334DC92" w:rsidR="004547A1" w:rsidRPr="00C11123" w:rsidRDefault="00BC6AC6" w:rsidP="004547A1">
            <w:pPr>
              <w:rPr>
                <w:b w:val="0"/>
                <w:bCs w:val="0"/>
                <w:sz w:val="22"/>
                <w:szCs w:val="22"/>
              </w:rPr>
            </w:pPr>
            <w:r w:rsidRPr="00C11123">
              <w:rPr>
                <w:rFonts w:eastAsia="Times New Roman" w:cs="Times New Roman"/>
                <w:kern w:val="0"/>
                <w:sz w:val="22"/>
                <w:szCs w:val="22"/>
                <w14:ligatures w14:val="none"/>
              </w:rPr>
              <w:t>Falmouth</w:t>
            </w:r>
          </w:p>
        </w:tc>
        <w:tc>
          <w:tcPr>
            <w:tcW w:w="1860" w:type="dxa"/>
            <w:noWrap/>
            <w:hideMark/>
          </w:tcPr>
          <w:p w14:paraId="5CC9368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2E3DDD1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0.06% </w:t>
            </w:r>
          </w:p>
        </w:tc>
        <w:tc>
          <w:tcPr>
            <w:tcW w:w="1580" w:type="dxa"/>
            <w:noWrap/>
            <w:hideMark/>
          </w:tcPr>
          <w:p w14:paraId="1656B0F7" w14:textId="5F35E120"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6CFBAC4" w14:textId="790B22E5"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A3CAC2C" w14:textId="218BCF0B"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4547A1" w14:paraId="19528F73"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557ED2D" w14:textId="77777777" w:rsidR="004547A1" w:rsidRPr="00C11123" w:rsidRDefault="004547A1" w:rsidP="004547A1">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Framingham</w:t>
            </w:r>
          </w:p>
        </w:tc>
        <w:tc>
          <w:tcPr>
            <w:tcW w:w="1860" w:type="dxa"/>
            <w:noWrap/>
            <w:hideMark/>
          </w:tcPr>
          <w:p w14:paraId="4932C4D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3BB56E4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14.89% </w:t>
            </w:r>
          </w:p>
        </w:tc>
        <w:tc>
          <w:tcPr>
            <w:tcW w:w="1580" w:type="dxa"/>
            <w:noWrap/>
            <w:hideMark/>
          </w:tcPr>
          <w:p w14:paraId="3A555AC9"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16.23% </w:t>
            </w:r>
          </w:p>
        </w:tc>
        <w:tc>
          <w:tcPr>
            <w:tcW w:w="1580" w:type="dxa"/>
            <w:noWrap/>
            <w:hideMark/>
          </w:tcPr>
          <w:p w14:paraId="7788B08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15.76% </w:t>
            </w:r>
          </w:p>
        </w:tc>
        <w:tc>
          <w:tcPr>
            <w:tcW w:w="1580" w:type="dxa"/>
            <w:noWrap/>
            <w:hideMark/>
          </w:tcPr>
          <w:p w14:paraId="51EA01C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16.37% </w:t>
            </w:r>
          </w:p>
        </w:tc>
      </w:tr>
      <w:tr w:rsidR="004547A1" w14:paraId="65207013"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715D508" w14:textId="35C65610"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7173142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66D82FF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32.02% </w:t>
            </w:r>
          </w:p>
        </w:tc>
        <w:tc>
          <w:tcPr>
            <w:tcW w:w="1580" w:type="dxa"/>
            <w:noWrap/>
            <w:hideMark/>
          </w:tcPr>
          <w:p w14:paraId="0EB53236"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34.38% </w:t>
            </w:r>
          </w:p>
        </w:tc>
        <w:tc>
          <w:tcPr>
            <w:tcW w:w="1580" w:type="dxa"/>
            <w:noWrap/>
            <w:hideMark/>
          </w:tcPr>
          <w:p w14:paraId="5853F16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35.19% </w:t>
            </w:r>
          </w:p>
        </w:tc>
        <w:tc>
          <w:tcPr>
            <w:tcW w:w="1580" w:type="dxa"/>
            <w:noWrap/>
            <w:hideMark/>
          </w:tcPr>
          <w:p w14:paraId="276191BB"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35.00% </w:t>
            </w:r>
          </w:p>
        </w:tc>
      </w:tr>
      <w:tr w:rsidR="004547A1" w14:paraId="7D991E19"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B9A7456" w14:textId="7C6B6B8F"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2EB2D636"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1DD0ADC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0.15% </w:t>
            </w:r>
          </w:p>
        </w:tc>
        <w:tc>
          <w:tcPr>
            <w:tcW w:w="1580" w:type="dxa"/>
            <w:noWrap/>
            <w:hideMark/>
          </w:tcPr>
          <w:p w14:paraId="69A8B00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0.13% </w:t>
            </w:r>
          </w:p>
        </w:tc>
        <w:tc>
          <w:tcPr>
            <w:tcW w:w="1580" w:type="dxa"/>
            <w:noWrap/>
            <w:hideMark/>
          </w:tcPr>
          <w:p w14:paraId="0775972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0.07% </w:t>
            </w:r>
          </w:p>
        </w:tc>
        <w:tc>
          <w:tcPr>
            <w:tcW w:w="1580" w:type="dxa"/>
            <w:noWrap/>
            <w:hideMark/>
          </w:tcPr>
          <w:p w14:paraId="45342C6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0.09% </w:t>
            </w:r>
          </w:p>
        </w:tc>
      </w:tr>
      <w:tr w:rsidR="004547A1" w14:paraId="6CEF38DA"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F6DFEAD" w14:textId="5FA1BF8B"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73C3B74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Corporate Billing</w:t>
            </w:r>
          </w:p>
        </w:tc>
        <w:tc>
          <w:tcPr>
            <w:tcW w:w="1580" w:type="dxa"/>
            <w:noWrap/>
            <w:hideMark/>
          </w:tcPr>
          <w:p w14:paraId="365AD0C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0.05% </w:t>
            </w:r>
          </w:p>
        </w:tc>
        <w:tc>
          <w:tcPr>
            <w:tcW w:w="1580" w:type="dxa"/>
            <w:noWrap/>
            <w:hideMark/>
          </w:tcPr>
          <w:p w14:paraId="5507F566"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0.05% </w:t>
            </w:r>
          </w:p>
        </w:tc>
        <w:tc>
          <w:tcPr>
            <w:tcW w:w="1580" w:type="dxa"/>
            <w:noWrap/>
            <w:hideMark/>
          </w:tcPr>
          <w:p w14:paraId="2D5E301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0.03% </w:t>
            </w:r>
          </w:p>
        </w:tc>
        <w:tc>
          <w:tcPr>
            <w:tcW w:w="1580" w:type="dxa"/>
            <w:noWrap/>
            <w:hideMark/>
          </w:tcPr>
          <w:p w14:paraId="116864C9"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r>
      <w:tr w:rsidR="004547A1" w14:paraId="4B5647E4"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9D0215D" w14:textId="68BA7AF8"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2A29E0E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Legal/MVA</w:t>
            </w:r>
          </w:p>
        </w:tc>
        <w:tc>
          <w:tcPr>
            <w:tcW w:w="1580" w:type="dxa"/>
            <w:noWrap/>
            <w:hideMark/>
          </w:tcPr>
          <w:p w14:paraId="23A4D5A2" w14:textId="1EC50701"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5A45CAE" w14:textId="304FCDBE"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D8434DD" w14:textId="657504F1"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3ECB7DC" w14:textId="4AD3A7E9"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4547A1" w14:paraId="373C9E46"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09CE9FD" w14:textId="6D18B511"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47DEE616"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4D2DB63A"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1.29% </w:t>
            </w:r>
          </w:p>
        </w:tc>
        <w:tc>
          <w:tcPr>
            <w:tcW w:w="1580" w:type="dxa"/>
            <w:noWrap/>
            <w:hideMark/>
          </w:tcPr>
          <w:p w14:paraId="6DB4BFE9"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1.09% </w:t>
            </w:r>
          </w:p>
        </w:tc>
        <w:tc>
          <w:tcPr>
            <w:tcW w:w="1580" w:type="dxa"/>
            <w:noWrap/>
            <w:hideMark/>
          </w:tcPr>
          <w:p w14:paraId="4A333C9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1.01% </w:t>
            </w:r>
          </w:p>
        </w:tc>
        <w:tc>
          <w:tcPr>
            <w:tcW w:w="1580" w:type="dxa"/>
            <w:noWrap/>
            <w:hideMark/>
          </w:tcPr>
          <w:p w14:paraId="2AA92D53"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0.66% </w:t>
            </w:r>
          </w:p>
        </w:tc>
      </w:tr>
      <w:tr w:rsidR="004547A1" w14:paraId="4C5A603C"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EC97CC1" w14:textId="081778BD"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66F3FD3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A</w:t>
            </w:r>
          </w:p>
        </w:tc>
        <w:tc>
          <w:tcPr>
            <w:tcW w:w="1580" w:type="dxa"/>
            <w:noWrap/>
            <w:hideMark/>
          </w:tcPr>
          <w:p w14:paraId="39451DCA"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2B9491D2" w14:textId="0CE0D36A"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DAAEB0B" w14:textId="3ABFA189"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1080952" w14:textId="22170E34"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4547A1" w14:paraId="464E89F7"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2C3DD0B" w14:textId="2F3DB147"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7E603C87"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4CFEF809"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51.51% </w:t>
            </w:r>
          </w:p>
        </w:tc>
        <w:tc>
          <w:tcPr>
            <w:tcW w:w="1580" w:type="dxa"/>
            <w:noWrap/>
            <w:hideMark/>
          </w:tcPr>
          <w:p w14:paraId="6C7E47CF"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48.03% </w:t>
            </w:r>
          </w:p>
        </w:tc>
        <w:tc>
          <w:tcPr>
            <w:tcW w:w="1580" w:type="dxa"/>
            <w:noWrap/>
            <w:hideMark/>
          </w:tcPr>
          <w:p w14:paraId="4395C889"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47.85% </w:t>
            </w:r>
          </w:p>
        </w:tc>
        <w:tc>
          <w:tcPr>
            <w:tcW w:w="1580" w:type="dxa"/>
            <w:noWrap/>
            <w:hideMark/>
          </w:tcPr>
          <w:p w14:paraId="643AFED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47.81% </w:t>
            </w:r>
          </w:p>
        </w:tc>
      </w:tr>
      <w:tr w:rsidR="004547A1" w14:paraId="4E450C97"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F03BC2C" w14:textId="250FC423"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4B7D2E73"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1C6BC5E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0.10% </w:t>
            </w:r>
          </w:p>
        </w:tc>
        <w:tc>
          <w:tcPr>
            <w:tcW w:w="1580" w:type="dxa"/>
            <w:noWrap/>
            <w:hideMark/>
          </w:tcPr>
          <w:p w14:paraId="6D94C7E6"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0.09% </w:t>
            </w:r>
          </w:p>
        </w:tc>
        <w:tc>
          <w:tcPr>
            <w:tcW w:w="1580" w:type="dxa"/>
            <w:noWrap/>
            <w:hideMark/>
          </w:tcPr>
          <w:p w14:paraId="7FC5A23C"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0.07% </w:t>
            </w:r>
          </w:p>
        </w:tc>
        <w:tc>
          <w:tcPr>
            <w:tcW w:w="1580" w:type="dxa"/>
            <w:noWrap/>
            <w:hideMark/>
          </w:tcPr>
          <w:p w14:paraId="5BEDD659"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0.06% </w:t>
            </w:r>
          </w:p>
        </w:tc>
      </w:tr>
      <w:tr w:rsidR="004547A1" w14:paraId="37F389CC"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D56C145" w14:textId="56C65055" w:rsidR="004547A1" w:rsidRPr="00C11123" w:rsidRDefault="00BC6AC6" w:rsidP="004547A1">
            <w:pPr>
              <w:rPr>
                <w:b w:val="0"/>
                <w:bCs w:val="0"/>
                <w:sz w:val="22"/>
                <w:szCs w:val="22"/>
              </w:rPr>
            </w:pPr>
            <w:r w:rsidRPr="00C11123">
              <w:rPr>
                <w:rFonts w:eastAsia="Times New Roman" w:cs="Times New Roman"/>
                <w:kern w:val="0"/>
                <w:sz w:val="22"/>
                <w:szCs w:val="22"/>
                <w14:ligatures w14:val="none"/>
              </w:rPr>
              <w:t>Framingham</w:t>
            </w:r>
          </w:p>
        </w:tc>
        <w:tc>
          <w:tcPr>
            <w:tcW w:w="1860" w:type="dxa"/>
            <w:noWrap/>
            <w:hideMark/>
          </w:tcPr>
          <w:p w14:paraId="2049F90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50E374C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4104046F"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522ADFC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51D6C940"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r>
      <w:tr w:rsidR="004547A1" w14:paraId="42D6589A"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ED8E5DD" w14:textId="77777777" w:rsidR="004547A1" w:rsidRPr="00C11123" w:rsidRDefault="004547A1" w:rsidP="004547A1">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Hyannis</w:t>
            </w:r>
          </w:p>
        </w:tc>
        <w:tc>
          <w:tcPr>
            <w:tcW w:w="1860" w:type="dxa"/>
            <w:noWrap/>
            <w:hideMark/>
          </w:tcPr>
          <w:p w14:paraId="11F73976"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5464262E"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16.34% </w:t>
            </w:r>
          </w:p>
        </w:tc>
        <w:tc>
          <w:tcPr>
            <w:tcW w:w="1580" w:type="dxa"/>
            <w:noWrap/>
            <w:hideMark/>
          </w:tcPr>
          <w:p w14:paraId="21198309"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14.65% </w:t>
            </w:r>
          </w:p>
        </w:tc>
        <w:tc>
          <w:tcPr>
            <w:tcW w:w="1580" w:type="dxa"/>
            <w:noWrap/>
            <w:hideMark/>
          </w:tcPr>
          <w:p w14:paraId="6AC4BF5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16.22% </w:t>
            </w:r>
          </w:p>
        </w:tc>
        <w:tc>
          <w:tcPr>
            <w:tcW w:w="1580" w:type="dxa"/>
            <w:noWrap/>
            <w:hideMark/>
          </w:tcPr>
          <w:p w14:paraId="18EC7878"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15.93% </w:t>
            </w:r>
          </w:p>
        </w:tc>
      </w:tr>
      <w:tr w:rsidR="004547A1" w14:paraId="6B0D09C7"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4415360" w14:textId="00DC54CB" w:rsidR="004547A1" w:rsidRPr="00C11123" w:rsidRDefault="00BC6AC6" w:rsidP="004547A1">
            <w:pPr>
              <w:rPr>
                <w:b w:val="0"/>
                <w:bCs w:val="0"/>
                <w:sz w:val="22"/>
                <w:szCs w:val="22"/>
              </w:rPr>
            </w:pPr>
            <w:r w:rsidRPr="00C11123">
              <w:rPr>
                <w:rFonts w:eastAsia="Times New Roman" w:cs="Times New Roman"/>
                <w:kern w:val="0"/>
                <w:sz w:val="22"/>
                <w:szCs w:val="22"/>
                <w14:ligatures w14:val="none"/>
              </w:rPr>
              <w:t>Hyannis</w:t>
            </w:r>
          </w:p>
        </w:tc>
        <w:tc>
          <w:tcPr>
            <w:tcW w:w="1860" w:type="dxa"/>
            <w:noWrap/>
            <w:hideMark/>
          </w:tcPr>
          <w:p w14:paraId="2F556E6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7B79FE6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28.30% </w:t>
            </w:r>
          </w:p>
        </w:tc>
        <w:tc>
          <w:tcPr>
            <w:tcW w:w="1580" w:type="dxa"/>
            <w:noWrap/>
            <w:hideMark/>
          </w:tcPr>
          <w:p w14:paraId="12216EBE"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35.57% </w:t>
            </w:r>
          </w:p>
        </w:tc>
        <w:tc>
          <w:tcPr>
            <w:tcW w:w="1580" w:type="dxa"/>
            <w:noWrap/>
            <w:hideMark/>
          </w:tcPr>
          <w:p w14:paraId="27A220DA"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32.58% </w:t>
            </w:r>
          </w:p>
        </w:tc>
        <w:tc>
          <w:tcPr>
            <w:tcW w:w="1580" w:type="dxa"/>
            <w:noWrap/>
            <w:hideMark/>
          </w:tcPr>
          <w:p w14:paraId="11D31D0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31.28% </w:t>
            </w:r>
          </w:p>
        </w:tc>
      </w:tr>
      <w:tr w:rsidR="004547A1" w14:paraId="2AD1D7C5"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9286583" w14:textId="7633F7CD" w:rsidR="004547A1" w:rsidRPr="00C11123" w:rsidRDefault="00BC6AC6" w:rsidP="004547A1">
            <w:pPr>
              <w:rPr>
                <w:b w:val="0"/>
                <w:bCs w:val="0"/>
                <w:sz w:val="22"/>
                <w:szCs w:val="22"/>
              </w:rPr>
            </w:pPr>
            <w:r w:rsidRPr="00C11123">
              <w:rPr>
                <w:rFonts w:eastAsia="Times New Roman" w:cs="Times New Roman"/>
                <w:kern w:val="0"/>
                <w:sz w:val="22"/>
                <w:szCs w:val="22"/>
                <w14:ligatures w14:val="none"/>
              </w:rPr>
              <w:t>Hyannis</w:t>
            </w:r>
          </w:p>
        </w:tc>
        <w:tc>
          <w:tcPr>
            <w:tcW w:w="1860" w:type="dxa"/>
            <w:noWrap/>
            <w:hideMark/>
          </w:tcPr>
          <w:p w14:paraId="35C1773B"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5A07E56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1.30% </w:t>
            </w:r>
          </w:p>
        </w:tc>
        <w:tc>
          <w:tcPr>
            <w:tcW w:w="1580" w:type="dxa"/>
            <w:noWrap/>
            <w:hideMark/>
          </w:tcPr>
          <w:p w14:paraId="7BF796F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1.21% </w:t>
            </w:r>
          </w:p>
        </w:tc>
        <w:tc>
          <w:tcPr>
            <w:tcW w:w="1580" w:type="dxa"/>
            <w:noWrap/>
            <w:hideMark/>
          </w:tcPr>
          <w:p w14:paraId="6468AFE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1.79% </w:t>
            </w:r>
          </w:p>
        </w:tc>
        <w:tc>
          <w:tcPr>
            <w:tcW w:w="1580" w:type="dxa"/>
            <w:noWrap/>
            <w:hideMark/>
          </w:tcPr>
          <w:p w14:paraId="1F30B66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1.94% </w:t>
            </w:r>
          </w:p>
        </w:tc>
      </w:tr>
      <w:tr w:rsidR="004547A1" w14:paraId="7FCD7813"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DCB320C" w14:textId="07348DD9" w:rsidR="004547A1" w:rsidRPr="00C11123" w:rsidRDefault="00BC6AC6" w:rsidP="004547A1">
            <w:pPr>
              <w:rPr>
                <w:b w:val="0"/>
                <w:bCs w:val="0"/>
                <w:sz w:val="22"/>
                <w:szCs w:val="22"/>
              </w:rPr>
            </w:pPr>
            <w:r w:rsidRPr="00C11123">
              <w:rPr>
                <w:rFonts w:eastAsia="Times New Roman" w:cs="Times New Roman"/>
                <w:kern w:val="0"/>
                <w:sz w:val="22"/>
                <w:szCs w:val="22"/>
                <w14:ligatures w14:val="none"/>
              </w:rPr>
              <w:t>Hyannis</w:t>
            </w:r>
          </w:p>
        </w:tc>
        <w:tc>
          <w:tcPr>
            <w:tcW w:w="1860" w:type="dxa"/>
            <w:noWrap/>
            <w:hideMark/>
          </w:tcPr>
          <w:p w14:paraId="36C73D13"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147EDB9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3.20% </w:t>
            </w:r>
          </w:p>
        </w:tc>
        <w:tc>
          <w:tcPr>
            <w:tcW w:w="1580" w:type="dxa"/>
            <w:noWrap/>
            <w:hideMark/>
          </w:tcPr>
          <w:p w14:paraId="61BB19F4"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3.79% </w:t>
            </w:r>
          </w:p>
        </w:tc>
        <w:tc>
          <w:tcPr>
            <w:tcW w:w="1580" w:type="dxa"/>
            <w:noWrap/>
            <w:hideMark/>
          </w:tcPr>
          <w:p w14:paraId="61DF874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1.84% </w:t>
            </w:r>
          </w:p>
        </w:tc>
        <w:tc>
          <w:tcPr>
            <w:tcW w:w="1580" w:type="dxa"/>
            <w:noWrap/>
            <w:hideMark/>
          </w:tcPr>
          <w:p w14:paraId="575555E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1.68% </w:t>
            </w:r>
          </w:p>
        </w:tc>
      </w:tr>
      <w:tr w:rsidR="004547A1" w14:paraId="36C4AD2E"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74BDFEF" w14:textId="30701A84" w:rsidR="004547A1" w:rsidRPr="00C11123" w:rsidRDefault="00BC6AC6" w:rsidP="004547A1">
            <w:pPr>
              <w:rPr>
                <w:b w:val="0"/>
                <w:bCs w:val="0"/>
                <w:sz w:val="22"/>
                <w:szCs w:val="22"/>
              </w:rPr>
            </w:pPr>
            <w:r w:rsidRPr="00C11123">
              <w:rPr>
                <w:rFonts w:eastAsia="Times New Roman" w:cs="Times New Roman"/>
                <w:kern w:val="0"/>
                <w:sz w:val="22"/>
                <w:szCs w:val="22"/>
                <w14:ligatures w14:val="none"/>
              </w:rPr>
              <w:t>Hyannis</w:t>
            </w:r>
          </w:p>
        </w:tc>
        <w:tc>
          <w:tcPr>
            <w:tcW w:w="1860" w:type="dxa"/>
            <w:noWrap/>
            <w:hideMark/>
          </w:tcPr>
          <w:p w14:paraId="5A4D5D7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65087C2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50.17% </w:t>
            </w:r>
          </w:p>
        </w:tc>
        <w:tc>
          <w:tcPr>
            <w:tcW w:w="1580" w:type="dxa"/>
            <w:noWrap/>
            <w:hideMark/>
          </w:tcPr>
          <w:p w14:paraId="118F7B53"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43.92% </w:t>
            </w:r>
          </w:p>
        </w:tc>
        <w:tc>
          <w:tcPr>
            <w:tcW w:w="1580" w:type="dxa"/>
            <w:noWrap/>
            <w:hideMark/>
          </w:tcPr>
          <w:p w14:paraId="487AD780"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46.73% </w:t>
            </w:r>
          </w:p>
        </w:tc>
        <w:tc>
          <w:tcPr>
            <w:tcW w:w="1580" w:type="dxa"/>
            <w:noWrap/>
            <w:hideMark/>
          </w:tcPr>
          <w:p w14:paraId="2BAA13C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48.55% </w:t>
            </w:r>
          </w:p>
        </w:tc>
      </w:tr>
      <w:tr w:rsidR="004547A1" w14:paraId="78A0B030"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4DAAB0B" w14:textId="7BC7519E" w:rsidR="004547A1" w:rsidRPr="00C11123" w:rsidRDefault="00BC6AC6" w:rsidP="004547A1">
            <w:pPr>
              <w:rPr>
                <w:b w:val="0"/>
                <w:bCs w:val="0"/>
                <w:sz w:val="22"/>
                <w:szCs w:val="22"/>
              </w:rPr>
            </w:pPr>
            <w:r w:rsidRPr="00C11123">
              <w:rPr>
                <w:rFonts w:eastAsia="Times New Roman" w:cs="Times New Roman"/>
                <w:kern w:val="0"/>
                <w:sz w:val="22"/>
                <w:szCs w:val="22"/>
                <w14:ligatures w14:val="none"/>
              </w:rPr>
              <w:t>Hyannis</w:t>
            </w:r>
          </w:p>
        </w:tc>
        <w:tc>
          <w:tcPr>
            <w:tcW w:w="1860" w:type="dxa"/>
            <w:noWrap/>
            <w:hideMark/>
          </w:tcPr>
          <w:p w14:paraId="22CFBA20"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16242CFA"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0.69% </w:t>
            </w:r>
          </w:p>
        </w:tc>
        <w:tc>
          <w:tcPr>
            <w:tcW w:w="1580" w:type="dxa"/>
            <w:noWrap/>
            <w:hideMark/>
          </w:tcPr>
          <w:p w14:paraId="04DE3403"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0.80% </w:t>
            </w:r>
          </w:p>
        </w:tc>
        <w:tc>
          <w:tcPr>
            <w:tcW w:w="1580" w:type="dxa"/>
            <w:noWrap/>
            <w:hideMark/>
          </w:tcPr>
          <w:p w14:paraId="5B7E0B9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0.59% </w:t>
            </w:r>
          </w:p>
        </w:tc>
        <w:tc>
          <w:tcPr>
            <w:tcW w:w="1580" w:type="dxa"/>
            <w:noWrap/>
            <w:hideMark/>
          </w:tcPr>
          <w:p w14:paraId="0D906C8A"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0.60% </w:t>
            </w:r>
          </w:p>
        </w:tc>
      </w:tr>
      <w:tr w:rsidR="004547A1" w14:paraId="61BC49F2"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3E088F5" w14:textId="649784D3" w:rsidR="004547A1" w:rsidRPr="00C11123" w:rsidRDefault="00BC6AC6" w:rsidP="004547A1">
            <w:pPr>
              <w:rPr>
                <w:b w:val="0"/>
                <w:bCs w:val="0"/>
                <w:sz w:val="22"/>
                <w:szCs w:val="22"/>
              </w:rPr>
            </w:pPr>
            <w:r w:rsidRPr="00C11123">
              <w:rPr>
                <w:rFonts w:eastAsia="Times New Roman" w:cs="Times New Roman"/>
                <w:kern w:val="0"/>
                <w:sz w:val="22"/>
                <w:szCs w:val="22"/>
                <w14:ligatures w14:val="none"/>
              </w:rPr>
              <w:t>Hyannis</w:t>
            </w:r>
          </w:p>
        </w:tc>
        <w:tc>
          <w:tcPr>
            <w:tcW w:w="1860" w:type="dxa"/>
            <w:noWrap/>
            <w:hideMark/>
          </w:tcPr>
          <w:p w14:paraId="17E70D6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15F9A1AD" w14:textId="5374D37B"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4BC365A"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0.06% </w:t>
            </w:r>
          </w:p>
        </w:tc>
        <w:tc>
          <w:tcPr>
            <w:tcW w:w="1580" w:type="dxa"/>
            <w:noWrap/>
            <w:hideMark/>
          </w:tcPr>
          <w:p w14:paraId="637DDFA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0.26% </w:t>
            </w:r>
          </w:p>
        </w:tc>
        <w:tc>
          <w:tcPr>
            <w:tcW w:w="1580" w:type="dxa"/>
            <w:noWrap/>
            <w:hideMark/>
          </w:tcPr>
          <w:p w14:paraId="6EF9018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0.03% </w:t>
            </w:r>
          </w:p>
        </w:tc>
      </w:tr>
      <w:tr w:rsidR="004547A1" w14:paraId="0B1499D0"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1D922BC" w14:textId="77777777" w:rsidR="004547A1" w:rsidRPr="00C11123" w:rsidRDefault="004547A1" w:rsidP="004547A1">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Leominster</w:t>
            </w:r>
          </w:p>
        </w:tc>
        <w:tc>
          <w:tcPr>
            <w:tcW w:w="1860" w:type="dxa"/>
            <w:noWrap/>
            <w:hideMark/>
          </w:tcPr>
          <w:p w14:paraId="42164C8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6C81D245" w14:textId="51914C9B"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4B6C8000" w14:textId="0BDEE435"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C775F3D" w14:textId="41C4B828"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A8D5578"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30.14% </w:t>
            </w:r>
          </w:p>
        </w:tc>
      </w:tr>
      <w:tr w:rsidR="004547A1" w14:paraId="240B5CF6"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7F2EF2D" w14:textId="3AB18FE6" w:rsidR="004547A1" w:rsidRPr="00C11123" w:rsidRDefault="00BC6AC6" w:rsidP="004547A1">
            <w:pPr>
              <w:rPr>
                <w:b w:val="0"/>
                <w:bCs w:val="0"/>
                <w:sz w:val="22"/>
                <w:szCs w:val="22"/>
              </w:rPr>
            </w:pPr>
            <w:r w:rsidRPr="00C11123">
              <w:rPr>
                <w:rFonts w:eastAsia="Times New Roman" w:cs="Times New Roman"/>
                <w:kern w:val="0"/>
                <w:sz w:val="22"/>
                <w:szCs w:val="22"/>
                <w14:ligatures w14:val="none"/>
              </w:rPr>
              <w:t>Leominster</w:t>
            </w:r>
          </w:p>
        </w:tc>
        <w:tc>
          <w:tcPr>
            <w:tcW w:w="1860" w:type="dxa"/>
            <w:noWrap/>
            <w:hideMark/>
          </w:tcPr>
          <w:p w14:paraId="0E86BACC"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61B8D64F" w14:textId="554DFF60"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B02895E" w14:textId="7DC5B611"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B5C8781" w14:textId="620E382D"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7C74E16"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39.07% </w:t>
            </w:r>
          </w:p>
        </w:tc>
      </w:tr>
      <w:tr w:rsidR="004547A1" w14:paraId="145DC490"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DCE78D3" w14:textId="1B91606C" w:rsidR="004547A1" w:rsidRPr="00C11123" w:rsidRDefault="00BC6AC6" w:rsidP="004547A1">
            <w:pPr>
              <w:rPr>
                <w:b w:val="0"/>
                <w:bCs w:val="0"/>
                <w:sz w:val="22"/>
                <w:szCs w:val="22"/>
              </w:rPr>
            </w:pPr>
            <w:r w:rsidRPr="00C11123">
              <w:rPr>
                <w:rFonts w:eastAsia="Times New Roman" w:cs="Times New Roman"/>
                <w:kern w:val="0"/>
                <w:sz w:val="22"/>
                <w:szCs w:val="22"/>
                <w14:ligatures w14:val="none"/>
              </w:rPr>
              <w:t>Leominster</w:t>
            </w:r>
          </w:p>
        </w:tc>
        <w:tc>
          <w:tcPr>
            <w:tcW w:w="1860" w:type="dxa"/>
            <w:noWrap/>
            <w:hideMark/>
          </w:tcPr>
          <w:p w14:paraId="30DD9D29"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40E2FB39" w14:textId="4EB789B0"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ECC7E91" w14:textId="423410BA"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662057BE" w14:textId="2199ECB4"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1D2F06A"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0.09% </w:t>
            </w:r>
          </w:p>
        </w:tc>
      </w:tr>
      <w:tr w:rsidR="004547A1" w14:paraId="5544699E"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4FE0AA6" w14:textId="68EE0521" w:rsidR="004547A1" w:rsidRPr="00C11123" w:rsidRDefault="00BC6AC6" w:rsidP="004547A1">
            <w:pPr>
              <w:rPr>
                <w:b w:val="0"/>
                <w:bCs w:val="0"/>
                <w:sz w:val="22"/>
                <w:szCs w:val="22"/>
              </w:rPr>
            </w:pPr>
            <w:r w:rsidRPr="00C11123">
              <w:rPr>
                <w:rFonts w:eastAsia="Times New Roman" w:cs="Times New Roman"/>
                <w:kern w:val="0"/>
                <w:sz w:val="22"/>
                <w:szCs w:val="22"/>
                <w14:ligatures w14:val="none"/>
              </w:rPr>
              <w:t>Leominster</w:t>
            </w:r>
          </w:p>
        </w:tc>
        <w:tc>
          <w:tcPr>
            <w:tcW w:w="1860" w:type="dxa"/>
            <w:noWrap/>
            <w:hideMark/>
          </w:tcPr>
          <w:p w14:paraId="026A46D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422B7E0B" w14:textId="5092E4CB"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98F35BB" w14:textId="613919DB"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60D0739" w14:textId="75B178C2"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CDAE9B3"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1.74% </w:t>
            </w:r>
          </w:p>
        </w:tc>
      </w:tr>
      <w:tr w:rsidR="004547A1" w14:paraId="5D37873D"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0EB4D89" w14:textId="327B565A" w:rsidR="004547A1" w:rsidRPr="00C11123" w:rsidRDefault="00BC6AC6" w:rsidP="004547A1">
            <w:pPr>
              <w:rPr>
                <w:b w:val="0"/>
                <w:bCs w:val="0"/>
                <w:sz w:val="22"/>
                <w:szCs w:val="22"/>
              </w:rPr>
            </w:pPr>
            <w:r w:rsidRPr="00C11123">
              <w:rPr>
                <w:rFonts w:eastAsia="Times New Roman" w:cs="Times New Roman"/>
                <w:kern w:val="0"/>
                <w:sz w:val="22"/>
                <w:szCs w:val="22"/>
                <w14:ligatures w14:val="none"/>
              </w:rPr>
              <w:t>Leominster</w:t>
            </w:r>
          </w:p>
        </w:tc>
        <w:tc>
          <w:tcPr>
            <w:tcW w:w="1860" w:type="dxa"/>
            <w:noWrap/>
            <w:hideMark/>
          </w:tcPr>
          <w:p w14:paraId="30BCD98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57F19536" w14:textId="3601F55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69F626E9" w14:textId="67D769C8"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33FA0DF" w14:textId="2A6A30A8"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B0B57E3"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28.60% </w:t>
            </w:r>
          </w:p>
        </w:tc>
      </w:tr>
      <w:tr w:rsidR="004547A1" w14:paraId="4C4FD680"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E0A4255" w14:textId="669C6C23" w:rsidR="004547A1" w:rsidRPr="00C11123" w:rsidRDefault="00BC6AC6" w:rsidP="004547A1">
            <w:pPr>
              <w:rPr>
                <w:b w:val="0"/>
                <w:bCs w:val="0"/>
                <w:sz w:val="22"/>
                <w:szCs w:val="22"/>
              </w:rPr>
            </w:pPr>
            <w:r w:rsidRPr="00C11123">
              <w:rPr>
                <w:rFonts w:eastAsia="Times New Roman" w:cs="Times New Roman"/>
                <w:kern w:val="0"/>
                <w:sz w:val="22"/>
                <w:szCs w:val="22"/>
                <w14:ligatures w14:val="none"/>
              </w:rPr>
              <w:lastRenderedPageBreak/>
              <w:t>Leominster</w:t>
            </w:r>
          </w:p>
        </w:tc>
        <w:tc>
          <w:tcPr>
            <w:tcW w:w="1860" w:type="dxa"/>
            <w:noWrap/>
            <w:hideMark/>
          </w:tcPr>
          <w:p w14:paraId="214C50C8"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07C3CFD8" w14:textId="78096D0D"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E093402" w14:textId="65DDD2E1"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421D26D0" w14:textId="52EC9CA0"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366DD97"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0.19% </w:t>
            </w:r>
          </w:p>
        </w:tc>
      </w:tr>
      <w:tr w:rsidR="004547A1" w14:paraId="23673504"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A9F8E3E" w14:textId="7698319A" w:rsidR="004547A1" w:rsidRPr="00C11123" w:rsidRDefault="00BC6AC6" w:rsidP="004547A1">
            <w:pPr>
              <w:rPr>
                <w:b w:val="0"/>
                <w:bCs w:val="0"/>
                <w:sz w:val="22"/>
                <w:szCs w:val="22"/>
              </w:rPr>
            </w:pPr>
            <w:r w:rsidRPr="00C11123">
              <w:rPr>
                <w:rFonts w:eastAsia="Times New Roman" w:cs="Times New Roman"/>
                <w:kern w:val="0"/>
                <w:sz w:val="22"/>
                <w:szCs w:val="22"/>
                <w14:ligatures w14:val="none"/>
              </w:rPr>
              <w:t>Leominster</w:t>
            </w:r>
          </w:p>
        </w:tc>
        <w:tc>
          <w:tcPr>
            <w:tcW w:w="1860" w:type="dxa"/>
            <w:noWrap/>
            <w:hideMark/>
          </w:tcPr>
          <w:p w14:paraId="3ECD2FEE"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60B494C0" w14:textId="2B594F33"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ABB7B0C" w14:textId="53F2557A"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56C210C" w14:textId="1D5B5DF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03CB136"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0.18% </w:t>
            </w:r>
          </w:p>
        </w:tc>
      </w:tr>
      <w:tr w:rsidR="004547A1" w14:paraId="1A25872B"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FE4382A" w14:textId="77777777" w:rsidR="004547A1" w:rsidRPr="00C11123" w:rsidRDefault="004547A1" w:rsidP="004547A1">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Milton</w:t>
            </w:r>
          </w:p>
        </w:tc>
        <w:tc>
          <w:tcPr>
            <w:tcW w:w="1860" w:type="dxa"/>
            <w:noWrap/>
            <w:hideMark/>
          </w:tcPr>
          <w:p w14:paraId="314B777A"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3733637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27.78% </w:t>
            </w:r>
          </w:p>
        </w:tc>
        <w:tc>
          <w:tcPr>
            <w:tcW w:w="1580" w:type="dxa"/>
            <w:noWrap/>
            <w:hideMark/>
          </w:tcPr>
          <w:p w14:paraId="497B34B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29.13% </w:t>
            </w:r>
          </w:p>
        </w:tc>
        <w:tc>
          <w:tcPr>
            <w:tcW w:w="1580" w:type="dxa"/>
            <w:noWrap/>
            <w:hideMark/>
          </w:tcPr>
          <w:p w14:paraId="16A1B5E2"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27.85% </w:t>
            </w:r>
          </w:p>
        </w:tc>
        <w:tc>
          <w:tcPr>
            <w:tcW w:w="1580" w:type="dxa"/>
            <w:noWrap/>
            <w:hideMark/>
          </w:tcPr>
          <w:p w14:paraId="54CB666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27.21% </w:t>
            </w:r>
          </w:p>
        </w:tc>
      </w:tr>
      <w:tr w:rsidR="004547A1" w14:paraId="2AEC4024"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620D8C9" w14:textId="79749DBF"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40A47E39"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018B3650"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42.84% </w:t>
            </w:r>
          </w:p>
        </w:tc>
        <w:tc>
          <w:tcPr>
            <w:tcW w:w="1580" w:type="dxa"/>
            <w:noWrap/>
            <w:hideMark/>
          </w:tcPr>
          <w:p w14:paraId="54AF5A3A"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42.61% </w:t>
            </w:r>
          </w:p>
        </w:tc>
        <w:tc>
          <w:tcPr>
            <w:tcW w:w="1580" w:type="dxa"/>
            <w:noWrap/>
            <w:hideMark/>
          </w:tcPr>
          <w:p w14:paraId="662541A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43.26% </w:t>
            </w:r>
          </w:p>
        </w:tc>
        <w:tc>
          <w:tcPr>
            <w:tcW w:w="1580" w:type="dxa"/>
            <w:noWrap/>
            <w:hideMark/>
          </w:tcPr>
          <w:p w14:paraId="3E53ABA2"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40.85% </w:t>
            </w:r>
          </w:p>
        </w:tc>
      </w:tr>
      <w:tr w:rsidR="004547A1" w14:paraId="3AD71377"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5295EF4" w14:textId="19F20874"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040DB732"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1D39A347" w14:textId="04A7D016"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4739916A" w14:textId="077FFB32"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68C794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0.02% </w:t>
            </w:r>
          </w:p>
        </w:tc>
        <w:tc>
          <w:tcPr>
            <w:tcW w:w="1580" w:type="dxa"/>
            <w:noWrap/>
            <w:hideMark/>
          </w:tcPr>
          <w:p w14:paraId="56169175"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r>
      <w:tr w:rsidR="004547A1" w14:paraId="4C3E720C"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F2C7881" w14:textId="7A81BC74"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2ACC50F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Corporate Billing</w:t>
            </w:r>
          </w:p>
        </w:tc>
        <w:tc>
          <w:tcPr>
            <w:tcW w:w="1580" w:type="dxa"/>
            <w:noWrap/>
            <w:hideMark/>
          </w:tcPr>
          <w:p w14:paraId="7B4A8378" w14:textId="0D1D74A1"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4A282D5" w14:textId="17AE6CAE"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1982297B" w14:textId="24BF3521"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17E1027" w14:textId="20DF3708"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4547A1" w14:paraId="442774E5"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817B9BE" w14:textId="369953E6"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21CBFFBC"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2A1E9A74"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1.35% </w:t>
            </w:r>
          </w:p>
        </w:tc>
        <w:tc>
          <w:tcPr>
            <w:tcW w:w="1580" w:type="dxa"/>
            <w:noWrap/>
            <w:hideMark/>
          </w:tcPr>
          <w:p w14:paraId="73180EBB"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1.02% </w:t>
            </w:r>
          </w:p>
        </w:tc>
        <w:tc>
          <w:tcPr>
            <w:tcW w:w="1580" w:type="dxa"/>
            <w:noWrap/>
            <w:hideMark/>
          </w:tcPr>
          <w:p w14:paraId="7CFA1DC8"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0.90% </w:t>
            </w:r>
          </w:p>
        </w:tc>
        <w:tc>
          <w:tcPr>
            <w:tcW w:w="1580" w:type="dxa"/>
            <w:noWrap/>
            <w:hideMark/>
          </w:tcPr>
          <w:p w14:paraId="2255799E"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0.47% </w:t>
            </w:r>
          </w:p>
        </w:tc>
      </w:tr>
      <w:tr w:rsidR="004547A1" w14:paraId="4B79571D"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13D6F70" w14:textId="3055EE08"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2B1C987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03129CED"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27.57% </w:t>
            </w:r>
          </w:p>
        </w:tc>
        <w:tc>
          <w:tcPr>
            <w:tcW w:w="1580" w:type="dxa"/>
            <w:noWrap/>
            <w:hideMark/>
          </w:tcPr>
          <w:p w14:paraId="7C1AD555"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26.83% </w:t>
            </w:r>
          </w:p>
        </w:tc>
        <w:tc>
          <w:tcPr>
            <w:tcW w:w="1580" w:type="dxa"/>
            <w:noWrap/>
            <w:hideMark/>
          </w:tcPr>
          <w:p w14:paraId="2C7728A6"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27.78% </w:t>
            </w:r>
          </w:p>
        </w:tc>
        <w:tc>
          <w:tcPr>
            <w:tcW w:w="1580" w:type="dxa"/>
            <w:noWrap/>
            <w:hideMark/>
          </w:tcPr>
          <w:p w14:paraId="725F4224"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31.30% </w:t>
            </w:r>
          </w:p>
        </w:tc>
      </w:tr>
      <w:tr w:rsidR="004547A1" w14:paraId="2BC91601"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CE8E51F" w14:textId="1922C1DD"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3E3B2E1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7F6305AF"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0.42% </w:t>
            </w:r>
          </w:p>
        </w:tc>
        <w:tc>
          <w:tcPr>
            <w:tcW w:w="1580" w:type="dxa"/>
            <w:noWrap/>
            <w:hideMark/>
          </w:tcPr>
          <w:p w14:paraId="14DDFDAB"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0.40% </w:t>
            </w:r>
          </w:p>
        </w:tc>
        <w:tc>
          <w:tcPr>
            <w:tcW w:w="1580" w:type="dxa"/>
            <w:noWrap/>
            <w:hideMark/>
          </w:tcPr>
          <w:p w14:paraId="23593C99"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0.18% </w:t>
            </w:r>
          </w:p>
        </w:tc>
        <w:tc>
          <w:tcPr>
            <w:tcW w:w="1580" w:type="dxa"/>
            <w:noWrap/>
            <w:hideMark/>
          </w:tcPr>
          <w:p w14:paraId="31768B41"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0.15% </w:t>
            </w:r>
          </w:p>
        </w:tc>
      </w:tr>
      <w:tr w:rsidR="004547A1" w14:paraId="0AFEC363"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DAA8A0A" w14:textId="7C11E229" w:rsidR="004547A1" w:rsidRPr="00C11123" w:rsidRDefault="00BC6AC6" w:rsidP="004547A1">
            <w:pPr>
              <w:rPr>
                <w:b w:val="0"/>
                <w:bCs w:val="0"/>
                <w:sz w:val="22"/>
                <w:szCs w:val="22"/>
              </w:rPr>
            </w:pPr>
            <w:r w:rsidRPr="00C11123">
              <w:rPr>
                <w:rFonts w:eastAsia="Times New Roman" w:cs="Times New Roman"/>
                <w:kern w:val="0"/>
                <w:sz w:val="22"/>
                <w:szCs w:val="22"/>
                <w14:ligatures w14:val="none"/>
              </w:rPr>
              <w:t>Milton</w:t>
            </w:r>
          </w:p>
        </w:tc>
        <w:tc>
          <w:tcPr>
            <w:tcW w:w="1860" w:type="dxa"/>
            <w:noWrap/>
            <w:hideMark/>
          </w:tcPr>
          <w:p w14:paraId="1B30569C"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28776AA7"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0.03% </w:t>
            </w:r>
          </w:p>
        </w:tc>
        <w:tc>
          <w:tcPr>
            <w:tcW w:w="1580" w:type="dxa"/>
            <w:noWrap/>
            <w:hideMark/>
          </w:tcPr>
          <w:p w14:paraId="08434331"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0.02% </w:t>
            </w:r>
          </w:p>
        </w:tc>
        <w:tc>
          <w:tcPr>
            <w:tcW w:w="1580" w:type="dxa"/>
            <w:noWrap/>
            <w:hideMark/>
          </w:tcPr>
          <w:p w14:paraId="17755CF6" w14:textId="2B6ECC06"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C7BF8A7" w14:textId="77777777" w:rsidR="004547A1" w:rsidRPr="00C11123" w:rsidRDefault="004547A1" w:rsidP="004547A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r>
      <w:tr w:rsidR="004547A1" w14:paraId="09FD9DE5"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3FC4F86" w14:textId="77777777" w:rsidR="004547A1" w:rsidRPr="00C11123" w:rsidRDefault="004547A1" w:rsidP="004547A1">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North Easton</w:t>
            </w:r>
          </w:p>
        </w:tc>
        <w:tc>
          <w:tcPr>
            <w:tcW w:w="1860" w:type="dxa"/>
            <w:noWrap/>
            <w:hideMark/>
          </w:tcPr>
          <w:p w14:paraId="21838F17"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4F151CCD"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22.68% </w:t>
            </w:r>
          </w:p>
        </w:tc>
        <w:tc>
          <w:tcPr>
            <w:tcW w:w="1580" w:type="dxa"/>
            <w:noWrap/>
            <w:hideMark/>
          </w:tcPr>
          <w:p w14:paraId="77FECE32"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21.24% </w:t>
            </w:r>
          </w:p>
        </w:tc>
        <w:tc>
          <w:tcPr>
            <w:tcW w:w="1580" w:type="dxa"/>
            <w:noWrap/>
            <w:hideMark/>
          </w:tcPr>
          <w:p w14:paraId="05393952"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24.71% </w:t>
            </w:r>
          </w:p>
        </w:tc>
        <w:tc>
          <w:tcPr>
            <w:tcW w:w="1580" w:type="dxa"/>
            <w:noWrap/>
            <w:hideMark/>
          </w:tcPr>
          <w:p w14:paraId="7F58BAA7" w14:textId="77777777" w:rsidR="004547A1" w:rsidRPr="00C11123" w:rsidRDefault="004547A1" w:rsidP="004547A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21.83% </w:t>
            </w:r>
          </w:p>
        </w:tc>
      </w:tr>
      <w:tr w:rsidR="00BC6AC6" w14:paraId="2FAE4ADB"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27E68D2" w14:textId="08BCF3C9"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2DA2AD62"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54E24152"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41.37% </w:t>
            </w:r>
          </w:p>
        </w:tc>
        <w:tc>
          <w:tcPr>
            <w:tcW w:w="1580" w:type="dxa"/>
            <w:noWrap/>
            <w:hideMark/>
          </w:tcPr>
          <w:p w14:paraId="06F0D3E3"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43.48% </w:t>
            </w:r>
          </w:p>
        </w:tc>
        <w:tc>
          <w:tcPr>
            <w:tcW w:w="1580" w:type="dxa"/>
            <w:noWrap/>
            <w:hideMark/>
          </w:tcPr>
          <w:p w14:paraId="5FFD70EC"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43.24% </w:t>
            </w:r>
          </w:p>
        </w:tc>
        <w:tc>
          <w:tcPr>
            <w:tcW w:w="1580" w:type="dxa"/>
            <w:noWrap/>
            <w:hideMark/>
          </w:tcPr>
          <w:p w14:paraId="18E1F630"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45.64% </w:t>
            </w:r>
          </w:p>
        </w:tc>
      </w:tr>
      <w:tr w:rsidR="00BC6AC6" w14:paraId="0D5F7A74"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687E2D5" w14:textId="65AED97E"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14CBB103"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65528FA9" w14:textId="4595C62B"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B5E42DA" w14:textId="40BB1680"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A3773B8"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1C5F4179" w14:textId="5A77BE6B"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BC6AC6" w14:paraId="486E687C"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615D51A" w14:textId="5BF66AF8"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70809B53"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Corporate Billing</w:t>
            </w:r>
          </w:p>
        </w:tc>
        <w:tc>
          <w:tcPr>
            <w:tcW w:w="1580" w:type="dxa"/>
            <w:noWrap/>
            <w:hideMark/>
          </w:tcPr>
          <w:p w14:paraId="10D3B578"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24E568E1" w14:textId="7A83DCA5"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0FF540A1" w14:textId="3E0C4592"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4EBD1F81" w14:textId="6076E2D9"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BC6AC6" w14:paraId="7D90D77F"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E9D417A" w14:textId="6D0790D3"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1BF4D6A7"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Legal/MVA</w:t>
            </w:r>
          </w:p>
        </w:tc>
        <w:tc>
          <w:tcPr>
            <w:tcW w:w="1580" w:type="dxa"/>
            <w:noWrap/>
            <w:hideMark/>
          </w:tcPr>
          <w:p w14:paraId="1ADB8B2E" w14:textId="01E64FED"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73771443" w14:textId="1B0EDA0B"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3A514327" w14:textId="70598242"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5A8A0FE6" w14:textId="2069A8E0"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BC6AC6" w14:paraId="3FEEF6FD"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21E5C8E7" w14:textId="6591BD6E"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25FBCB5F"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47B5BD26"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2.73% </w:t>
            </w:r>
          </w:p>
        </w:tc>
        <w:tc>
          <w:tcPr>
            <w:tcW w:w="1580" w:type="dxa"/>
            <w:noWrap/>
            <w:hideMark/>
          </w:tcPr>
          <w:p w14:paraId="22263924"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2.72% </w:t>
            </w:r>
          </w:p>
        </w:tc>
        <w:tc>
          <w:tcPr>
            <w:tcW w:w="1580" w:type="dxa"/>
            <w:noWrap/>
            <w:hideMark/>
          </w:tcPr>
          <w:p w14:paraId="2F6AE7DB"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2.01% </w:t>
            </w:r>
          </w:p>
        </w:tc>
        <w:tc>
          <w:tcPr>
            <w:tcW w:w="1580" w:type="dxa"/>
            <w:noWrap/>
            <w:hideMark/>
          </w:tcPr>
          <w:p w14:paraId="334D84DE"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1.55% </w:t>
            </w:r>
          </w:p>
        </w:tc>
      </w:tr>
      <w:tr w:rsidR="00BC6AC6" w14:paraId="07485DE2"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075908D5" w14:textId="31454CF9"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2E818C25"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3AEA45A0"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32.86% </w:t>
            </w:r>
          </w:p>
        </w:tc>
        <w:tc>
          <w:tcPr>
            <w:tcW w:w="1580" w:type="dxa"/>
            <w:noWrap/>
            <w:hideMark/>
          </w:tcPr>
          <w:p w14:paraId="487DF154"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32.23% </w:t>
            </w:r>
          </w:p>
        </w:tc>
        <w:tc>
          <w:tcPr>
            <w:tcW w:w="1580" w:type="dxa"/>
            <w:noWrap/>
            <w:hideMark/>
          </w:tcPr>
          <w:p w14:paraId="229FF411"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29.87% </w:t>
            </w:r>
          </w:p>
        </w:tc>
        <w:tc>
          <w:tcPr>
            <w:tcW w:w="1580" w:type="dxa"/>
            <w:noWrap/>
            <w:hideMark/>
          </w:tcPr>
          <w:p w14:paraId="6D62EDC4"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30.81% </w:t>
            </w:r>
          </w:p>
        </w:tc>
      </w:tr>
      <w:tr w:rsidR="00BC6AC6" w14:paraId="5EBE1797"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DB48EB8" w14:textId="6D911B3F"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6EDC511A"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152057BF"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0.27% </w:t>
            </w:r>
          </w:p>
        </w:tc>
        <w:tc>
          <w:tcPr>
            <w:tcW w:w="1580" w:type="dxa"/>
            <w:noWrap/>
            <w:hideMark/>
          </w:tcPr>
          <w:p w14:paraId="14D2F343"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0.25% </w:t>
            </w:r>
          </w:p>
        </w:tc>
        <w:tc>
          <w:tcPr>
            <w:tcW w:w="1580" w:type="dxa"/>
            <w:noWrap/>
            <w:hideMark/>
          </w:tcPr>
          <w:p w14:paraId="7BCAFFA4"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0.12% </w:t>
            </w:r>
          </w:p>
        </w:tc>
        <w:tc>
          <w:tcPr>
            <w:tcW w:w="1580" w:type="dxa"/>
            <w:noWrap/>
            <w:hideMark/>
          </w:tcPr>
          <w:p w14:paraId="35BE4086"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0.11% </w:t>
            </w:r>
          </w:p>
        </w:tc>
      </w:tr>
      <w:tr w:rsidR="00BC6AC6" w14:paraId="26A856D9"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2D423A8" w14:textId="3EAA0B0B" w:rsidR="00BC6AC6" w:rsidRPr="00C11123" w:rsidRDefault="00BC6AC6" w:rsidP="00BC6AC6">
            <w:pPr>
              <w:rPr>
                <w:b w:val="0"/>
                <w:bCs w:val="0"/>
                <w:sz w:val="22"/>
                <w:szCs w:val="22"/>
              </w:rPr>
            </w:pPr>
            <w:r w:rsidRPr="00C11123">
              <w:rPr>
                <w:rFonts w:eastAsia="Times New Roman" w:cs="Times New Roman"/>
                <w:kern w:val="0"/>
                <w:sz w:val="22"/>
                <w:szCs w:val="22"/>
                <w14:ligatures w14:val="none"/>
              </w:rPr>
              <w:t>North Easton</w:t>
            </w:r>
          </w:p>
        </w:tc>
        <w:tc>
          <w:tcPr>
            <w:tcW w:w="1860" w:type="dxa"/>
            <w:noWrap/>
            <w:hideMark/>
          </w:tcPr>
          <w:p w14:paraId="1F8FB1C2"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66A32E26"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0.09% </w:t>
            </w:r>
          </w:p>
        </w:tc>
        <w:tc>
          <w:tcPr>
            <w:tcW w:w="1580" w:type="dxa"/>
            <w:noWrap/>
            <w:hideMark/>
          </w:tcPr>
          <w:p w14:paraId="1D2E5D5F"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0.08% </w:t>
            </w:r>
          </w:p>
        </w:tc>
        <w:tc>
          <w:tcPr>
            <w:tcW w:w="1580" w:type="dxa"/>
            <w:noWrap/>
            <w:hideMark/>
          </w:tcPr>
          <w:p w14:paraId="16C0B8C4"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0.05% </w:t>
            </w:r>
          </w:p>
        </w:tc>
        <w:tc>
          <w:tcPr>
            <w:tcW w:w="1580" w:type="dxa"/>
            <w:noWrap/>
            <w:hideMark/>
          </w:tcPr>
          <w:p w14:paraId="7A7CF3F7"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0.05% </w:t>
            </w:r>
          </w:p>
        </w:tc>
      </w:tr>
      <w:tr w:rsidR="00BC6AC6" w14:paraId="4318EF8B"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C40C75D" w14:textId="77777777" w:rsidR="00BC6AC6" w:rsidRPr="00C11123" w:rsidRDefault="00BC6AC6" w:rsidP="00BC6AC6">
            <w:pPr>
              <w:rPr>
                <w:rFonts w:eastAsia="Times New Roman" w:cs="Times New Roman"/>
                <w:color w:val="FFFFFF" w:themeColor="background1"/>
                <w:kern w:val="0"/>
                <w:sz w:val="22"/>
                <w:szCs w:val="22"/>
                <w14:ligatures w14:val="none"/>
              </w:rPr>
            </w:pPr>
            <w:r w:rsidRPr="00C11123">
              <w:rPr>
                <w:rFonts w:eastAsia="Times New Roman" w:cs="Times New Roman"/>
                <w:kern w:val="0"/>
                <w:sz w:val="22"/>
                <w:szCs w:val="22"/>
                <w14:ligatures w14:val="none"/>
              </w:rPr>
              <w:t>Plymouth</w:t>
            </w:r>
          </w:p>
        </w:tc>
        <w:tc>
          <w:tcPr>
            <w:tcW w:w="1860" w:type="dxa"/>
            <w:noWrap/>
            <w:hideMark/>
          </w:tcPr>
          <w:p w14:paraId="0C2D2569"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Blue</w:t>
            </w:r>
          </w:p>
        </w:tc>
        <w:tc>
          <w:tcPr>
            <w:tcW w:w="1580" w:type="dxa"/>
            <w:noWrap/>
            <w:hideMark/>
          </w:tcPr>
          <w:p w14:paraId="3B00F2E7"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16.96% </w:t>
            </w:r>
          </w:p>
        </w:tc>
        <w:tc>
          <w:tcPr>
            <w:tcW w:w="1580" w:type="dxa"/>
            <w:noWrap/>
            <w:hideMark/>
          </w:tcPr>
          <w:p w14:paraId="2E7365E1"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20.34% </w:t>
            </w:r>
          </w:p>
        </w:tc>
        <w:tc>
          <w:tcPr>
            <w:tcW w:w="1580" w:type="dxa"/>
            <w:noWrap/>
            <w:hideMark/>
          </w:tcPr>
          <w:p w14:paraId="1C183A0A"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18.10% </w:t>
            </w:r>
          </w:p>
        </w:tc>
        <w:tc>
          <w:tcPr>
            <w:tcW w:w="1580" w:type="dxa"/>
            <w:noWrap/>
            <w:hideMark/>
          </w:tcPr>
          <w:p w14:paraId="6877482E"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19.37% </w:t>
            </w:r>
          </w:p>
        </w:tc>
      </w:tr>
      <w:tr w:rsidR="00BC6AC6" w14:paraId="14F9A8BF"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6F688C6A" w14:textId="467AC4CE" w:rsidR="00BC6AC6" w:rsidRPr="00C11123" w:rsidRDefault="00BC6AC6" w:rsidP="00BC6AC6">
            <w:pPr>
              <w:rPr>
                <w:b w:val="0"/>
                <w:bCs w:val="0"/>
                <w:sz w:val="22"/>
                <w:szCs w:val="22"/>
              </w:rPr>
            </w:pPr>
            <w:r w:rsidRPr="00C11123">
              <w:rPr>
                <w:rFonts w:eastAsia="Times New Roman" w:cs="Times New Roman"/>
                <w:kern w:val="0"/>
                <w:sz w:val="22"/>
                <w:szCs w:val="22"/>
                <w14:ligatures w14:val="none"/>
              </w:rPr>
              <w:t>Plymouth</w:t>
            </w:r>
          </w:p>
        </w:tc>
        <w:tc>
          <w:tcPr>
            <w:tcW w:w="1860" w:type="dxa"/>
            <w:noWrap/>
            <w:hideMark/>
          </w:tcPr>
          <w:p w14:paraId="5BCC4D76"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Commercial</w:t>
            </w:r>
          </w:p>
        </w:tc>
        <w:tc>
          <w:tcPr>
            <w:tcW w:w="1580" w:type="dxa"/>
            <w:noWrap/>
            <w:hideMark/>
          </w:tcPr>
          <w:p w14:paraId="47C47CB0"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31.55% </w:t>
            </w:r>
          </w:p>
        </w:tc>
        <w:tc>
          <w:tcPr>
            <w:tcW w:w="1580" w:type="dxa"/>
            <w:noWrap/>
            <w:hideMark/>
          </w:tcPr>
          <w:p w14:paraId="57F03717"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32.08% </w:t>
            </w:r>
          </w:p>
        </w:tc>
        <w:tc>
          <w:tcPr>
            <w:tcW w:w="1580" w:type="dxa"/>
            <w:noWrap/>
            <w:hideMark/>
          </w:tcPr>
          <w:p w14:paraId="357E4E50"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32.17% </w:t>
            </w:r>
          </w:p>
        </w:tc>
        <w:tc>
          <w:tcPr>
            <w:tcW w:w="1580" w:type="dxa"/>
            <w:noWrap/>
            <w:hideMark/>
          </w:tcPr>
          <w:p w14:paraId="498F2E8D"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35.01% </w:t>
            </w:r>
          </w:p>
        </w:tc>
      </w:tr>
      <w:tr w:rsidR="00BC6AC6" w14:paraId="2C43B4C2"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8DFBB0B" w14:textId="4697CBC4" w:rsidR="00BC6AC6" w:rsidRPr="00C11123" w:rsidRDefault="00BC6AC6" w:rsidP="00BC6AC6">
            <w:pPr>
              <w:rPr>
                <w:b w:val="0"/>
                <w:bCs w:val="0"/>
                <w:sz w:val="22"/>
                <w:szCs w:val="22"/>
              </w:rPr>
            </w:pPr>
            <w:r w:rsidRPr="00C11123">
              <w:rPr>
                <w:rFonts w:eastAsia="Times New Roman" w:cs="Times New Roman"/>
                <w:kern w:val="0"/>
                <w:sz w:val="22"/>
                <w:szCs w:val="22"/>
                <w14:ligatures w14:val="none"/>
              </w:rPr>
              <w:t>Plymouth</w:t>
            </w:r>
          </w:p>
        </w:tc>
        <w:tc>
          <w:tcPr>
            <w:tcW w:w="1860" w:type="dxa"/>
            <w:noWrap/>
            <w:hideMark/>
          </w:tcPr>
          <w:p w14:paraId="40017893"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Contracts</w:t>
            </w:r>
          </w:p>
        </w:tc>
        <w:tc>
          <w:tcPr>
            <w:tcW w:w="1580" w:type="dxa"/>
            <w:noWrap/>
            <w:hideMark/>
          </w:tcPr>
          <w:p w14:paraId="137B6A69"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0.10% </w:t>
            </w:r>
          </w:p>
        </w:tc>
        <w:tc>
          <w:tcPr>
            <w:tcW w:w="1580" w:type="dxa"/>
            <w:noWrap/>
            <w:hideMark/>
          </w:tcPr>
          <w:p w14:paraId="00ADEACE"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0.22% </w:t>
            </w:r>
          </w:p>
        </w:tc>
        <w:tc>
          <w:tcPr>
            <w:tcW w:w="1580" w:type="dxa"/>
            <w:noWrap/>
            <w:hideMark/>
          </w:tcPr>
          <w:p w14:paraId="2B159E34"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0.02% </w:t>
            </w:r>
          </w:p>
        </w:tc>
        <w:tc>
          <w:tcPr>
            <w:tcW w:w="1580" w:type="dxa"/>
            <w:noWrap/>
            <w:hideMark/>
          </w:tcPr>
          <w:p w14:paraId="776301A9"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0.69% </w:t>
            </w:r>
          </w:p>
        </w:tc>
      </w:tr>
      <w:tr w:rsidR="00BC6AC6" w14:paraId="4791B213"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5A174446" w14:textId="7FC37B8E" w:rsidR="00BC6AC6" w:rsidRPr="00C11123" w:rsidRDefault="00BC6AC6" w:rsidP="00BC6AC6">
            <w:pPr>
              <w:rPr>
                <w:b w:val="0"/>
                <w:bCs w:val="0"/>
                <w:sz w:val="22"/>
                <w:szCs w:val="22"/>
              </w:rPr>
            </w:pPr>
            <w:r w:rsidRPr="00C11123">
              <w:rPr>
                <w:rFonts w:eastAsia="Times New Roman" w:cs="Times New Roman"/>
                <w:kern w:val="0"/>
                <w:sz w:val="22"/>
                <w:szCs w:val="22"/>
                <w14:ligatures w14:val="none"/>
              </w:rPr>
              <w:t>Plymouth</w:t>
            </w:r>
          </w:p>
        </w:tc>
        <w:tc>
          <w:tcPr>
            <w:tcW w:w="1860" w:type="dxa"/>
            <w:noWrap/>
            <w:hideMark/>
          </w:tcPr>
          <w:p w14:paraId="37CA6EBE"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Corporate Billing</w:t>
            </w:r>
          </w:p>
        </w:tc>
        <w:tc>
          <w:tcPr>
            <w:tcW w:w="1580" w:type="dxa"/>
            <w:noWrap/>
            <w:hideMark/>
          </w:tcPr>
          <w:p w14:paraId="6C0738AD" w14:textId="15B9F72D"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6C1633E4" w14:textId="769175A2"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c>
          <w:tcPr>
            <w:tcW w:w="1580" w:type="dxa"/>
            <w:noWrap/>
            <w:hideMark/>
          </w:tcPr>
          <w:p w14:paraId="2AD19329"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450763EF" w14:textId="1C4570CD"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N/A</w:t>
            </w:r>
            <w:r w:rsidRPr="00C11123">
              <w:rPr>
                <w:rFonts w:eastAsia="Times New Roman" w:cs="Times New Roman"/>
                <w:color w:val="000000"/>
                <w:kern w:val="0"/>
                <w:sz w:val="22"/>
                <w:szCs w:val="22"/>
                <w14:ligatures w14:val="none"/>
              </w:rPr>
              <w:t xml:space="preserve">                  </w:t>
            </w:r>
          </w:p>
        </w:tc>
      </w:tr>
      <w:tr w:rsidR="00BC6AC6" w14:paraId="6F2ED482"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49A322DF" w14:textId="691E7808" w:rsidR="00BC6AC6" w:rsidRPr="00C11123" w:rsidRDefault="00BC6AC6" w:rsidP="00BC6AC6">
            <w:pPr>
              <w:rPr>
                <w:b w:val="0"/>
                <w:bCs w:val="0"/>
                <w:sz w:val="22"/>
                <w:szCs w:val="22"/>
              </w:rPr>
            </w:pPr>
            <w:r w:rsidRPr="00C11123">
              <w:rPr>
                <w:rFonts w:eastAsia="Times New Roman" w:cs="Times New Roman"/>
                <w:kern w:val="0"/>
                <w:sz w:val="22"/>
                <w:szCs w:val="22"/>
                <w14:ligatures w14:val="none"/>
              </w:rPr>
              <w:t>Plymouth</w:t>
            </w:r>
          </w:p>
        </w:tc>
        <w:tc>
          <w:tcPr>
            <w:tcW w:w="1860" w:type="dxa"/>
            <w:noWrap/>
            <w:hideMark/>
          </w:tcPr>
          <w:p w14:paraId="51999368"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Medicaid</w:t>
            </w:r>
          </w:p>
        </w:tc>
        <w:tc>
          <w:tcPr>
            <w:tcW w:w="1580" w:type="dxa"/>
            <w:noWrap/>
            <w:hideMark/>
          </w:tcPr>
          <w:p w14:paraId="0BB8D054"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0.86% </w:t>
            </w:r>
          </w:p>
        </w:tc>
        <w:tc>
          <w:tcPr>
            <w:tcW w:w="1580" w:type="dxa"/>
            <w:noWrap/>
            <w:hideMark/>
          </w:tcPr>
          <w:p w14:paraId="4C1CEE4C"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0.48% </w:t>
            </w:r>
          </w:p>
        </w:tc>
        <w:tc>
          <w:tcPr>
            <w:tcW w:w="1580" w:type="dxa"/>
            <w:noWrap/>
            <w:hideMark/>
          </w:tcPr>
          <w:p w14:paraId="0CEEB3E7"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0.46% </w:t>
            </w:r>
          </w:p>
        </w:tc>
        <w:tc>
          <w:tcPr>
            <w:tcW w:w="1580" w:type="dxa"/>
            <w:noWrap/>
            <w:hideMark/>
          </w:tcPr>
          <w:p w14:paraId="3C7853AC"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0.70% </w:t>
            </w:r>
          </w:p>
        </w:tc>
      </w:tr>
      <w:tr w:rsidR="00BC6AC6" w14:paraId="6B8D1796"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127D9F01" w14:textId="5262E654" w:rsidR="00BC6AC6" w:rsidRPr="00C11123" w:rsidRDefault="00BC6AC6" w:rsidP="00BC6AC6">
            <w:pPr>
              <w:rPr>
                <w:b w:val="0"/>
                <w:bCs w:val="0"/>
                <w:sz w:val="22"/>
                <w:szCs w:val="22"/>
              </w:rPr>
            </w:pPr>
            <w:r w:rsidRPr="00C11123">
              <w:rPr>
                <w:rFonts w:eastAsia="Times New Roman" w:cs="Times New Roman"/>
                <w:kern w:val="0"/>
                <w:sz w:val="22"/>
                <w:szCs w:val="22"/>
                <w14:ligatures w14:val="none"/>
              </w:rPr>
              <w:lastRenderedPageBreak/>
              <w:t>Plymouth</w:t>
            </w:r>
          </w:p>
        </w:tc>
        <w:tc>
          <w:tcPr>
            <w:tcW w:w="1860" w:type="dxa"/>
            <w:noWrap/>
            <w:hideMark/>
          </w:tcPr>
          <w:p w14:paraId="510D20F3"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Medicare B/DME</w:t>
            </w:r>
          </w:p>
        </w:tc>
        <w:tc>
          <w:tcPr>
            <w:tcW w:w="1580" w:type="dxa"/>
            <w:noWrap/>
            <w:hideMark/>
          </w:tcPr>
          <w:p w14:paraId="7FB5DBB9"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49.72% </w:t>
            </w:r>
          </w:p>
        </w:tc>
        <w:tc>
          <w:tcPr>
            <w:tcW w:w="1580" w:type="dxa"/>
            <w:noWrap/>
            <w:hideMark/>
          </w:tcPr>
          <w:p w14:paraId="7EBB330D"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46.60% </w:t>
            </w:r>
          </w:p>
        </w:tc>
        <w:tc>
          <w:tcPr>
            <w:tcW w:w="1580" w:type="dxa"/>
            <w:noWrap/>
            <w:hideMark/>
          </w:tcPr>
          <w:p w14:paraId="6EA27AD2"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49.17% </w:t>
            </w:r>
          </w:p>
        </w:tc>
        <w:tc>
          <w:tcPr>
            <w:tcW w:w="1580" w:type="dxa"/>
            <w:noWrap/>
            <w:hideMark/>
          </w:tcPr>
          <w:p w14:paraId="6A4EC94A"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44.18% </w:t>
            </w:r>
          </w:p>
        </w:tc>
      </w:tr>
      <w:tr w:rsidR="00BC6AC6" w14:paraId="48E6E40B" w14:textId="77777777" w:rsidTr="00707046">
        <w:trPr>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7849A29B" w14:textId="58919BB1" w:rsidR="00BC6AC6" w:rsidRPr="00C11123" w:rsidRDefault="00BC6AC6" w:rsidP="00BC6AC6">
            <w:pPr>
              <w:rPr>
                <w:b w:val="0"/>
                <w:bCs w:val="0"/>
                <w:sz w:val="22"/>
                <w:szCs w:val="22"/>
              </w:rPr>
            </w:pPr>
            <w:r w:rsidRPr="00C11123">
              <w:rPr>
                <w:rFonts w:eastAsia="Times New Roman" w:cs="Times New Roman"/>
                <w:kern w:val="0"/>
                <w:sz w:val="22"/>
                <w:szCs w:val="22"/>
                <w14:ligatures w14:val="none"/>
              </w:rPr>
              <w:t>Plymouth</w:t>
            </w:r>
          </w:p>
        </w:tc>
        <w:tc>
          <w:tcPr>
            <w:tcW w:w="1860" w:type="dxa"/>
            <w:noWrap/>
            <w:hideMark/>
          </w:tcPr>
          <w:p w14:paraId="7F4506DB"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Self-Pay</w:t>
            </w:r>
          </w:p>
        </w:tc>
        <w:tc>
          <w:tcPr>
            <w:tcW w:w="1580" w:type="dxa"/>
            <w:noWrap/>
            <w:hideMark/>
          </w:tcPr>
          <w:p w14:paraId="1624EB9C"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0.81% </w:t>
            </w:r>
          </w:p>
        </w:tc>
        <w:tc>
          <w:tcPr>
            <w:tcW w:w="1580" w:type="dxa"/>
            <w:noWrap/>
            <w:hideMark/>
          </w:tcPr>
          <w:p w14:paraId="216F7074"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0.28% </w:t>
            </w:r>
          </w:p>
        </w:tc>
        <w:tc>
          <w:tcPr>
            <w:tcW w:w="1580" w:type="dxa"/>
            <w:noWrap/>
            <w:hideMark/>
          </w:tcPr>
          <w:p w14:paraId="4B39CF22"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0.09% </w:t>
            </w:r>
          </w:p>
        </w:tc>
        <w:tc>
          <w:tcPr>
            <w:tcW w:w="1580" w:type="dxa"/>
            <w:noWrap/>
            <w:hideMark/>
          </w:tcPr>
          <w:p w14:paraId="03CC1FA6" w14:textId="77777777" w:rsidR="00BC6AC6" w:rsidRPr="00C11123" w:rsidRDefault="00BC6AC6" w:rsidP="00BC6AC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0.05% </w:t>
            </w:r>
          </w:p>
        </w:tc>
      </w:tr>
      <w:tr w:rsidR="00BC6AC6" w14:paraId="62FE1333" w14:textId="77777777" w:rsidTr="0070704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1960" w:type="dxa"/>
            <w:noWrap/>
            <w:hideMark/>
          </w:tcPr>
          <w:p w14:paraId="3BF00BD2" w14:textId="5DED2587" w:rsidR="00BC6AC6" w:rsidRPr="00C11123" w:rsidRDefault="00BC6AC6" w:rsidP="00BC6AC6">
            <w:pPr>
              <w:rPr>
                <w:b w:val="0"/>
                <w:bCs w:val="0"/>
                <w:sz w:val="22"/>
                <w:szCs w:val="22"/>
              </w:rPr>
            </w:pPr>
            <w:r w:rsidRPr="00C11123">
              <w:rPr>
                <w:rFonts w:eastAsia="Times New Roman" w:cs="Times New Roman"/>
                <w:kern w:val="0"/>
                <w:sz w:val="22"/>
                <w:szCs w:val="22"/>
                <w14:ligatures w14:val="none"/>
              </w:rPr>
              <w:t>Plymouth</w:t>
            </w:r>
          </w:p>
        </w:tc>
        <w:tc>
          <w:tcPr>
            <w:tcW w:w="1860" w:type="dxa"/>
            <w:noWrap/>
            <w:hideMark/>
          </w:tcPr>
          <w:p w14:paraId="658C0E8D"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proofErr w:type="spellStart"/>
            <w:r w:rsidRPr="00C11123">
              <w:rPr>
                <w:rFonts w:eastAsia="Times New Roman" w:cs="Times New Roman"/>
                <w:color w:val="000000"/>
                <w:kern w:val="0"/>
                <w:sz w:val="22"/>
                <w:szCs w:val="22"/>
                <w14:ligatures w14:val="none"/>
              </w:rPr>
              <w:t>WorkComp</w:t>
            </w:r>
            <w:proofErr w:type="spellEnd"/>
          </w:p>
        </w:tc>
        <w:tc>
          <w:tcPr>
            <w:tcW w:w="1580" w:type="dxa"/>
            <w:noWrap/>
            <w:hideMark/>
          </w:tcPr>
          <w:p w14:paraId="49172165"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0.01% </w:t>
            </w:r>
          </w:p>
        </w:tc>
        <w:tc>
          <w:tcPr>
            <w:tcW w:w="1580" w:type="dxa"/>
            <w:noWrap/>
            <w:hideMark/>
          </w:tcPr>
          <w:p w14:paraId="1769084B"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336FEE9A"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c>
          <w:tcPr>
            <w:tcW w:w="1580" w:type="dxa"/>
            <w:noWrap/>
            <w:hideMark/>
          </w:tcPr>
          <w:p w14:paraId="68215D1D" w14:textId="77777777" w:rsidR="00BC6AC6" w:rsidRPr="00C11123" w:rsidRDefault="00BC6AC6" w:rsidP="00BC6AC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2"/>
                <w:szCs w:val="22"/>
                <w14:ligatures w14:val="none"/>
              </w:rPr>
            </w:pPr>
            <w:r w:rsidRPr="00C11123">
              <w:rPr>
                <w:rFonts w:eastAsia="Times New Roman" w:cs="Times New Roman"/>
                <w:color w:val="000000"/>
                <w:kern w:val="0"/>
                <w:sz w:val="22"/>
                <w:szCs w:val="22"/>
                <w14:ligatures w14:val="none"/>
              </w:rPr>
              <w:t xml:space="preserve">                      0.00% </w:t>
            </w:r>
          </w:p>
        </w:tc>
      </w:tr>
    </w:tbl>
    <w:p w14:paraId="73ECD332" w14:textId="77777777" w:rsidR="000746E7" w:rsidRPr="00C11123" w:rsidRDefault="000746E7" w:rsidP="00CC6024">
      <w:pPr>
        <w:spacing w:after="0" w:line="240" w:lineRule="auto"/>
        <w:jc w:val="both"/>
        <w:rPr>
          <w:rFonts w:cs="Arial"/>
          <w:sz w:val="22"/>
          <w:szCs w:val="22"/>
        </w:rPr>
      </w:pPr>
    </w:p>
    <w:p w14:paraId="16414154" w14:textId="77777777" w:rsidR="00C77F62" w:rsidRPr="00C11123" w:rsidRDefault="00C77F62" w:rsidP="00CC6024">
      <w:pPr>
        <w:spacing w:after="0" w:line="240" w:lineRule="auto"/>
        <w:jc w:val="both"/>
        <w:rPr>
          <w:rFonts w:cs="Arial"/>
          <w:b/>
          <w:bCs/>
          <w:sz w:val="22"/>
          <w:szCs w:val="22"/>
        </w:rPr>
      </w:pPr>
    </w:p>
    <w:p w14:paraId="7ECB9B01" w14:textId="25C2D186" w:rsidR="002C28E1" w:rsidRPr="00C11123" w:rsidRDefault="00000000" w:rsidP="00697E79">
      <w:pPr>
        <w:pStyle w:val="Heading2"/>
      </w:pPr>
      <w:r w:rsidRPr="00C11123">
        <w:t>F1.</w:t>
      </w:r>
      <w:proofErr w:type="gramStart"/>
      <w:r w:rsidRPr="00C11123">
        <w:t>a.ii.</w:t>
      </w:r>
      <w:proofErr w:type="gramEnd"/>
      <w:r w:rsidRPr="00C11123">
        <w:t xml:space="preserve"> </w:t>
      </w:r>
      <w:r w:rsidRPr="00C11123">
        <w:tab/>
      </w:r>
      <w:bookmarkStart w:id="1" w:name="_Hlk220334332"/>
      <w:r w:rsidRPr="00697E79">
        <w:rPr>
          <w:u w:val="single"/>
        </w:rPr>
        <w:t xml:space="preserve">Need by Patient Panel: </w:t>
      </w:r>
    </w:p>
    <w:p w14:paraId="68E2F2CA" w14:textId="32C9B258" w:rsidR="002C28E1" w:rsidRPr="00C11123" w:rsidRDefault="00000000" w:rsidP="00CC6024">
      <w:pPr>
        <w:spacing w:after="0" w:line="240" w:lineRule="auto"/>
        <w:jc w:val="both"/>
        <w:rPr>
          <w:rFonts w:cs="Arial"/>
          <w:b/>
          <w:bCs/>
          <w:sz w:val="22"/>
          <w:szCs w:val="22"/>
        </w:rPr>
      </w:pPr>
      <w:r w:rsidRPr="00C11123">
        <w:rPr>
          <w:rFonts w:cs="Arial"/>
          <w:b/>
          <w:bCs/>
          <w:sz w:val="22"/>
          <w:szCs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198C34FA" w14:textId="77777777" w:rsidR="002E4D6A" w:rsidRPr="00C11123" w:rsidRDefault="002E4D6A" w:rsidP="00CC6024">
      <w:pPr>
        <w:spacing w:after="0" w:line="240" w:lineRule="auto"/>
        <w:jc w:val="both"/>
        <w:rPr>
          <w:rFonts w:cs="Arial"/>
          <w:b/>
          <w:bCs/>
          <w:sz w:val="22"/>
          <w:szCs w:val="22"/>
        </w:rPr>
      </w:pPr>
    </w:p>
    <w:p w14:paraId="3D764242" w14:textId="787EF2C4" w:rsidR="00957C90" w:rsidRPr="00C11123" w:rsidRDefault="00000000" w:rsidP="00CC6024">
      <w:pPr>
        <w:spacing w:after="0" w:line="240" w:lineRule="auto"/>
        <w:jc w:val="both"/>
        <w:rPr>
          <w:rFonts w:cs="Arial"/>
          <w:sz w:val="22"/>
          <w:szCs w:val="22"/>
        </w:rPr>
      </w:pPr>
      <w:bookmarkStart w:id="2" w:name="_Hlk220334350"/>
      <w:bookmarkEnd w:id="1"/>
      <w:r w:rsidRPr="00C11123">
        <w:rPr>
          <w:rFonts w:cs="Arial"/>
          <w:sz w:val="22"/>
          <w:szCs w:val="22"/>
        </w:rPr>
        <w:t>The Proposed Project will address the Applicant’s Patient Panel need for PSMA PET/CT imaging by making the imaging services available to the Applicant’s patients</w:t>
      </w:r>
      <w:r w:rsidRPr="00C11123">
        <w:rPr>
          <w:rFonts w:eastAsia="Times New Roman" w:cs="Segoe UI"/>
          <w:kern w:val="0"/>
          <w:sz w:val="22"/>
          <w:szCs w:val="22"/>
          <w14:ligatures w14:val="none"/>
        </w:rPr>
        <w:t xml:space="preserve"> </w:t>
      </w:r>
      <w:r w:rsidR="009756A9" w:rsidRPr="00C11123">
        <w:rPr>
          <w:rFonts w:cs="Arial"/>
          <w:sz w:val="22"/>
          <w:szCs w:val="22"/>
        </w:rPr>
        <w:t>on a full</w:t>
      </w:r>
      <w:r w:rsidR="00581F9A" w:rsidRPr="00C11123">
        <w:rPr>
          <w:rFonts w:cs="Arial"/>
          <w:sz w:val="22"/>
          <w:szCs w:val="22"/>
        </w:rPr>
        <w:t>-</w:t>
      </w:r>
      <w:r w:rsidR="009756A9" w:rsidRPr="00C11123">
        <w:rPr>
          <w:rFonts w:cs="Arial"/>
          <w:sz w:val="22"/>
          <w:szCs w:val="22"/>
        </w:rPr>
        <w:t>time basis</w:t>
      </w:r>
      <w:r w:rsidR="00581F9A" w:rsidRPr="00C11123">
        <w:rPr>
          <w:rFonts w:cs="Arial"/>
          <w:sz w:val="22"/>
          <w:szCs w:val="22"/>
        </w:rPr>
        <w:t xml:space="preserve"> (weekdays, available </w:t>
      </w:r>
      <w:r w:rsidR="00330C60" w:rsidRPr="00C11123">
        <w:rPr>
          <w:rFonts w:cs="Arial"/>
          <w:sz w:val="22"/>
          <w:szCs w:val="22"/>
        </w:rPr>
        <w:t xml:space="preserve">for service </w:t>
      </w:r>
      <w:r w:rsidR="00581F9A" w:rsidRPr="00C11123">
        <w:rPr>
          <w:rFonts w:cs="Arial"/>
          <w:sz w:val="22"/>
          <w:szCs w:val="22"/>
        </w:rPr>
        <w:t>5</w:t>
      </w:r>
      <w:r w:rsidR="00186C45" w:rsidRPr="00C11123">
        <w:rPr>
          <w:rFonts w:cs="Arial"/>
          <w:sz w:val="22"/>
          <w:szCs w:val="22"/>
        </w:rPr>
        <w:t xml:space="preserve"> </w:t>
      </w:r>
      <w:r w:rsidR="00581F9A" w:rsidRPr="00C11123">
        <w:rPr>
          <w:rFonts w:cs="Arial"/>
          <w:sz w:val="22"/>
          <w:szCs w:val="22"/>
        </w:rPr>
        <w:t>days per week during business hours)</w:t>
      </w:r>
      <w:r w:rsidRPr="00C11123">
        <w:rPr>
          <w:rFonts w:cs="Arial"/>
          <w:sz w:val="22"/>
          <w:szCs w:val="22"/>
        </w:rPr>
        <w:t xml:space="preserve">, with the mobile unit rotating among the three Proposed Project sites on a </w:t>
      </w:r>
      <w:r w:rsidR="00BB0668" w:rsidRPr="00C11123">
        <w:rPr>
          <w:rFonts w:cs="Arial"/>
          <w:sz w:val="22"/>
          <w:szCs w:val="22"/>
        </w:rPr>
        <w:t xml:space="preserve">weekly </w:t>
      </w:r>
      <w:r w:rsidRPr="00C11123">
        <w:rPr>
          <w:rFonts w:cs="Arial"/>
          <w:sz w:val="22"/>
          <w:szCs w:val="22"/>
        </w:rPr>
        <w:t xml:space="preserve">schedule. For example, the Applicant proposes to operate the mobile unit </w:t>
      </w:r>
      <w:r w:rsidR="004E0E16" w:rsidRPr="00C11123">
        <w:rPr>
          <w:rFonts w:cs="Arial"/>
          <w:sz w:val="22"/>
          <w:szCs w:val="22"/>
        </w:rPr>
        <w:t>one week</w:t>
      </w:r>
      <w:r w:rsidRPr="00C11123">
        <w:rPr>
          <w:rFonts w:cs="Arial"/>
          <w:sz w:val="22"/>
          <w:szCs w:val="22"/>
        </w:rPr>
        <w:t xml:space="preserve"> at Framingham, </w:t>
      </w:r>
      <w:r w:rsidR="004E0E16" w:rsidRPr="00C11123">
        <w:rPr>
          <w:rFonts w:cs="Arial"/>
          <w:sz w:val="22"/>
          <w:szCs w:val="22"/>
        </w:rPr>
        <w:t>one week at</w:t>
      </w:r>
      <w:r w:rsidRPr="00C11123">
        <w:rPr>
          <w:rFonts w:cs="Arial"/>
          <w:sz w:val="22"/>
          <w:szCs w:val="22"/>
        </w:rPr>
        <w:t xml:space="preserve"> Dedham, and </w:t>
      </w:r>
      <w:r w:rsidR="004E0E16" w:rsidRPr="00C11123">
        <w:rPr>
          <w:rFonts w:cs="Arial"/>
          <w:sz w:val="22"/>
          <w:szCs w:val="22"/>
        </w:rPr>
        <w:t>one week</w:t>
      </w:r>
      <w:r w:rsidRPr="00C11123">
        <w:rPr>
          <w:rFonts w:cs="Arial"/>
          <w:sz w:val="22"/>
          <w:szCs w:val="22"/>
        </w:rPr>
        <w:t xml:space="preserve"> at Plymouth</w:t>
      </w:r>
      <w:r w:rsidR="00EC38FA" w:rsidRPr="00C11123">
        <w:rPr>
          <w:rFonts w:cs="Arial"/>
          <w:sz w:val="22"/>
          <w:szCs w:val="22"/>
        </w:rPr>
        <w:t>, with the</w:t>
      </w:r>
      <w:r w:rsidR="00C01C6D" w:rsidRPr="00C11123">
        <w:rPr>
          <w:rFonts w:cs="Arial"/>
          <w:sz w:val="22"/>
          <w:szCs w:val="22"/>
        </w:rPr>
        <w:t xml:space="preserve"> weekly</w:t>
      </w:r>
      <w:r w:rsidR="00EC38FA" w:rsidRPr="00C11123">
        <w:rPr>
          <w:rFonts w:cs="Arial"/>
          <w:sz w:val="22"/>
          <w:szCs w:val="22"/>
        </w:rPr>
        <w:t xml:space="preserve"> rotation then beginning again</w:t>
      </w:r>
      <w:r w:rsidRPr="00C11123">
        <w:rPr>
          <w:rFonts w:cs="Arial"/>
          <w:sz w:val="22"/>
          <w:szCs w:val="22"/>
        </w:rPr>
        <w:t>. This approach expands access to high</w:t>
      </w:r>
      <w:r w:rsidRPr="00C11123">
        <w:rPr>
          <w:rFonts w:cs="Arial"/>
          <w:sz w:val="22"/>
          <w:szCs w:val="22"/>
        </w:rPr>
        <w:noBreakHyphen/>
        <w:t xml:space="preserve">value diagnostic imaging for cancer patients and ensures efficient, cost-effective resource </w:t>
      </w:r>
      <w:r w:rsidR="00DC4370" w:rsidRPr="00C11123">
        <w:rPr>
          <w:rFonts w:cs="Arial"/>
          <w:sz w:val="22"/>
          <w:szCs w:val="22"/>
        </w:rPr>
        <w:t xml:space="preserve">allocation </w:t>
      </w:r>
      <w:r w:rsidRPr="00C11123">
        <w:rPr>
          <w:rFonts w:cs="Arial"/>
          <w:sz w:val="22"/>
          <w:szCs w:val="22"/>
        </w:rPr>
        <w:t>by aligning these services with higher</w:t>
      </w:r>
      <w:r w:rsidRPr="00C11123">
        <w:rPr>
          <w:rFonts w:cs="Arial"/>
          <w:sz w:val="22"/>
          <w:szCs w:val="22"/>
        </w:rPr>
        <w:noBreakHyphen/>
      </w:r>
      <w:r w:rsidR="009F7A41" w:rsidRPr="00C11123">
        <w:rPr>
          <w:rFonts w:cs="Arial"/>
          <w:sz w:val="22"/>
          <w:szCs w:val="22"/>
        </w:rPr>
        <w:t xml:space="preserve">need </w:t>
      </w:r>
      <w:r w:rsidRPr="00C11123">
        <w:rPr>
          <w:rFonts w:cs="Arial"/>
          <w:sz w:val="22"/>
          <w:szCs w:val="22"/>
        </w:rPr>
        <w:t>locations while also preserving geographic coverage for patients served by the Applicant’s other physician practice sites.</w:t>
      </w:r>
      <w:r w:rsidR="006701EC" w:rsidRPr="00C11123">
        <w:rPr>
          <w:rFonts w:cs="Arial"/>
          <w:sz w:val="22"/>
          <w:szCs w:val="22"/>
        </w:rPr>
        <w:t xml:space="preserve"> </w:t>
      </w:r>
    </w:p>
    <w:p w14:paraId="7CD8BF61" w14:textId="77777777" w:rsidR="00957C90" w:rsidRPr="00C11123" w:rsidRDefault="00957C90" w:rsidP="00CC6024">
      <w:pPr>
        <w:spacing w:after="0" w:line="240" w:lineRule="auto"/>
        <w:jc w:val="both"/>
        <w:rPr>
          <w:rFonts w:cs="Arial"/>
          <w:sz w:val="22"/>
          <w:szCs w:val="22"/>
        </w:rPr>
      </w:pPr>
    </w:p>
    <w:p w14:paraId="2232F18A" w14:textId="39F95351" w:rsidR="00957C90" w:rsidRPr="00C11123" w:rsidRDefault="00000000" w:rsidP="00CC6024">
      <w:pPr>
        <w:spacing w:after="0" w:line="240" w:lineRule="auto"/>
        <w:jc w:val="both"/>
        <w:rPr>
          <w:rFonts w:cs="Arial"/>
          <w:sz w:val="22"/>
          <w:szCs w:val="22"/>
        </w:rPr>
      </w:pPr>
      <w:r w:rsidRPr="00C11123">
        <w:rPr>
          <w:rFonts w:cs="Arial"/>
          <w:sz w:val="22"/>
          <w:szCs w:val="22"/>
        </w:rPr>
        <w:t>Prostate cancer remains the most common form of cancer among males (excluding skin cancer), affecting approximately one</w:t>
      </w:r>
      <w:r w:rsidR="00AE2ECF" w:rsidRPr="00C11123">
        <w:rPr>
          <w:rFonts w:cs="Arial"/>
          <w:sz w:val="22"/>
          <w:szCs w:val="22"/>
        </w:rPr>
        <w:t xml:space="preserve"> (1)</w:t>
      </w:r>
      <w:r w:rsidRPr="00C11123">
        <w:rPr>
          <w:rFonts w:cs="Arial"/>
          <w:sz w:val="22"/>
          <w:szCs w:val="22"/>
        </w:rPr>
        <w:t xml:space="preserve"> in eight</w:t>
      </w:r>
      <w:r w:rsidR="00AE2ECF" w:rsidRPr="00C11123">
        <w:rPr>
          <w:rFonts w:cs="Arial"/>
          <w:sz w:val="22"/>
          <w:szCs w:val="22"/>
        </w:rPr>
        <w:t xml:space="preserve"> (8)</w:t>
      </w:r>
      <w:r w:rsidRPr="00C11123">
        <w:rPr>
          <w:rFonts w:cs="Arial"/>
          <w:sz w:val="22"/>
          <w:szCs w:val="22"/>
        </w:rPr>
        <w:t xml:space="preserve"> over their lifetime,</w:t>
      </w:r>
      <w:r>
        <w:rPr>
          <w:rStyle w:val="FootnoteReference"/>
          <w:rFonts w:cs="Arial"/>
          <w:sz w:val="22"/>
          <w:szCs w:val="22"/>
        </w:rPr>
        <w:footnoteReference w:id="8"/>
      </w:r>
      <w:r w:rsidRPr="00C11123">
        <w:rPr>
          <w:rFonts w:cs="Arial"/>
          <w:sz w:val="22"/>
          <w:szCs w:val="22"/>
        </w:rPr>
        <w:t xml:space="preserve"> and its clinical and public health significance is pronounced within the Applicant’s </w:t>
      </w:r>
      <w:r w:rsidR="00604DB8" w:rsidRPr="00C11123">
        <w:rPr>
          <w:rFonts w:cs="Arial"/>
          <w:sz w:val="22"/>
          <w:szCs w:val="22"/>
        </w:rPr>
        <w:t>Patient Panel</w:t>
      </w:r>
      <w:r w:rsidRPr="00C11123">
        <w:rPr>
          <w:rFonts w:cs="Arial"/>
          <w:sz w:val="22"/>
          <w:szCs w:val="22"/>
        </w:rPr>
        <w:t>. As demonstrated in Factor F1.a.i, approximately 75% of the Applicant’s patients are male, and most of those male patients are age 65 or older. Consequently, men over age 65 comprise approximately half (50%) of the Applicant’s total Patient Panel</w:t>
      </w:r>
      <w:r w:rsidR="003C388B" w:rsidRPr="00C11123">
        <w:rPr>
          <w:rFonts w:cs="Arial"/>
          <w:sz w:val="22"/>
          <w:szCs w:val="22"/>
        </w:rPr>
        <w:t xml:space="preserve"> as of 2025</w:t>
      </w:r>
      <w:r>
        <w:rPr>
          <w:rStyle w:val="FootnoteReference"/>
          <w:rFonts w:cs="Arial"/>
          <w:sz w:val="22"/>
          <w:szCs w:val="22"/>
        </w:rPr>
        <w:footnoteReference w:id="9"/>
      </w:r>
      <w:r w:rsidRPr="00C11123">
        <w:rPr>
          <w:rFonts w:cs="Arial"/>
          <w:sz w:val="22"/>
          <w:szCs w:val="22"/>
        </w:rPr>
        <w:t xml:space="preserve"> – the age group at highest risk for prostate cancer onset.</w:t>
      </w:r>
      <w:r>
        <w:rPr>
          <w:rStyle w:val="FootnoteReference"/>
          <w:rFonts w:cs="Arial"/>
          <w:sz w:val="22"/>
          <w:szCs w:val="22"/>
        </w:rPr>
        <w:footnoteReference w:id="10"/>
      </w:r>
      <w:r w:rsidRPr="00C11123">
        <w:rPr>
          <w:rFonts w:cs="Arial"/>
          <w:sz w:val="22"/>
          <w:szCs w:val="22"/>
        </w:rPr>
        <w:t xml:space="preserve"> </w:t>
      </w:r>
    </w:p>
    <w:p w14:paraId="1768F402" w14:textId="77777777" w:rsidR="00957C90" w:rsidRPr="00C11123" w:rsidRDefault="00957C90" w:rsidP="00CC6024">
      <w:pPr>
        <w:spacing w:after="0" w:line="240" w:lineRule="auto"/>
        <w:jc w:val="both"/>
        <w:rPr>
          <w:rFonts w:cs="Arial"/>
          <w:sz w:val="22"/>
          <w:szCs w:val="22"/>
        </w:rPr>
      </w:pPr>
    </w:p>
    <w:p w14:paraId="30659F09" w14:textId="7CD70B77" w:rsidR="00957C90" w:rsidRPr="00C11123" w:rsidRDefault="00000000" w:rsidP="00CC6024">
      <w:pPr>
        <w:spacing w:after="0" w:line="240" w:lineRule="auto"/>
        <w:jc w:val="both"/>
        <w:rPr>
          <w:rFonts w:cs="Arial"/>
          <w:sz w:val="22"/>
          <w:szCs w:val="22"/>
        </w:rPr>
      </w:pPr>
      <w:r w:rsidRPr="00C11123">
        <w:rPr>
          <w:rFonts w:cs="Arial"/>
          <w:sz w:val="22"/>
          <w:szCs w:val="22"/>
        </w:rPr>
        <w:t>In this clinical context, PSMA PET/CT has emerged as an essential and superior imaging modality for the diagnosis, staging, and disease management of prostate cancer, offering greater sensitivity and precision than traditional imaging approaches such as MRI or bone scans.</w:t>
      </w:r>
      <w:r>
        <w:rPr>
          <w:rStyle w:val="FootnoteReference"/>
          <w:rFonts w:cs="Arial"/>
          <w:sz w:val="22"/>
          <w:szCs w:val="22"/>
        </w:rPr>
        <w:footnoteReference w:id="11"/>
      </w:r>
      <w:r w:rsidRPr="00C11123">
        <w:rPr>
          <w:rFonts w:cs="Arial"/>
          <w:sz w:val="22"/>
          <w:szCs w:val="22"/>
        </w:rPr>
        <w:t xml:space="preserve"> Accordingly, the Applicant’s proposal to deploy mobile PSMA PET/CT imaging at its Framingham, Dedham, and </w:t>
      </w:r>
      <w:r w:rsidRPr="00C11123">
        <w:rPr>
          <w:rFonts w:cs="Arial"/>
          <w:sz w:val="22"/>
          <w:szCs w:val="22"/>
        </w:rPr>
        <w:lastRenderedPageBreak/>
        <w:t xml:space="preserve">Plymouth practice sites reflects a </w:t>
      </w:r>
      <w:r w:rsidR="00D527FE" w:rsidRPr="00C11123">
        <w:rPr>
          <w:rFonts w:cs="Arial"/>
          <w:sz w:val="22"/>
          <w:szCs w:val="22"/>
        </w:rPr>
        <w:t>measured</w:t>
      </w:r>
      <w:r w:rsidR="00D16538" w:rsidRPr="00C11123">
        <w:rPr>
          <w:rFonts w:cs="Arial"/>
          <w:sz w:val="22"/>
          <w:szCs w:val="22"/>
        </w:rPr>
        <w:t>,</w:t>
      </w:r>
      <w:r w:rsidRPr="00C11123">
        <w:rPr>
          <w:rFonts w:cs="Arial"/>
          <w:sz w:val="22"/>
          <w:szCs w:val="22"/>
        </w:rPr>
        <w:t xml:space="preserve"> data</w:t>
      </w:r>
      <w:r w:rsidRPr="00C11123">
        <w:rPr>
          <w:rFonts w:cs="Arial"/>
          <w:sz w:val="22"/>
          <w:szCs w:val="22"/>
        </w:rPr>
        <w:noBreakHyphen/>
        <w:t>driven strategy to align this advanced diagnostic technology with demonstrable and sustained clinical need.</w:t>
      </w:r>
    </w:p>
    <w:p w14:paraId="4592D97C" w14:textId="77777777" w:rsidR="00957C90" w:rsidRPr="00C11123" w:rsidRDefault="00957C90" w:rsidP="00CC6024">
      <w:pPr>
        <w:spacing w:after="0" w:line="240" w:lineRule="auto"/>
        <w:jc w:val="both"/>
        <w:rPr>
          <w:rFonts w:cs="Arial"/>
          <w:sz w:val="22"/>
          <w:szCs w:val="22"/>
        </w:rPr>
      </w:pPr>
    </w:p>
    <w:p w14:paraId="2DAE533F" w14:textId="160A76A4" w:rsidR="00957C90" w:rsidRPr="00C11123" w:rsidRDefault="00000000" w:rsidP="00CC6024">
      <w:pPr>
        <w:spacing w:after="0" w:line="240" w:lineRule="auto"/>
        <w:jc w:val="both"/>
        <w:rPr>
          <w:rFonts w:cs="Arial"/>
          <w:sz w:val="22"/>
          <w:szCs w:val="22"/>
        </w:rPr>
      </w:pPr>
      <w:r w:rsidRPr="00C11123">
        <w:rPr>
          <w:rFonts w:cs="Arial"/>
          <w:sz w:val="22"/>
          <w:szCs w:val="22"/>
        </w:rPr>
        <w:t xml:space="preserve">The selection of Framingham, Dedham, and Plymouth as imaging locations prioritizes </w:t>
      </w:r>
      <w:r w:rsidR="00184201" w:rsidRPr="00C11123">
        <w:rPr>
          <w:rFonts w:cs="Arial"/>
          <w:sz w:val="22"/>
          <w:szCs w:val="22"/>
        </w:rPr>
        <w:t xml:space="preserve">patient </w:t>
      </w:r>
      <w:r w:rsidRPr="00C11123">
        <w:rPr>
          <w:rFonts w:cs="Arial"/>
          <w:sz w:val="22"/>
          <w:szCs w:val="22"/>
        </w:rPr>
        <w:t>accessibility</w:t>
      </w:r>
      <w:r w:rsidR="007845C8" w:rsidRPr="00C11123">
        <w:rPr>
          <w:rFonts w:cs="Arial"/>
          <w:sz w:val="22"/>
          <w:szCs w:val="22"/>
        </w:rPr>
        <w:t xml:space="preserve">, </w:t>
      </w:r>
      <w:r w:rsidR="00184201" w:rsidRPr="00C11123">
        <w:rPr>
          <w:rFonts w:cs="Arial"/>
          <w:sz w:val="22"/>
          <w:szCs w:val="22"/>
        </w:rPr>
        <w:t>convenience</w:t>
      </w:r>
      <w:r w:rsidRPr="00C11123">
        <w:rPr>
          <w:rFonts w:cs="Arial"/>
          <w:sz w:val="22"/>
          <w:szCs w:val="22"/>
        </w:rPr>
        <w:t>, efficiency, and population health impact across the Applicant’s Patient Panel and regional footprint. These sites rank among the highest</w:t>
      </w:r>
      <w:r w:rsidRPr="00C11123">
        <w:rPr>
          <w:rFonts w:cs="Arial"/>
          <w:sz w:val="22"/>
          <w:szCs w:val="22"/>
        </w:rPr>
        <w:noBreakHyphen/>
      </w:r>
      <w:r w:rsidR="00BA47CF" w:rsidRPr="00C11123">
        <w:rPr>
          <w:rFonts w:cs="Arial"/>
          <w:sz w:val="22"/>
          <w:szCs w:val="22"/>
        </w:rPr>
        <w:t xml:space="preserve">need </w:t>
      </w:r>
      <w:r w:rsidRPr="00C11123">
        <w:rPr>
          <w:rFonts w:cs="Arial"/>
          <w:sz w:val="22"/>
          <w:szCs w:val="22"/>
        </w:rPr>
        <w:t xml:space="preserve">locations for older male patients and are geographically situated for convenient access by its Patient Panel </w:t>
      </w:r>
      <w:r w:rsidR="00AE2ECF" w:rsidRPr="00C11123">
        <w:rPr>
          <w:rFonts w:cs="Arial"/>
          <w:sz w:val="22"/>
          <w:szCs w:val="22"/>
        </w:rPr>
        <w:t>not only in those communities</w:t>
      </w:r>
      <w:r w:rsidR="00811BE6" w:rsidRPr="00C11123">
        <w:rPr>
          <w:rFonts w:cs="Arial"/>
          <w:sz w:val="22"/>
          <w:szCs w:val="22"/>
        </w:rPr>
        <w:t>,</w:t>
      </w:r>
      <w:r w:rsidR="00AE2ECF" w:rsidRPr="00C11123">
        <w:rPr>
          <w:rFonts w:cs="Arial"/>
          <w:sz w:val="22"/>
          <w:szCs w:val="22"/>
        </w:rPr>
        <w:t xml:space="preserve"> but also </w:t>
      </w:r>
      <w:r w:rsidRPr="00C11123">
        <w:rPr>
          <w:rFonts w:cs="Arial"/>
          <w:sz w:val="22"/>
          <w:szCs w:val="22"/>
        </w:rPr>
        <w:t xml:space="preserve">by its Patient Panel across all other practice sites. Each proposed location is positioned along major transportation corridors and is accessible by public transportation, and </w:t>
      </w:r>
      <w:proofErr w:type="gramStart"/>
      <w:r w:rsidRPr="00C11123">
        <w:rPr>
          <w:rFonts w:cs="Arial"/>
          <w:sz w:val="22"/>
          <w:szCs w:val="22"/>
        </w:rPr>
        <w:t>the vast majority of</w:t>
      </w:r>
      <w:proofErr w:type="gramEnd"/>
      <w:r w:rsidRPr="00C11123">
        <w:rPr>
          <w:rFonts w:cs="Arial"/>
          <w:sz w:val="22"/>
          <w:szCs w:val="22"/>
        </w:rPr>
        <w:t xml:space="preserve"> communities served by the Applicant are within a</w:t>
      </w:r>
      <w:r w:rsidR="005A5991" w:rsidRPr="00C11123">
        <w:rPr>
          <w:rFonts w:cs="Arial"/>
          <w:sz w:val="22"/>
          <w:szCs w:val="22"/>
        </w:rPr>
        <w:t>n approximate</w:t>
      </w:r>
      <w:r w:rsidRPr="00C11123">
        <w:rPr>
          <w:rFonts w:cs="Arial"/>
          <w:sz w:val="22"/>
          <w:szCs w:val="22"/>
        </w:rPr>
        <w:t xml:space="preserve"> 45</w:t>
      </w:r>
      <w:r w:rsidRPr="00C11123">
        <w:rPr>
          <w:rFonts w:cs="Arial"/>
          <w:sz w:val="22"/>
          <w:szCs w:val="22"/>
        </w:rPr>
        <w:noBreakHyphen/>
        <w:t xml:space="preserve">minute drive of at least one of these proposed imaging sites. This configuration minimizes </w:t>
      </w:r>
      <w:proofErr w:type="gramStart"/>
      <w:r w:rsidRPr="00C11123">
        <w:rPr>
          <w:rFonts w:cs="Arial"/>
          <w:sz w:val="22"/>
          <w:szCs w:val="22"/>
        </w:rPr>
        <w:t>patient travel burden</w:t>
      </w:r>
      <w:proofErr w:type="gramEnd"/>
      <w:r w:rsidR="00811BE6" w:rsidRPr="00C11123">
        <w:rPr>
          <w:rFonts w:cs="Arial"/>
          <w:sz w:val="22"/>
          <w:szCs w:val="22"/>
        </w:rPr>
        <w:t xml:space="preserve"> and so</w:t>
      </w:r>
      <w:r w:rsidRPr="00C11123">
        <w:rPr>
          <w:rFonts w:cs="Arial"/>
          <w:sz w:val="22"/>
          <w:szCs w:val="22"/>
        </w:rPr>
        <w:t xml:space="preserve"> promotes timely access to advanced imaging and reduces reliance on </w:t>
      </w:r>
      <w:r w:rsidR="00AE2ECF" w:rsidRPr="00C11123">
        <w:rPr>
          <w:rFonts w:cs="Arial"/>
          <w:sz w:val="22"/>
          <w:szCs w:val="22"/>
        </w:rPr>
        <w:t>higher cost centers</w:t>
      </w:r>
      <w:r w:rsidR="00811BE6" w:rsidRPr="00C11123">
        <w:rPr>
          <w:rFonts w:cs="Arial"/>
          <w:sz w:val="22"/>
          <w:szCs w:val="22"/>
        </w:rPr>
        <w:t xml:space="preserve"> for imaging</w:t>
      </w:r>
      <w:r w:rsidRPr="00C11123">
        <w:rPr>
          <w:rFonts w:cs="Arial"/>
          <w:sz w:val="22"/>
          <w:szCs w:val="22"/>
        </w:rPr>
        <w:t xml:space="preserve">. </w:t>
      </w:r>
    </w:p>
    <w:p w14:paraId="13BC72A1" w14:textId="77777777" w:rsidR="00957C90" w:rsidRPr="00C11123" w:rsidRDefault="00957C90" w:rsidP="00CC6024">
      <w:pPr>
        <w:spacing w:after="0" w:line="240" w:lineRule="auto"/>
        <w:jc w:val="both"/>
        <w:rPr>
          <w:rFonts w:cs="Arial"/>
          <w:sz w:val="22"/>
          <w:szCs w:val="22"/>
        </w:rPr>
      </w:pPr>
    </w:p>
    <w:p w14:paraId="3F863CB1" w14:textId="745A325C" w:rsidR="00957C90" w:rsidRPr="00C11123" w:rsidRDefault="00000000" w:rsidP="00CC6024">
      <w:pPr>
        <w:spacing w:after="0" w:line="240" w:lineRule="auto"/>
        <w:jc w:val="both"/>
        <w:rPr>
          <w:rFonts w:cs="Arial"/>
          <w:sz w:val="22"/>
          <w:szCs w:val="22"/>
        </w:rPr>
      </w:pPr>
      <w:r w:rsidRPr="00C11123">
        <w:rPr>
          <w:rFonts w:cs="Arial"/>
          <w:sz w:val="22"/>
          <w:szCs w:val="22"/>
        </w:rPr>
        <w:t>Importantly, the Proposed Project will also advance health equity objectives</w:t>
      </w:r>
      <w:r w:rsidR="007845C8" w:rsidRPr="00C11123">
        <w:rPr>
          <w:rFonts w:cs="Arial"/>
          <w:sz w:val="22"/>
          <w:szCs w:val="22"/>
        </w:rPr>
        <w:t>.</w:t>
      </w:r>
      <w:r w:rsidRPr="00C11123">
        <w:rPr>
          <w:rFonts w:cs="Arial"/>
          <w:sz w:val="22"/>
          <w:szCs w:val="22"/>
        </w:rPr>
        <w:t xml:space="preserve"> </w:t>
      </w:r>
      <w:r w:rsidR="007845C8" w:rsidRPr="00C11123">
        <w:rPr>
          <w:rFonts w:cs="Arial"/>
          <w:sz w:val="22"/>
          <w:szCs w:val="22"/>
        </w:rPr>
        <w:t>P</w:t>
      </w:r>
      <w:r w:rsidRPr="00C11123">
        <w:rPr>
          <w:rFonts w:cs="Arial"/>
          <w:sz w:val="22"/>
          <w:szCs w:val="22"/>
        </w:rPr>
        <w:t>rostate cancer disproportionately affects Black men, and the Applicant treats a meaningful number of patients each year from communities with significant Black populations, including Mattapan and Dorchester.</w:t>
      </w:r>
      <w:r w:rsidR="00AE2ECF" w:rsidRPr="00C11123">
        <w:rPr>
          <w:rFonts w:cs="Arial"/>
          <w:sz w:val="22"/>
          <w:szCs w:val="22"/>
        </w:rPr>
        <w:t xml:space="preserve"> </w:t>
      </w:r>
      <w:r w:rsidR="008D454C" w:rsidRPr="00C11123">
        <w:rPr>
          <w:rFonts w:cs="Arial"/>
          <w:sz w:val="22"/>
          <w:szCs w:val="22"/>
        </w:rPr>
        <w:t xml:space="preserve">Offering mobile </w:t>
      </w:r>
      <w:r w:rsidRPr="00C11123">
        <w:rPr>
          <w:rFonts w:cs="Arial"/>
          <w:sz w:val="22"/>
          <w:szCs w:val="22"/>
        </w:rPr>
        <w:t xml:space="preserve">PSMA PET/CT imaging at </w:t>
      </w:r>
      <w:r w:rsidR="008D454C" w:rsidRPr="00C11123">
        <w:rPr>
          <w:rFonts w:cs="Arial"/>
          <w:sz w:val="22"/>
          <w:szCs w:val="22"/>
        </w:rPr>
        <w:t xml:space="preserve">the Applicant’s </w:t>
      </w:r>
      <w:r w:rsidRPr="00C11123">
        <w:rPr>
          <w:rFonts w:cs="Arial"/>
          <w:sz w:val="22"/>
          <w:szCs w:val="22"/>
        </w:rPr>
        <w:t>geographically accessible sites</w:t>
      </w:r>
      <w:r w:rsidR="00BC486B" w:rsidRPr="00C11123">
        <w:rPr>
          <w:rFonts w:cs="Arial"/>
          <w:sz w:val="22"/>
          <w:szCs w:val="22"/>
        </w:rPr>
        <w:t xml:space="preserve"> on a rotating schedule</w:t>
      </w:r>
      <w:r w:rsidRPr="00C11123">
        <w:rPr>
          <w:rFonts w:cs="Arial"/>
          <w:sz w:val="22"/>
          <w:szCs w:val="22"/>
        </w:rPr>
        <w:t xml:space="preserve"> will facilitate convenient, high</w:t>
      </w:r>
      <w:r w:rsidRPr="00C11123">
        <w:rPr>
          <w:rFonts w:cs="Arial"/>
          <w:sz w:val="22"/>
          <w:szCs w:val="22"/>
        </w:rPr>
        <w:noBreakHyphen/>
        <w:t>quality access to state</w:t>
      </w:r>
      <w:r w:rsidRPr="00C11123">
        <w:rPr>
          <w:rFonts w:cs="Arial"/>
          <w:sz w:val="22"/>
          <w:szCs w:val="22"/>
        </w:rPr>
        <w:noBreakHyphen/>
        <w:t>of</w:t>
      </w:r>
      <w:r w:rsidRPr="00C11123">
        <w:rPr>
          <w:rFonts w:cs="Arial"/>
          <w:sz w:val="22"/>
          <w:szCs w:val="22"/>
        </w:rPr>
        <w:noBreakHyphen/>
        <w:t>the</w:t>
      </w:r>
      <w:r w:rsidRPr="00C11123">
        <w:rPr>
          <w:rFonts w:cs="Arial"/>
          <w:sz w:val="22"/>
          <w:szCs w:val="22"/>
        </w:rPr>
        <w:noBreakHyphen/>
        <w:t xml:space="preserve">art prostate cancer </w:t>
      </w:r>
      <w:r w:rsidR="00AE2ECF" w:rsidRPr="00C11123">
        <w:rPr>
          <w:rFonts w:cs="Arial"/>
          <w:sz w:val="22"/>
          <w:szCs w:val="22"/>
        </w:rPr>
        <w:t xml:space="preserve">diagnostic tools </w:t>
      </w:r>
      <w:r w:rsidRPr="00C11123">
        <w:rPr>
          <w:rFonts w:cs="Arial"/>
          <w:sz w:val="22"/>
          <w:szCs w:val="22"/>
        </w:rPr>
        <w:t xml:space="preserve">for these patients, supporting earlier detection, more precise treatment planning, and improved outcomes consistent with the Commonwealth’s goals of </w:t>
      </w:r>
      <w:r w:rsidR="00AE2ECF" w:rsidRPr="00C11123">
        <w:rPr>
          <w:rFonts w:cs="Arial"/>
          <w:sz w:val="22"/>
          <w:szCs w:val="22"/>
        </w:rPr>
        <w:t xml:space="preserve">ensuring </w:t>
      </w:r>
      <w:r w:rsidRPr="00C11123">
        <w:rPr>
          <w:rFonts w:cs="Arial"/>
          <w:sz w:val="22"/>
          <w:szCs w:val="22"/>
        </w:rPr>
        <w:t>cost</w:t>
      </w:r>
      <w:r w:rsidRPr="00C11123">
        <w:rPr>
          <w:rFonts w:cs="Arial"/>
          <w:sz w:val="22"/>
          <w:szCs w:val="22"/>
        </w:rPr>
        <w:noBreakHyphen/>
        <w:t>effective, high</w:t>
      </w:r>
      <w:r w:rsidRPr="00C11123">
        <w:rPr>
          <w:rFonts w:cs="Arial"/>
          <w:sz w:val="22"/>
          <w:szCs w:val="22"/>
        </w:rPr>
        <w:noBreakHyphen/>
        <w:t>value</w:t>
      </w:r>
      <w:r w:rsidR="008D454C" w:rsidRPr="00C11123">
        <w:rPr>
          <w:rFonts w:cs="Arial"/>
          <w:sz w:val="22"/>
          <w:szCs w:val="22"/>
        </w:rPr>
        <w:t>, and equitable</w:t>
      </w:r>
      <w:r w:rsidRPr="00C11123">
        <w:rPr>
          <w:rFonts w:cs="Arial"/>
          <w:sz w:val="22"/>
          <w:szCs w:val="22"/>
        </w:rPr>
        <w:t xml:space="preserve"> care</w:t>
      </w:r>
      <w:r w:rsidR="00AE2ECF" w:rsidRPr="00C11123">
        <w:rPr>
          <w:rFonts w:cs="Arial"/>
          <w:sz w:val="22"/>
          <w:szCs w:val="22"/>
        </w:rPr>
        <w:t xml:space="preserve"> for its citizens</w:t>
      </w:r>
      <w:r w:rsidRPr="00C11123">
        <w:rPr>
          <w:rFonts w:cs="Arial"/>
          <w:sz w:val="22"/>
          <w:szCs w:val="22"/>
        </w:rPr>
        <w:t>.</w:t>
      </w:r>
    </w:p>
    <w:p w14:paraId="1BD3209A" w14:textId="77777777" w:rsidR="00957C90" w:rsidRPr="00C11123" w:rsidRDefault="00957C90" w:rsidP="00CC6024">
      <w:pPr>
        <w:spacing w:after="0" w:line="240" w:lineRule="auto"/>
        <w:jc w:val="both"/>
        <w:rPr>
          <w:rFonts w:cs="Arial"/>
          <w:sz w:val="22"/>
          <w:szCs w:val="22"/>
        </w:rPr>
      </w:pPr>
    </w:p>
    <w:p w14:paraId="0D9686AB" w14:textId="77777777" w:rsidR="00957C90" w:rsidRPr="0032087B" w:rsidRDefault="00000000" w:rsidP="0032087B">
      <w:pPr>
        <w:pStyle w:val="Heading3"/>
        <w:numPr>
          <w:ilvl w:val="0"/>
          <w:numId w:val="36"/>
        </w:numPr>
        <w:ind w:left="360"/>
        <w:rPr>
          <w:u w:val="single"/>
        </w:rPr>
      </w:pPr>
      <w:r w:rsidRPr="0032087B">
        <w:rPr>
          <w:u w:val="single"/>
        </w:rPr>
        <w:t xml:space="preserve">Need for PSMA PET/CT Based </w:t>
      </w:r>
      <w:proofErr w:type="gramStart"/>
      <w:r w:rsidRPr="0032087B">
        <w:rPr>
          <w:u w:val="single"/>
        </w:rPr>
        <w:t>On</w:t>
      </w:r>
      <w:proofErr w:type="gramEnd"/>
      <w:r w:rsidRPr="0032087B">
        <w:rPr>
          <w:u w:val="single"/>
        </w:rPr>
        <w:t xml:space="preserve"> Age (Existing Patient Panel)</w:t>
      </w:r>
    </w:p>
    <w:p w14:paraId="62B915FA" w14:textId="77777777" w:rsidR="00957C90" w:rsidRPr="00C11123" w:rsidRDefault="00957C90" w:rsidP="00CC6024">
      <w:pPr>
        <w:spacing w:after="0" w:line="240" w:lineRule="auto"/>
        <w:jc w:val="both"/>
        <w:rPr>
          <w:rFonts w:cs="Arial"/>
          <w:sz w:val="22"/>
          <w:szCs w:val="22"/>
        </w:rPr>
      </w:pPr>
    </w:p>
    <w:p w14:paraId="718CF913" w14:textId="44CC6CC2" w:rsidR="00957C90" w:rsidRPr="00C11123" w:rsidRDefault="00000000" w:rsidP="00CC6024">
      <w:pPr>
        <w:spacing w:after="0" w:line="240" w:lineRule="auto"/>
        <w:jc w:val="both"/>
        <w:rPr>
          <w:rFonts w:cs="Arial"/>
          <w:sz w:val="22"/>
          <w:szCs w:val="22"/>
        </w:rPr>
      </w:pPr>
      <w:r w:rsidRPr="00C11123">
        <w:rPr>
          <w:rFonts w:cs="Arial"/>
          <w:sz w:val="22"/>
          <w:szCs w:val="22"/>
        </w:rPr>
        <w:t xml:space="preserve">The Applicant’s Patient Panel data demonstrates a growing need for access to PSMA PET/CT imaging services that the Applicant </w:t>
      </w:r>
      <w:r w:rsidR="00AE2ECF" w:rsidRPr="00C11123">
        <w:rPr>
          <w:rFonts w:cs="Arial"/>
          <w:sz w:val="22"/>
          <w:szCs w:val="22"/>
        </w:rPr>
        <w:t xml:space="preserve">will be </w:t>
      </w:r>
      <w:r w:rsidRPr="00C11123">
        <w:rPr>
          <w:rFonts w:cs="Arial"/>
          <w:sz w:val="22"/>
          <w:szCs w:val="22"/>
        </w:rPr>
        <w:t>able to provide through the Proposed Project. As of 2025</w:t>
      </w:r>
      <w:r w:rsidR="00CA26FC" w:rsidRPr="00C11123">
        <w:rPr>
          <w:rFonts w:cs="Arial"/>
          <w:sz w:val="22"/>
          <w:szCs w:val="22"/>
        </w:rPr>
        <w:t xml:space="preserve">, </w:t>
      </w:r>
      <w:r w:rsidR="008D1036" w:rsidRPr="00C11123">
        <w:rPr>
          <w:rFonts w:cs="Arial"/>
          <w:sz w:val="22"/>
          <w:szCs w:val="22"/>
        </w:rPr>
        <w:t>99,632</w:t>
      </w:r>
      <w:r w:rsidRPr="00C11123">
        <w:rPr>
          <w:rFonts w:cs="Arial"/>
          <w:sz w:val="22"/>
          <w:szCs w:val="22"/>
        </w:rPr>
        <w:t xml:space="preserve"> (</w:t>
      </w:r>
      <w:r w:rsidR="00CA26FC" w:rsidRPr="00C11123">
        <w:rPr>
          <w:rFonts w:cs="Arial"/>
          <w:sz w:val="22"/>
          <w:szCs w:val="22"/>
        </w:rPr>
        <w:t>approx</w:t>
      </w:r>
      <w:r w:rsidR="007845C8" w:rsidRPr="00C11123">
        <w:rPr>
          <w:rFonts w:cs="Arial"/>
          <w:sz w:val="22"/>
          <w:szCs w:val="22"/>
        </w:rPr>
        <w:t>imately</w:t>
      </w:r>
      <w:r w:rsidR="00CA26FC" w:rsidRPr="00C11123">
        <w:rPr>
          <w:rFonts w:cs="Arial"/>
          <w:sz w:val="22"/>
          <w:szCs w:val="22"/>
        </w:rPr>
        <w:t xml:space="preserve"> </w:t>
      </w:r>
      <w:r w:rsidRPr="00C11123">
        <w:rPr>
          <w:rFonts w:cs="Arial"/>
          <w:sz w:val="22"/>
          <w:szCs w:val="22"/>
        </w:rPr>
        <w:t>75%) of the Applicant’s patients are male.</w:t>
      </w:r>
      <w:r>
        <w:rPr>
          <w:rStyle w:val="FootnoteReference"/>
          <w:rFonts w:cs="Arial"/>
          <w:sz w:val="22"/>
          <w:szCs w:val="22"/>
        </w:rPr>
        <w:footnoteReference w:id="12"/>
      </w:r>
      <w:r w:rsidRPr="00C11123">
        <w:rPr>
          <w:rFonts w:cs="Arial"/>
          <w:sz w:val="22"/>
          <w:szCs w:val="22"/>
        </w:rPr>
        <w:t xml:space="preserve"> This demographic reality alone underscores the clinical </w:t>
      </w:r>
      <w:r w:rsidR="00777E38" w:rsidRPr="00C11123">
        <w:rPr>
          <w:rFonts w:cs="Arial"/>
          <w:sz w:val="22"/>
          <w:szCs w:val="22"/>
        </w:rPr>
        <w:t xml:space="preserve">relevance and </w:t>
      </w:r>
      <w:r w:rsidRPr="00C11123">
        <w:rPr>
          <w:rFonts w:cs="Arial"/>
          <w:sz w:val="22"/>
          <w:szCs w:val="22"/>
        </w:rPr>
        <w:t>importance of PSMA PET/CT imaging for the patient population that the Applicant serves now and in the future.</w:t>
      </w:r>
    </w:p>
    <w:p w14:paraId="483C4543" w14:textId="77777777" w:rsidR="00957C90" w:rsidRPr="00C11123" w:rsidRDefault="00957C90" w:rsidP="00CC6024">
      <w:pPr>
        <w:spacing w:after="0" w:line="240" w:lineRule="auto"/>
        <w:jc w:val="both"/>
        <w:rPr>
          <w:rFonts w:cs="Arial"/>
          <w:sz w:val="22"/>
          <w:szCs w:val="22"/>
        </w:rPr>
      </w:pPr>
    </w:p>
    <w:p w14:paraId="4B3A02D1" w14:textId="2197E2C1" w:rsidR="00957C90" w:rsidRPr="00C11123" w:rsidRDefault="00000000" w:rsidP="00CC6024">
      <w:pPr>
        <w:spacing w:after="0" w:line="240" w:lineRule="auto"/>
        <w:jc w:val="both"/>
        <w:rPr>
          <w:rFonts w:cs="Arial"/>
          <w:sz w:val="22"/>
          <w:szCs w:val="22"/>
        </w:rPr>
      </w:pPr>
      <w:r w:rsidRPr="00C11123">
        <w:rPr>
          <w:rFonts w:cs="Arial"/>
          <w:sz w:val="22"/>
          <w:szCs w:val="22"/>
        </w:rPr>
        <w:t xml:space="preserve">Recent growth trends among the Applicant’s patients who are presently at risk for prostate cancer reinforce this need, as well.  As shown in Table 1, the Patient Panel has rapidly grown each year since 2023. </w:t>
      </w:r>
      <w:r w:rsidR="00B17454" w:rsidRPr="00C11123">
        <w:rPr>
          <w:rFonts w:cs="Arial"/>
          <w:sz w:val="22"/>
          <w:szCs w:val="22"/>
        </w:rPr>
        <w:t xml:space="preserve"> </w:t>
      </w:r>
      <w:r w:rsidRPr="00C11123">
        <w:rPr>
          <w:rFonts w:cs="Arial"/>
          <w:sz w:val="22"/>
          <w:szCs w:val="22"/>
        </w:rPr>
        <w:t>In that time, the Applicant has added over 23,000 patients, which represents a Patient Panel increase of over 21% in only two (2) years, with an increase of 6.7% from 2023 to 2024 and an increase of 13.5% from 2024 to 2025.</w:t>
      </w:r>
      <w:r>
        <w:rPr>
          <w:rStyle w:val="FootnoteReference"/>
          <w:rFonts w:cs="Arial"/>
          <w:sz w:val="22"/>
          <w:szCs w:val="22"/>
        </w:rPr>
        <w:footnoteReference w:id="13"/>
      </w:r>
      <w:r w:rsidRPr="00C11123">
        <w:rPr>
          <w:rFonts w:cs="Arial"/>
          <w:sz w:val="22"/>
          <w:szCs w:val="22"/>
        </w:rPr>
        <w:t xml:space="preserve"> While female urology patients increased by only 4% during this period, male patients increased by </w:t>
      </w:r>
      <w:r w:rsidR="00C25914" w:rsidRPr="00C11123">
        <w:rPr>
          <w:rFonts w:cs="Arial"/>
          <w:sz w:val="22"/>
          <w:szCs w:val="22"/>
        </w:rPr>
        <w:t>28</w:t>
      </w:r>
      <w:r w:rsidRPr="00C11123">
        <w:rPr>
          <w:rFonts w:cs="Arial"/>
          <w:sz w:val="22"/>
          <w:szCs w:val="22"/>
        </w:rPr>
        <w:t xml:space="preserve">%, roughly seven (7) times the rate of </w:t>
      </w:r>
      <w:r w:rsidR="007845C8" w:rsidRPr="00C11123">
        <w:rPr>
          <w:rFonts w:cs="Arial"/>
          <w:sz w:val="22"/>
          <w:szCs w:val="22"/>
        </w:rPr>
        <w:t xml:space="preserve">growth of </w:t>
      </w:r>
      <w:r w:rsidRPr="00C11123">
        <w:rPr>
          <w:rFonts w:cs="Arial"/>
          <w:sz w:val="22"/>
          <w:szCs w:val="22"/>
        </w:rPr>
        <w:t xml:space="preserve">the female </w:t>
      </w:r>
      <w:r w:rsidR="007845C8" w:rsidRPr="00C11123">
        <w:rPr>
          <w:rFonts w:cs="Arial"/>
          <w:sz w:val="22"/>
          <w:szCs w:val="22"/>
        </w:rPr>
        <w:t xml:space="preserve">patient </w:t>
      </w:r>
      <w:r w:rsidRPr="00C11123">
        <w:rPr>
          <w:rFonts w:cs="Arial"/>
          <w:sz w:val="22"/>
          <w:szCs w:val="22"/>
        </w:rPr>
        <w:t>population.</w:t>
      </w:r>
      <w:r>
        <w:rPr>
          <w:rStyle w:val="FootnoteReference"/>
          <w:rFonts w:cs="Arial"/>
          <w:sz w:val="22"/>
          <w:szCs w:val="22"/>
        </w:rPr>
        <w:footnoteReference w:id="14"/>
      </w:r>
      <w:r w:rsidRPr="00C11123">
        <w:rPr>
          <w:rFonts w:cs="Arial"/>
          <w:sz w:val="22"/>
          <w:szCs w:val="22"/>
        </w:rPr>
        <w:t xml:space="preserve"> Because of this acceleration within the male patient segment, the Applicant expects that the diagnosis and treatment of prostate cancer will not only remain central to its clinical mission and a major area of clinical focus,</w:t>
      </w:r>
      <w:r w:rsidR="00202C9B" w:rsidRPr="00C11123">
        <w:rPr>
          <w:rFonts w:cs="Arial"/>
          <w:sz w:val="22"/>
          <w:szCs w:val="22"/>
        </w:rPr>
        <w:t xml:space="preserve"> </w:t>
      </w:r>
      <w:r w:rsidRPr="00C11123">
        <w:rPr>
          <w:rFonts w:cs="Arial"/>
          <w:sz w:val="22"/>
          <w:szCs w:val="22"/>
        </w:rPr>
        <w:t xml:space="preserve">but will likely increase in scope over time as the at-risk male population expands.  </w:t>
      </w:r>
    </w:p>
    <w:p w14:paraId="0B8ADFD9" w14:textId="77777777" w:rsidR="00957C90" w:rsidRPr="00C11123" w:rsidRDefault="00957C90" w:rsidP="00CC6024">
      <w:pPr>
        <w:spacing w:after="0" w:line="240" w:lineRule="auto"/>
        <w:jc w:val="both"/>
        <w:rPr>
          <w:rFonts w:cs="Arial"/>
          <w:sz w:val="22"/>
          <w:szCs w:val="22"/>
        </w:rPr>
      </w:pPr>
    </w:p>
    <w:p w14:paraId="69BA4C17" w14:textId="1B597FAE" w:rsidR="00957C90" w:rsidRPr="00C11123" w:rsidRDefault="00000000" w:rsidP="00CC6024">
      <w:pPr>
        <w:spacing w:after="0" w:line="240" w:lineRule="auto"/>
        <w:jc w:val="both"/>
        <w:rPr>
          <w:rFonts w:cs="Arial"/>
          <w:sz w:val="22"/>
          <w:szCs w:val="22"/>
        </w:rPr>
      </w:pPr>
      <w:r w:rsidRPr="00C11123">
        <w:rPr>
          <w:rFonts w:cs="Arial"/>
          <w:sz w:val="22"/>
          <w:szCs w:val="22"/>
        </w:rPr>
        <w:t xml:space="preserve">Males 65 years and older are of special consideration in this context. </w:t>
      </w:r>
      <w:proofErr w:type="gramStart"/>
      <w:r w:rsidRPr="00C11123">
        <w:rPr>
          <w:rFonts w:cs="Arial"/>
          <w:sz w:val="22"/>
          <w:szCs w:val="22"/>
        </w:rPr>
        <w:t>Patients</w:t>
      </w:r>
      <w:proofErr w:type="gramEnd"/>
      <w:r w:rsidRPr="00C11123">
        <w:rPr>
          <w:rFonts w:cs="Arial"/>
          <w:sz w:val="22"/>
          <w:szCs w:val="22"/>
        </w:rPr>
        <w:t xml:space="preserve"> 65 years old represent the great majority of the Patient Panel. In 2025, there was a total of 132,162 patients across all 9 </w:t>
      </w:r>
      <w:r w:rsidRPr="00C11123">
        <w:rPr>
          <w:rFonts w:cs="Arial"/>
          <w:sz w:val="22"/>
          <w:szCs w:val="22"/>
        </w:rPr>
        <w:lastRenderedPageBreak/>
        <w:t>practice sites accounting for all genders.</w:t>
      </w:r>
      <w:r>
        <w:rPr>
          <w:rStyle w:val="FootnoteReference"/>
          <w:rFonts w:cs="Arial"/>
          <w:sz w:val="22"/>
          <w:szCs w:val="22"/>
        </w:rPr>
        <w:footnoteReference w:id="15"/>
      </w:r>
      <w:r w:rsidRPr="00C11123">
        <w:rPr>
          <w:rFonts w:cs="Arial"/>
          <w:sz w:val="22"/>
          <w:szCs w:val="22"/>
        </w:rPr>
        <w:t xml:space="preserve"> Of this total, 86,399 (65.37%) or two thirds were patients over 65</w:t>
      </w:r>
      <w:r>
        <w:rPr>
          <w:rStyle w:val="FootnoteReference"/>
          <w:rFonts w:cs="Arial"/>
          <w:sz w:val="22"/>
          <w:szCs w:val="22"/>
        </w:rPr>
        <w:footnoteReference w:id="16"/>
      </w:r>
      <w:r w:rsidRPr="00C11123">
        <w:rPr>
          <w:rFonts w:cs="Arial"/>
          <w:sz w:val="22"/>
          <w:szCs w:val="22"/>
        </w:rPr>
        <w:t xml:space="preserve"> and, in turn, 65,406 (</w:t>
      </w:r>
      <w:r w:rsidR="0071039A" w:rsidRPr="00C11123">
        <w:rPr>
          <w:rFonts w:cs="Arial"/>
          <w:sz w:val="22"/>
          <w:szCs w:val="22"/>
        </w:rPr>
        <w:t xml:space="preserve">about </w:t>
      </w:r>
      <w:r w:rsidRPr="00C11123">
        <w:rPr>
          <w:rFonts w:cs="Arial"/>
          <w:sz w:val="22"/>
          <w:szCs w:val="22"/>
        </w:rPr>
        <w:t>76%) or three quarters of those patients were males.</w:t>
      </w:r>
      <w:r>
        <w:rPr>
          <w:rStyle w:val="FootnoteReference"/>
          <w:rFonts w:cs="Arial"/>
          <w:sz w:val="22"/>
          <w:szCs w:val="22"/>
        </w:rPr>
        <w:footnoteReference w:id="17"/>
      </w:r>
      <w:r w:rsidRPr="00C11123">
        <w:rPr>
          <w:rFonts w:cs="Arial"/>
          <w:sz w:val="22"/>
          <w:szCs w:val="22"/>
        </w:rPr>
        <w:t xml:space="preserve"> These proportions mean that </w:t>
      </w:r>
      <w:r w:rsidR="00B719CC" w:rsidRPr="00C11123">
        <w:rPr>
          <w:rFonts w:cs="Arial"/>
          <w:sz w:val="22"/>
          <w:szCs w:val="22"/>
        </w:rPr>
        <w:t xml:space="preserve">about </w:t>
      </w:r>
      <w:r w:rsidRPr="00C11123">
        <w:rPr>
          <w:rFonts w:cs="Arial"/>
          <w:sz w:val="22"/>
          <w:szCs w:val="22"/>
        </w:rPr>
        <w:t xml:space="preserve">one-half (50%) of the Applicant’s entire Patient Panel </w:t>
      </w:r>
      <w:r w:rsidR="007422EB" w:rsidRPr="00C11123">
        <w:rPr>
          <w:rFonts w:cs="Arial"/>
          <w:sz w:val="22"/>
          <w:szCs w:val="22"/>
        </w:rPr>
        <w:t xml:space="preserve">(65,406 of 132,162) </w:t>
      </w:r>
      <w:r w:rsidR="00121AFB" w:rsidRPr="00C11123">
        <w:rPr>
          <w:rFonts w:cs="Arial"/>
          <w:sz w:val="22"/>
          <w:szCs w:val="22"/>
        </w:rPr>
        <w:t xml:space="preserve">are </w:t>
      </w:r>
      <w:r w:rsidRPr="00C11123">
        <w:rPr>
          <w:rFonts w:cs="Arial"/>
          <w:sz w:val="22"/>
          <w:szCs w:val="22"/>
        </w:rPr>
        <w:t xml:space="preserve">males aged 65 and older as of 2025. </w:t>
      </w:r>
    </w:p>
    <w:p w14:paraId="2B05FA67" w14:textId="77777777" w:rsidR="00957C90" w:rsidRPr="00C11123" w:rsidRDefault="00957C90" w:rsidP="00CC6024">
      <w:pPr>
        <w:spacing w:after="0" w:line="240" w:lineRule="auto"/>
        <w:jc w:val="both"/>
        <w:rPr>
          <w:rFonts w:cs="Arial"/>
          <w:sz w:val="22"/>
          <w:szCs w:val="22"/>
        </w:rPr>
      </w:pPr>
    </w:p>
    <w:p w14:paraId="1F641869" w14:textId="155C78C6" w:rsidR="00957C90" w:rsidRPr="00C11123" w:rsidRDefault="00000000" w:rsidP="00CC6024">
      <w:pPr>
        <w:spacing w:after="0" w:line="240" w:lineRule="auto"/>
        <w:jc w:val="both"/>
        <w:rPr>
          <w:rFonts w:cs="Arial"/>
          <w:sz w:val="22"/>
          <w:szCs w:val="22"/>
        </w:rPr>
      </w:pPr>
      <w:r w:rsidRPr="00C11123">
        <w:rPr>
          <w:rFonts w:cs="Arial"/>
          <w:sz w:val="22"/>
          <w:szCs w:val="22"/>
        </w:rPr>
        <w:t>The result of these data is significant because males over 65 comprise the demographic with the highest incidence and onset of Prostate Cancer in the United States.</w:t>
      </w:r>
      <w:r>
        <w:rPr>
          <w:rStyle w:val="FootnoteReference"/>
          <w:rFonts w:cs="Arial"/>
          <w:sz w:val="22"/>
          <w:szCs w:val="22"/>
        </w:rPr>
        <w:footnoteReference w:id="18"/>
      </w:r>
      <w:r w:rsidRPr="00C11123">
        <w:rPr>
          <w:rFonts w:cs="Arial"/>
          <w:sz w:val="22"/>
          <w:szCs w:val="22"/>
        </w:rPr>
        <w:t xml:space="preserve"> Importantly, and as shown in Table 7, the number of the Applicant’s patients in this category has dramatically increased year-over-year since 2023, increasing by 16,712 patients or 34.3%.</w:t>
      </w:r>
      <w:r>
        <w:rPr>
          <w:rStyle w:val="FootnoteReference"/>
          <w:rFonts w:cs="Arial"/>
          <w:sz w:val="22"/>
          <w:szCs w:val="22"/>
        </w:rPr>
        <w:footnoteReference w:id="19"/>
      </w:r>
    </w:p>
    <w:p w14:paraId="5E094990" w14:textId="77777777" w:rsidR="00957C90" w:rsidRPr="00C11123" w:rsidRDefault="00957C90" w:rsidP="00CC6024">
      <w:pPr>
        <w:spacing w:after="0" w:line="240" w:lineRule="auto"/>
        <w:jc w:val="both"/>
        <w:rPr>
          <w:rFonts w:cs="Arial"/>
          <w:sz w:val="22"/>
          <w:szCs w:val="22"/>
        </w:rPr>
      </w:pPr>
    </w:p>
    <w:p w14:paraId="2557F5DA" w14:textId="5383E8A3" w:rsidR="00957C90" w:rsidRPr="00C11123" w:rsidRDefault="00000000" w:rsidP="00CC6024">
      <w:pPr>
        <w:spacing w:after="0" w:line="240" w:lineRule="auto"/>
        <w:jc w:val="both"/>
        <w:rPr>
          <w:rFonts w:cs="Arial"/>
          <w:sz w:val="22"/>
          <w:szCs w:val="22"/>
        </w:rPr>
      </w:pPr>
      <w:r w:rsidRPr="00C11123">
        <w:rPr>
          <w:rFonts w:cs="Arial"/>
          <w:sz w:val="22"/>
          <w:szCs w:val="22"/>
        </w:rPr>
        <w:t>Taken together, the size of the male Patient Panel, the prostate cancer risk inherent to that population, and the rapid growth of the Applicant’s male patient segment, particularly in the 65 and over age group, all support the conclusion that PSMA PET/CT imaging</w:t>
      </w:r>
      <w:r w:rsidR="007B546E" w:rsidRPr="00C11123">
        <w:rPr>
          <w:rFonts w:cs="Arial"/>
          <w:sz w:val="22"/>
          <w:szCs w:val="22"/>
        </w:rPr>
        <w:t xml:space="preserve"> available within the Applicant’s physician practice</w:t>
      </w:r>
      <w:r w:rsidRPr="00C11123">
        <w:rPr>
          <w:rFonts w:cs="Arial"/>
          <w:sz w:val="22"/>
          <w:szCs w:val="22"/>
        </w:rPr>
        <w:t xml:space="preserve"> is a necessary and appropriately scaled service for the Applicant’s Patient Panel. Consequently, the Applicant seeks to undertake the Proposed Project to ensure these clinical needs are met through efficient and cost-effective means.</w:t>
      </w:r>
    </w:p>
    <w:p w14:paraId="1DBC79AA" w14:textId="77777777" w:rsidR="000B5CFB" w:rsidRPr="00C11123" w:rsidRDefault="000B5CFB" w:rsidP="00CC6024">
      <w:pPr>
        <w:spacing w:after="0" w:line="240" w:lineRule="auto"/>
        <w:jc w:val="both"/>
        <w:rPr>
          <w:rFonts w:cs="Arial"/>
          <w:sz w:val="22"/>
          <w:szCs w:val="22"/>
        </w:rPr>
      </w:pPr>
    </w:p>
    <w:p w14:paraId="4566258F" w14:textId="0680986C" w:rsidR="00957C90" w:rsidRPr="00153B38" w:rsidRDefault="00000000" w:rsidP="00153B38">
      <w:pPr>
        <w:pStyle w:val="Heading3"/>
        <w:numPr>
          <w:ilvl w:val="0"/>
          <w:numId w:val="36"/>
        </w:numPr>
        <w:ind w:left="360"/>
        <w:rPr>
          <w:u w:val="single"/>
        </w:rPr>
      </w:pPr>
      <w:r w:rsidRPr="00153B38">
        <w:rPr>
          <w:u w:val="single"/>
        </w:rPr>
        <w:t>Need Based Prostate Cancer Data in MA</w:t>
      </w:r>
      <w:r w:rsidR="00F256C0" w:rsidRPr="00153B38">
        <w:rPr>
          <w:u w:val="single"/>
        </w:rPr>
        <w:t xml:space="preserve"> and Applicant’s Disease Burden</w:t>
      </w:r>
    </w:p>
    <w:p w14:paraId="603C1CD1" w14:textId="77777777" w:rsidR="00957C90" w:rsidRPr="00C11123" w:rsidRDefault="00957C90" w:rsidP="00CC6024">
      <w:pPr>
        <w:spacing w:after="0" w:line="240" w:lineRule="auto"/>
        <w:jc w:val="both"/>
        <w:rPr>
          <w:rFonts w:cs="Arial"/>
          <w:sz w:val="22"/>
          <w:szCs w:val="22"/>
          <w:u w:val="single"/>
        </w:rPr>
      </w:pPr>
    </w:p>
    <w:p w14:paraId="14A54E01" w14:textId="0E642D98" w:rsidR="008343F7" w:rsidRPr="00C11123" w:rsidRDefault="00000000" w:rsidP="00CC6024">
      <w:pPr>
        <w:spacing w:after="0" w:line="240" w:lineRule="auto"/>
        <w:jc w:val="both"/>
        <w:rPr>
          <w:rFonts w:cs="Arial"/>
          <w:sz w:val="22"/>
          <w:szCs w:val="22"/>
        </w:rPr>
      </w:pPr>
      <w:r w:rsidRPr="00C11123">
        <w:rPr>
          <w:rFonts w:cs="Arial"/>
          <w:sz w:val="22"/>
          <w:szCs w:val="22"/>
        </w:rPr>
        <w:t xml:space="preserve">The need for the Applicant to provide PSMA PET/CT to its Patient Population is supported by both Massachusetts population projections and the Applicant’s </w:t>
      </w:r>
      <w:r w:rsidR="00F256C0" w:rsidRPr="00C11123">
        <w:rPr>
          <w:rFonts w:cs="Arial"/>
          <w:sz w:val="22"/>
          <w:szCs w:val="22"/>
        </w:rPr>
        <w:t>prostate cancer disease burden</w:t>
      </w:r>
      <w:r w:rsidRPr="00C11123">
        <w:rPr>
          <w:rFonts w:cs="Arial"/>
          <w:sz w:val="22"/>
          <w:szCs w:val="22"/>
        </w:rPr>
        <w:t>.</w:t>
      </w:r>
    </w:p>
    <w:p w14:paraId="1EFF1A9D" w14:textId="77777777" w:rsidR="008343F7" w:rsidRPr="00C11123" w:rsidRDefault="008343F7" w:rsidP="00CC6024">
      <w:pPr>
        <w:spacing w:after="0" w:line="240" w:lineRule="auto"/>
        <w:jc w:val="both"/>
        <w:rPr>
          <w:rFonts w:cs="Arial"/>
          <w:sz w:val="22"/>
          <w:szCs w:val="22"/>
          <w:u w:val="single"/>
        </w:rPr>
      </w:pPr>
    </w:p>
    <w:p w14:paraId="48E0553E" w14:textId="19DCA0DA" w:rsidR="008343F7" w:rsidRPr="00C11123" w:rsidRDefault="00000000" w:rsidP="00153B38">
      <w:pPr>
        <w:pStyle w:val="Heading4"/>
      </w:pPr>
      <w:r w:rsidRPr="00C11123">
        <w:t>Public</w:t>
      </w:r>
      <w:r w:rsidR="00957C90" w:rsidRPr="00C11123">
        <w:t xml:space="preserve"> </w:t>
      </w:r>
      <w:r w:rsidRPr="00C11123">
        <w:t>Projections</w:t>
      </w:r>
      <w:r w:rsidR="00957C90" w:rsidRPr="00C11123">
        <w:t xml:space="preserve"> </w:t>
      </w:r>
    </w:p>
    <w:p w14:paraId="7A58945C" w14:textId="77777777" w:rsidR="008343F7" w:rsidRPr="00C11123" w:rsidRDefault="008343F7" w:rsidP="00CC6024">
      <w:pPr>
        <w:spacing w:after="0" w:line="240" w:lineRule="auto"/>
        <w:jc w:val="both"/>
        <w:rPr>
          <w:rFonts w:cs="Arial"/>
          <w:sz w:val="22"/>
          <w:szCs w:val="22"/>
        </w:rPr>
      </w:pPr>
    </w:p>
    <w:p w14:paraId="7D2A5C7B" w14:textId="2A907D91" w:rsidR="00957C90" w:rsidRDefault="00000000" w:rsidP="00CC6024">
      <w:pPr>
        <w:spacing w:after="0" w:line="240" w:lineRule="auto"/>
        <w:jc w:val="both"/>
        <w:rPr>
          <w:rFonts w:cs="Arial"/>
          <w:sz w:val="22"/>
          <w:szCs w:val="22"/>
        </w:rPr>
      </w:pPr>
      <w:r w:rsidRPr="00C11123">
        <w:rPr>
          <w:rFonts w:cs="Arial"/>
          <w:sz w:val="22"/>
          <w:szCs w:val="22"/>
        </w:rPr>
        <w:t>Nationally, “</w:t>
      </w:r>
      <w:r w:rsidR="00C233AC" w:rsidRPr="00C11123">
        <w:rPr>
          <w:rFonts w:cs="Arial"/>
          <w:sz w:val="22"/>
          <w:szCs w:val="22"/>
        </w:rPr>
        <w:t>[</w:t>
      </w:r>
      <w:r w:rsidRPr="00C11123">
        <w:rPr>
          <w:rFonts w:cs="Arial"/>
          <w:sz w:val="22"/>
          <w:szCs w:val="22"/>
        </w:rPr>
        <w:t>t</w:t>
      </w:r>
      <w:r w:rsidR="00C233AC" w:rsidRPr="00C11123">
        <w:rPr>
          <w:rFonts w:cs="Arial"/>
          <w:sz w:val="22"/>
          <w:szCs w:val="22"/>
        </w:rPr>
        <w:t>]</w:t>
      </w:r>
      <w:r w:rsidRPr="00C11123">
        <w:rPr>
          <w:rFonts w:cs="Arial"/>
          <w:sz w:val="22"/>
          <w:szCs w:val="22"/>
        </w:rPr>
        <w:t>he incidence of prostate cancer (</w:t>
      </w:r>
      <w:proofErr w:type="spellStart"/>
      <w:r w:rsidRPr="00C11123">
        <w:rPr>
          <w:rFonts w:cs="Arial"/>
          <w:sz w:val="22"/>
          <w:szCs w:val="22"/>
        </w:rPr>
        <w:t>PCa</w:t>
      </w:r>
      <w:proofErr w:type="spellEnd"/>
      <w:r w:rsidRPr="00C11123">
        <w:rPr>
          <w:rFonts w:cs="Arial"/>
          <w:sz w:val="22"/>
          <w:szCs w:val="22"/>
        </w:rPr>
        <w:t>) is continually increasing.”</w:t>
      </w:r>
      <w:r>
        <w:rPr>
          <w:rStyle w:val="FootnoteReference"/>
          <w:rFonts w:cs="Arial"/>
          <w:sz w:val="22"/>
          <w:szCs w:val="22"/>
        </w:rPr>
        <w:footnoteReference w:id="20"/>
      </w:r>
      <w:r w:rsidRPr="00C11123">
        <w:rPr>
          <w:rFonts w:cs="Arial"/>
          <w:sz w:val="22"/>
          <w:szCs w:val="22"/>
        </w:rPr>
        <w:t xml:space="preserve"> Current statewide </w:t>
      </w:r>
      <w:r w:rsidR="008343F7" w:rsidRPr="00C11123">
        <w:rPr>
          <w:rFonts w:cs="Arial"/>
          <w:sz w:val="22"/>
          <w:szCs w:val="22"/>
        </w:rPr>
        <w:t xml:space="preserve">population projection data </w:t>
      </w:r>
      <w:r w:rsidRPr="00C11123">
        <w:rPr>
          <w:rFonts w:cs="Arial"/>
          <w:sz w:val="22"/>
          <w:szCs w:val="22"/>
        </w:rPr>
        <w:t xml:space="preserve">supports that the need for PSMA PET/CT imaging in Massachusetts will intensify due to demographic trends that signal sustained growth in the population groups most at risk for prostate cancer. </w:t>
      </w:r>
      <w:r w:rsidR="007157C8" w:rsidRPr="00C11123">
        <w:rPr>
          <w:rFonts w:cs="Arial"/>
          <w:sz w:val="22"/>
          <w:szCs w:val="22"/>
        </w:rPr>
        <w:t>Cancer, including prostate cancer,</w:t>
      </w:r>
      <w:r w:rsidRPr="00C11123">
        <w:rPr>
          <w:rFonts w:cs="Arial"/>
          <w:sz w:val="22"/>
          <w:szCs w:val="22"/>
        </w:rPr>
        <w:t xml:space="preserve"> incidence increases significantly with age</w:t>
      </w:r>
      <w:r>
        <w:rPr>
          <w:rStyle w:val="FootnoteReference"/>
          <w:rFonts w:cs="Arial"/>
          <w:sz w:val="22"/>
          <w:szCs w:val="22"/>
        </w:rPr>
        <w:footnoteReference w:id="21"/>
      </w:r>
      <w:r w:rsidRPr="00C11123">
        <w:rPr>
          <w:rFonts w:cs="Arial"/>
          <w:sz w:val="22"/>
          <w:szCs w:val="22"/>
        </w:rPr>
        <w:t xml:space="preserve"> and the Commonwealth’s population profile is shifting toward older age cohorts. </w:t>
      </w:r>
      <w:r w:rsidR="00D366D3" w:rsidRPr="00C11123">
        <w:rPr>
          <w:rFonts w:cs="Arial"/>
          <w:sz w:val="22"/>
          <w:szCs w:val="22"/>
        </w:rPr>
        <w:t xml:space="preserve">Specifically, the </w:t>
      </w:r>
      <w:r w:rsidRPr="00C11123">
        <w:rPr>
          <w:rFonts w:cs="Arial"/>
          <w:sz w:val="22"/>
          <w:szCs w:val="22"/>
        </w:rPr>
        <w:t>population projections indicate that the future population in Massachusetts will be increasingly concentrated among older residents, with the population of males aged 65 and older rising by almost 100,000 (</w:t>
      </w:r>
      <w:r w:rsidR="000B5CFB" w:rsidRPr="00C11123">
        <w:rPr>
          <w:rFonts w:cs="Arial"/>
          <w:sz w:val="22"/>
          <w:szCs w:val="22"/>
        </w:rPr>
        <w:t xml:space="preserve">635,584 rising to 732,018; </w:t>
      </w:r>
      <w:r w:rsidRPr="00C11123">
        <w:rPr>
          <w:rFonts w:cs="Arial"/>
          <w:sz w:val="22"/>
          <w:szCs w:val="22"/>
        </w:rPr>
        <w:t xml:space="preserve">over 15%) within the next </w:t>
      </w:r>
      <w:r w:rsidR="00AE2ECF" w:rsidRPr="00C11123">
        <w:rPr>
          <w:rFonts w:cs="Arial"/>
          <w:sz w:val="22"/>
          <w:szCs w:val="22"/>
        </w:rPr>
        <w:t>this decade (</w:t>
      </w:r>
      <w:r w:rsidRPr="00C11123">
        <w:rPr>
          <w:rFonts w:cs="Arial"/>
          <w:sz w:val="22"/>
          <w:szCs w:val="22"/>
        </w:rPr>
        <w:t>2025 – 2035</w:t>
      </w:r>
      <w:r w:rsidR="00AE2ECF" w:rsidRPr="00C11123">
        <w:rPr>
          <w:rFonts w:cs="Arial"/>
          <w:sz w:val="22"/>
          <w:szCs w:val="22"/>
        </w:rPr>
        <w:t>)</w:t>
      </w:r>
      <w:r w:rsidRPr="00C11123">
        <w:rPr>
          <w:rFonts w:cs="Arial"/>
          <w:sz w:val="22"/>
          <w:szCs w:val="22"/>
        </w:rPr>
        <w:t xml:space="preserve"> and </w:t>
      </w:r>
      <w:r w:rsidRPr="00C11123">
        <w:rPr>
          <w:rFonts w:cs="Arial"/>
          <w:sz w:val="22"/>
          <w:szCs w:val="22"/>
        </w:rPr>
        <w:lastRenderedPageBreak/>
        <w:t xml:space="preserve">remaining </w:t>
      </w:r>
      <w:r w:rsidR="00AE2ECF" w:rsidRPr="00C11123">
        <w:rPr>
          <w:rFonts w:cs="Arial"/>
          <w:sz w:val="22"/>
          <w:szCs w:val="22"/>
        </w:rPr>
        <w:t xml:space="preserve">nearly </w:t>
      </w:r>
      <w:r w:rsidRPr="00C11123">
        <w:rPr>
          <w:rFonts w:cs="Arial"/>
          <w:sz w:val="22"/>
          <w:szCs w:val="22"/>
        </w:rPr>
        <w:t>10% higher than 2025 levels as far</w:t>
      </w:r>
      <w:r w:rsidR="00AE2ECF" w:rsidRPr="00C11123">
        <w:rPr>
          <w:rFonts w:cs="Arial"/>
          <w:sz w:val="22"/>
          <w:szCs w:val="22"/>
        </w:rPr>
        <w:t xml:space="preserve"> in the future</w:t>
      </w:r>
      <w:r w:rsidRPr="00C11123">
        <w:rPr>
          <w:rFonts w:cs="Arial"/>
          <w:sz w:val="22"/>
          <w:szCs w:val="22"/>
        </w:rPr>
        <w:t xml:space="preserve"> as 2050</w:t>
      </w:r>
      <w:r w:rsidR="000B5CFB" w:rsidRPr="00C11123">
        <w:rPr>
          <w:rFonts w:cs="Arial"/>
          <w:sz w:val="22"/>
          <w:szCs w:val="22"/>
        </w:rPr>
        <w:t xml:space="preserve"> (635,584 rising to 697,288)</w:t>
      </w:r>
      <w:r w:rsidRPr="00C11123">
        <w:rPr>
          <w:rFonts w:cs="Arial"/>
          <w:sz w:val="22"/>
          <w:szCs w:val="22"/>
        </w:rPr>
        <w:t>.</w:t>
      </w:r>
      <w:r>
        <w:rPr>
          <w:rStyle w:val="FootnoteReference"/>
          <w:rFonts w:cs="Arial"/>
          <w:sz w:val="22"/>
          <w:szCs w:val="22"/>
        </w:rPr>
        <w:footnoteReference w:id="22"/>
      </w:r>
      <w:r w:rsidRPr="00C11123">
        <w:rPr>
          <w:rFonts w:cs="Arial"/>
          <w:sz w:val="22"/>
          <w:szCs w:val="22"/>
        </w:rPr>
        <w:t xml:space="preserve"> See Table </w:t>
      </w:r>
      <w:r w:rsidR="00324C55" w:rsidRPr="00C11123">
        <w:rPr>
          <w:rFonts w:cs="Arial"/>
          <w:sz w:val="22"/>
          <w:szCs w:val="22"/>
        </w:rPr>
        <w:t>1</w:t>
      </w:r>
      <w:r w:rsidR="004D5834" w:rsidRPr="00C11123">
        <w:rPr>
          <w:rFonts w:cs="Arial"/>
          <w:sz w:val="22"/>
          <w:szCs w:val="22"/>
        </w:rPr>
        <w:t>5</w:t>
      </w:r>
      <w:r w:rsidRPr="00C11123">
        <w:rPr>
          <w:rFonts w:cs="Arial"/>
          <w:sz w:val="22"/>
          <w:szCs w:val="22"/>
        </w:rPr>
        <w:t>.</w:t>
      </w:r>
    </w:p>
    <w:p w14:paraId="516F38F3" w14:textId="77777777" w:rsidR="00957C90" w:rsidRPr="00C11123" w:rsidRDefault="00957C90" w:rsidP="00CC6024">
      <w:pPr>
        <w:spacing w:after="0" w:line="240" w:lineRule="auto"/>
        <w:jc w:val="both"/>
        <w:rPr>
          <w:rFonts w:cs="Arial"/>
          <w:sz w:val="22"/>
          <w:szCs w:val="22"/>
        </w:rPr>
      </w:pPr>
    </w:p>
    <w:p w14:paraId="07473ED5" w14:textId="05D0E00F" w:rsidR="00A46FA5" w:rsidRPr="00C11123" w:rsidRDefault="00000000" w:rsidP="00A46FA5">
      <w:pPr>
        <w:spacing w:after="0" w:line="240" w:lineRule="auto"/>
        <w:jc w:val="both"/>
        <w:rPr>
          <w:rFonts w:cs="Arial"/>
          <w:b/>
          <w:bCs/>
          <w:sz w:val="22"/>
          <w:szCs w:val="22"/>
        </w:rPr>
      </w:pPr>
      <w:r w:rsidRPr="00C11123">
        <w:rPr>
          <w:rFonts w:cs="Arial"/>
          <w:b/>
          <w:bCs/>
          <w:sz w:val="22"/>
          <w:szCs w:val="22"/>
        </w:rPr>
        <w:t xml:space="preserve">Table </w:t>
      </w:r>
      <w:r w:rsidR="00324C55" w:rsidRPr="00C11123">
        <w:rPr>
          <w:rFonts w:cs="Arial"/>
          <w:b/>
          <w:bCs/>
          <w:sz w:val="22"/>
          <w:szCs w:val="22"/>
        </w:rPr>
        <w:t>1</w:t>
      </w:r>
      <w:r w:rsidR="00D70747" w:rsidRPr="00C11123">
        <w:rPr>
          <w:rFonts w:cs="Arial"/>
          <w:b/>
          <w:bCs/>
          <w:sz w:val="22"/>
          <w:szCs w:val="22"/>
        </w:rPr>
        <w:t>5</w:t>
      </w:r>
      <w:r w:rsidRPr="00C11123">
        <w:rPr>
          <w:rFonts w:cs="Arial"/>
          <w:b/>
          <w:bCs/>
          <w:sz w:val="22"/>
          <w:szCs w:val="22"/>
        </w:rPr>
        <w:t xml:space="preserve"> – Rising Population of Males Age 65+</w:t>
      </w:r>
      <w:r>
        <w:rPr>
          <w:rStyle w:val="FootnoteReference"/>
          <w:rFonts w:cs="Arial"/>
          <w:b/>
          <w:bCs/>
          <w:sz w:val="22"/>
          <w:szCs w:val="22"/>
        </w:rPr>
        <w:footnoteReference w:id="23"/>
      </w:r>
      <w:r w:rsidRPr="00C11123">
        <w:rPr>
          <w:rFonts w:cs="Arial"/>
          <w:b/>
          <w:bCs/>
          <w:sz w:val="22"/>
          <w:szCs w:val="22"/>
        </w:rPr>
        <w:t xml:space="preserve"> </w:t>
      </w:r>
    </w:p>
    <w:tbl>
      <w:tblPr>
        <w:tblStyle w:val="GridTable4"/>
        <w:tblW w:w="6888" w:type="dxa"/>
        <w:tblLook w:val="04A0" w:firstRow="1" w:lastRow="0" w:firstColumn="1" w:lastColumn="0" w:noHBand="0" w:noVBand="1"/>
        <w:tblCaption w:val="Rising Population of Males Age 65+"/>
      </w:tblPr>
      <w:tblGrid>
        <w:gridCol w:w="960"/>
        <w:gridCol w:w="988"/>
        <w:gridCol w:w="988"/>
        <w:gridCol w:w="988"/>
        <w:gridCol w:w="988"/>
        <w:gridCol w:w="988"/>
        <w:gridCol w:w="988"/>
      </w:tblGrid>
      <w:tr w:rsidR="00507820" w14:paraId="2C8B09E8" w14:textId="77777777" w:rsidTr="00C948D3">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A7D8467" w14:textId="5E2562D8" w:rsidR="00D70747" w:rsidRPr="00C11123" w:rsidRDefault="00000000" w:rsidP="000E3700">
            <w:pPr>
              <w:rPr>
                <w:rFonts w:eastAsia="Times New Roman" w:cs="Times New Roman"/>
                <w:b w:val="0"/>
                <w:bCs w:val="0"/>
                <w:kern w:val="0"/>
                <w:sz w:val="22"/>
                <w:szCs w:val="22"/>
                <w14:ligatures w14:val="none"/>
              </w:rPr>
            </w:pPr>
            <w:r w:rsidRPr="00C11123">
              <w:rPr>
                <w:rFonts w:eastAsia="Times New Roman" w:cs="Times New Roman"/>
                <w:kern w:val="0"/>
                <w:sz w:val="22"/>
                <w:szCs w:val="22"/>
                <w14:ligatures w14:val="none"/>
              </w:rPr>
              <w:t>Age</w:t>
            </w:r>
          </w:p>
        </w:tc>
        <w:tc>
          <w:tcPr>
            <w:tcW w:w="988" w:type="dxa"/>
            <w:noWrap/>
            <w:hideMark/>
          </w:tcPr>
          <w:p w14:paraId="56268795" w14:textId="77777777" w:rsidR="00D70747"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eastAsia="Times New Roman" w:cs="Calibri"/>
                <w:kern w:val="0"/>
                <w:sz w:val="22"/>
                <w:szCs w:val="22"/>
                <w14:ligatures w14:val="none"/>
              </w:rPr>
            </w:pPr>
            <w:r w:rsidRPr="00C11123">
              <w:rPr>
                <w:rFonts w:eastAsia="Times New Roman" w:cs="Calibri"/>
                <w:kern w:val="0"/>
                <w:sz w:val="22"/>
                <w:szCs w:val="22"/>
                <w14:ligatures w14:val="none"/>
              </w:rPr>
              <w:t>2025</w:t>
            </w:r>
          </w:p>
        </w:tc>
        <w:tc>
          <w:tcPr>
            <w:tcW w:w="988" w:type="dxa"/>
            <w:noWrap/>
            <w:hideMark/>
          </w:tcPr>
          <w:p w14:paraId="1F2C54FE" w14:textId="77777777" w:rsidR="00D70747"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eastAsia="Times New Roman" w:cs="Calibri"/>
                <w:kern w:val="0"/>
                <w:sz w:val="22"/>
                <w:szCs w:val="22"/>
                <w14:ligatures w14:val="none"/>
              </w:rPr>
            </w:pPr>
            <w:r w:rsidRPr="00C11123">
              <w:rPr>
                <w:rFonts w:eastAsia="Times New Roman" w:cs="Calibri"/>
                <w:kern w:val="0"/>
                <w:sz w:val="22"/>
                <w:szCs w:val="22"/>
                <w14:ligatures w14:val="none"/>
              </w:rPr>
              <w:t>2030</w:t>
            </w:r>
          </w:p>
        </w:tc>
        <w:tc>
          <w:tcPr>
            <w:tcW w:w="988" w:type="dxa"/>
            <w:noWrap/>
            <w:hideMark/>
          </w:tcPr>
          <w:p w14:paraId="02C56367" w14:textId="77777777" w:rsidR="00D70747"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eastAsia="Times New Roman" w:cs="Calibri"/>
                <w:kern w:val="0"/>
                <w:sz w:val="22"/>
                <w:szCs w:val="22"/>
                <w14:ligatures w14:val="none"/>
              </w:rPr>
            </w:pPr>
            <w:r w:rsidRPr="00C11123">
              <w:rPr>
                <w:rFonts w:eastAsia="Times New Roman" w:cs="Calibri"/>
                <w:kern w:val="0"/>
                <w:sz w:val="22"/>
                <w:szCs w:val="22"/>
                <w14:ligatures w14:val="none"/>
              </w:rPr>
              <w:t>2035</w:t>
            </w:r>
          </w:p>
        </w:tc>
        <w:tc>
          <w:tcPr>
            <w:tcW w:w="988" w:type="dxa"/>
            <w:noWrap/>
            <w:hideMark/>
          </w:tcPr>
          <w:p w14:paraId="698312B3" w14:textId="77777777" w:rsidR="00D70747"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eastAsia="Times New Roman" w:cs="Calibri"/>
                <w:kern w:val="0"/>
                <w:sz w:val="22"/>
                <w:szCs w:val="22"/>
                <w14:ligatures w14:val="none"/>
              </w:rPr>
            </w:pPr>
            <w:r w:rsidRPr="00C11123">
              <w:rPr>
                <w:rFonts w:eastAsia="Times New Roman" w:cs="Calibri"/>
                <w:kern w:val="0"/>
                <w:sz w:val="22"/>
                <w:szCs w:val="22"/>
                <w14:ligatures w14:val="none"/>
              </w:rPr>
              <w:t>2040</w:t>
            </w:r>
          </w:p>
        </w:tc>
        <w:tc>
          <w:tcPr>
            <w:tcW w:w="988" w:type="dxa"/>
            <w:noWrap/>
            <w:hideMark/>
          </w:tcPr>
          <w:p w14:paraId="64714447" w14:textId="77777777" w:rsidR="00D70747"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eastAsia="Times New Roman" w:cs="Calibri"/>
                <w:kern w:val="0"/>
                <w:sz w:val="22"/>
                <w:szCs w:val="22"/>
                <w14:ligatures w14:val="none"/>
              </w:rPr>
            </w:pPr>
            <w:r w:rsidRPr="00C11123">
              <w:rPr>
                <w:rFonts w:eastAsia="Times New Roman" w:cs="Calibri"/>
                <w:kern w:val="0"/>
                <w:sz w:val="22"/>
                <w:szCs w:val="22"/>
                <w14:ligatures w14:val="none"/>
              </w:rPr>
              <w:t>2045</w:t>
            </w:r>
          </w:p>
        </w:tc>
        <w:tc>
          <w:tcPr>
            <w:tcW w:w="988" w:type="dxa"/>
            <w:noWrap/>
            <w:hideMark/>
          </w:tcPr>
          <w:p w14:paraId="6855542C" w14:textId="77777777" w:rsidR="00D70747" w:rsidRPr="00C11123" w:rsidRDefault="00000000" w:rsidP="00D70747">
            <w:pPr>
              <w:jc w:val="center"/>
              <w:cnfStyle w:val="100000000000" w:firstRow="1" w:lastRow="0" w:firstColumn="0" w:lastColumn="0" w:oddVBand="0" w:evenVBand="0" w:oddHBand="0" w:evenHBand="0" w:firstRowFirstColumn="0" w:firstRowLastColumn="0" w:lastRowFirstColumn="0" w:lastRowLastColumn="0"/>
              <w:rPr>
                <w:rFonts w:eastAsia="Times New Roman" w:cs="Calibri"/>
                <w:kern w:val="0"/>
                <w:sz w:val="22"/>
                <w:szCs w:val="22"/>
                <w14:ligatures w14:val="none"/>
              </w:rPr>
            </w:pPr>
            <w:r w:rsidRPr="00C11123">
              <w:rPr>
                <w:rFonts w:eastAsia="Times New Roman" w:cs="Calibri"/>
                <w:kern w:val="0"/>
                <w:sz w:val="22"/>
                <w:szCs w:val="22"/>
                <w14:ligatures w14:val="none"/>
              </w:rPr>
              <w:t>2050</w:t>
            </w:r>
          </w:p>
        </w:tc>
      </w:tr>
      <w:tr w:rsidR="00507820" w14:paraId="5F7BBA8B" w14:textId="77777777" w:rsidTr="00C948D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07CEAA" w14:textId="77777777" w:rsidR="00D70747" w:rsidRPr="00C11123" w:rsidRDefault="00000000" w:rsidP="000E3700">
            <w:pPr>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65-69</w:t>
            </w:r>
          </w:p>
        </w:tc>
        <w:tc>
          <w:tcPr>
            <w:tcW w:w="988" w:type="dxa"/>
            <w:noWrap/>
            <w:hideMark/>
          </w:tcPr>
          <w:p w14:paraId="0846F22A"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205,508</w:t>
            </w:r>
          </w:p>
        </w:tc>
        <w:tc>
          <w:tcPr>
            <w:tcW w:w="988" w:type="dxa"/>
            <w:noWrap/>
            <w:hideMark/>
          </w:tcPr>
          <w:p w14:paraId="24C4F373"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209,655</w:t>
            </w:r>
          </w:p>
        </w:tc>
        <w:tc>
          <w:tcPr>
            <w:tcW w:w="988" w:type="dxa"/>
            <w:noWrap/>
            <w:hideMark/>
          </w:tcPr>
          <w:p w14:paraId="32BC537A"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190,344</w:t>
            </w:r>
          </w:p>
        </w:tc>
        <w:tc>
          <w:tcPr>
            <w:tcW w:w="988" w:type="dxa"/>
            <w:noWrap/>
            <w:hideMark/>
          </w:tcPr>
          <w:p w14:paraId="7DDB3AD8"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171,594</w:t>
            </w:r>
          </w:p>
        </w:tc>
        <w:tc>
          <w:tcPr>
            <w:tcW w:w="988" w:type="dxa"/>
            <w:noWrap/>
            <w:hideMark/>
          </w:tcPr>
          <w:p w14:paraId="5E6D7444"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168,003</w:t>
            </w:r>
          </w:p>
        </w:tc>
        <w:tc>
          <w:tcPr>
            <w:tcW w:w="988" w:type="dxa"/>
            <w:noWrap/>
            <w:hideMark/>
          </w:tcPr>
          <w:p w14:paraId="28124206"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183,236</w:t>
            </w:r>
          </w:p>
        </w:tc>
      </w:tr>
      <w:tr w:rsidR="00507820" w14:paraId="71B5FA92" w14:textId="77777777" w:rsidTr="00C948D3">
        <w:trPr>
          <w:cantSplit/>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B04296" w14:textId="77777777" w:rsidR="00D70747" w:rsidRPr="00C11123" w:rsidRDefault="00000000" w:rsidP="000E3700">
            <w:pPr>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70-74</w:t>
            </w:r>
          </w:p>
        </w:tc>
        <w:tc>
          <w:tcPr>
            <w:tcW w:w="988" w:type="dxa"/>
            <w:noWrap/>
            <w:hideMark/>
          </w:tcPr>
          <w:p w14:paraId="4EB4ABFB"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166,687</w:t>
            </w:r>
          </w:p>
        </w:tc>
        <w:tc>
          <w:tcPr>
            <w:tcW w:w="988" w:type="dxa"/>
            <w:noWrap/>
            <w:hideMark/>
          </w:tcPr>
          <w:p w14:paraId="04369AD2"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183,654</w:t>
            </w:r>
          </w:p>
        </w:tc>
        <w:tc>
          <w:tcPr>
            <w:tcW w:w="988" w:type="dxa"/>
            <w:noWrap/>
            <w:hideMark/>
          </w:tcPr>
          <w:p w14:paraId="3DDE2D93"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187,307</w:t>
            </w:r>
          </w:p>
        </w:tc>
        <w:tc>
          <w:tcPr>
            <w:tcW w:w="988" w:type="dxa"/>
            <w:noWrap/>
            <w:hideMark/>
          </w:tcPr>
          <w:p w14:paraId="0F873E97"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169,977</w:t>
            </w:r>
          </w:p>
        </w:tc>
        <w:tc>
          <w:tcPr>
            <w:tcW w:w="988" w:type="dxa"/>
            <w:noWrap/>
            <w:hideMark/>
          </w:tcPr>
          <w:p w14:paraId="5278E6B2"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153,277</w:t>
            </w:r>
          </w:p>
        </w:tc>
        <w:tc>
          <w:tcPr>
            <w:tcW w:w="988" w:type="dxa"/>
            <w:noWrap/>
            <w:hideMark/>
          </w:tcPr>
          <w:p w14:paraId="03370B37"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150,437</w:t>
            </w:r>
          </w:p>
        </w:tc>
      </w:tr>
      <w:tr w:rsidR="00507820" w14:paraId="71BF90B5" w14:textId="77777777" w:rsidTr="00C948D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6D5A98B7" w14:textId="77777777" w:rsidR="00D70747" w:rsidRPr="00C11123" w:rsidRDefault="00000000" w:rsidP="000E3700">
            <w:pPr>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75-79</w:t>
            </w:r>
          </w:p>
        </w:tc>
        <w:tc>
          <w:tcPr>
            <w:tcW w:w="988" w:type="dxa"/>
            <w:noWrap/>
            <w:hideMark/>
          </w:tcPr>
          <w:p w14:paraId="749F5DD4"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127,311</w:t>
            </w:r>
          </w:p>
        </w:tc>
        <w:tc>
          <w:tcPr>
            <w:tcW w:w="988" w:type="dxa"/>
            <w:noWrap/>
            <w:hideMark/>
          </w:tcPr>
          <w:p w14:paraId="20DF7F02"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142,543</w:t>
            </w:r>
          </w:p>
        </w:tc>
        <w:tc>
          <w:tcPr>
            <w:tcW w:w="988" w:type="dxa"/>
            <w:noWrap/>
            <w:hideMark/>
          </w:tcPr>
          <w:p w14:paraId="39184645"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156,779</w:t>
            </w:r>
          </w:p>
        </w:tc>
        <w:tc>
          <w:tcPr>
            <w:tcW w:w="988" w:type="dxa"/>
            <w:noWrap/>
            <w:hideMark/>
          </w:tcPr>
          <w:p w14:paraId="734C9709"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159,337</w:t>
            </w:r>
          </w:p>
        </w:tc>
        <w:tc>
          <w:tcPr>
            <w:tcW w:w="988" w:type="dxa"/>
            <w:noWrap/>
            <w:hideMark/>
          </w:tcPr>
          <w:p w14:paraId="5C4B2988"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144,901</w:t>
            </w:r>
          </w:p>
        </w:tc>
        <w:tc>
          <w:tcPr>
            <w:tcW w:w="988" w:type="dxa"/>
            <w:noWrap/>
            <w:hideMark/>
          </w:tcPr>
          <w:p w14:paraId="4A852A96"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130,972</w:t>
            </w:r>
          </w:p>
        </w:tc>
      </w:tr>
      <w:tr w:rsidR="00507820" w14:paraId="099B9DB0" w14:textId="77777777" w:rsidTr="00C948D3">
        <w:trPr>
          <w:cantSplit/>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D1F7640" w14:textId="77777777" w:rsidR="00D70747" w:rsidRPr="00C11123" w:rsidRDefault="00000000" w:rsidP="000E3700">
            <w:pPr>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80-84</w:t>
            </w:r>
          </w:p>
        </w:tc>
        <w:tc>
          <w:tcPr>
            <w:tcW w:w="988" w:type="dxa"/>
            <w:noWrap/>
            <w:hideMark/>
          </w:tcPr>
          <w:p w14:paraId="6E3D43EA"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75,637</w:t>
            </w:r>
          </w:p>
        </w:tc>
        <w:tc>
          <w:tcPr>
            <w:tcW w:w="988" w:type="dxa"/>
            <w:noWrap/>
            <w:hideMark/>
          </w:tcPr>
          <w:p w14:paraId="3F635255"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97,542</w:t>
            </w:r>
          </w:p>
        </w:tc>
        <w:tc>
          <w:tcPr>
            <w:tcW w:w="988" w:type="dxa"/>
            <w:noWrap/>
            <w:hideMark/>
          </w:tcPr>
          <w:p w14:paraId="605A5720"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109,296</w:t>
            </w:r>
          </w:p>
        </w:tc>
        <w:tc>
          <w:tcPr>
            <w:tcW w:w="988" w:type="dxa"/>
            <w:noWrap/>
            <w:hideMark/>
          </w:tcPr>
          <w:p w14:paraId="04CD5513"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119,893</w:t>
            </w:r>
          </w:p>
        </w:tc>
        <w:tc>
          <w:tcPr>
            <w:tcW w:w="988" w:type="dxa"/>
            <w:noWrap/>
            <w:hideMark/>
          </w:tcPr>
          <w:p w14:paraId="54456356"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121,961</w:t>
            </w:r>
          </w:p>
        </w:tc>
        <w:tc>
          <w:tcPr>
            <w:tcW w:w="988" w:type="dxa"/>
            <w:noWrap/>
            <w:hideMark/>
          </w:tcPr>
          <w:p w14:paraId="0500C53E" w14:textId="77777777" w:rsidR="00D70747" w:rsidRPr="00C11123" w:rsidRDefault="00000000" w:rsidP="000E37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110,988</w:t>
            </w:r>
          </w:p>
        </w:tc>
      </w:tr>
      <w:tr w:rsidR="00507820" w14:paraId="2B3DC6F9" w14:textId="77777777" w:rsidTr="00C948D3">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FD2B53" w14:textId="77777777" w:rsidR="00D70747" w:rsidRPr="00C11123" w:rsidRDefault="00000000" w:rsidP="000E3700">
            <w:pPr>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85+</w:t>
            </w:r>
          </w:p>
        </w:tc>
        <w:tc>
          <w:tcPr>
            <w:tcW w:w="988" w:type="dxa"/>
            <w:noWrap/>
            <w:hideMark/>
          </w:tcPr>
          <w:p w14:paraId="1FAE91BF"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60,441</w:t>
            </w:r>
          </w:p>
        </w:tc>
        <w:tc>
          <w:tcPr>
            <w:tcW w:w="988" w:type="dxa"/>
            <w:noWrap/>
            <w:hideMark/>
          </w:tcPr>
          <w:p w14:paraId="0719FD65"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71,405</w:t>
            </w:r>
          </w:p>
        </w:tc>
        <w:tc>
          <w:tcPr>
            <w:tcW w:w="988" w:type="dxa"/>
            <w:noWrap/>
            <w:hideMark/>
          </w:tcPr>
          <w:p w14:paraId="0B1ACE3B"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88,292</w:t>
            </w:r>
          </w:p>
        </w:tc>
        <w:tc>
          <w:tcPr>
            <w:tcW w:w="988" w:type="dxa"/>
            <w:noWrap/>
            <w:hideMark/>
          </w:tcPr>
          <w:p w14:paraId="1E666C4D"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102,561</w:t>
            </w:r>
          </w:p>
        </w:tc>
        <w:tc>
          <w:tcPr>
            <w:tcW w:w="988" w:type="dxa"/>
            <w:noWrap/>
            <w:hideMark/>
          </w:tcPr>
          <w:p w14:paraId="5A5588A8"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115,102</w:t>
            </w:r>
          </w:p>
        </w:tc>
        <w:tc>
          <w:tcPr>
            <w:tcW w:w="988" w:type="dxa"/>
            <w:noWrap/>
            <w:hideMark/>
          </w:tcPr>
          <w:p w14:paraId="1E688833" w14:textId="77777777" w:rsidR="00D70747" w:rsidRPr="00C11123" w:rsidRDefault="00000000" w:rsidP="000E3700">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121,655</w:t>
            </w:r>
          </w:p>
        </w:tc>
      </w:tr>
      <w:tr w:rsidR="00507820" w14:paraId="42BAAD0E" w14:textId="77777777" w:rsidTr="00C948D3">
        <w:trPr>
          <w:cantSplit/>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C070C01" w14:textId="77777777" w:rsidR="00D70747" w:rsidRPr="00C11123" w:rsidRDefault="00000000" w:rsidP="000E3700">
            <w:pPr>
              <w:rPr>
                <w:rFonts w:eastAsia="Times New Roman" w:cs="Calibri"/>
                <w:color w:val="000000"/>
                <w:kern w:val="0"/>
                <w:sz w:val="22"/>
                <w:szCs w:val="22"/>
                <w14:ligatures w14:val="none"/>
              </w:rPr>
            </w:pPr>
            <w:r w:rsidRPr="00C11123">
              <w:rPr>
                <w:rFonts w:eastAsia="Times New Roman" w:cs="Calibri"/>
                <w:color w:val="000000"/>
                <w:kern w:val="0"/>
                <w:sz w:val="22"/>
                <w:szCs w:val="22"/>
                <w14:ligatures w14:val="none"/>
              </w:rPr>
              <w:t>Total</w:t>
            </w:r>
          </w:p>
        </w:tc>
        <w:tc>
          <w:tcPr>
            <w:tcW w:w="988" w:type="dxa"/>
            <w:noWrap/>
            <w:hideMark/>
          </w:tcPr>
          <w:p w14:paraId="29E8942A" w14:textId="77777777" w:rsidR="00D70747" w:rsidRPr="00C11123" w:rsidRDefault="00000000" w:rsidP="000E3700">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kern w:val="0"/>
                <w:sz w:val="22"/>
                <w:szCs w:val="22"/>
                <w14:ligatures w14:val="none"/>
              </w:rPr>
            </w:pPr>
            <w:r w:rsidRPr="00C11123">
              <w:rPr>
                <w:rFonts w:eastAsia="Times New Roman" w:cs="Calibri"/>
                <w:b/>
                <w:bCs/>
                <w:color w:val="000000"/>
                <w:kern w:val="0"/>
                <w:sz w:val="22"/>
                <w:szCs w:val="22"/>
                <w14:ligatures w14:val="none"/>
              </w:rPr>
              <w:t>635,584</w:t>
            </w:r>
          </w:p>
        </w:tc>
        <w:tc>
          <w:tcPr>
            <w:tcW w:w="988" w:type="dxa"/>
            <w:noWrap/>
            <w:hideMark/>
          </w:tcPr>
          <w:p w14:paraId="5A88C6DA" w14:textId="77777777" w:rsidR="00D70747" w:rsidRPr="00C11123" w:rsidRDefault="00000000" w:rsidP="000E3700">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kern w:val="0"/>
                <w:sz w:val="22"/>
                <w:szCs w:val="22"/>
                <w14:ligatures w14:val="none"/>
              </w:rPr>
            </w:pPr>
            <w:r w:rsidRPr="00C11123">
              <w:rPr>
                <w:rFonts w:eastAsia="Times New Roman" w:cs="Calibri"/>
                <w:b/>
                <w:bCs/>
                <w:color w:val="000000"/>
                <w:kern w:val="0"/>
                <w:sz w:val="22"/>
                <w:szCs w:val="22"/>
                <w14:ligatures w14:val="none"/>
              </w:rPr>
              <w:t>704,799</w:t>
            </w:r>
          </w:p>
        </w:tc>
        <w:tc>
          <w:tcPr>
            <w:tcW w:w="988" w:type="dxa"/>
            <w:noWrap/>
            <w:hideMark/>
          </w:tcPr>
          <w:p w14:paraId="4C4190DB" w14:textId="77777777" w:rsidR="00D70747" w:rsidRPr="00C11123" w:rsidRDefault="00000000" w:rsidP="000E3700">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kern w:val="0"/>
                <w:sz w:val="22"/>
                <w:szCs w:val="22"/>
                <w14:ligatures w14:val="none"/>
              </w:rPr>
            </w:pPr>
            <w:r w:rsidRPr="00C11123">
              <w:rPr>
                <w:rFonts w:eastAsia="Times New Roman" w:cs="Calibri"/>
                <w:b/>
                <w:bCs/>
                <w:color w:val="000000"/>
                <w:kern w:val="0"/>
                <w:sz w:val="22"/>
                <w:szCs w:val="22"/>
                <w14:ligatures w14:val="none"/>
              </w:rPr>
              <w:t>732,018</w:t>
            </w:r>
          </w:p>
        </w:tc>
        <w:tc>
          <w:tcPr>
            <w:tcW w:w="988" w:type="dxa"/>
            <w:noWrap/>
            <w:hideMark/>
          </w:tcPr>
          <w:p w14:paraId="0A5EFE79" w14:textId="77777777" w:rsidR="00D70747" w:rsidRPr="00C11123" w:rsidRDefault="00000000" w:rsidP="000E3700">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kern w:val="0"/>
                <w:sz w:val="22"/>
                <w:szCs w:val="22"/>
                <w14:ligatures w14:val="none"/>
              </w:rPr>
            </w:pPr>
            <w:r w:rsidRPr="00C11123">
              <w:rPr>
                <w:rFonts w:eastAsia="Times New Roman" w:cs="Calibri"/>
                <w:b/>
                <w:bCs/>
                <w:color w:val="000000"/>
                <w:kern w:val="0"/>
                <w:sz w:val="22"/>
                <w:szCs w:val="22"/>
                <w14:ligatures w14:val="none"/>
              </w:rPr>
              <w:t>723,362</w:t>
            </w:r>
          </w:p>
        </w:tc>
        <w:tc>
          <w:tcPr>
            <w:tcW w:w="988" w:type="dxa"/>
            <w:noWrap/>
            <w:hideMark/>
          </w:tcPr>
          <w:p w14:paraId="7955246C" w14:textId="77777777" w:rsidR="00D70747" w:rsidRPr="00C11123" w:rsidRDefault="00000000" w:rsidP="000E3700">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kern w:val="0"/>
                <w:sz w:val="22"/>
                <w:szCs w:val="22"/>
                <w14:ligatures w14:val="none"/>
              </w:rPr>
            </w:pPr>
            <w:r w:rsidRPr="00C11123">
              <w:rPr>
                <w:rFonts w:eastAsia="Times New Roman" w:cs="Calibri"/>
                <w:b/>
                <w:bCs/>
                <w:color w:val="000000"/>
                <w:kern w:val="0"/>
                <w:sz w:val="22"/>
                <w:szCs w:val="22"/>
                <w14:ligatures w14:val="none"/>
              </w:rPr>
              <w:t>703,244</w:t>
            </w:r>
          </w:p>
        </w:tc>
        <w:tc>
          <w:tcPr>
            <w:tcW w:w="988" w:type="dxa"/>
            <w:noWrap/>
            <w:hideMark/>
          </w:tcPr>
          <w:p w14:paraId="5263337A" w14:textId="77777777" w:rsidR="00D70747" w:rsidRPr="00C11123" w:rsidRDefault="00000000" w:rsidP="000E3700">
            <w:pPr>
              <w:jc w:val="righ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kern w:val="0"/>
                <w:sz w:val="22"/>
                <w:szCs w:val="22"/>
                <w14:ligatures w14:val="none"/>
              </w:rPr>
            </w:pPr>
            <w:r w:rsidRPr="00C11123">
              <w:rPr>
                <w:rFonts w:eastAsia="Times New Roman" w:cs="Calibri"/>
                <w:b/>
                <w:bCs/>
                <w:color w:val="000000"/>
                <w:kern w:val="0"/>
                <w:sz w:val="22"/>
                <w:szCs w:val="22"/>
                <w14:ligatures w14:val="none"/>
              </w:rPr>
              <w:t>697,288</w:t>
            </w:r>
          </w:p>
        </w:tc>
      </w:tr>
    </w:tbl>
    <w:p w14:paraId="5D6A098C" w14:textId="77777777" w:rsidR="00957C90" w:rsidRPr="00C11123" w:rsidRDefault="00957C90" w:rsidP="00F5455F">
      <w:pPr>
        <w:spacing w:after="0" w:line="240" w:lineRule="auto"/>
        <w:jc w:val="both"/>
        <w:rPr>
          <w:rFonts w:cs="Arial"/>
          <w:sz w:val="22"/>
          <w:szCs w:val="22"/>
        </w:rPr>
      </w:pPr>
    </w:p>
    <w:p w14:paraId="595C59CC" w14:textId="190844D4" w:rsidR="00D13BAB" w:rsidRPr="00C11123" w:rsidRDefault="00000000" w:rsidP="00CC6024">
      <w:pPr>
        <w:spacing w:after="0" w:line="240" w:lineRule="auto"/>
        <w:jc w:val="both"/>
        <w:rPr>
          <w:rFonts w:cs="Arial"/>
          <w:sz w:val="22"/>
          <w:szCs w:val="22"/>
          <w:lang w:val="x-none"/>
        </w:rPr>
      </w:pPr>
      <w:r w:rsidRPr="00C11123">
        <w:rPr>
          <w:rFonts w:cs="Arial"/>
          <w:sz w:val="22"/>
          <w:szCs w:val="22"/>
        </w:rPr>
        <w:t xml:space="preserve">The </w:t>
      </w:r>
      <w:r w:rsidR="00B171B4" w:rsidRPr="00C11123">
        <w:rPr>
          <w:rFonts w:cs="Arial"/>
          <w:sz w:val="22"/>
          <w:szCs w:val="22"/>
        </w:rPr>
        <w:t xml:space="preserve">Department of Public Health’s </w:t>
      </w:r>
      <w:r w:rsidR="00D633AF" w:rsidRPr="00C11123">
        <w:rPr>
          <w:rFonts w:cs="Arial"/>
          <w:sz w:val="22"/>
          <w:szCs w:val="22"/>
        </w:rPr>
        <w:t xml:space="preserve">(DPH) </w:t>
      </w:r>
      <w:r w:rsidR="00206E82" w:rsidRPr="00C11123">
        <w:rPr>
          <w:rFonts w:cs="Arial"/>
          <w:sz w:val="22"/>
          <w:szCs w:val="22"/>
        </w:rPr>
        <w:t>statewide study released in 2024 on Cancer Incidence and Mortality in Massachusetts</w:t>
      </w:r>
      <w:r>
        <w:rPr>
          <w:rStyle w:val="FootnoteReference"/>
          <w:rFonts w:cs="Arial"/>
          <w:sz w:val="22"/>
          <w:szCs w:val="22"/>
        </w:rPr>
        <w:footnoteReference w:id="24"/>
      </w:r>
      <w:r w:rsidRPr="00C11123">
        <w:rPr>
          <w:rFonts w:cs="Arial"/>
          <w:sz w:val="22"/>
          <w:szCs w:val="22"/>
        </w:rPr>
        <w:t xml:space="preserve"> also corroborates the significance of prostate cancer in the male patient population within the Commonwealth</w:t>
      </w:r>
      <w:r w:rsidR="00164BD2" w:rsidRPr="00C11123">
        <w:rPr>
          <w:rFonts w:cs="Arial"/>
          <w:sz w:val="22"/>
          <w:szCs w:val="22"/>
        </w:rPr>
        <w:t xml:space="preserve"> </w:t>
      </w:r>
      <w:r w:rsidR="007157C8" w:rsidRPr="00C11123">
        <w:rPr>
          <w:rFonts w:cs="Arial"/>
          <w:sz w:val="22"/>
          <w:szCs w:val="22"/>
        </w:rPr>
        <w:t>during</w:t>
      </w:r>
      <w:r w:rsidR="00164BD2" w:rsidRPr="00C11123">
        <w:rPr>
          <w:rFonts w:cs="Arial"/>
          <w:sz w:val="22"/>
          <w:szCs w:val="22"/>
        </w:rPr>
        <w:t xml:space="preserve"> the last decade</w:t>
      </w:r>
      <w:r w:rsidR="00D633AF" w:rsidRPr="00C11123">
        <w:rPr>
          <w:rFonts w:cs="Arial"/>
          <w:sz w:val="22"/>
          <w:szCs w:val="22"/>
        </w:rPr>
        <w:t xml:space="preserve">.  As found by DPH, </w:t>
      </w:r>
      <w:r w:rsidRPr="00C11123">
        <w:rPr>
          <w:rFonts w:cs="Arial"/>
          <w:sz w:val="22"/>
          <w:szCs w:val="22"/>
        </w:rPr>
        <w:t xml:space="preserve">cancer rates in Massachusetts were highest among males over 65 years old, and </w:t>
      </w:r>
      <w:r w:rsidR="007144E6" w:rsidRPr="00C11123">
        <w:rPr>
          <w:rFonts w:cs="Arial"/>
          <w:sz w:val="22"/>
          <w:szCs w:val="22"/>
        </w:rPr>
        <w:t>“</w:t>
      </w:r>
      <w:r w:rsidR="007144E6" w:rsidRPr="00C11123">
        <w:rPr>
          <w:rFonts w:cs="Arial"/>
          <w:sz w:val="22"/>
          <w:szCs w:val="22"/>
          <w:lang w:val="x-none"/>
        </w:rPr>
        <w:t>prostate cancer was the leading cause of cancer, with over a quarter</w:t>
      </w:r>
      <w:r w:rsidR="00321547" w:rsidRPr="00C11123">
        <w:rPr>
          <w:rFonts w:cs="Arial"/>
          <w:sz w:val="22"/>
          <w:szCs w:val="22"/>
          <w:lang w:val="x-none"/>
        </w:rPr>
        <w:t xml:space="preserve"> </w:t>
      </w:r>
      <w:r w:rsidR="007144E6" w:rsidRPr="00C11123">
        <w:rPr>
          <w:rFonts w:cs="Arial"/>
          <w:sz w:val="22"/>
          <w:szCs w:val="22"/>
          <w:lang w:val="x-none"/>
        </w:rPr>
        <w:t>(25.5%) of all new cancers in males.”</w:t>
      </w:r>
      <w:r>
        <w:rPr>
          <w:rStyle w:val="FootnoteReference"/>
          <w:rFonts w:cs="Arial"/>
          <w:sz w:val="22"/>
          <w:szCs w:val="22"/>
          <w:lang w:val="x-none"/>
        </w:rPr>
        <w:footnoteReference w:id="25"/>
      </w:r>
      <w:r w:rsidR="007157C8" w:rsidRPr="00C11123">
        <w:rPr>
          <w:rFonts w:cs="Arial"/>
          <w:sz w:val="22"/>
          <w:szCs w:val="22"/>
          <w:lang w:val="x-none"/>
        </w:rPr>
        <w:t xml:space="preserve"> </w:t>
      </w:r>
      <w:r w:rsidRPr="00C11123">
        <w:rPr>
          <w:rFonts w:cs="Arial"/>
          <w:sz w:val="22"/>
          <w:szCs w:val="22"/>
          <w:lang w:val="x-none"/>
        </w:rPr>
        <w:t xml:space="preserve">While prostate cancer is also the leading cause of cancer for males nationally, notably DPH also found that Massachusetts has a significantly higher incidence </w:t>
      </w:r>
      <w:r w:rsidR="00AE2ECF" w:rsidRPr="00C11123">
        <w:rPr>
          <w:rFonts w:cs="Arial"/>
          <w:sz w:val="22"/>
          <w:szCs w:val="22"/>
          <w:lang w:val="x-none"/>
        </w:rPr>
        <w:t xml:space="preserve">of prostate cancer </w:t>
      </w:r>
      <w:r w:rsidR="003C1296" w:rsidRPr="00C11123">
        <w:rPr>
          <w:rFonts w:cs="Arial"/>
          <w:sz w:val="22"/>
          <w:szCs w:val="22"/>
          <w:lang w:val="x-none"/>
        </w:rPr>
        <w:t>than the rest of the country</w:t>
      </w:r>
      <w:r w:rsidR="00AE2ECF" w:rsidRPr="00C11123">
        <w:rPr>
          <w:rFonts w:cs="Arial"/>
          <w:sz w:val="22"/>
          <w:szCs w:val="22"/>
          <w:lang w:val="x-none"/>
        </w:rPr>
        <w:t>, representing</w:t>
      </w:r>
      <w:r w:rsidR="003C1296" w:rsidRPr="00C11123">
        <w:rPr>
          <w:rFonts w:cs="Arial"/>
          <w:sz w:val="22"/>
          <w:szCs w:val="22"/>
          <w:lang w:val="x-none"/>
        </w:rPr>
        <w:t xml:space="preserve"> the second leading cause of cancer death in the Commonwealth</w:t>
      </w:r>
      <w:r w:rsidRPr="00C11123">
        <w:rPr>
          <w:rFonts w:cs="Arial"/>
          <w:sz w:val="22"/>
          <w:szCs w:val="22"/>
          <w:lang w:val="x-none"/>
        </w:rPr>
        <w:t>.</w:t>
      </w:r>
      <w:r>
        <w:rPr>
          <w:rStyle w:val="FootnoteReference"/>
          <w:rFonts w:cs="Arial"/>
          <w:sz w:val="22"/>
          <w:szCs w:val="22"/>
          <w:lang w:val="x-none"/>
        </w:rPr>
        <w:footnoteReference w:id="26"/>
      </w:r>
    </w:p>
    <w:p w14:paraId="3B217639" w14:textId="77777777" w:rsidR="00B171B4" w:rsidRPr="00C11123" w:rsidRDefault="00B171B4" w:rsidP="00CC6024">
      <w:pPr>
        <w:spacing w:after="0" w:line="240" w:lineRule="auto"/>
        <w:jc w:val="both"/>
        <w:rPr>
          <w:rFonts w:cs="Arial"/>
          <w:sz w:val="22"/>
          <w:szCs w:val="22"/>
        </w:rPr>
      </w:pPr>
    </w:p>
    <w:p w14:paraId="47FD33EC" w14:textId="584F03D3" w:rsidR="00957C90" w:rsidRPr="00C11123" w:rsidRDefault="00000000" w:rsidP="00CC6024">
      <w:pPr>
        <w:spacing w:after="0" w:line="240" w:lineRule="auto"/>
        <w:jc w:val="both"/>
        <w:rPr>
          <w:rFonts w:cs="Arial"/>
          <w:sz w:val="22"/>
          <w:szCs w:val="22"/>
        </w:rPr>
      </w:pPr>
      <w:r w:rsidRPr="00C11123">
        <w:rPr>
          <w:rFonts w:cs="Arial"/>
          <w:sz w:val="22"/>
          <w:szCs w:val="22"/>
        </w:rPr>
        <w:t>These demographic trends support a data</w:t>
      </w:r>
      <w:r w:rsidRPr="00C11123">
        <w:rPr>
          <w:rFonts w:cs="Arial"/>
          <w:sz w:val="22"/>
          <w:szCs w:val="22"/>
        </w:rPr>
        <w:noBreakHyphen/>
        <w:t xml:space="preserve">driven expectation of </w:t>
      </w:r>
      <w:r w:rsidR="00D44E07" w:rsidRPr="00C11123">
        <w:rPr>
          <w:rFonts w:cs="Arial"/>
          <w:sz w:val="22"/>
          <w:szCs w:val="22"/>
        </w:rPr>
        <w:t xml:space="preserve">continued prevalence and </w:t>
      </w:r>
      <w:r w:rsidRPr="00C11123">
        <w:rPr>
          <w:rFonts w:cs="Arial"/>
          <w:sz w:val="22"/>
          <w:szCs w:val="22"/>
        </w:rPr>
        <w:t>sustained growth in the Applicant’s Patient Panel requiring PSMA PET/CT for prostate cancer diagnosis, staging, and management. As Massachusetts’ population of males age</w:t>
      </w:r>
      <w:r w:rsidR="00AE2ECF" w:rsidRPr="00C11123">
        <w:rPr>
          <w:rFonts w:cs="Arial"/>
          <w:sz w:val="22"/>
          <w:szCs w:val="22"/>
        </w:rPr>
        <w:t>d</w:t>
      </w:r>
      <w:r w:rsidRPr="00C11123">
        <w:rPr>
          <w:rFonts w:cs="Arial"/>
          <w:sz w:val="22"/>
          <w:szCs w:val="22"/>
        </w:rPr>
        <w:t xml:space="preserve"> 65</w:t>
      </w:r>
      <w:r w:rsidR="00AE2ECF" w:rsidRPr="00C11123">
        <w:rPr>
          <w:rFonts w:cs="Arial"/>
          <w:sz w:val="22"/>
          <w:szCs w:val="22"/>
        </w:rPr>
        <w:t xml:space="preserve"> and over</w:t>
      </w:r>
      <w:r w:rsidR="00EE42E9" w:rsidRPr="00C11123">
        <w:rPr>
          <w:rFonts w:cs="Arial"/>
          <w:sz w:val="22"/>
          <w:szCs w:val="22"/>
        </w:rPr>
        <w:t xml:space="preserve"> </w:t>
      </w:r>
      <w:r w:rsidRPr="00C11123">
        <w:rPr>
          <w:rFonts w:cs="Arial"/>
          <w:sz w:val="22"/>
          <w:szCs w:val="22"/>
        </w:rPr>
        <w:t xml:space="preserve">continues to expand over the next decade and </w:t>
      </w:r>
      <w:r w:rsidR="00AE2ECF" w:rsidRPr="00C11123">
        <w:rPr>
          <w:rFonts w:cs="Arial"/>
          <w:sz w:val="22"/>
          <w:szCs w:val="22"/>
        </w:rPr>
        <w:t>beyond</w:t>
      </w:r>
      <w:r w:rsidRPr="00C11123">
        <w:rPr>
          <w:rFonts w:cs="Arial"/>
          <w:sz w:val="22"/>
          <w:szCs w:val="22"/>
        </w:rPr>
        <w:t>, a corresponding increase in clinically indicated PSMA PET/CT utilization</w:t>
      </w:r>
      <w:r w:rsidR="00CF09F2" w:rsidRPr="00C11123">
        <w:rPr>
          <w:rFonts w:cs="Arial"/>
          <w:sz w:val="22"/>
          <w:szCs w:val="22"/>
        </w:rPr>
        <w:t xml:space="preserve"> should be expected</w:t>
      </w:r>
      <w:r w:rsidRPr="00C11123">
        <w:rPr>
          <w:rFonts w:cs="Arial"/>
          <w:sz w:val="22"/>
          <w:szCs w:val="22"/>
        </w:rPr>
        <w:t xml:space="preserve">. </w:t>
      </w:r>
      <w:proofErr w:type="gramStart"/>
      <w:r w:rsidRPr="00C11123">
        <w:rPr>
          <w:rFonts w:cs="Arial"/>
          <w:sz w:val="22"/>
          <w:szCs w:val="22"/>
        </w:rPr>
        <w:t>In light of</w:t>
      </w:r>
      <w:proofErr w:type="gramEnd"/>
      <w:r w:rsidRPr="00C11123">
        <w:rPr>
          <w:rFonts w:cs="Arial"/>
          <w:sz w:val="22"/>
          <w:szCs w:val="22"/>
        </w:rPr>
        <w:t xml:space="preserve"> this </w:t>
      </w:r>
      <w:r w:rsidR="00B171B4" w:rsidRPr="00C11123">
        <w:rPr>
          <w:rFonts w:cs="Arial"/>
          <w:sz w:val="22"/>
          <w:szCs w:val="22"/>
        </w:rPr>
        <w:t>increase in the at-risk population</w:t>
      </w:r>
      <w:r w:rsidRPr="00C11123">
        <w:rPr>
          <w:rFonts w:cs="Arial"/>
          <w:sz w:val="22"/>
          <w:szCs w:val="22"/>
        </w:rPr>
        <w:t xml:space="preserve">, </w:t>
      </w:r>
      <w:r w:rsidR="00F73796" w:rsidRPr="00C11123">
        <w:rPr>
          <w:rFonts w:cs="Arial"/>
          <w:sz w:val="22"/>
          <w:szCs w:val="22"/>
        </w:rPr>
        <w:t xml:space="preserve">the Proposed Project to </w:t>
      </w:r>
      <w:r w:rsidRPr="00C11123">
        <w:rPr>
          <w:rFonts w:cs="Arial"/>
          <w:sz w:val="22"/>
          <w:szCs w:val="22"/>
        </w:rPr>
        <w:t>provid</w:t>
      </w:r>
      <w:r w:rsidR="00F73796" w:rsidRPr="00C11123">
        <w:rPr>
          <w:rFonts w:cs="Arial"/>
          <w:sz w:val="22"/>
          <w:szCs w:val="22"/>
        </w:rPr>
        <w:t>e</w:t>
      </w:r>
      <w:r w:rsidRPr="00C11123">
        <w:rPr>
          <w:rFonts w:cs="Arial"/>
          <w:sz w:val="22"/>
          <w:szCs w:val="22"/>
        </w:rPr>
        <w:t xml:space="preserve"> PSMA PET/CT imaging within the Applicant’s urology practice is necessary to support appropriate capacity planning, ensure continuity of care, and deliver timely, potentially life</w:t>
      </w:r>
      <w:r w:rsidRPr="00C11123">
        <w:rPr>
          <w:rFonts w:cs="Arial"/>
          <w:sz w:val="22"/>
          <w:szCs w:val="22"/>
        </w:rPr>
        <w:noBreakHyphen/>
        <w:t>saving prostate cancer diagnostics that meet both current and future patient needs.</w:t>
      </w:r>
    </w:p>
    <w:p w14:paraId="0AFD74F2" w14:textId="77777777" w:rsidR="00FE0645" w:rsidRPr="00C11123" w:rsidRDefault="00FE0645" w:rsidP="00CC6024">
      <w:pPr>
        <w:spacing w:after="0" w:line="240" w:lineRule="auto"/>
        <w:jc w:val="both"/>
        <w:rPr>
          <w:rFonts w:cs="Arial"/>
          <w:sz w:val="22"/>
          <w:szCs w:val="22"/>
        </w:rPr>
      </w:pPr>
    </w:p>
    <w:p w14:paraId="387C2428" w14:textId="1AEB5153" w:rsidR="00FE0645" w:rsidRPr="00C11123" w:rsidRDefault="00000000" w:rsidP="00153B38">
      <w:pPr>
        <w:pStyle w:val="Heading4"/>
      </w:pPr>
      <w:r w:rsidRPr="00C11123">
        <w:t>Need Based on Disease Burden</w:t>
      </w:r>
    </w:p>
    <w:p w14:paraId="0D83EDDF" w14:textId="4431DD50" w:rsidR="00FE0645" w:rsidRPr="00C11123" w:rsidRDefault="00FE0645" w:rsidP="00CC6024">
      <w:pPr>
        <w:spacing w:after="0" w:line="240" w:lineRule="auto"/>
        <w:jc w:val="both"/>
        <w:rPr>
          <w:rFonts w:cs="Arial"/>
          <w:sz w:val="22"/>
          <w:szCs w:val="22"/>
        </w:rPr>
      </w:pPr>
    </w:p>
    <w:p w14:paraId="68DED45C" w14:textId="4EB5BA1F" w:rsidR="00DD7CC5" w:rsidRPr="00C11123" w:rsidRDefault="00000000" w:rsidP="00CC6024">
      <w:pPr>
        <w:spacing w:after="0" w:line="240" w:lineRule="auto"/>
        <w:jc w:val="both"/>
        <w:rPr>
          <w:rFonts w:cs="Arial"/>
          <w:sz w:val="22"/>
          <w:szCs w:val="22"/>
        </w:rPr>
      </w:pPr>
      <w:r w:rsidRPr="00C11123">
        <w:rPr>
          <w:rFonts w:cs="Arial"/>
          <w:sz w:val="22"/>
          <w:szCs w:val="22"/>
        </w:rPr>
        <w:t xml:space="preserve">The Applicant </w:t>
      </w:r>
      <w:r w:rsidR="00A45A65" w:rsidRPr="00C11123">
        <w:rPr>
          <w:rFonts w:cs="Arial"/>
          <w:sz w:val="22"/>
          <w:szCs w:val="22"/>
        </w:rPr>
        <w:t xml:space="preserve">annually </w:t>
      </w:r>
      <w:r w:rsidRPr="00C11123">
        <w:rPr>
          <w:rFonts w:cs="Arial"/>
          <w:sz w:val="22"/>
          <w:szCs w:val="22"/>
        </w:rPr>
        <w:t xml:space="preserve">serves a Patient Panel with </w:t>
      </w:r>
      <w:r w:rsidR="00A45A65" w:rsidRPr="00C11123">
        <w:rPr>
          <w:rFonts w:cs="Arial"/>
          <w:sz w:val="22"/>
          <w:szCs w:val="22"/>
        </w:rPr>
        <w:t>a significant number of individuals diagnosed with prostate cancer</w:t>
      </w:r>
      <w:r w:rsidRPr="00C11123">
        <w:rPr>
          <w:rFonts w:cs="Arial"/>
          <w:sz w:val="22"/>
          <w:szCs w:val="22"/>
        </w:rPr>
        <w:t xml:space="preserve">.  </w:t>
      </w:r>
      <w:r w:rsidR="00610712" w:rsidRPr="00C11123">
        <w:rPr>
          <w:rFonts w:cs="Arial"/>
          <w:sz w:val="22"/>
          <w:szCs w:val="22"/>
        </w:rPr>
        <w:t>As of 2025, the Applicant had 6,304 prostate cancer patients and saw 14,504 patient visits for prostate cancer.</w:t>
      </w:r>
      <w:r>
        <w:rPr>
          <w:rStyle w:val="FootnoteReference"/>
          <w:rFonts w:cs="Arial"/>
          <w:sz w:val="22"/>
          <w:szCs w:val="22"/>
        </w:rPr>
        <w:footnoteReference w:id="27"/>
      </w:r>
      <w:r w:rsidR="00006320" w:rsidRPr="00C11123">
        <w:rPr>
          <w:rFonts w:cs="Arial"/>
          <w:sz w:val="22"/>
          <w:szCs w:val="22"/>
        </w:rPr>
        <w:t xml:space="preserve"> </w:t>
      </w:r>
      <w:r w:rsidR="009D47A5" w:rsidRPr="00C11123">
        <w:rPr>
          <w:rFonts w:cs="Arial"/>
          <w:sz w:val="22"/>
          <w:szCs w:val="22"/>
        </w:rPr>
        <w:t>The</w:t>
      </w:r>
      <w:r w:rsidR="00E32362" w:rsidRPr="00C11123">
        <w:rPr>
          <w:rFonts w:cs="Arial"/>
          <w:sz w:val="22"/>
          <w:szCs w:val="22"/>
        </w:rPr>
        <w:t xml:space="preserve"> Applicant’s data show</w:t>
      </w:r>
      <w:r w:rsidR="009D47A5" w:rsidRPr="00C11123">
        <w:rPr>
          <w:rFonts w:cs="Arial"/>
          <w:sz w:val="22"/>
          <w:szCs w:val="22"/>
        </w:rPr>
        <w:t xml:space="preserve"> a</w:t>
      </w:r>
      <w:r w:rsidR="00E32362" w:rsidRPr="00C11123">
        <w:rPr>
          <w:rFonts w:cs="Arial"/>
          <w:sz w:val="22"/>
          <w:szCs w:val="22"/>
        </w:rPr>
        <w:t xml:space="preserve"> year-over-year expansion in its prostate cancer Patient Panel</w:t>
      </w:r>
      <w:r w:rsidR="009D47A5" w:rsidRPr="00C11123">
        <w:rPr>
          <w:rFonts w:cs="Arial"/>
          <w:sz w:val="22"/>
          <w:szCs w:val="22"/>
        </w:rPr>
        <w:t>, as well</w:t>
      </w:r>
      <w:r w:rsidR="00A71402" w:rsidRPr="00C11123">
        <w:rPr>
          <w:rFonts w:cs="Arial"/>
          <w:sz w:val="22"/>
          <w:szCs w:val="22"/>
        </w:rPr>
        <w:t>. Unique patients with prostate cancer increased about 5% from</w:t>
      </w:r>
      <w:r w:rsidR="009D47A5" w:rsidRPr="00C11123">
        <w:rPr>
          <w:rFonts w:cs="Arial"/>
          <w:sz w:val="22"/>
          <w:szCs w:val="22"/>
        </w:rPr>
        <w:t xml:space="preserve"> 2023 to 2024</w:t>
      </w:r>
      <w:r w:rsidR="00A71402" w:rsidRPr="00C11123">
        <w:rPr>
          <w:rFonts w:cs="Arial"/>
          <w:sz w:val="22"/>
          <w:szCs w:val="22"/>
        </w:rPr>
        <w:t xml:space="preserve"> </w:t>
      </w:r>
      <w:r w:rsidR="009D47A5" w:rsidRPr="00C11123">
        <w:rPr>
          <w:rFonts w:cs="Arial"/>
          <w:sz w:val="22"/>
          <w:szCs w:val="22"/>
        </w:rPr>
        <w:t>and</w:t>
      </w:r>
      <w:r w:rsidR="00A71402" w:rsidRPr="00C11123">
        <w:rPr>
          <w:rFonts w:cs="Arial"/>
          <w:sz w:val="22"/>
          <w:szCs w:val="22"/>
        </w:rPr>
        <w:t xml:space="preserve"> over 10% from </w:t>
      </w:r>
      <w:r w:rsidR="009D47A5" w:rsidRPr="00C11123">
        <w:rPr>
          <w:rFonts w:cs="Arial"/>
          <w:sz w:val="22"/>
          <w:szCs w:val="22"/>
        </w:rPr>
        <w:t xml:space="preserve">2024 to 2025, for a total increase of </w:t>
      </w:r>
      <w:r w:rsidR="00027A43" w:rsidRPr="00C11123">
        <w:rPr>
          <w:rFonts w:cs="Arial"/>
          <w:sz w:val="22"/>
          <w:szCs w:val="22"/>
        </w:rPr>
        <w:t>approximately</w:t>
      </w:r>
      <w:r w:rsidR="009D47A5" w:rsidRPr="00C11123">
        <w:rPr>
          <w:rFonts w:cs="Arial"/>
          <w:sz w:val="22"/>
          <w:szCs w:val="22"/>
        </w:rPr>
        <w:t xml:space="preserve"> 15% over the past 3 years</w:t>
      </w:r>
      <w:r w:rsidR="0043270A" w:rsidRPr="00C11123">
        <w:rPr>
          <w:rFonts w:cs="Arial"/>
          <w:sz w:val="22"/>
          <w:szCs w:val="22"/>
        </w:rPr>
        <w:t xml:space="preserve"> – an average increase of 5% per year</w:t>
      </w:r>
      <w:r w:rsidR="0050031E" w:rsidRPr="00C11123">
        <w:rPr>
          <w:rFonts w:cs="Arial"/>
          <w:sz w:val="22"/>
          <w:szCs w:val="22"/>
        </w:rPr>
        <w:t>.</w:t>
      </w:r>
      <w:r w:rsidR="00541635" w:rsidRPr="00C11123">
        <w:rPr>
          <w:rFonts w:cs="Arial"/>
          <w:sz w:val="22"/>
          <w:szCs w:val="22"/>
        </w:rPr>
        <w:t xml:space="preserve"> See Tables 8 and 9.</w:t>
      </w:r>
      <w:r w:rsidR="00AC2FDD" w:rsidRPr="00C11123">
        <w:rPr>
          <w:rFonts w:cs="Arial"/>
          <w:sz w:val="22"/>
          <w:szCs w:val="22"/>
        </w:rPr>
        <w:t xml:space="preserve"> </w:t>
      </w:r>
      <w:r w:rsidR="009D47A5" w:rsidRPr="00C11123">
        <w:rPr>
          <w:rFonts w:cs="Arial"/>
          <w:sz w:val="22"/>
          <w:szCs w:val="22"/>
        </w:rPr>
        <w:t xml:space="preserve"> </w:t>
      </w:r>
      <w:r w:rsidR="0043270A" w:rsidRPr="00C11123">
        <w:rPr>
          <w:rFonts w:cs="Arial"/>
          <w:sz w:val="22"/>
          <w:szCs w:val="22"/>
        </w:rPr>
        <w:t xml:space="preserve"> </w:t>
      </w:r>
      <w:r w:rsidR="00027A43" w:rsidRPr="00C11123">
        <w:rPr>
          <w:rFonts w:cs="Arial"/>
          <w:sz w:val="22"/>
          <w:szCs w:val="22"/>
        </w:rPr>
        <w:t>Importantly,</w:t>
      </w:r>
      <w:r w:rsidR="009D47A5" w:rsidRPr="00C11123">
        <w:rPr>
          <w:rFonts w:cs="Arial"/>
          <w:sz w:val="22"/>
          <w:szCs w:val="22"/>
        </w:rPr>
        <w:t xml:space="preserve"> </w:t>
      </w:r>
      <w:r w:rsidR="00E32362" w:rsidRPr="00C11123">
        <w:rPr>
          <w:rFonts w:cs="Arial"/>
          <w:sz w:val="22"/>
          <w:szCs w:val="22"/>
        </w:rPr>
        <w:t xml:space="preserve">new prostate cancer diagnoses </w:t>
      </w:r>
      <w:r w:rsidR="00027A43" w:rsidRPr="00C11123">
        <w:rPr>
          <w:rFonts w:cs="Arial"/>
          <w:sz w:val="22"/>
          <w:szCs w:val="22"/>
        </w:rPr>
        <w:t xml:space="preserve">within the Patient Panel </w:t>
      </w:r>
      <w:r w:rsidR="00E32362" w:rsidRPr="00C11123">
        <w:rPr>
          <w:rFonts w:cs="Arial"/>
          <w:sz w:val="22"/>
          <w:szCs w:val="22"/>
        </w:rPr>
        <w:t>rose 28% over the same period (868 to 1,114).</w:t>
      </w:r>
      <w:r>
        <w:rPr>
          <w:rStyle w:val="FootnoteReference"/>
          <w:rFonts w:cs="Arial"/>
          <w:sz w:val="22"/>
          <w:szCs w:val="22"/>
        </w:rPr>
        <w:footnoteReference w:id="28"/>
      </w:r>
      <w:r w:rsidR="00A57B6A" w:rsidRPr="00C11123">
        <w:rPr>
          <w:rFonts w:cs="Arial"/>
          <w:sz w:val="22"/>
          <w:szCs w:val="22"/>
        </w:rPr>
        <w:t xml:space="preserve"> </w:t>
      </w:r>
      <w:r w:rsidR="00BA5F5B" w:rsidRPr="00C11123">
        <w:rPr>
          <w:rFonts w:cs="Arial"/>
          <w:sz w:val="22"/>
          <w:szCs w:val="22"/>
        </w:rPr>
        <w:t xml:space="preserve">According to the American Cancer Society, prostate cancer </w:t>
      </w:r>
      <w:r w:rsidR="00F60DDE" w:rsidRPr="00C11123">
        <w:rPr>
          <w:rFonts w:cs="Arial"/>
          <w:sz w:val="22"/>
          <w:szCs w:val="22"/>
        </w:rPr>
        <w:t xml:space="preserve">is on the rise and is increasing at a rate of 3% each </w:t>
      </w:r>
      <w:r w:rsidR="00F60DDE" w:rsidRPr="00C11123">
        <w:rPr>
          <w:rFonts w:cs="Arial"/>
          <w:sz w:val="22"/>
          <w:szCs w:val="22"/>
        </w:rPr>
        <w:lastRenderedPageBreak/>
        <w:t>year.</w:t>
      </w:r>
      <w:r>
        <w:rPr>
          <w:rStyle w:val="FootnoteReference"/>
          <w:rFonts w:cs="Arial"/>
          <w:sz w:val="22"/>
          <w:szCs w:val="22"/>
        </w:rPr>
        <w:footnoteReference w:id="29"/>
      </w:r>
      <w:r w:rsidR="00BA5F5B" w:rsidRPr="00C11123">
        <w:rPr>
          <w:rFonts w:cs="Arial"/>
          <w:sz w:val="22"/>
          <w:szCs w:val="22"/>
        </w:rPr>
        <w:t xml:space="preserve"> </w:t>
      </w:r>
      <w:r w:rsidR="00A40134" w:rsidRPr="00C11123">
        <w:rPr>
          <w:rFonts w:cs="Arial"/>
          <w:sz w:val="22"/>
          <w:szCs w:val="22"/>
        </w:rPr>
        <w:t>It also</w:t>
      </w:r>
      <w:r w:rsidRPr="00C11123">
        <w:rPr>
          <w:rFonts w:cs="Arial"/>
          <w:sz w:val="22"/>
          <w:szCs w:val="22"/>
        </w:rPr>
        <w:t xml:space="preserve"> projects that there will be approximately 7,310 new prostate cancer diagnoses in Massachusetts in 2026.</w:t>
      </w:r>
      <w:r>
        <w:rPr>
          <w:rStyle w:val="FootnoteReference"/>
          <w:rFonts w:cs="Arial"/>
          <w:sz w:val="22"/>
          <w:szCs w:val="22"/>
        </w:rPr>
        <w:footnoteReference w:id="30"/>
      </w:r>
      <w:r w:rsidR="00651A88" w:rsidRPr="00C11123">
        <w:rPr>
          <w:rFonts w:cs="Arial"/>
          <w:sz w:val="22"/>
          <w:szCs w:val="22"/>
        </w:rPr>
        <w:t xml:space="preserve"> </w:t>
      </w:r>
      <w:r w:rsidRPr="00C11123">
        <w:rPr>
          <w:rFonts w:cs="Arial"/>
          <w:sz w:val="22"/>
          <w:szCs w:val="22"/>
        </w:rPr>
        <w:t xml:space="preserve"> </w:t>
      </w:r>
      <w:r w:rsidR="0060710C" w:rsidRPr="00C11123">
        <w:rPr>
          <w:rFonts w:cs="Arial"/>
          <w:sz w:val="22"/>
          <w:szCs w:val="22"/>
        </w:rPr>
        <w:t xml:space="preserve">As a result, </w:t>
      </w:r>
      <w:r w:rsidR="005D07D2" w:rsidRPr="00C11123">
        <w:rPr>
          <w:rFonts w:cs="Arial"/>
          <w:sz w:val="22"/>
          <w:szCs w:val="22"/>
        </w:rPr>
        <w:t xml:space="preserve">the Applicant expects that its </w:t>
      </w:r>
      <w:r w:rsidR="0060710C" w:rsidRPr="00C11123">
        <w:rPr>
          <w:rFonts w:cs="Arial"/>
          <w:sz w:val="22"/>
          <w:szCs w:val="22"/>
        </w:rPr>
        <w:t>Patient Population will likewise increase.</w:t>
      </w:r>
    </w:p>
    <w:p w14:paraId="17D7F76D" w14:textId="77777777" w:rsidR="00BE3461" w:rsidRPr="00C11123" w:rsidRDefault="00BE3461" w:rsidP="00CC6024">
      <w:pPr>
        <w:spacing w:after="0" w:line="240" w:lineRule="auto"/>
        <w:jc w:val="both"/>
        <w:rPr>
          <w:rFonts w:cs="Arial"/>
          <w:sz w:val="22"/>
          <w:szCs w:val="22"/>
        </w:rPr>
      </w:pPr>
    </w:p>
    <w:p w14:paraId="10B96D39" w14:textId="44B40639" w:rsidR="00427119" w:rsidRPr="00C11123" w:rsidRDefault="00000000" w:rsidP="00CC6024">
      <w:pPr>
        <w:spacing w:after="0" w:line="240" w:lineRule="auto"/>
        <w:jc w:val="both"/>
        <w:rPr>
          <w:rFonts w:cs="Arial"/>
          <w:sz w:val="22"/>
          <w:szCs w:val="22"/>
        </w:rPr>
      </w:pPr>
      <w:r w:rsidRPr="00C11123">
        <w:rPr>
          <w:rFonts w:cs="Arial"/>
          <w:sz w:val="22"/>
          <w:szCs w:val="22"/>
        </w:rPr>
        <w:t xml:space="preserve">The </w:t>
      </w:r>
      <w:r w:rsidR="00115676" w:rsidRPr="00C11123">
        <w:rPr>
          <w:rFonts w:cs="Arial"/>
          <w:sz w:val="22"/>
          <w:szCs w:val="22"/>
        </w:rPr>
        <w:t xml:space="preserve">Applicant’s </w:t>
      </w:r>
      <w:r w:rsidR="0067545B" w:rsidRPr="00C11123">
        <w:rPr>
          <w:rFonts w:cs="Arial"/>
          <w:sz w:val="22"/>
          <w:szCs w:val="22"/>
        </w:rPr>
        <w:t xml:space="preserve">overall </w:t>
      </w:r>
      <w:r w:rsidRPr="00C11123">
        <w:rPr>
          <w:rFonts w:cs="Arial"/>
          <w:sz w:val="22"/>
          <w:szCs w:val="22"/>
        </w:rPr>
        <w:t>Patient Panel case mix, based on prostate cancer acuity, also skews beyond lower-risk disease presentation</w:t>
      </w:r>
      <w:r w:rsidR="008346AB" w:rsidRPr="00C11123">
        <w:rPr>
          <w:rFonts w:cs="Arial"/>
          <w:sz w:val="22"/>
          <w:szCs w:val="22"/>
        </w:rPr>
        <w:t xml:space="preserve">, thereby demonstrating that the Applicant manages a significant disease burden for prostate cancer. </w:t>
      </w:r>
      <w:r w:rsidRPr="00C11123">
        <w:rPr>
          <w:rFonts w:cs="Arial"/>
          <w:sz w:val="22"/>
          <w:szCs w:val="22"/>
        </w:rPr>
        <w:t xml:space="preserve">For example, in 2025 </w:t>
      </w:r>
      <w:r w:rsidR="00115676" w:rsidRPr="00C11123">
        <w:rPr>
          <w:rFonts w:cs="Arial"/>
          <w:sz w:val="22"/>
          <w:szCs w:val="22"/>
        </w:rPr>
        <w:t>patients with</w:t>
      </w:r>
      <w:r w:rsidRPr="00C11123">
        <w:rPr>
          <w:rFonts w:cs="Arial"/>
          <w:sz w:val="22"/>
          <w:szCs w:val="22"/>
        </w:rPr>
        <w:t xml:space="preserve"> non-low-risk stages (intermediate and higher) accounted for </w:t>
      </w:r>
      <w:proofErr w:type="gramStart"/>
      <w:r w:rsidRPr="00C11123">
        <w:rPr>
          <w:rFonts w:cs="Arial"/>
          <w:sz w:val="22"/>
          <w:szCs w:val="22"/>
        </w:rPr>
        <w:t>the vast majority of</w:t>
      </w:r>
      <w:proofErr w:type="gramEnd"/>
      <w:r w:rsidRPr="00C11123">
        <w:rPr>
          <w:rFonts w:cs="Arial"/>
          <w:sz w:val="22"/>
          <w:szCs w:val="22"/>
        </w:rPr>
        <w:t xml:space="preserve"> new patients with a recorded Gleason Score</w:t>
      </w:r>
      <w:r w:rsidR="00B55097" w:rsidRPr="00C11123">
        <w:rPr>
          <w:rFonts w:cs="Arial"/>
          <w:sz w:val="22"/>
          <w:szCs w:val="22"/>
        </w:rPr>
        <w:t xml:space="preserve"> – approximately 704 out of 980, or about 72%.</w:t>
      </w:r>
      <w:r>
        <w:rPr>
          <w:rStyle w:val="FootnoteReference"/>
          <w:rFonts w:cs="Arial"/>
          <w:sz w:val="22"/>
          <w:szCs w:val="22"/>
        </w:rPr>
        <w:footnoteReference w:id="31"/>
      </w:r>
      <w:r w:rsidR="00B55097" w:rsidRPr="00C11123">
        <w:rPr>
          <w:rFonts w:cs="Arial"/>
          <w:sz w:val="22"/>
          <w:szCs w:val="22"/>
        </w:rPr>
        <w:t xml:space="preserve">  </w:t>
      </w:r>
      <w:r w:rsidRPr="00C11123">
        <w:rPr>
          <w:rFonts w:cs="Arial"/>
          <w:sz w:val="22"/>
          <w:szCs w:val="22"/>
        </w:rPr>
        <w:t>These figures are the result of year-over-year increases in patients with intermediate and higher risk prostate cancer. Across the four</w:t>
      </w:r>
      <w:r w:rsidRPr="00C11123">
        <w:rPr>
          <w:rFonts w:cs="Arial"/>
          <w:sz w:val="22"/>
          <w:szCs w:val="22"/>
        </w:rPr>
        <w:noBreakHyphen/>
        <w:t>year period</w:t>
      </w:r>
      <w:r w:rsidR="0067545B" w:rsidRPr="00C11123">
        <w:rPr>
          <w:rFonts w:cs="Arial"/>
          <w:sz w:val="22"/>
          <w:szCs w:val="22"/>
        </w:rPr>
        <w:t xml:space="preserve"> from 2022 through 2025</w:t>
      </w:r>
      <w:r w:rsidRPr="00C11123">
        <w:rPr>
          <w:rFonts w:cs="Arial"/>
          <w:sz w:val="22"/>
          <w:szCs w:val="22"/>
        </w:rPr>
        <w:t xml:space="preserve">, </w:t>
      </w:r>
      <w:r w:rsidR="0067545B" w:rsidRPr="00C11123">
        <w:rPr>
          <w:rFonts w:cs="Arial"/>
          <w:sz w:val="22"/>
          <w:szCs w:val="22"/>
        </w:rPr>
        <w:t>intermediate and higher risk (i.e. non-</w:t>
      </w:r>
      <w:proofErr w:type="gramStart"/>
      <w:r w:rsidR="0067545B" w:rsidRPr="00C11123">
        <w:rPr>
          <w:rFonts w:cs="Arial"/>
          <w:sz w:val="22"/>
          <w:szCs w:val="22"/>
        </w:rPr>
        <w:t>low-risk</w:t>
      </w:r>
      <w:proofErr w:type="gramEnd"/>
      <w:r w:rsidR="0067545B" w:rsidRPr="00C11123">
        <w:rPr>
          <w:rFonts w:cs="Arial"/>
          <w:sz w:val="22"/>
          <w:szCs w:val="22"/>
        </w:rPr>
        <w:t>)</w:t>
      </w:r>
      <w:r w:rsidRPr="00C11123">
        <w:rPr>
          <w:rFonts w:cs="Arial"/>
          <w:sz w:val="22"/>
          <w:szCs w:val="22"/>
        </w:rPr>
        <w:t xml:space="preserve"> cases consistently accounted for </w:t>
      </w:r>
      <w:proofErr w:type="gramStart"/>
      <w:r w:rsidRPr="00C11123">
        <w:rPr>
          <w:rFonts w:cs="Arial"/>
          <w:sz w:val="22"/>
          <w:szCs w:val="22"/>
        </w:rPr>
        <w:t>the majority of</w:t>
      </w:r>
      <w:proofErr w:type="gramEnd"/>
      <w:r w:rsidRPr="00C11123">
        <w:rPr>
          <w:rFonts w:cs="Arial"/>
          <w:sz w:val="22"/>
          <w:szCs w:val="22"/>
        </w:rPr>
        <w:t xml:space="preserve"> patients </w:t>
      </w:r>
      <w:proofErr w:type="gramStart"/>
      <w:r w:rsidRPr="00C11123">
        <w:rPr>
          <w:rFonts w:cs="Arial"/>
          <w:sz w:val="22"/>
          <w:szCs w:val="22"/>
        </w:rPr>
        <w:t>and</w:t>
      </w:r>
      <w:r w:rsidR="0067545B" w:rsidRPr="00C11123">
        <w:rPr>
          <w:rFonts w:cs="Arial"/>
          <w:sz w:val="22"/>
          <w:szCs w:val="22"/>
        </w:rPr>
        <w:t xml:space="preserve"> also</w:t>
      </w:r>
      <w:proofErr w:type="gramEnd"/>
      <w:r w:rsidRPr="00C11123">
        <w:rPr>
          <w:rFonts w:cs="Arial"/>
          <w:sz w:val="22"/>
          <w:szCs w:val="22"/>
        </w:rPr>
        <w:t xml:space="preserve"> increased from approximately </w:t>
      </w:r>
      <w:r w:rsidR="0067545B" w:rsidRPr="00C11123">
        <w:rPr>
          <w:rFonts w:cs="Arial"/>
          <w:sz w:val="22"/>
          <w:szCs w:val="22"/>
        </w:rPr>
        <w:t>69</w:t>
      </w:r>
      <w:r w:rsidRPr="00C11123">
        <w:rPr>
          <w:rFonts w:cs="Arial"/>
          <w:sz w:val="22"/>
          <w:szCs w:val="22"/>
        </w:rPr>
        <w:t>% in 2022 to</w:t>
      </w:r>
      <w:r w:rsidR="0067545B" w:rsidRPr="00C11123">
        <w:rPr>
          <w:rFonts w:cs="Arial"/>
          <w:sz w:val="22"/>
          <w:szCs w:val="22"/>
        </w:rPr>
        <w:t xml:space="preserve"> </w:t>
      </w:r>
      <w:proofErr w:type="gramStart"/>
      <w:r w:rsidR="0067545B" w:rsidRPr="00C11123">
        <w:rPr>
          <w:rFonts w:cs="Arial"/>
          <w:sz w:val="22"/>
          <w:szCs w:val="22"/>
        </w:rPr>
        <w:t>the</w:t>
      </w:r>
      <w:r w:rsidRPr="00C11123">
        <w:rPr>
          <w:rFonts w:cs="Arial"/>
          <w:sz w:val="22"/>
          <w:szCs w:val="22"/>
        </w:rPr>
        <w:t xml:space="preserve"> 7</w:t>
      </w:r>
      <w:r w:rsidR="0067545B" w:rsidRPr="00C11123">
        <w:rPr>
          <w:rFonts w:cs="Arial"/>
          <w:sz w:val="22"/>
          <w:szCs w:val="22"/>
        </w:rPr>
        <w:t>2</w:t>
      </w:r>
      <w:proofErr w:type="gramEnd"/>
      <w:r w:rsidRPr="00C11123">
        <w:rPr>
          <w:rFonts w:cs="Arial"/>
          <w:sz w:val="22"/>
          <w:szCs w:val="22"/>
        </w:rPr>
        <w:t>% in 2025.</w:t>
      </w:r>
      <w:r w:rsidR="0067545B" w:rsidRPr="00C11123">
        <w:rPr>
          <w:rFonts w:cs="Arial"/>
          <w:sz w:val="22"/>
          <w:szCs w:val="22"/>
        </w:rPr>
        <w:t xml:space="preserve"> Notably, Gleason 4+3 more than doubled from 65 in 2022 to 132 in 2025, and the highest risk categories (Gleason 9 and 10) also sharply rose from 106 to 132 (+24.5%) and from 5 to 85 (+1600%)</w:t>
      </w:r>
      <w:r w:rsidR="007845C8" w:rsidRPr="00C11123">
        <w:rPr>
          <w:rFonts w:cs="Arial"/>
          <w:sz w:val="22"/>
          <w:szCs w:val="22"/>
        </w:rPr>
        <w:t>, respectively</w:t>
      </w:r>
      <w:r w:rsidR="0067545B" w:rsidRPr="00C11123">
        <w:rPr>
          <w:rFonts w:cs="Arial"/>
          <w:sz w:val="22"/>
          <w:szCs w:val="22"/>
        </w:rPr>
        <w:t>.</w:t>
      </w:r>
      <w:r>
        <w:rPr>
          <w:rStyle w:val="FootnoteReference"/>
          <w:rFonts w:cs="Arial"/>
          <w:sz w:val="22"/>
          <w:szCs w:val="22"/>
        </w:rPr>
        <w:footnoteReference w:id="32"/>
      </w:r>
      <w:r w:rsidR="0067545B" w:rsidRPr="00C11123">
        <w:rPr>
          <w:rFonts w:cs="Arial"/>
          <w:sz w:val="22"/>
          <w:szCs w:val="22"/>
        </w:rPr>
        <w:t xml:space="preserve"> </w:t>
      </w:r>
      <w:r w:rsidR="00A57B6A" w:rsidRPr="00C11123">
        <w:rPr>
          <w:rFonts w:cs="Arial"/>
          <w:sz w:val="22"/>
          <w:szCs w:val="22"/>
        </w:rPr>
        <w:t>The Applicant is, therefore, an important hub for prostate cancer care, underscoring the necessity of allocating additional diagnostic capacity to meet these heightened clinical needs.</w:t>
      </w:r>
    </w:p>
    <w:p w14:paraId="5991A71F" w14:textId="77777777" w:rsidR="00427119" w:rsidRPr="00C11123" w:rsidRDefault="00427119" w:rsidP="00CC6024">
      <w:pPr>
        <w:spacing w:after="0" w:line="240" w:lineRule="auto"/>
        <w:jc w:val="both"/>
        <w:rPr>
          <w:rFonts w:cs="Arial"/>
          <w:sz w:val="22"/>
          <w:szCs w:val="22"/>
        </w:rPr>
      </w:pPr>
    </w:p>
    <w:p w14:paraId="41D8247B" w14:textId="61AA8161" w:rsidR="0021179F" w:rsidRPr="00C11123" w:rsidRDefault="00000000" w:rsidP="00CC6024">
      <w:pPr>
        <w:spacing w:after="0" w:line="240" w:lineRule="auto"/>
        <w:jc w:val="both"/>
        <w:rPr>
          <w:rFonts w:cs="Arial"/>
          <w:sz w:val="22"/>
          <w:szCs w:val="22"/>
        </w:rPr>
      </w:pPr>
      <w:r w:rsidRPr="00C11123">
        <w:rPr>
          <w:rFonts w:cs="Arial"/>
          <w:sz w:val="22"/>
          <w:szCs w:val="22"/>
        </w:rPr>
        <w:t xml:space="preserve">Consequently, the Applicant’s Patient Panel data show that the Applicant has, in recent years, been managing an increasingly </w:t>
      </w:r>
      <w:r w:rsidR="00E736CF" w:rsidRPr="00C11123">
        <w:rPr>
          <w:rFonts w:cs="Arial"/>
          <w:sz w:val="22"/>
          <w:szCs w:val="22"/>
        </w:rPr>
        <w:t xml:space="preserve">larger and </w:t>
      </w:r>
      <w:r w:rsidRPr="00C11123">
        <w:rPr>
          <w:rFonts w:cs="Arial"/>
          <w:sz w:val="22"/>
          <w:szCs w:val="22"/>
        </w:rPr>
        <w:t>complex prostate cancer population, marked by a sustained shift toward higher</w:t>
      </w:r>
      <w:r w:rsidRPr="00C11123">
        <w:rPr>
          <w:rFonts w:cs="Arial"/>
          <w:sz w:val="22"/>
          <w:szCs w:val="22"/>
        </w:rPr>
        <w:noBreakHyphen/>
        <w:t>acuity disease. This elevated clinical burden reinforces the need for targeted investment in a mobile PSMA PET/CT scanner</w:t>
      </w:r>
      <w:r w:rsidR="00940D38" w:rsidRPr="00C11123">
        <w:rPr>
          <w:rFonts w:cs="Arial"/>
          <w:sz w:val="22"/>
          <w:szCs w:val="22"/>
        </w:rPr>
        <w:t xml:space="preserve">, </w:t>
      </w:r>
      <w:r w:rsidRPr="00C11123">
        <w:rPr>
          <w:rFonts w:cs="Arial"/>
          <w:sz w:val="22"/>
          <w:szCs w:val="22"/>
        </w:rPr>
        <w:t>as such technology is essential to ensuring timely and accurate detection, staging, and appropriately calibrated treatment of prostate cancer.</w:t>
      </w:r>
      <w:r w:rsidR="00D60E88" w:rsidRPr="00C11123">
        <w:rPr>
          <w:rStyle w:val="FootnoteReference"/>
          <w:rFonts w:cs="Arial"/>
          <w:sz w:val="22"/>
          <w:szCs w:val="22"/>
        </w:rPr>
        <w:t xml:space="preserve"> </w:t>
      </w:r>
      <w:r>
        <w:rPr>
          <w:rStyle w:val="FootnoteReference"/>
          <w:rFonts w:cs="Arial"/>
          <w:sz w:val="22"/>
          <w:szCs w:val="22"/>
        </w:rPr>
        <w:footnoteReference w:id="33"/>
      </w:r>
      <w:r w:rsidRPr="00C11123">
        <w:rPr>
          <w:rFonts w:cs="Arial"/>
          <w:sz w:val="22"/>
          <w:szCs w:val="22"/>
        </w:rPr>
        <w:t xml:space="preserve"> By making this capability available within </w:t>
      </w:r>
      <w:r w:rsidR="00940D38" w:rsidRPr="00C11123">
        <w:rPr>
          <w:rFonts w:cs="Arial"/>
          <w:sz w:val="22"/>
          <w:szCs w:val="22"/>
        </w:rPr>
        <w:t>the Applicant’s physician</w:t>
      </w:r>
      <w:r w:rsidRPr="00C11123">
        <w:rPr>
          <w:rFonts w:cs="Arial"/>
          <w:sz w:val="22"/>
          <w:szCs w:val="22"/>
        </w:rPr>
        <w:t xml:space="preserve"> practice, </w:t>
      </w:r>
      <w:r w:rsidR="00940D38" w:rsidRPr="00C11123">
        <w:rPr>
          <w:rFonts w:cs="Arial"/>
          <w:sz w:val="22"/>
          <w:szCs w:val="22"/>
        </w:rPr>
        <w:t>the Proposed Project</w:t>
      </w:r>
      <w:r w:rsidRPr="00C11123">
        <w:rPr>
          <w:rFonts w:cs="Arial"/>
          <w:sz w:val="22"/>
          <w:szCs w:val="22"/>
        </w:rPr>
        <w:t xml:space="preserve"> </w:t>
      </w:r>
      <w:r w:rsidR="00940D38" w:rsidRPr="00C11123">
        <w:rPr>
          <w:rFonts w:cs="Arial"/>
          <w:sz w:val="22"/>
          <w:szCs w:val="22"/>
        </w:rPr>
        <w:t xml:space="preserve">will </w:t>
      </w:r>
      <w:r w:rsidRPr="00C11123">
        <w:rPr>
          <w:rFonts w:cs="Arial"/>
          <w:sz w:val="22"/>
          <w:szCs w:val="22"/>
        </w:rPr>
        <w:t xml:space="preserve">align resource allocation with the </w:t>
      </w:r>
      <w:r w:rsidR="00940D38" w:rsidRPr="00C11123">
        <w:rPr>
          <w:rFonts w:cs="Arial"/>
          <w:sz w:val="22"/>
          <w:szCs w:val="22"/>
        </w:rPr>
        <w:t xml:space="preserve">3 </w:t>
      </w:r>
      <w:r w:rsidRPr="00C11123">
        <w:rPr>
          <w:rFonts w:cs="Arial"/>
          <w:sz w:val="22"/>
          <w:szCs w:val="22"/>
        </w:rPr>
        <w:t>locations and surrounding communities where clinical need is most concentrated, thereby advancing regulatory objectives of equity, efficiency, access, and patient</w:t>
      </w:r>
      <w:r w:rsidRPr="00C11123">
        <w:rPr>
          <w:rFonts w:cs="Arial"/>
          <w:sz w:val="22"/>
          <w:szCs w:val="22"/>
        </w:rPr>
        <w:noBreakHyphen/>
        <w:t xml:space="preserve">centered care. In doing so, the Proposed Project supports continuity of care, reduces avoidable delays in diagnosis, and ensures that </w:t>
      </w:r>
      <w:r w:rsidR="00940D38" w:rsidRPr="00C11123">
        <w:rPr>
          <w:rFonts w:cs="Arial"/>
          <w:sz w:val="22"/>
          <w:szCs w:val="22"/>
        </w:rPr>
        <w:t>advanced</w:t>
      </w:r>
      <w:r w:rsidRPr="00C11123">
        <w:rPr>
          <w:rFonts w:cs="Arial"/>
          <w:sz w:val="22"/>
          <w:szCs w:val="22"/>
        </w:rPr>
        <w:t xml:space="preserve"> imaging capacity is matched to a population exhibiting materially higher cancer prevalence and rising disease complexity</w:t>
      </w:r>
      <w:r w:rsidR="00940D38" w:rsidRPr="00C11123">
        <w:rPr>
          <w:rFonts w:cs="Arial"/>
          <w:sz w:val="22"/>
          <w:szCs w:val="22"/>
        </w:rPr>
        <w:t xml:space="preserve">, particularly </w:t>
      </w:r>
      <w:proofErr w:type="gramStart"/>
      <w:r w:rsidR="00940D38" w:rsidRPr="00C11123">
        <w:rPr>
          <w:rFonts w:cs="Arial"/>
          <w:sz w:val="22"/>
          <w:szCs w:val="22"/>
        </w:rPr>
        <w:t>in light of</w:t>
      </w:r>
      <w:proofErr w:type="gramEnd"/>
      <w:r w:rsidR="00940D38" w:rsidRPr="00C11123">
        <w:rPr>
          <w:rFonts w:cs="Arial"/>
          <w:sz w:val="22"/>
          <w:szCs w:val="22"/>
        </w:rPr>
        <w:t xml:space="preserve"> the rising aged population in Massachusetts.</w:t>
      </w:r>
    </w:p>
    <w:p w14:paraId="0A2999BD" w14:textId="77777777" w:rsidR="00FE0645" w:rsidRPr="00C11123" w:rsidRDefault="00FE0645" w:rsidP="00CC6024">
      <w:pPr>
        <w:spacing w:after="0" w:line="240" w:lineRule="auto"/>
        <w:jc w:val="both"/>
        <w:rPr>
          <w:rFonts w:cs="Arial"/>
          <w:sz w:val="22"/>
          <w:szCs w:val="22"/>
          <w:u w:val="single"/>
        </w:rPr>
      </w:pPr>
    </w:p>
    <w:p w14:paraId="5080506D" w14:textId="4D614B04" w:rsidR="00F256C0" w:rsidRPr="00C11123" w:rsidRDefault="00000000" w:rsidP="00B0463A">
      <w:pPr>
        <w:pStyle w:val="Heading4"/>
      </w:pPr>
      <w:r w:rsidRPr="00C11123">
        <w:t xml:space="preserve">Need Based on Applicant Imaging Volume and Projected Volume of the Proposed Project </w:t>
      </w:r>
    </w:p>
    <w:p w14:paraId="7FE68EE6" w14:textId="77777777" w:rsidR="00546DAF" w:rsidRPr="00C11123" w:rsidRDefault="00546DAF" w:rsidP="00F256C0">
      <w:pPr>
        <w:spacing w:after="0" w:line="240" w:lineRule="auto"/>
        <w:jc w:val="both"/>
        <w:rPr>
          <w:rFonts w:cs="Arial"/>
          <w:sz w:val="22"/>
          <w:szCs w:val="22"/>
        </w:rPr>
      </w:pPr>
    </w:p>
    <w:p w14:paraId="71451F8D" w14:textId="0EB71233" w:rsidR="00F256C0" w:rsidRPr="00C11123" w:rsidRDefault="00000000" w:rsidP="00F256C0">
      <w:pPr>
        <w:spacing w:after="0" w:line="240" w:lineRule="auto"/>
        <w:jc w:val="both"/>
        <w:rPr>
          <w:rFonts w:cs="Arial"/>
          <w:sz w:val="22"/>
          <w:szCs w:val="22"/>
        </w:rPr>
      </w:pPr>
      <w:r w:rsidRPr="00C11123">
        <w:rPr>
          <w:rFonts w:cs="Arial"/>
          <w:sz w:val="22"/>
          <w:szCs w:val="22"/>
        </w:rPr>
        <w:t xml:space="preserve">The increasing </w:t>
      </w:r>
      <w:r w:rsidR="003D2C36" w:rsidRPr="00C11123">
        <w:rPr>
          <w:rFonts w:cs="Arial"/>
          <w:sz w:val="22"/>
          <w:szCs w:val="22"/>
        </w:rPr>
        <w:t>relevance</w:t>
      </w:r>
      <w:r w:rsidRPr="00C11123">
        <w:rPr>
          <w:rFonts w:cs="Arial"/>
          <w:sz w:val="22"/>
          <w:szCs w:val="22"/>
        </w:rPr>
        <w:t xml:space="preserve"> of PSMA PET</w:t>
      </w:r>
      <w:r w:rsidR="007845C8" w:rsidRPr="00C11123">
        <w:rPr>
          <w:rFonts w:cs="Arial"/>
          <w:sz w:val="22"/>
          <w:szCs w:val="22"/>
        </w:rPr>
        <w:t>/</w:t>
      </w:r>
      <w:r w:rsidRPr="00C11123">
        <w:rPr>
          <w:rFonts w:cs="Arial"/>
          <w:sz w:val="22"/>
          <w:szCs w:val="22"/>
        </w:rPr>
        <w:t xml:space="preserve">CT </w:t>
      </w:r>
      <w:r w:rsidR="003D2C36" w:rsidRPr="00C11123">
        <w:rPr>
          <w:rFonts w:cs="Arial"/>
          <w:sz w:val="22"/>
          <w:szCs w:val="22"/>
        </w:rPr>
        <w:t>imaging</w:t>
      </w:r>
      <w:r w:rsidR="004607E2" w:rsidRPr="00C11123">
        <w:rPr>
          <w:rFonts w:cs="Arial"/>
          <w:sz w:val="22"/>
          <w:szCs w:val="22"/>
        </w:rPr>
        <w:t xml:space="preserve"> for prostate cancer</w:t>
      </w:r>
      <w:r w:rsidR="00A21A60" w:rsidRPr="00C11123">
        <w:rPr>
          <w:rFonts w:cs="Arial"/>
          <w:sz w:val="22"/>
          <w:szCs w:val="22"/>
        </w:rPr>
        <w:t xml:space="preserve"> </w:t>
      </w:r>
      <w:r w:rsidR="003D2C36" w:rsidRPr="00C11123">
        <w:rPr>
          <w:rFonts w:cs="Arial"/>
          <w:sz w:val="22"/>
          <w:szCs w:val="22"/>
        </w:rPr>
        <w:t xml:space="preserve">is </w:t>
      </w:r>
      <w:r w:rsidR="004607E2" w:rsidRPr="00C11123">
        <w:rPr>
          <w:rFonts w:cs="Arial"/>
          <w:sz w:val="22"/>
          <w:szCs w:val="22"/>
        </w:rPr>
        <w:t>reflected</w:t>
      </w:r>
      <w:r w:rsidR="003D2C36" w:rsidRPr="00C11123">
        <w:rPr>
          <w:rFonts w:cs="Arial"/>
          <w:sz w:val="22"/>
          <w:szCs w:val="22"/>
        </w:rPr>
        <w:t xml:space="preserve"> in the</w:t>
      </w:r>
      <w:r w:rsidR="00E75CB2" w:rsidRPr="00C11123">
        <w:rPr>
          <w:rFonts w:cs="Arial"/>
          <w:sz w:val="22"/>
          <w:szCs w:val="22"/>
        </w:rPr>
        <w:t xml:space="preserve"> Patient Panel’s utilization data for imaging</w:t>
      </w:r>
      <w:r w:rsidR="00270922" w:rsidRPr="00C11123">
        <w:rPr>
          <w:rFonts w:cs="Arial"/>
          <w:sz w:val="22"/>
          <w:szCs w:val="22"/>
        </w:rPr>
        <w:t xml:space="preserve"> in recent years</w:t>
      </w:r>
      <w:r w:rsidR="004607E2" w:rsidRPr="00C11123">
        <w:rPr>
          <w:rFonts w:cs="Arial"/>
          <w:sz w:val="22"/>
          <w:szCs w:val="22"/>
        </w:rPr>
        <w:t>.</w:t>
      </w:r>
      <w:r w:rsidR="00270922" w:rsidRPr="00C11123">
        <w:rPr>
          <w:rFonts w:cs="Arial"/>
          <w:sz w:val="22"/>
          <w:szCs w:val="22"/>
        </w:rPr>
        <w:t xml:space="preserve"> </w:t>
      </w:r>
      <w:r w:rsidRPr="00C11123">
        <w:rPr>
          <w:rFonts w:cs="Arial"/>
          <w:sz w:val="22"/>
          <w:szCs w:val="22"/>
        </w:rPr>
        <w:t xml:space="preserve">As shown in Table </w:t>
      </w:r>
      <w:r w:rsidR="004D5834" w:rsidRPr="00C11123">
        <w:rPr>
          <w:rFonts w:cs="Arial"/>
          <w:sz w:val="22"/>
          <w:szCs w:val="22"/>
        </w:rPr>
        <w:t>12</w:t>
      </w:r>
      <w:r w:rsidRPr="00C11123">
        <w:rPr>
          <w:rFonts w:cs="Arial"/>
          <w:sz w:val="22"/>
          <w:szCs w:val="22"/>
        </w:rPr>
        <w:t>, PSMA PET</w:t>
      </w:r>
      <w:r w:rsidR="007845C8" w:rsidRPr="00C11123">
        <w:rPr>
          <w:rFonts w:cs="Arial"/>
          <w:sz w:val="22"/>
          <w:szCs w:val="22"/>
        </w:rPr>
        <w:t>/CT</w:t>
      </w:r>
      <w:r w:rsidRPr="00C11123">
        <w:rPr>
          <w:rFonts w:cs="Arial"/>
          <w:sz w:val="22"/>
          <w:szCs w:val="22"/>
        </w:rPr>
        <w:t xml:space="preserve"> utilization increased sharply from 2022 to 2025, with a numeric increase of </w:t>
      </w:r>
      <w:r w:rsidR="007B0047" w:rsidRPr="00C11123">
        <w:rPr>
          <w:rFonts w:cs="Arial"/>
          <w:sz w:val="22"/>
          <w:szCs w:val="22"/>
        </w:rPr>
        <w:t xml:space="preserve">452 </w:t>
      </w:r>
      <w:r w:rsidR="007845C8" w:rsidRPr="00C11123">
        <w:rPr>
          <w:rFonts w:cs="Arial"/>
          <w:sz w:val="22"/>
          <w:szCs w:val="22"/>
        </w:rPr>
        <w:t>scans</w:t>
      </w:r>
      <w:r w:rsidRPr="00C11123">
        <w:rPr>
          <w:rFonts w:cs="Arial"/>
          <w:sz w:val="22"/>
          <w:szCs w:val="22"/>
        </w:rPr>
        <w:t xml:space="preserve"> or </w:t>
      </w:r>
      <w:r w:rsidR="00723B8D" w:rsidRPr="00C11123">
        <w:rPr>
          <w:rFonts w:cs="Arial"/>
          <w:sz w:val="22"/>
          <w:szCs w:val="22"/>
        </w:rPr>
        <w:t xml:space="preserve">about </w:t>
      </w:r>
      <w:r w:rsidRPr="00C11123">
        <w:rPr>
          <w:rFonts w:cs="Arial"/>
          <w:sz w:val="22"/>
          <w:szCs w:val="22"/>
        </w:rPr>
        <w:t>1</w:t>
      </w:r>
      <w:r w:rsidR="00270922" w:rsidRPr="00C11123">
        <w:rPr>
          <w:rFonts w:cs="Arial"/>
          <w:sz w:val="22"/>
          <w:szCs w:val="22"/>
        </w:rPr>
        <w:t>55</w:t>
      </w:r>
      <w:r w:rsidRPr="00C11123">
        <w:rPr>
          <w:rFonts w:cs="Arial"/>
          <w:sz w:val="22"/>
          <w:szCs w:val="22"/>
        </w:rPr>
        <w:t>%.  Utilization of PSMA PET</w:t>
      </w:r>
      <w:r w:rsidR="007845C8" w:rsidRPr="00C11123">
        <w:rPr>
          <w:rFonts w:cs="Arial"/>
          <w:sz w:val="22"/>
          <w:szCs w:val="22"/>
        </w:rPr>
        <w:t>/CT</w:t>
      </w:r>
      <w:r w:rsidRPr="00C11123">
        <w:rPr>
          <w:rFonts w:cs="Arial"/>
          <w:sz w:val="22"/>
          <w:szCs w:val="22"/>
        </w:rPr>
        <w:t xml:space="preserve"> also increased year-over-year during that period: </w:t>
      </w:r>
      <w:r w:rsidR="007B0047" w:rsidRPr="00C11123">
        <w:rPr>
          <w:rFonts w:cs="Arial"/>
          <w:sz w:val="22"/>
          <w:szCs w:val="22"/>
        </w:rPr>
        <w:t xml:space="preserve">about </w:t>
      </w:r>
      <w:r w:rsidRPr="00C11123">
        <w:rPr>
          <w:rFonts w:cs="Arial"/>
          <w:sz w:val="22"/>
          <w:szCs w:val="22"/>
        </w:rPr>
        <w:t xml:space="preserve">+26% (2022 to 2023), </w:t>
      </w:r>
      <w:r w:rsidR="007B0047" w:rsidRPr="00C11123">
        <w:rPr>
          <w:rFonts w:cs="Arial"/>
          <w:sz w:val="22"/>
          <w:szCs w:val="22"/>
        </w:rPr>
        <w:t xml:space="preserve">about </w:t>
      </w:r>
      <w:r w:rsidRPr="00C11123">
        <w:rPr>
          <w:rFonts w:cs="Arial"/>
          <w:sz w:val="22"/>
          <w:szCs w:val="22"/>
        </w:rPr>
        <w:t xml:space="preserve">+53% (2023 to 2024), and </w:t>
      </w:r>
      <w:r w:rsidR="007B0047" w:rsidRPr="00C11123">
        <w:rPr>
          <w:rFonts w:cs="Arial"/>
          <w:sz w:val="22"/>
          <w:szCs w:val="22"/>
        </w:rPr>
        <w:t>about</w:t>
      </w:r>
      <w:r w:rsidRPr="00C11123">
        <w:rPr>
          <w:rFonts w:cs="Arial"/>
          <w:sz w:val="22"/>
          <w:szCs w:val="22"/>
        </w:rPr>
        <w:t>+</w:t>
      </w:r>
      <w:r w:rsidR="007B0047" w:rsidRPr="00C11123">
        <w:rPr>
          <w:rFonts w:cs="Arial"/>
          <w:sz w:val="22"/>
          <w:szCs w:val="22"/>
        </w:rPr>
        <w:t>32</w:t>
      </w:r>
      <w:r w:rsidRPr="00C11123">
        <w:rPr>
          <w:rFonts w:cs="Arial"/>
          <w:sz w:val="22"/>
          <w:szCs w:val="22"/>
        </w:rPr>
        <w:t>% (2024 to 2025).  By contrast, Bone Scans dropped at a</w:t>
      </w:r>
      <w:r w:rsidR="008649CE" w:rsidRPr="00C11123">
        <w:rPr>
          <w:rFonts w:cs="Arial"/>
          <w:sz w:val="22"/>
          <w:szCs w:val="22"/>
        </w:rPr>
        <w:t xml:space="preserve"> similarly</w:t>
      </w:r>
      <w:r w:rsidRPr="00C11123">
        <w:rPr>
          <w:rFonts w:cs="Arial"/>
          <w:sz w:val="22"/>
          <w:szCs w:val="22"/>
        </w:rPr>
        <w:t xml:space="preserve"> sharp rate, with a numeric decrease of </w:t>
      </w:r>
      <w:r w:rsidR="003579B5" w:rsidRPr="00C11123">
        <w:rPr>
          <w:rFonts w:cs="Arial"/>
          <w:sz w:val="22"/>
          <w:szCs w:val="22"/>
        </w:rPr>
        <w:t>205</w:t>
      </w:r>
      <w:r w:rsidRPr="00C11123">
        <w:rPr>
          <w:rFonts w:cs="Arial"/>
          <w:sz w:val="22"/>
          <w:szCs w:val="22"/>
        </w:rPr>
        <w:t>or -</w:t>
      </w:r>
      <w:r w:rsidR="003579B5" w:rsidRPr="00C11123">
        <w:rPr>
          <w:rFonts w:cs="Arial"/>
          <w:sz w:val="22"/>
          <w:szCs w:val="22"/>
        </w:rPr>
        <w:t>69</w:t>
      </w:r>
      <w:r w:rsidRPr="00C11123">
        <w:rPr>
          <w:rFonts w:cs="Arial"/>
          <w:sz w:val="22"/>
          <w:szCs w:val="22"/>
        </w:rPr>
        <w:t xml:space="preserve">%. </w:t>
      </w:r>
      <w:r w:rsidR="00150551" w:rsidRPr="00C11123">
        <w:rPr>
          <w:rFonts w:cs="Arial"/>
          <w:sz w:val="22"/>
          <w:szCs w:val="22"/>
        </w:rPr>
        <w:t xml:space="preserve"> </w:t>
      </w:r>
      <w:r w:rsidRPr="00C11123">
        <w:rPr>
          <w:rFonts w:cs="Arial"/>
          <w:sz w:val="22"/>
          <w:szCs w:val="22"/>
        </w:rPr>
        <w:t xml:space="preserve">Bone Scans likewise dropped year-over-year:  </w:t>
      </w:r>
      <w:r w:rsidR="00723B8D" w:rsidRPr="00C11123">
        <w:rPr>
          <w:rFonts w:cs="Arial"/>
          <w:sz w:val="22"/>
          <w:szCs w:val="22"/>
        </w:rPr>
        <w:t xml:space="preserve">about </w:t>
      </w:r>
      <w:r w:rsidRPr="00C11123">
        <w:rPr>
          <w:rFonts w:cs="Arial"/>
          <w:sz w:val="22"/>
          <w:szCs w:val="22"/>
        </w:rPr>
        <w:t xml:space="preserve">–52% (2022 to 2023), </w:t>
      </w:r>
      <w:r w:rsidR="00723B8D" w:rsidRPr="00C11123">
        <w:rPr>
          <w:rFonts w:cs="Arial"/>
          <w:sz w:val="22"/>
          <w:szCs w:val="22"/>
        </w:rPr>
        <w:t xml:space="preserve">about </w:t>
      </w:r>
      <w:r w:rsidRPr="00C11123">
        <w:rPr>
          <w:rFonts w:cs="Arial"/>
          <w:sz w:val="22"/>
          <w:szCs w:val="22"/>
        </w:rPr>
        <w:t xml:space="preserve">–19% (2023 to 2024), </w:t>
      </w:r>
      <w:r w:rsidR="008E00EC" w:rsidRPr="00C11123">
        <w:rPr>
          <w:rFonts w:cs="Arial"/>
          <w:sz w:val="22"/>
          <w:szCs w:val="22"/>
        </w:rPr>
        <w:t xml:space="preserve">about </w:t>
      </w:r>
      <w:r w:rsidRPr="00C11123">
        <w:rPr>
          <w:rFonts w:cs="Arial"/>
          <w:sz w:val="22"/>
          <w:szCs w:val="22"/>
        </w:rPr>
        <w:t>–</w:t>
      </w:r>
      <w:r w:rsidR="008E00EC" w:rsidRPr="00C11123">
        <w:rPr>
          <w:rFonts w:cs="Arial"/>
          <w:sz w:val="22"/>
          <w:szCs w:val="22"/>
        </w:rPr>
        <w:t>20</w:t>
      </w:r>
      <w:r w:rsidRPr="00C11123">
        <w:rPr>
          <w:rFonts w:cs="Arial"/>
          <w:sz w:val="22"/>
          <w:szCs w:val="22"/>
        </w:rPr>
        <w:t>% (2024 to 2025).</w:t>
      </w:r>
      <w:r>
        <w:rPr>
          <w:rStyle w:val="FootnoteReference"/>
          <w:rFonts w:cs="Arial"/>
          <w:sz w:val="22"/>
          <w:szCs w:val="22"/>
        </w:rPr>
        <w:footnoteReference w:id="34"/>
      </w:r>
      <w:r w:rsidRPr="00C11123">
        <w:rPr>
          <w:rFonts w:cs="Arial"/>
          <w:sz w:val="22"/>
          <w:szCs w:val="22"/>
        </w:rPr>
        <w:t xml:space="preserve"> Accordingly, the rise in PSMA PET</w:t>
      </w:r>
      <w:r w:rsidR="007845C8" w:rsidRPr="00C11123">
        <w:rPr>
          <w:rFonts w:cs="Arial"/>
          <w:sz w:val="22"/>
          <w:szCs w:val="22"/>
        </w:rPr>
        <w:t>/CT</w:t>
      </w:r>
      <w:r w:rsidRPr="00C11123">
        <w:rPr>
          <w:rFonts w:cs="Arial"/>
          <w:sz w:val="22"/>
          <w:szCs w:val="22"/>
        </w:rPr>
        <w:t xml:space="preserve"> utilization alongside the </w:t>
      </w:r>
      <w:r w:rsidR="008649CE" w:rsidRPr="00C11123">
        <w:rPr>
          <w:rFonts w:cs="Arial"/>
          <w:sz w:val="22"/>
          <w:szCs w:val="22"/>
        </w:rPr>
        <w:t xml:space="preserve">corresponding </w:t>
      </w:r>
      <w:r w:rsidRPr="00C11123">
        <w:rPr>
          <w:rFonts w:cs="Arial"/>
          <w:sz w:val="22"/>
          <w:szCs w:val="22"/>
        </w:rPr>
        <w:t>drop in Bone Scans demonstrates the Applicant’s imaging modality shift toward</w:t>
      </w:r>
      <w:r w:rsidR="00020253" w:rsidRPr="00C11123">
        <w:rPr>
          <w:rFonts w:cs="Arial"/>
          <w:sz w:val="22"/>
          <w:szCs w:val="22"/>
        </w:rPr>
        <w:t>s</w:t>
      </w:r>
      <w:r w:rsidRPr="00C11123">
        <w:rPr>
          <w:rFonts w:cs="Arial"/>
          <w:sz w:val="22"/>
          <w:szCs w:val="22"/>
        </w:rPr>
        <w:t xml:space="preserve"> </w:t>
      </w:r>
      <w:r w:rsidR="00150551" w:rsidRPr="00C11123">
        <w:rPr>
          <w:rFonts w:cs="Arial"/>
          <w:sz w:val="22"/>
          <w:szCs w:val="22"/>
        </w:rPr>
        <w:t>PSMA PET</w:t>
      </w:r>
      <w:r w:rsidR="007845C8" w:rsidRPr="00C11123">
        <w:rPr>
          <w:rFonts w:cs="Arial"/>
          <w:sz w:val="22"/>
          <w:szCs w:val="22"/>
        </w:rPr>
        <w:t>/CT</w:t>
      </w:r>
      <w:r w:rsidR="000D5BED" w:rsidRPr="00C11123">
        <w:rPr>
          <w:rFonts w:cs="Arial"/>
          <w:sz w:val="22"/>
          <w:szCs w:val="22"/>
        </w:rPr>
        <w:t xml:space="preserve"> technology</w:t>
      </w:r>
      <w:r w:rsidR="00005914" w:rsidRPr="00C11123">
        <w:rPr>
          <w:rFonts w:cs="Arial"/>
          <w:sz w:val="22"/>
          <w:szCs w:val="22"/>
        </w:rPr>
        <w:t xml:space="preserve"> for </w:t>
      </w:r>
      <w:r w:rsidR="0066567D" w:rsidRPr="00C11123">
        <w:rPr>
          <w:rFonts w:cs="Arial"/>
          <w:sz w:val="22"/>
          <w:szCs w:val="22"/>
        </w:rPr>
        <w:t xml:space="preserve">clinical </w:t>
      </w:r>
      <w:r w:rsidR="00005914" w:rsidRPr="00C11123">
        <w:rPr>
          <w:rFonts w:cs="Arial"/>
          <w:sz w:val="22"/>
          <w:szCs w:val="22"/>
        </w:rPr>
        <w:t>health</w:t>
      </w:r>
      <w:r w:rsidR="00D41631" w:rsidRPr="00C11123">
        <w:rPr>
          <w:rFonts w:cs="Arial"/>
          <w:sz w:val="22"/>
          <w:szCs w:val="22"/>
        </w:rPr>
        <w:t xml:space="preserve"> </w:t>
      </w:r>
      <w:r w:rsidR="0066567D" w:rsidRPr="00C11123">
        <w:rPr>
          <w:rFonts w:cs="Arial"/>
          <w:sz w:val="22"/>
          <w:szCs w:val="22"/>
        </w:rPr>
        <w:t>value,</w:t>
      </w:r>
      <w:r w:rsidRPr="00C11123">
        <w:rPr>
          <w:rFonts w:cs="Arial"/>
          <w:sz w:val="22"/>
          <w:szCs w:val="22"/>
        </w:rPr>
        <w:t xml:space="preserve"> consistent with</w:t>
      </w:r>
      <w:r w:rsidR="00020253" w:rsidRPr="00C11123">
        <w:rPr>
          <w:rFonts w:cs="Arial"/>
          <w:sz w:val="22"/>
          <w:szCs w:val="22"/>
        </w:rPr>
        <w:t xml:space="preserve"> its </w:t>
      </w:r>
      <w:r w:rsidR="00835571" w:rsidRPr="00C11123">
        <w:rPr>
          <w:rFonts w:cs="Arial"/>
          <w:sz w:val="22"/>
          <w:szCs w:val="22"/>
        </w:rPr>
        <w:t xml:space="preserve">growing reputation </w:t>
      </w:r>
      <w:r w:rsidR="007845C8" w:rsidRPr="00C11123">
        <w:rPr>
          <w:rFonts w:cs="Arial"/>
          <w:sz w:val="22"/>
          <w:szCs w:val="22"/>
        </w:rPr>
        <w:t xml:space="preserve">among industry leaders as </w:t>
      </w:r>
      <w:r w:rsidR="00453E5B" w:rsidRPr="00C11123">
        <w:rPr>
          <w:rFonts w:cs="Arial"/>
          <w:sz w:val="22"/>
          <w:szCs w:val="22"/>
        </w:rPr>
        <w:t>the</w:t>
      </w:r>
      <w:r w:rsidR="00020253" w:rsidRPr="00C11123">
        <w:rPr>
          <w:rFonts w:cs="Arial"/>
          <w:sz w:val="22"/>
          <w:szCs w:val="22"/>
        </w:rPr>
        <w:t xml:space="preserve"> more effective diagnostic </w:t>
      </w:r>
      <w:r w:rsidR="000D5BED" w:rsidRPr="00C11123">
        <w:rPr>
          <w:rFonts w:cs="Arial"/>
          <w:sz w:val="22"/>
          <w:szCs w:val="22"/>
        </w:rPr>
        <w:t>tool</w:t>
      </w:r>
      <w:r w:rsidR="00005914" w:rsidRPr="00C11123">
        <w:rPr>
          <w:rFonts w:cs="Arial"/>
          <w:sz w:val="22"/>
          <w:szCs w:val="22"/>
        </w:rPr>
        <w:t>,</w:t>
      </w:r>
      <w:r w:rsidRPr="00C11123">
        <w:rPr>
          <w:rFonts w:cs="Arial"/>
          <w:sz w:val="22"/>
          <w:szCs w:val="22"/>
        </w:rPr>
        <w:t xml:space="preserve"> as more fully described in this </w:t>
      </w:r>
      <w:r w:rsidR="00453E5B" w:rsidRPr="00C11123">
        <w:rPr>
          <w:rFonts w:cs="Arial"/>
          <w:sz w:val="22"/>
          <w:szCs w:val="22"/>
        </w:rPr>
        <w:t>A</w:t>
      </w:r>
      <w:r w:rsidRPr="00C11123">
        <w:rPr>
          <w:rFonts w:cs="Arial"/>
          <w:sz w:val="22"/>
          <w:szCs w:val="22"/>
        </w:rPr>
        <w:t>pplication.</w:t>
      </w:r>
    </w:p>
    <w:p w14:paraId="03D84AA7" w14:textId="77777777" w:rsidR="00F256C0" w:rsidRPr="00C11123" w:rsidRDefault="00F256C0" w:rsidP="00F256C0">
      <w:pPr>
        <w:spacing w:after="0" w:line="240" w:lineRule="auto"/>
        <w:jc w:val="both"/>
        <w:rPr>
          <w:rFonts w:cs="Arial"/>
          <w:sz w:val="22"/>
          <w:szCs w:val="22"/>
        </w:rPr>
      </w:pPr>
    </w:p>
    <w:p w14:paraId="41556394" w14:textId="61914CD3" w:rsidR="00453E5B" w:rsidRPr="00C11123" w:rsidRDefault="00000000" w:rsidP="00F256C0">
      <w:pPr>
        <w:spacing w:after="0" w:line="240" w:lineRule="auto"/>
        <w:jc w:val="both"/>
        <w:rPr>
          <w:rFonts w:cs="Arial"/>
          <w:sz w:val="22"/>
          <w:szCs w:val="22"/>
        </w:rPr>
      </w:pPr>
      <w:r w:rsidRPr="00C11123">
        <w:rPr>
          <w:rFonts w:cs="Arial"/>
          <w:sz w:val="22"/>
          <w:szCs w:val="22"/>
        </w:rPr>
        <w:t>Over the course of the next 5 years, the Applicant projects that</w:t>
      </w:r>
      <w:r w:rsidR="004104BB" w:rsidRPr="00C11123">
        <w:rPr>
          <w:rFonts w:cs="Arial"/>
          <w:sz w:val="22"/>
          <w:szCs w:val="22"/>
        </w:rPr>
        <w:t xml:space="preserve"> its Patient Panel’s</w:t>
      </w:r>
      <w:r w:rsidRPr="00C11123">
        <w:rPr>
          <w:rFonts w:cs="Arial"/>
          <w:sz w:val="22"/>
          <w:szCs w:val="22"/>
        </w:rPr>
        <w:t xml:space="preserve"> </w:t>
      </w:r>
      <w:r w:rsidR="00497CDB" w:rsidRPr="00C11123">
        <w:rPr>
          <w:rFonts w:cs="Arial"/>
          <w:sz w:val="22"/>
          <w:szCs w:val="22"/>
        </w:rPr>
        <w:t xml:space="preserve">clinical </w:t>
      </w:r>
      <w:r w:rsidRPr="00C11123">
        <w:rPr>
          <w:rFonts w:cs="Arial"/>
          <w:sz w:val="22"/>
          <w:szCs w:val="22"/>
        </w:rPr>
        <w:t xml:space="preserve">need for </w:t>
      </w:r>
      <w:r w:rsidR="0094151D" w:rsidRPr="00C11123">
        <w:rPr>
          <w:rFonts w:cs="Arial"/>
          <w:sz w:val="22"/>
          <w:szCs w:val="22"/>
        </w:rPr>
        <w:t xml:space="preserve">PSMA </w:t>
      </w:r>
      <w:r w:rsidR="00497CDB" w:rsidRPr="00C11123">
        <w:rPr>
          <w:rFonts w:cs="Arial"/>
          <w:sz w:val="22"/>
          <w:szCs w:val="22"/>
        </w:rPr>
        <w:t xml:space="preserve">PET/CT will </w:t>
      </w:r>
      <w:r w:rsidRPr="00C11123">
        <w:rPr>
          <w:rFonts w:cs="Arial"/>
          <w:sz w:val="22"/>
          <w:szCs w:val="22"/>
        </w:rPr>
        <w:t xml:space="preserve">continue </w:t>
      </w:r>
      <w:r w:rsidR="0094151D" w:rsidRPr="00C11123">
        <w:rPr>
          <w:rFonts w:cs="Arial"/>
          <w:sz w:val="22"/>
          <w:szCs w:val="22"/>
        </w:rPr>
        <w:t>to grow</w:t>
      </w:r>
      <w:r w:rsidR="007845C8" w:rsidRPr="00C11123">
        <w:rPr>
          <w:rFonts w:cs="Arial"/>
          <w:sz w:val="22"/>
          <w:szCs w:val="22"/>
        </w:rPr>
        <w:t>. This projection is</w:t>
      </w:r>
      <w:r w:rsidR="004104BB" w:rsidRPr="00C11123">
        <w:rPr>
          <w:rFonts w:cs="Arial"/>
          <w:sz w:val="22"/>
          <w:szCs w:val="22"/>
        </w:rPr>
        <w:t xml:space="preserve"> </w:t>
      </w:r>
      <w:r w:rsidR="00F84CA7" w:rsidRPr="00C11123">
        <w:rPr>
          <w:rFonts w:cs="Arial"/>
          <w:sz w:val="22"/>
          <w:szCs w:val="22"/>
        </w:rPr>
        <w:t>guided by</w:t>
      </w:r>
      <w:r w:rsidR="00ED2E79" w:rsidRPr="00C11123">
        <w:rPr>
          <w:rFonts w:cs="Arial"/>
          <w:sz w:val="22"/>
          <w:szCs w:val="22"/>
        </w:rPr>
        <w:t xml:space="preserve"> the</w:t>
      </w:r>
      <w:r w:rsidR="004104BB" w:rsidRPr="00C11123">
        <w:rPr>
          <w:rFonts w:cs="Arial"/>
          <w:sz w:val="22"/>
          <w:szCs w:val="22"/>
        </w:rPr>
        <w:t xml:space="preserve"> </w:t>
      </w:r>
      <w:r w:rsidR="00CE6077" w:rsidRPr="00C11123">
        <w:rPr>
          <w:rFonts w:cs="Arial"/>
          <w:sz w:val="22"/>
          <w:szCs w:val="22"/>
        </w:rPr>
        <w:t xml:space="preserve">above-described </w:t>
      </w:r>
      <w:r w:rsidR="004104BB" w:rsidRPr="00C11123">
        <w:rPr>
          <w:rFonts w:cs="Arial"/>
          <w:sz w:val="22"/>
          <w:szCs w:val="22"/>
        </w:rPr>
        <w:t xml:space="preserve">aging population </w:t>
      </w:r>
      <w:r w:rsidR="00A474AB" w:rsidRPr="00C11123">
        <w:rPr>
          <w:rFonts w:cs="Arial"/>
          <w:sz w:val="22"/>
          <w:szCs w:val="22"/>
        </w:rPr>
        <w:t>factors</w:t>
      </w:r>
      <w:r w:rsidR="007B3B8C" w:rsidRPr="00C11123">
        <w:rPr>
          <w:rFonts w:cs="Arial"/>
          <w:sz w:val="22"/>
          <w:szCs w:val="22"/>
        </w:rPr>
        <w:t xml:space="preserve">, </w:t>
      </w:r>
      <w:r w:rsidR="007845C8" w:rsidRPr="00C11123">
        <w:rPr>
          <w:rFonts w:cs="Arial"/>
          <w:sz w:val="22"/>
          <w:szCs w:val="22"/>
        </w:rPr>
        <w:t>Applicant’s</w:t>
      </w:r>
      <w:r w:rsidR="007B3B8C" w:rsidRPr="00C11123">
        <w:rPr>
          <w:rFonts w:cs="Arial"/>
          <w:sz w:val="22"/>
          <w:szCs w:val="22"/>
        </w:rPr>
        <w:t xml:space="preserve"> own </w:t>
      </w:r>
      <w:r w:rsidR="00F84CA7" w:rsidRPr="00C11123">
        <w:rPr>
          <w:rFonts w:cs="Arial"/>
          <w:sz w:val="22"/>
          <w:szCs w:val="22"/>
        </w:rPr>
        <w:t xml:space="preserve">historical </w:t>
      </w:r>
      <w:r w:rsidR="007B3B8C" w:rsidRPr="00C11123">
        <w:rPr>
          <w:rFonts w:cs="Arial"/>
          <w:sz w:val="22"/>
          <w:szCs w:val="22"/>
        </w:rPr>
        <w:t xml:space="preserve">increases in </w:t>
      </w:r>
      <w:r w:rsidR="00F84CA7" w:rsidRPr="00C11123">
        <w:rPr>
          <w:rFonts w:cs="Arial"/>
          <w:sz w:val="22"/>
          <w:szCs w:val="22"/>
        </w:rPr>
        <w:t xml:space="preserve">the male </w:t>
      </w:r>
      <w:r w:rsidR="00ED2E79" w:rsidRPr="00C11123">
        <w:rPr>
          <w:rFonts w:cs="Arial"/>
          <w:sz w:val="22"/>
          <w:szCs w:val="22"/>
        </w:rPr>
        <w:t xml:space="preserve">age </w:t>
      </w:r>
      <w:r w:rsidR="00F84CA7" w:rsidRPr="00C11123">
        <w:rPr>
          <w:rFonts w:cs="Arial"/>
          <w:sz w:val="22"/>
          <w:szCs w:val="22"/>
        </w:rPr>
        <w:t>65 and over</w:t>
      </w:r>
      <w:r w:rsidR="00ED2E79" w:rsidRPr="00C11123">
        <w:rPr>
          <w:rFonts w:cs="Arial"/>
          <w:sz w:val="22"/>
          <w:szCs w:val="22"/>
        </w:rPr>
        <w:t xml:space="preserve"> cohort</w:t>
      </w:r>
      <w:r w:rsidR="00F84CA7" w:rsidRPr="00C11123">
        <w:rPr>
          <w:rFonts w:cs="Arial"/>
          <w:sz w:val="22"/>
          <w:szCs w:val="22"/>
        </w:rPr>
        <w:t>,</w:t>
      </w:r>
      <w:r w:rsidR="00A474AB" w:rsidRPr="00C11123">
        <w:rPr>
          <w:rFonts w:cs="Arial"/>
          <w:sz w:val="22"/>
          <w:szCs w:val="22"/>
        </w:rPr>
        <w:t xml:space="preserve"> and</w:t>
      </w:r>
      <w:r w:rsidR="00D2225A" w:rsidRPr="00C11123">
        <w:rPr>
          <w:rFonts w:cs="Arial"/>
          <w:sz w:val="22"/>
          <w:szCs w:val="22"/>
        </w:rPr>
        <w:t xml:space="preserve"> the </w:t>
      </w:r>
      <w:r w:rsidR="00247CF5" w:rsidRPr="00C11123">
        <w:rPr>
          <w:rFonts w:cs="Arial"/>
          <w:sz w:val="22"/>
          <w:szCs w:val="22"/>
        </w:rPr>
        <w:t xml:space="preserve">3% </w:t>
      </w:r>
      <w:r w:rsidR="00D2225A" w:rsidRPr="00C11123">
        <w:rPr>
          <w:rFonts w:cs="Arial"/>
          <w:sz w:val="22"/>
          <w:szCs w:val="22"/>
        </w:rPr>
        <w:t>rise in prostate cancer incidence</w:t>
      </w:r>
      <w:r w:rsidR="00AD53EF" w:rsidRPr="00C11123">
        <w:rPr>
          <w:rFonts w:cs="Arial"/>
          <w:sz w:val="22"/>
          <w:szCs w:val="22"/>
        </w:rPr>
        <w:t xml:space="preserve"> </w:t>
      </w:r>
      <w:r w:rsidR="00535CEA" w:rsidRPr="00C11123">
        <w:rPr>
          <w:rFonts w:cs="Arial"/>
          <w:sz w:val="22"/>
          <w:szCs w:val="22"/>
        </w:rPr>
        <w:t xml:space="preserve">annually </w:t>
      </w:r>
      <w:r w:rsidR="00911F2F" w:rsidRPr="00C11123">
        <w:rPr>
          <w:rFonts w:cs="Arial"/>
          <w:sz w:val="22"/>
          <w:szCs w:val="22"/>
        </w:rPr>
        <w:t>as observed by the American Cancer Society.</w:t>
      </w:r>
      <w:r>
        <w:rPr>
          <w:rStyle w:val="FootnoteReference"/>
          <w:rFonts w:cs="Arial"/>
          <w:sz w:val="22"/>
          <w:szCs w:val="22"/>
        </w:rPr>
        <w:footnoteReference w:id="35"/>
      </w:r>
      <w:r w:rsidR="001944EF" w:rsidRPr="00C11123">
        <w:rPr>
          <w:rFonts w:cs="Arial"/>
          <w:sz w:val="22"/>
          <w:szCs w:val="22"/>
        </w:rPr>
        <w:t xml:space="preserve"> If the Applicant assumes </w:t>
      </w:r>
      <w:r w:rsidR="00943330" w:rsidRPr="00C11123">
        <w:rPr>
          <w:rFonts w:cs="Arial"/>
          <w:sz w:val="22"/>
          <w:szCs w:val="22"/>
        </w:rPr>
        <w:t>only a</w:t>
      </w:r>
      <w:r w:rsidR="001944EF" w:rsidRPr="00C11123">
        <w:rPr>
          <w:rFonts w:cs="Arial"/>
          <w:sz w:val="22"/>
          <w:szCs w:val="22"/>
        </w:rPr>
        <w:t xml:space="preserve"> 5% </w:t>
      </w:r>
      <w:r w:rsidR="006A404E" w:rsidRPr="00C11123">
        <w:rPr>
          <w:rFonts w:cs="Arial"/>
          <w:sz w:val="22"/>
          <w:szCs w:val="22"/>
        </w:rPr>
        <w:t xml:space="preserve">flat </w:t>
      </w:r>
      <w:r w:rsidR="006A5450" w:rsidRPr="00C11123">
        <w:rPr>
          <w:rFonts w:cs="Arial"/>
          <w:sz w:val="22"/>
          <w:szCs w:val="22"/>
        </w:rPr>
        <w:t xml:space="preserve">annual </w:t>
      </w:r>
      <w:r w:rsidR="001944EF" w:rsidRPr="00C11123">
        <w:rPr>
          <w:rFonts w:cs="Arial"/>
          <w:sz w:val="22"/>
          <w:szCs w:val="22"/>
        </w:rPr>
        <w:t xml:space="preserve">increase to </w:t>
      </w:r>
      <w:r w:rsidR="006A5450" w:rsidRPr="00C11123">
        <w:rPr>
          <w:rFonts w:cs="Arial"/>
          <w:sz w:val="22"/>
          <w:szCs w:val="22"/>
        </w:rPr>
        <w:t>its</w:t>
      </w:r>
      <w:r w:rsidR="0080684D" w:rsidRPr="00C11123">
        <w:rPr>
          <w:rFonts w:cs="Arial"/>
          <w:sz w:val="22"/>
          <w:szCs w:val="22"/>
        </w:rPr>
        <w:t xml:space="preserve"> at-risk</w:t>
      </w:r>
      <w:r w:rsidR="006A5450" w:rsidRPr="00C11123">
        <w:rPr>
          <w:rFonts w:cs="Arial"/>
          <w:sz w:val="22"/>
          <w:szCs w:val="22"/>
        </w:rPr>
        <w:t xml:space="preserve"> Patient Panel together with </w:t>
      </w:r>
      <w:r w:rsidR="00045992" w:rsidRPr="00C11123">
        <w:rPr>
          <w:rFonts w:cs="Arial"/>
          <w:sz w:val="22"/>
          <w:szCs w:val="22"/>
        </w:rPr>
        <w:t>the</w:t>
      </w:r>
      <w:r w:rsidR="00FB3CF6" w:rsidRPr="00C11123">
        <w:rPr>
          <w:rFonts w:cs="Arial"/>
          <w:sz w:val="22"/>
          <w:szCs w:val="22"/>
        </w:rPr>
        <w:t xml:space="preserve"> projected</w:t>
      </w:r>
      <w:r w:rsidR="00045992" w:rsidRPr="00C11123">
        <w:rPr>
          <w:rFonts w:cs="Arial"/>
          <w:sz w:val="22"/>
          <w:szCs w:val="22"/>
        </w:rPr>
        <w:t xml:space="preserve"> </w:t>
      </w:r>
      <w:r w:rsidR="00FB3CF6" w:rsidRPr="00C11123">
        <w:rPr>
          <w:rFonts w:cs="Arial"/>
          <w:sz w:val="22"/>
          <w:szCs w:val="22"/>
        </w:rPr>
        <w:t>3</w:t>
      </w:r>
      <w:r w:rsidR="00045992" w:rsidRPr="00C11123">
        <w:rPr>
          <w:rFonts w:cs="Arial"/>
          <w:sz w:val="22"/>
          <w:szCs w:val="22"/>
        </w:rPr>
        <w:t>% acceleration in the prostate cancer</w:t>
      </w:r>
      <w:r w:rsidR="00FB3CF6" w:rsidRPr="00C11123">
        <w:rPr>
          <w:rFonts w:cs="Arial"/>
          <w:sz w:val="22"/>
          <w:szCs w:val="22"/>
        </w:rPr>
        <w:t xml:space="preserve"> rate</w:t>
      </w:r>
      <w:r w:rsidR="00045992" w:rsidRPr="00C11123">
        <w:rPr>
          <w:rFonts w:cs="Arial"/>
          <w:sz w:val="22"/>
          <w:szCs w:val="22"/>
        </w:rPr>
        <w:t xml:space="preserve"> </w:t>
      </w:r>
      <w:r w:rsidR="00094BE8" w:rsidRPr="00C11123">
        <w:rPr>
          <w:rFonts w:cs="Arial"/>
          <w:sz w:val="22"/>
          <w:szCs w:val="22"/>
        </w:rPr>
        <w:t xml:space="preserve">for a </w:t>
      </w:r>
      <w:r w:rsidR="005B29B9" w:rsidRPr="00C11123">
        <w:rPr>
          <w:rFonts w:cs="Arial"/>
          <w:sz w:val="22"/>
          <w:szCs w:val="22"/>
        </w:rPr>
        <w:t xml:space="preserve">combined and </w:t>
      </w:r>
      <w:r w:rsidR="00094BE8" w:rsidRPr="00C11123">
        <w:rPr>
          <w:rFonts w:cs="Arial"/>
          <w:sz w:val="22"/>
          <w:szCs w:val="22"/>
        </w:rPr>
        <w:t>projected growth factor of 8%</w:t>
      </w:r>
      <w:r w:rsidR="005B29B9" w:rsidRPr="00C11123">
        <w:rPr>
          <w:rFonts w:cs="Arial"/>
          <w:sz w:val="22"/>
          <w:szCs w:val="22"/>
        </w:rPr>
        <w:t xml:space="preserve"> per year, the Applicant projects its volume</w:t>
      </w:r>
      <w:r w:rsidR="00943330" w:rsidRPr="00C11123">
        <w:rPr>
          <w:rFonts w:cs="Arial"/>
          <w:sz w:val="22"/>
          <w:szCs w:val="22"/>
        </w:rPr>
        <w:t xml:space="preserve"> for its mobile</w:t>
      </w:r>
      <w:r w:rsidR="005B29B9" w:rsidRPr="00C11123">
        <w:rPr>
          <w:rFonts w:cs="Arial"/>
          <w:sz w:val="22"/>
          <w:szCs w:val="22"/>
        </w:rPr>
        <w:t xml:space="preserve"> PSMA PET/CT </w:t>
      </w:r>
      <w:r w:rsidR="00943330" w:rsidRPr="00C11123">
        <w:rPr>
          <w:rFonts w:cs="Arial"/>
          <w:sz w:val="22"/>
          <w:szCs w:val="22"/>
        </w:rPr>
        <w:t>service will be as shown in Table</w:t>
      </w:r>
      <w:r w:rsidR="00034D45" w:rsidRPr="00C11123">
        <w:rPr>
          <w:rFonts w:cs="Arial"/>
          <w:sz w:val="22"/>
          <w:szCs w:val="22"/>
        </w:rPr>
        <w:t xml:space="preserve"> </w:t>
      </w:r>
      <w:r w:rsidR="00D70747" w:rsidRPr="00C11123">
        <w:rPr>
          <w:rFonts w:cs="Arial"/>
          <w:sz w:val="22"/>
          <w:szCs w:val="22"/>
        </w:rPr>
        <w:t>16</w:t>
      </w:r>
      <w:r w:rsidR="00034D45" w:rsidRPr="00C11123">
        <w:rPr>
          <w:rFonts w:cs="Arial"/>
          <w:sz w:val="22"/>
          <w:szCs w:val="22"/>
        </w:rPr>
        <w:t>.</w:t>
      </w:r>
      <w:r w:rsidR="00943330" w:rsidRPr="00C11123">
        <w:rPr>
          <w:rFonts w:cs="Arial"/>
          <w:sz w:val="22"/>
          <w:szCs w:val="22"/>
        </w:rPr>
        <w:t xml:space="preserve"> </w:t>
      </w:r>
    </w:p>
    <w:p w14:paraId="7C9774EF" w14:textId="77777777" w:rsidR="00F256C0" w:rsidRPr="00C11123" w:rsidRDefault="00F256C0" w:rsidP="00F256C0">
      <w:pPr>
        <w:spacing w:after="0" w:line="240" w:lineRule="auto"/>
        <w:jc w:val="both"/>
        <w:rPr>
          <w:rFonts w:cs="Arial"/>
          <w:sz w:val="22"/>
          <w:szCs w:val="22"/>
        </w:rPr>
      </w:pPr>
    </w:p>
    <w:p w14:paraId="6BB11007" w14:textId="72503916" w:rsidR="00F256C0" w:rsidRPr="00C11123" w:rsidRDefault="00000000" w:rsidP="00F256C0">
      <w:pPr>
        <w:spacing w:after="0" w:line="240" w:lineRule="auto"/>
        <w:jc w:val="both"/>
        <w:rPr>
          <w:rFonts w:cs="Arial"/>
          <w:b/>
          <w:bCs/>
          <w:sz w:val="22"/>
          <w:szCs w:val="22"/>
        </w:rPr>
      </w:pPr>
      <w:r w:rsidRPr="00C11123">
        <w:rPr>
          <w:rFonts w:cs="Arial"/>
          <w:b/>
          <w:bCs/>
          <w:sz w:val="22"/>
          <w:szCs w:val="22"/>
        </w:rPr>
        <w:t xml:space="preserve">Table </w:t>
      </w:r>
      <w:r w:rsidR="00D70747" w:rsidRPr="00C11123">
        <w:rPr>
          <w:rFonts w:cs="Arial"/>
          <w:b/>
          <w:bCs/>
          <w:sz w:val="22"/>
          <w:szCs w:val="22"/>
        </w:rPr>
        <w:t>16</w:t>
      </w:r>
      <w:r w:rsidRPr="00C11123">
        <w:rPr>
          <w:rFonts w:cs="Arial"/>
          <w:b/>
          <w:bCs/>
          <w:sz w:val="22"/>
          <w:szCs w:val="22"/>
        </w:rPr>
        <w:t>: Projected PSMA PET/CT Volume</w:t>
      </w:r>
    </w:p>
    <w:tbl>
      <w:tblPr>
        <w:tblStyle w:val="GridTable4"/>
        <w:tblW w:w="0" w:type="auto"/>
        <w:tblLook w:val="04A0" w:firstRow="1" w:lastRow="0" w:firstColumn="1" w:lastColumn="0" w:noHBand="0" w:noVBand="1"/>
        <w:tblCaption w:val="Projected PSMA PET/CT Volume"/>
      </w:tblPr>
      <w:tblGrid>
        <w:gridCol w:w="1870"/>
        <w:gridCol w:w="1870"/>
      </w:tblGrid>
      <w:tr w:rsidR="00507820" w14:paraId="3E7EC029" w14:textId="77777777" w:rsidTr="008149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70" w:type="dxa"/>
          </w:tcPr>
          <w:p w14:paraId="02C0C958" w14:textId="77777777" w:rsidR="00F256C0" w:rsidRPr="00C11123" w:rsidRDefault="00000000" w:rsidP="00610145">
            <w:pPr>
              <w:jc w:val="center"/>
              <w:rPr>
                <w:rFonts w:cs="Arial"/>
                <w:sz w:val="22"/>
                <w:szCs w:val="22"/>
              </w:rPr>
            </w:pPr>
            <w:r w:rsidRPr="00C11123">
              <w:rPr>
                <w:rFonts w:cs="Arial"/>
                <w:sz w:val="22"/>
                <w:szCs w:val="22"/>
              </w:rPr>
              <w:t>Year</w:t>
            </w:r>
          </w:p>
        </w:tc>
        <w:tc>
          <w:tcPr>
            <w:tcW w:w="1870" w:type="dxa"/>
          </w:tcPr>
          <w:p w14:paraId="38F8DE8E" w14:textId="77777777" w:rsidR="00F256C0" w:rsidRPr="00C11123" w:rsidRDefault="00000000" w:rsidP="00610145">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Volume</w:t>
            </w:r>
          </w:p>
        </w:tc>
      </w:tr>
      <w:tr w:rsidR="00507820" w14:paraId="13D1E17F" w14:textId="77777777" w:rsidTr="0081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0" w:type="dxa"/>
          </w:tcPr>
          <w:p w14:paraId="1F9EB5D2" w14:textId="77777777" w:rsidR="00F256C0" w:rsidRPr="00C11123" w:rsidRDefault="00000000" w:rsidP="00610145">
            <w:pPr>
              <w:jc w:val="center"/>
              <w:rPr>
                <w:rFonts w:cs="Arial"/>
                <w:b w:val="0"/>
                <w:bCs w:val="0"/>
                <w:sz w:val="22"/>
                <w:szCs w:val="22"/>
              </w:rPr>
            </w:pPr>
            <w:r w:rsidRPr="00C11123">
              <w:rPr>
                <w:rFonts w:cs="Arial"/>
                <w:sz w:val="22"/>
                <w:szCs w:val="22"/>
              </w:rPr>
              <w:t>2026</w:t>
            </w:r>
          </w:p>
        </w:tc>
        <w:tc>
          <w:tcPr>
            <w:tcW w:w="1870" w:type="dxa"/>
          </w:tcPr>
          <w:p w14:paraId="26B1F35C" w14:textId="0FA4E86A" w:rsidR="00F256C0" w:rsidRPr="00C11123" w:rsidRDefault="00000000" w:rsidP="0061014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804</w:t>
            </w:r>
          </w:p>
        </w:tc>
      </w:tr>
      <w:tr w:rsidR="00507820" w14:paraId="6FA37F2F" w14:textId="77777777" w:rsidTr="008149CF">
        <w:trPr>
          <w:cantSplit/>
        </w:trPr>
        <w:tc>
          <w:tcPr>
            <w:cnfStyle w:val="001000000000" w:firstRow="0" w:lastRow="0" w:firstColumn="1" w:lastColumn="0" w:oddVBand="0" w:evenVBand="0" w:oddHBand="0" w:evenHBand="0" w:firstRowFirstColumn="0" w:firstRowLastColumn="0" w:lastRowFirstColumn="0" w:lastRowLastColumn="0"/>
            <w:tcW w:w="1870" w:type="dxa"/>
          </w:tcPr>
          <w:p w14:paraId="75C48D24" w14:textId="77777777" w:rsidR="00F256C0" w:rsidRPr="00C11123" w:rsidRDefault="00000000" w:rsidP="00610145">
            <w:pPr>
              <w:jc w:val="center"/>
              <w:rPr>
                <w:rFonts w:cs="Arial"/>
                <w:b w:val="0"/>
                <w:bCs w:val="0"/>
                <w:sz w:val="22"/>
                <w:szCs w:val="22"/>
              </w:rPr>
            </w:pPr>
            <w:r w:rsidRPr="00C11123">
              <w:rPr>
                <w:rFonts w:cs="Arial"/>
                <w:sz w:val="22"/>
                <w:szCs w:val="22"/>
              </w:rPr>
              <w:t>2027</w:t>
            </w:r>
          </w:p>
        </w:tc>
        <w:tc>
          <w:tcPr>
            <w:tcW w:w="1870" w:type="dxa"/>
          </w:tcPr>
          <w:p w14:paraId="10678D46" w14:textId="67389668" w:rsidR="00F256C0" w:rsidRPr="00C11123" w:rsidRDefault="00000000" w:rsidP="0061014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868</w:t>
            </w:r>
          </w:p>
        </w:tc>
      </w:tr>
      <w:tr w:rsidR="00507820" w14:paraId="0202468A" w14:textId="77777777" w:rsidTr="0081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0" w:type="dxa"/>
          </w:tcPr>
          <w:p w14:paraId="6E531639" w14:textId="77777777" w:rsidR="00F256C0" w:rsidRPr="00C11123" w:rsidRDefault="00000000" w:rsidP="00610145">
            <w:pPr>
              <w:jc w:val="center"/>
              <w:rPr>
                <w:rFonts w:cs="Arial"/>
                <w:b w:val="0"/>
                <w:bCs w:val="0"/>
                <w:sz w:val="22"/>
                <w:szCs w:val="22"/>
              </w:rPr>
            </w:pPr>
            <w:r w:rsidRPr="00C11123">
              <w:rPr>
                <w:rFonts w:cs="Arial"/>
                <w:sz w:val="22"/>
                <w:szCs w:val="22"/>
              </w:rPr>
              <w:t>2028</w:t>
            </w:r>
          </w:p>
        </w:tc>
        <w:tc>
          <w:tcPr>
            <w:tcW w:w="1870" w:type="dxa"/>
          </w:tcPr>
          <w:p w14:paraId="04887522" w14:textId="36FB703B" w:rsidR="00F256C0" w:rsidRPr="00C11123" w:rsidRDefault="00000000" w:rsidP="0061014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937</w:t>
            </w:r>
          </w:p>
        </w:tc>
      </w:tr>
      <w:tr w:rsidR="00507820" w14:paraId="59F021B6" w14:textId="77777777" w:rsidTr="008149CF">
        <w:trPr>
          <w:cantSplit/>
        </w:trPr>
        <w:tc>
          <w:tcPr>
            <w:cnfStyle w:val="001000000000" w:firstRow="0" w:lastRow="0" w:firstColumn="1" w:lastColumn="0" w:oddVBand="0" w:evenVBand="0" w:oddHBand="0" w:evenHBand="0" w:firstRowFirstColumn="0" w:firstRowLastColumn="0" w:lastRowFirstColumn="0" w:lastRowLastColumn="0"/>
            <w:tcW w:w="1870" w:type="dxa"/>
          </w:tcPr>
          <w:p w14:paraId="2C58BD8D" w14:textId="77777777" w:rsidR="00F256C0" w:rsidRPr="00C11123" w:rsidRDefault="00000000" w:rsidP="00610145">
            <w:pPr>
              <w:jc w:val="center"/>
              <w:rPr>
                <w:rFonts w:cs="Arial"/>
                <w:b w:val="0"/>
                <w:bCs w:val="0"/>
                <w:sz w:val="22"/>
                <w:szCs w:val="22"/>
              </w:rPr>
            </w:pPr>
            <w:r w:rsidRPr="00C11123">
              <w:rPr>
                <w:rFonts w:cs="Arial"/>
                <w:sz w:val="22"/>
                <w:szCs w:val="22"/>
              </w:rPr>
              <w:t>2029</w:t>
            </w:r>
          </w:p>
        </w:tc>
        <w:tc>
          <w:tcPr>
            <w:tcW w:w="1870" w:type="dxa"/>
          </w:tcPr>
          <w:p w14:paraId="636CA483" w14:textId="3A1942F7" w:rsidR="00F256C0" w:rsidRPr="00C11123" w:rsidRDefault="00000000" w:rsidP="00610145">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11123">
              <w:rPr>
                <w:rFonts w:cs="Arial"/>
                <w:sz w:val="22"/>
                <w:szCs w:val="22"/>
              </w:rPr>
              <w:t>1,012</w:t>
            </w:r>
          </w:p>
        </w:tc>
      </w:tr>
      <w:tr w:rsidR="00507820" w14:paraId="2851EA4D" w14:textId="77777777" w:rsidTr="0081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0" w:type="dxa"/>
          </w:tcPr>
          <w:p w14:paraId="6C4A2113" w14:textId="77777777" w:rsidR="00F256C0" w:rsidRPr="00C11123" w:rsidRDefault="00000000" w:rsidP="00610145">
            <w:pPr>
              <w:jc w:val="center"/>
              <w:rPr>
                <w:rFonts w:cs="Arial"/>
                <w:b w:val="0"/>
                <w:bCs w:val="0"/>
                <w:sz w:val="22"/>
                <w:szCs w:val="22"/>
              </w:rPr>
            </w:pPr>
            <w:r w:rsidRPr="00C11123">
              <w:rPr>
                <w:rFonts w:cs="Arial"/>
                <w:sz w:val="22"/>
                <w:szCs w:val="22"/>
              </w:rPr>
              <w:t>2030</w:t>
            </w:r>
          </w:p>
        </w:tc>
        <w:tc>
          <w:tcPr>
            <w:tcW w:w="1870" w:type="dxa"/>
          </w:tcPr>
          <w:p w14:paraId="72E3CD8F" w14:textId="23F5B00D" w:rsidR="00F256C0" w:rsidRPr="00C11123" w:rsidRDefault="00000000" w:rsidP="00610145">
            <w:pPr>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11123">
              <w:rPr>
                <w:rFonts w:cs="Arial"/>
                <w:sz w:val="22"/>
                <w:szCs w:val="22"/>
              </w:rPr>
              <w:t>1,093</w:t>
            </w:r>
          </w:p>
        </w:tc>
      </w:tr>
    </w:tbl>
    <w:p w14:paraId="6EEF2893" w14:textId="77777777" w:rsidR="00F256C0" w:rsidRPr="00C11123" w:rsidRDefault="00F256C0" w:rsidP="007E3B0C">
      <w:pPr>
        <w:spacing w:after="0" w:line="240" w:lineRule="auto"/>
        <w:jc w:val="both"/>
        <w:rPr>
          <w:rFonts w:cs="Arial"/>
          <w:sz w:val="22"/>
          <w:szCs w:val="22"/>
          <w:u w:val="single"/>
        </w:rPr>
      </w:pPr>
    </w:p>
    <w:p w14:paraId="1E85FAA7" w14:textId="2041EB26" w:rsidR="00DD67CE" w:rsidRPr="00C11123" w:rsidRDefault="00000000" w:rsidP="005A2CF5">
      <w:pPr>
        <w:spacing w:after="0" w:line="240" w:lineRule="auto"/>
        <w:jc w:val="both"/>
        <w:rPr>
          <w:rFonts w:cs="Arial"/>
          <w:sz w:val="22"/>
          <w:szCs w:val="22"/>
        </w:rPr>
      </w:pPr>
      <w:r w:rsidRPr="00C11123">
        <w:rPr>
          <w:rFonts w:cs="Arial"/>
          <w:sz w:val="22"/>
          <w:szCs w:val="22"/>
        </w:rPr>
        <w:t xml:space="preserve">The above </w:t>
      </w:r>
      <w:r w:rsidR="00E47E63" w:rsidRPr="00C11123">
        <w:rPr>
          <w:rFonts w:cs="Arial"/>
          <w:sz w:val="22"/>
          <w:szCs w:val="22"/>
        </w:rPr>
        <w:t xml:space="preserve">are </w:t>
      </w:r>
      <w:r w:rsidRPr="00C11123">
        <w:rPr>
          <w:rFonts w:cs="Arial"/>
          <w:sz w:val="22"/>
          <w:szCs w:val="22"/>
        </w:rPr>
        <w:t>estimates, and</w:t>
      </w:r>
      <w:r w:rsidR="001A0439" w:rsidRPr="00C11123">
        <w:rPr>
          <w:rFonts w:cs="Arial"/>
          <w:sz w:val="22"/>
          <w:szCs w:val="22"/>
        </w:rPr>
        <w:t>,</w:t>
      </w:r>
      <w:r w:rsidR="001B5C30" w:rsidRPr="00C11123">
        <w:rPr>
          <w:rFonts w:cs="Arial"/>
          <w:sz w:val="22"/>
          <w:szCs w:val="22"/>
        </w:rPr>
        <w:t xml:space="preserve"> to </w:t>
      </w:r>
      <w:r w:rsidR="005A2CF5" w:rsidRPr="00C11123">
        <w:rPr>
          <w:rFonts w:cs="Arial"/>
          <w:sz w:val="22"/>
          <w:szCs w:val="22"/>
        </w:rPr>
        <w:t xml:space="preserve">the extent annual Patient Panel growth exceeds projections or patients increasingly present with greater disease acuity and higher Gleason scores, </w:t>
      </w:r>
      <w:r w:rsidR="00E46219" w:rsidRPr="00C11123">
        <w:rPr>
          <w:rFonts w:cs="Arial"/>
          <w:sz w:val="22"/>
          <w:szCs w:val="22"/>
        </w:rPr>
        <w:t xml:space="preserve">the Applicant submits that </w:t>
      </w:r>
      <w:r w:rsidR="005A2CF5" w:rsidRPr="00C11123">
        <w:rPr>
          <w:rFonts w:cs="Arial"/>
          <w:sz w:val="22"/>
          <w:szCs w:val="22"/>
        </w:rPr>
        <w:t xml:space="preserve">PSMA PET/CT volumes may exceed </w:t>
      </w:r>
      <w:r w:rsidR="00A777DD" w:rsidRPr="00C11123">
        <w:rPr>
          <w:rFonts w:cs="Arial"/>
          <w:sz w:val="22"/>
          <w:szCs w:val="22"/>
        </w:rPr>
        <w:t xml:space="preserve">these </w:t>
      </w:r>
      <w:r w:rsidR="005A2CF5" w:rsidRPr="00C11123">
        <w:rPr>
          <w:rFonts w:cs="Arial"/>
          <w:sz w:val="22"/>
          <w:szCs w:val="22"/>
        </w:rPr>
        <w:t>current estimates—particularly as the modality’s superior sensitivity and diagnostic accuracy increasingly support its use earlier in the disease course and across a broader range of clinically appropriate indications.</w:t>
      </w:r>
      <w:r w:rsidR="00803646" w:rsidRPr="00C11123">
        <w:rPr>
          <w:rFonts w:cs="Arial"/>
          <w:sz w:val="22"/>
          <w:szCs w:val="22"/>
        </w:rPr>
        <w:t xml:space="preserve">  Accordingly, th</w:t>
      </w:r>
      <w:r w:rsidRPr="00C11123">
        <w:rPr>
          <w:rFonts w:cs="Arial"/>
          <w:sz w:val="22"/>
          <w:szCs w:val="22"/>
        </w:rPr>
        <w:t>e Proposed Project is designed to ensure the Applicant can respond appropriately to such increases in clinically indicated PSMA PET/CT utilization.</w:t>
      </w:r>
    </w:p>
    <w:p w14:paraId="2A5F881D" w14:textId="77777777" w:rsidR="007E3B0C" w:rsidRPr="00C11123" w:rsidRDefault="007E3B0C" w:rsidP="00D70747">
      <w:pPr>
        <w:spacing w:after="0" w:line="240" w:lineRule="auto"/>
        <w:jc w:val="both"/>
        <w:rPr>
          <w:rFonts w:cs="Arial"/>
          <w:sz w:val="22"/>
          <w:szCs w:val="22"/>
          <w:u w:val="single"/>
        </w:rPr>
      </w:pPr>
    </w:p>
    <w:p w14:paraId="725379E7" w14:textId="007DA352" w:rsidR="00957C90" w:rsidRPr="00C11123" w:rsidRDefault="00000000" w:rsidP="00B0463A">
      <w:pPr>
        <w:pStyle w:val="Heading4"/>
      </w:pPr>
      <w:r w:rsidRPr="00C11123">
        <w:t>Need Based on Region/Project Site Selection</w:t>
      </w:r>
    </w:p>
    <w:p w14:paraId="07788C75" w14:textId="77777777" w:rsidR="00957C90" w:rsidRPr="00C11123" w:rsidRDefault="00957C90" w:rsidP="00CC6024">
      <w:pPr>
        <w:spacing w:after="0" w:line="240" w:lineRule="auto"/>
        <w:jc w:val="both"/>
        <w:rPr>
          <w:rFonts w:cs="Arial"/>
          <w:sz w:val="22"/>
          <w:szCs w:val="22"/>
        </w:rPr>
      </w:pPr>
    </w:p>
    <w:p w14:paraId="2D5344D8" w14:textId="742F47D6" w:rsidR="00BC486B" w:rsidRPr="00C11123" w:rsidRDefault="00000000" w:rsidP="00CC6024">
      <w:pPr>
        <w:spacing w:after="0" w:line="240" w:lineRule="auto"/>
        <w:jc w:val="both"/>
        <w:rPr>
          <w:rFonts w:cs="Arial"/>
          <w:sz w:val="22"/>
          <w:szCs w:val="22"/>
        </w:rPr>
      </w:pPr>
      <w:proofErr w:type="gramStart"/>
      <w:r w:rsidRPr="00C11123">
        <w:rPr>
          <w:rFonts w:cs="Arial"/>
          <w:sz w:val="22"/>
          <w:szCs w:val="22"/>
        </w:rPr>
        <w:t>In light of</w:t>
      </w:r>
      <w:proofErr w:type="gramEnd"/>
      <w:r w:rsidRPr="00C11123">
        <w:rPr>
          <w:rFonts w:cs="Arial"/>
          <w:sz w:val="22"/>
          <w:szCs w:val="22"/>
        </w:rPr>
        <w:t xml:space="preserve"> the distribution of the Applicant’s Patient Panel and the substantial concentration of older male patients in the MetroWest and Southeastern regions, the Framingham, Dedham, and Plymouth practice sites represent the most rational and data</w:t>
      </w:r>
      <w:r w:rsidRPr="00C11123">
        <w:rPr>
          <w:rFonts w:cs="Arial"/>
          <w:sz w:val="22"/>
          <w:szCs w:val="22"/>
        </w:rPr>
        <w:noBreakHyphen/>
        <w:t>supported locations for deployment of the mobile PET/CT unit. These sites anchor the regions with the highest and fastest</w:t>
      </w:r>
      <w:r w:rsidRPr="00C11123">
        <w:rPr>
          <w:rFonts w:cs="Arial"/>
          <w:sz w:val="22"/>
          <w:szCs w:val="22"/>
        </w:rPr>
        <w:noBreakHyphen/>
        <w:t xml:space="preserve">growing patient </w:t>
      </w:r>
      <w:r w:rsidR="00DB60DF" w:rsidRPr="00C11123">
        <w:rPr>
          <w:rFonts w:cs="Arial"/>
          <w:sz w:val="22"/>
          <w:szCs w:val="22"/>
        </w:rPr>
        <w:t>need</w:t>
      </w:r>
      <w:r w:rsidRPr="00C11123">
        <w:rPr>
          <w:rFonts w:cs="Arial"/>
          <w:sz w:val="22"/>
          <w:szCs w:val="22"/>
        </w:rPr>
        <w:t xml:space="preserve">—particularly among males aged 65 and older—and are centrally </w:t>
      </w:r>
      <w:r w:rsidR="00F27EF6" w:rsidRPr="00C11123">
        <w:rPr>
          <w:rFonts w:cs="Arial"/>
          <w:sz w:val="22"/>
          <w:szCs w:val="22"/>
        </w:rPr>
        <w:t xml:space="preserve">and conveniently </w:t>
      </w:r>
      <w:r w:rsidRPr="00C11123">
        <w:rPr>
          <w:rFonts w:cs="Arial"/>
          <w:sz w:val="22"/>
          <w:szCs w:val="22"/>
        </w:rPr>
        <w:t xml:space="preserve">positioned within </w:t>
      </w:r>
      <w:r w:rsidR="00AC4AD9" w:rsidRPr="00C11123">
        <w:rPr>
          <w:rFonts w:cs="Arial"/>
          <w:sz w:val="22"/>
          <w:szCs w:val="22"/>
        </w:rPr>
        <w:t xml:space="preserve">and around </w:t>
      </w:r>
      <w:r w:rsidRPr="00C11123">
        <w:rPr>
          <w:rFonts w:cs="Arial"/>
          <w:sz w:val="22"/>
          <w:szCs w:val="22"/>
        </w:rPr>
        <w:t>the municipalities from which the Applicant consistently draws its largest cohorts of patients.</w:t>
      </w:r>
    </w:p>
    <w:p w14:paraId="5CE5D96B" w14:textId="77777777" w:rsidR="00BC486B" w:rsidRPr="00C11123" w:rsidRDefault="00BC486B" w:rsidP="00CC6024">
      <w:pPr>
        <w:spacing w:after="0" w:line="240" w:lineRule="auto"/>
        <w:jc w:val="both"/>
        <w:rPr>
          <w:rFonts w:cs="Arial"/>
          <w:sz w:val="22"/>
          <w:szCs w:val="22"/>
        </w:rPr>
      </w:pPr>
    </w:p>
    <w:p w14:paraId="70381AB4" w14:textId="57E4BB90" w:rsidR="00AD2BA3" w:rsidRPr="00C11123" w:rsidRDefault="00000000" w:rsidP="00CC6024">
      <w:pPr>
        <w:spacing w:after="0" w:line="240" w:lineRule="auto"/>
        <w:jc w:val="both"/>
        <w:rPr>
          <w:rFonts w:cs="Arial"/>
          <w:sz w:val="22"/>
          <w:szCs w:val="22"/>
        </w:rPr>
      </w:pPr>
      <w:r w:rsidRPr="00C11123">
        <w:rPr>
          <w:rFonts w:cs="Arial"/>
          <w:sz w:val="22"/>
          <w:szCs w:val="22"/>
        </w:rPr>
        <w:t xml:space="preserve">Since 2023, the practice sites proposed for the Project—Dedham, Framingham, and Plymouth—have been among those </w:t>
      </w:r>
      <w:r w:rsidR="007845C8" w:rsidRPr="00C11123">
        <w:rPr>
          <w:rFonts w:cs="Arial"/>
          <w:sz w:val="22"/>
          <w:szCs w:val="22"/>
        </w:rPr>
        <w:t xml:space="preserve">serving </w:t>
      </w:r>
      <w:r w:rsidRPr="00C11123">
        <w:rPr>
          <w:rFonts w:cs="Arial"/>
          <w:sz w:val="22"/>
          <w:szCs w:val="22"/>
        </w:rPr>
        <w:t xml:space="preserve">the highest </w:t>
      </w:r>
      <w:r w:rsidR="00935673" w:rsidRPr="00C11123">
        <w:rPr>
          <w:rFonts w:cs="Arial"/>
          <w:sz w:val="22"/>
          <w:szCs w:val="22"/>
        </w:rPr>
        <w:t>numbers of patients</w:t>
      </w:r>
      <w:r w:rsidRPr="00C11123">
        <w:rPr>
          <w:rFonts w:cs="Arial"/>
          <w:sz w:val="22"/>
          <w:szCs w:val="22"/>
        </w:rPr>
        <w:t>.</w:t>
      </w:r>
      <w:r>
        <w:rPr>
          <w:rStyle w:val="FootnoteReference"/>
          <w:rFonts w:cs="Arial"/>
          <w:sz w:val="22"/>
          <w:szCs w:val="22"/>
        </w:rPr>
        <w:footnoteReference w:id="36"/>
      </w:r>
      <w:r w:rsidRPr="00C11123">
        <w:rPr>
          <w:rFonts w:cs="Arial"/>
          <w:sz w:val="22"/>
          <w:szCs w:val="22"/>
        </w:rPr>
        <w:t xml:space="preserve"> The largest concentration of males aged 65 and older is also located at these sites, as well as in North Easton, which is proximate to Dedham. As shown in Table 7, the number of these older male patients expanded significantly between 2023 and 2025, increasing by 16,712 (over 34%). All three Proposed Project sites experienced substantial growth, with Dedham </w:t>
      </w:r>
      <w:proofErr w:type="gramStart"/>
      <w:r w:rsidRPr="00C11123">
        <w:rPr>
          <w:rFonts w:cs="Arial"/>
          <w:sz w:val="22"/>
          <w:szCs w:val="22"/>
        </w:rPr>
        <w:t>in particular seeing</w:t>
      </w:r>
      <w:proofErr w:type="gramEnd"/>
      <w:r w:rsidRPr="00C11123">
        <w:rPr>
          <w:rFonts w:cs="Arial"/>
          <w:sz w:val="22"/>
          <w:szCs w:val="22"/>
        </w:rPr>
        <w:t xml:space="preserve"> a 45% increase over only three years.</w:t>
      </w:r>
    </w:p>
    <w:p w14:paraId="64BB96BD" w14:textId="77777777" w:rsidR="00531E33" w:rsidRPr="00C11123" w:rsidRDefault="00531E33" w:rsidP="00CC6024">
      <w:pPr>
        <w:spacing w:after="0" w:line="240" w:lineRule="auto"/>
        <w:jc w:val="both"/>
        <w:rPr>
          <w:rFonts w:cs="Arial"/>
          <w:sz w:val="22"/>
          <w:szCs w:val="22"/>
        </w:rPr>
      </w:pPr>
    </w:p>
    <w:p w14:paraId="30E3CC16" w14:textId="1BE6C243" w:rsidR="00531E33" w:rsidRPr="00C11123" w:rsidRDefault="00000000" w:rsidP="00531E33">
      <w:pPr>
        <w:spacing w:after="0" w:line="240" w:lineRule="auto"/>
        <w:jc w:val="both"/>
        <w:rPr>
          <w:rFonts w:cs="Arial"/>
          <w:sz w:val="22"/>
          <w:szCs w:val="22"/>
        </w:rPr>
      </w:pPr>
      <w:r w:rsidRPr="00C11123">
        <w:rPr>
          <w:rFonts w:cs="Arial"/>
          <w:sz w:val="22"/>
          <w:szCs w:val="22"/>
        </w:rPr>
        <w:t>Most importantly, the Applicant’s 2025 prostate cancer visit volumes were concentrated at or near the Proposed Project sites– i.e. Framingham (1,924), Dedham (2,356), and Plymouth (2,184) – and also North Easton (2,478), and Milton (1,876).</w:t>
      </w:r>
      <w:r>
        <w:rPr>
          <w:rStyle w:val="FootnoteReference"/>
          <w:rFonts w:cs="Arial"/>
          <w:sz w:val="22"/>
          <w:szCs w:val="22"/>
        </w:rPr>
        <w:footnoteReference w:id="37"/>
      </w:r>
      <w:r w:rsidRPr="00C11123">
        <w:rPr>
          <w:rFonts w:cs="Arial"/>
          <w:sz w:val="22"/>
          <w:szCs w:val="22"/>
        </w:rPr>
        <w:t xml:space="preserve"> As a result, about 75% of the Applicant’s prostate cancer visits took place at the 3 Proposed Project sites </w:t>
      </w:r>
      <w:r w:rsidR="007659D1" w:rsidRPr="00C11123">
        <w:rPr>
          <w:rFonts w:cs="Arial"/>
          <w:sz w:val="22"/>
          <w:szCs w:val="22"/>
        </w:rPr>
        <w:t>together with</w:t>
      </w:r>
      <w:r w:rsidRPr="00C11123">
        <w:rPr>
          <w:rFonts w:cs="Arial"/>
          <w:sz w:val="22"/>
          <w:szCs w:val="22"/>
        </w:rPr>
        <w:t xml:space="preserve"> the Milton and North Easton sites, which are geographically close to those locations.</w:t>
      </w:r>
      <w:r>
        <w:rPr>
          <w:rStyle w:val="FootnoteReference"/>
          <w:rFonts w:cs="Arial"/>
          <w:sz w:val="22"/>
          <w:szCs w:val="22"/>
        </w:rPr>
        <w:footnoteReference w:id="38"/>
      </w:r>
    </w:p>
    <w:p w14:paraId="0BDB958D" w14:textId="77777777" w:rsidR="009C3C30" w:rsidRPr="00C11123" w:rsidRDefault="009C3C30" w:rsidP="00CC6024">
      <w:pPr>
        <w:spacing w:after="0" w:line="240" w:lineRule="auto"/>
        <w:jc w:val="both"/>
        <w:rPr>
          <w:rFonts w:cs="Arial"/>
          <w:sz w:val="22"/>
          <w:szCs w:val="22"/>
        </w:rPr>
      </w:pPr>
    </w:p>
    <w:p w14:paraId="08238C6B" w14:textId="14D8511F" w:rsidR="00AD2BA3" w:rsidRPr="00C11123" w:rsidRDefault="00000000" w:rsidP="00CC6024">
      <w:pPr>
        <w:spacing w:after="0" w:line="240" w:lineRule="auto"/>
        <w:jc w:val="both"/>
        <w:rPr>
          <w:rFonts w:cs="Arial"/>
          <w:sz w:val="22"/>
          <w:szCs w:val="22"/>
        </w:rPr>
      </w:pPr>
      <w:r w:rsidRPr="00C11123">
        <w:rPr>
          <w:rFonts w:cs="Arial"/>
          <w:sz w:val="22"/>
          <w:szCs w:val="22"/>
        </w:rPr>
        <w:t>The Applicant also observes that</w:t>
      </w:r>
      <w:r w:rsidR="002938B2" w:rsidRPr="00C11123">
        <w:rPr>
          <w:rFonts w:cs="Arial"/>
          <w:sz w:val="22"/>
          <w:szCs w:val="22"/>
        </w:rPr>
        <w:t xml:space="preserve"> the zip codes with consistently higher patient</w:t>
      </w:r>
      <w:r w:rsidR="00AD27EE" w:rsidRPr="00C11123">
        <w:rPr>
          <w:rFonts w:cs="Arial"/>
          <w:sz w:val="22"/>
          <w:szCs w:val="22"/>
        </w:rPr>
        <w:t xml:space="preserve"> numbers</w:t>
      </w:r>
      <w:r w:rsidR="002938B2" w:rsidRPr="00C11123">
        <w:rPr>
          <w:rFonts w:cs="Arial"/>
          <w:sz w:val="22"/>
          <w:szCs w:val="22"/>
        </w:rPr>
        <w:t xml:space="preserve"> (at least 100 patients) are within reasonable driving distance of one or more of the Proposed Project sites.</w:t>
      </w:r>
      <w:r>
        <w:rPr>
          <w:rStyle w:val="FootnoteReference"/>
          <w:rFonts w:cs="Arial"/>
          <w:sz w:val="22"/>
          <w:szCs w:val="22"/>
        </w:rPr>
        <w:footnoteReference w:id="39"/>
      </w:r>
      <w:r w:rsidR="002938B2" w:rsidRPr="00C11123">
        <w:rPr>
          <w:rFonts w:cs="Arial"/>
          <w:sz w:val="22"/>
          <w:szCs w:val="22"/>
        </w:rPr>
        <w:t xml:space="preserve"> A significant proportion of the Applicant’s Patient Panel not only receives urology services at Dedham, Framingham, and Plymouth, but also resides in municipalities geographically distributed around these locations, which are situated along major transportation corridors and supported by certain public transit options.</w:t>
      </w:r>
      <w:r>
        <w:rPr>
          <w:rStyle w:val="FootnoteReference"/>
          <w:rFonts w:cs="Arial"/>
          <w:sz w:val="22"/>
          <w:szCs w:val="22"/>
        </w:rPr>
        <w:footnoteReference w:id="40"/>
      </w:r>
      <w:r w:rsidR="002938B2" w:rsidRPr="00C11123">
        <w:rPr>
          <w:rFonts w:cs="Arial"/>
          <w:sz w:val="22"/>
          <w:szCs w:val="22"/>
        </w:rPr>
        <w:t xml:space="preserve"> </w:t>
      </w:r>
      <w:r w:rsidR="00531F87" w:rsidRPr="00C11123">
        <w:rPr>
          <w:rFonts w:cs="Arial"/>
          <w:sz w:val="22"/>
          <w:szCs w:val="22"/>
        </w:rPr>
        <w:t xml:space="preserve">For example, </w:t>
      </w:r>
      <w:r w:rsidR="00015B2F" w:rsidRPr="00C11123">
        <w:rPr>
          <w:rFonts w:cs="Arial"/>
          <w:sz w:val="22"/>
          <w:szCs w:val="22"/>
        </w:rPr>
        <w:t xml:space="preserve">the </w:t>
      </w:r>
      <w:r w:rsidR="006D6E8D" w:rsidRPr="00C11123">
        <w:rPr>
          <w:rFonts w:cs="Arial"/>
          <w:sz w:val="22"/>
          <w:szCs w:val="22"/>
        </w:rPr>
        <w:t xml:space="preserve">Dedham </w:t>
      </w:r>
      <w:r w:rsidR="00015B2F" w:rsidRPr="00C11123">
        <w:rPr>
          <w:rFonts w:cs="Arial"/>
          <w:sz w:val="22"/>
          <w:szCs w:val="22"/>
        </w:rPr>
        <w:t xml:space="preserve">practice site </w:t>
      </w:r>
      <w:r w:rsidR="006D6E8D" w:rsidRPr="00C11123">
        <w:rPr>
          <w:rFonts w:cs="Arial"/>
          <w:sz w:val="22"/>
          <w:szCs w:val="22"/>
        </w:rPr>
        <w:t xml:space="preserve">is proximate to the individual Patient Panels of the Milton and North Easton practice sites, both of which had a combined total of </w:t>
      </w:r>
      <w:r w:rsidR="00996E9E" w:rsidRPr="00C11123">
        <w:rPr>
          <w:rFonts w:cs="Arial"/>
          <w:sz w:val="22"/>
          <w:szCs w:val="22"/>
        </w:rPr>
        <w:t>over 19</w:t>
      </w:r>
      <w:r w:rsidR="006D6E8D" w:rsidRPr="00C11123">
        <w:rPr>
          <w:rFonts w:cs="Arial"/>
          <w:sz w:val="22"/>
          <w:szCs w:val="22"/>
        </w:rPr>
        <w:t>,000 male patients over age 65 in 2025</w:t>
      </w:r>
      <w:r w:rsidR="007C1A09" w:rsidRPr="00C11123">
        <w:rPr>
          <w:rFonts w:cs="Arial"/>
          <w:sz w:val="22"/>
          <w:szCs w:val="22"/>
        </w:rPr>
        <w:t>;</w:t>
      </w:r>
      <w:r w:rsidR="00015B2F" w:rsidRPr="00C11123">
        <w:rPr>
          <w:rFonts w:cs="Arial"/>
          <w:sz w:val="22"/>
          <w:szCs w:val="22"/>
        </w:rPr>
        <w:t xml:space="preserve"> </w:t>
      </w:r>
      <w:r w:rsidR="007C1A09" w:rsidRPr="00C11123">
        <w:rPr>
          <w:rFonts w:cs="Arial"/>
          <w:sz w:val="22"/>
          <w:szCs w:val="22"/>
        </w:rPr>
        <w:t>l</w:t>
      </w:r>
      <w:r w:rsidR="00015B2F" w:rsidRPr="00C11123">
        <w:rPr>
          <w:rFonts w:cs="Arial"/>
          <w:sz w:val="22"/>
          <w:szCs w:val="22"/>
        </w:rPr>
        <w:t xml:space="preserve">ikewise, the Plymouth site is able to serve </w:t>
      </w:r>
      <w:r w:rsidR="007C1A09" w:rsidRPr="00C11123">
        <w:rPr>
          <w:rFonts w:cs="Arial"/>
          <w:sz w:val="22"/>
          <w:szCs w:val="22"/>
        </w:rPr>
        <w:t xml:space="preserve">patients of </w:t>
      </w:r>
      <w:r w:rsidR="00015B2F" w:rsidRPr="00C11123">
        <w:rPr>
          <w:rFonts w:cs="Arial"/>
          <w:sz w:val="22"/>
          <w:szCs w:val="22"/>
        </w:rPr>
        <w:t>the Hyannis, Attleboro, and Falmouth</w:t>
      </w:r>
      <w:r w:rsidR="007C1A09" w:rsidRPr="00C11123">
        <w:rPr>
          <w:rFonts w:cs="Arial"/>
          <w:sz w:val="22"/>
          <w:szCs w:val="22"/>
        </w:rPr>
        <w:t>, which had a combined total of approximately 14,525 male patients over age 65.</w:t>
      </w:r>
      <w:r>
        <w:rPr>
          <w:rStyle w:val="FootnoteReference"/>
          <w:rFonts w:cs="Arial"/>
          <w:sz w:val="22"/>
          <w:szCs w:val="22"/>
        </w:rPr>
        <w:footnoteReference w:id="41"/>
      </w:r>
      <w:r w:rsidR="007C1A09" w:rsidRPr="00C11123">
        <w:rPr>
          <w:rFonts w:cs="Arial"/>
          <w:sz w:val="22"/>
          <w:szCs w:val="22"/>
        </w:rPr>
        <w:t xml:space="preserve"> Accordingly, t</w:t>
      </w:r>
      <w:r w:rsidR="002938B2" w:rsidRPr="00C11123">
        <w:rPr>
          <w:rFonts w:cs="Arial"/>
          <w:sz w:val="22"/>
          <w:szCs w:val="22"/>
        </w:rPr>
        <w:t xml:space="preserve">his </w:t>
      </w:r>
      <w:r w:rsidR="00015B2F" w:rsidRPr="00C11123">
        <w:rPr>
          <w:rFonts w:cs="Arial"/>
          <w:sz w:val="22"/>
          <w:szCs w:val="22"/>
        </w:rPr>
        <w:t xml:space="preserve">multi-site </w:t>
      </w:r>
      <w:r w:rsidR="002938B2" w:rsidRPr="00C11123">
        <w:rPr>
          <w:rFonts w:cs="Arial"/>
          <w:sz w:val="22"/>
          <w:szCs w:val="22"/>
        </w:rPr>
        <w:t xml:space="preserve">positioning </w:t>
      </w:r>
      <w:r w:rsidR="00C8663C" w:rsidRPr="00C11123">
        <w:rPr>
          <w:rFonts w:cs="Arial"/>
          <w:sz w:val="22"/>
          <w:szCs w:val="22"/>
        </w:rPr>
        <w:t>will enable</w:t>
      </w:r>
      <w:r w:rsidR="002938B2" w:rsidRPr="00C11123">
        <w:rPr>
          <w:rFonts w:cs="Arial"/>
          <w:sz w:val="22"/>
          <w:szCs w:val="22"/>
        </w:rPr>
        <w:t xml:space="preserve"> </w:t>
      </w:r>
      <w:r w:rsidR="007C1A09" w:rsidRPr="00C11123">
        <w:rPr>
          <w:rFonts w:cs="Arial"/>
          <w:sz w:val="22"/>
          <w:szCs w:val="22"/>
        </w:rPr>
        <w:t xml:space="preserve">a wide range of </w:t>
      </w:r>
      <w:r w:rsidR="002938B2" w:rsidRPr="00C11123">
        <w:rPr>
          <w:rFonts w:cs="Arial"/>
          <w:sz w:val="22"/>
          <w:szCs w:val="22"/>
        </w:rPr>
        <w:t xml:space="preserve">patients who routinely visit the Applicant’s other practice sites to reach the </w:t>
      </w:r>
      <w:r w:rsidR="00C8663C" w:rsidRPr="00C11123">
        <w:rPr>
          <w:rFonts w:cs="Arial"/>
          <w:sz w:val="22"/>
          <w:szCs w:val="22"/>
        </w:rPr>
        <w:t xml:space="preserve">Applicant’s </w:t>
      </w:r>
      <w:r w:rsidR="002938B2" w:rsidRPr="00C11123">
        <w:rPr>
          <w:rFonts w:cs="Arial"/>
          <w:sz w:val="22"/>
          <w:szCs w:val="22"/>
        </w:rPr>
        <w:t xml:space="preserve">mobile </w:t>
      </w:r>
      <w:r w:rsidR="007845C8" w:rsidRPr="00C11123">
        <w:rPr>
          <w:rFonts w:cs="Arial"/>
          <w:sz w:val="22"/>
          <w:szCs w:val="22"/>
        </w:rPr>
        <w:t xml:space="preserve">PSMA </w:t>
      </w:r>
      <w:r w:rsidR="002938B2" w:rsidRPr="00C11123">
        <w:rPr>
          <w:rFonts w:cs="Arial"/>
          <w:sz w:val="22"/>
          <w:szCs w:val="22"/>
        </w:rPr>
        <w:t xml:space="preserve">PET/CT locations within approximately 45 minutes under normal driving conditions, further enhancing regional accessibility and </w:t>
      </w:r>
      <w:r w:rsidR="005A124F" w:rsidRPr="00C11123">
        <w:rPr>
          <w:rFonts w:cs="Arial"/>
          <w:sz w:val="22"/>
          <w:szCs w:val="22"/>
        </w:rPr>
        <w:t xml:space="preserve">effective </w:t>
      </w:r>
      <w:r w:rsidR="00F83136" w:rsidRPr="00C11123">
        <w:rPr>
          <w:rFonts w:cs="Arial"/>
          <w:sz w:val="22"/>
          <w:szCs w:val="22"/>
        </w:rPr>
        <w:t>cancer treatment.</w:t>
      </w:r>
    </w:p>
    <w:p w14:paraId="619BE8C2" w14:textId="7760A06A" w:rsidR="00957C90" w:rsidRPr="00C11123" w:rsidRDefault="00000000" w:rsidP="00CC6024">
      <w:pPr>
        <w:spacing w:after="0" w:line="240" w:lineRule="auto"/>
        <w:jc w:val="both"/>
        <w:rPr>
          <w:rFonts w:cs="Arial"/>
          <w:sz w:val="22"/>
          <w:szCs w:val="22"/>
          <w:highlight w:val="cyan"/>
        </w:rPr>
      </w:pPr>
      <w:r w:rsidRPr="00C11123">
        <w:rPr>
          <w:rFonts w:cs="Arial"/>
          <w:sz w:val="22"/>
          <w:szCs w:val="22"/>
          <w:highlight w:val="cyan"/>
        </w:rPr>
        <w:t xml:space="preserve">  </w:t>
      </w:r>
    </w:p>
    <w:p w14:paraId="0A2474B4" w14:textId="50F70D0D" w:rsidR="009A276D" w:rsidRPr="00C11123" w:rsidRDefault="00000000" w:rsidP="00B71B60">
      <w:pPr>
        <w:pStyle w:val="Heading4"/>
      </w:pPr>
      <w:r w:rsidRPr="00C11123">
        <w:t>Need Based on Wait Times</w:t>
      </w:r>
    </w:p>
    <w:p w14:paraId="3E5A55C2" w14:textId="77777777" w:rsidR="00AE2ECF" w:rsidRPr="00C11123" w:rsidRDefault="00AE2ECF" w:rsidP="00D70747">
      <w:pPr>
        <w:spacing w:after="0" w:line="240" w:lineRule="auto"/>
        <w:jc w:val="both"/>
        <w:rPr>
          <w:sz w:val="22"/>
          <w:szCs w:val="22"/>
        </w:rPr>
      </w:pPr>
    </w:p>
    <w:p w14:paraId="06682349" w14:textId="66FFBC5A" w:rsidR="00A5189C" w:rsidRPr="00C11123" w:rsidRDefault="00000000" w:rsidP="00D70747">
      <w:pPr>
        <w:spacing w:after="0" w:line="240" w:lineRule="auto"/>
        <w:jc w:val="both"/>
        <w:rPr>
          <w:rFonts w:cs="Arial"/>
          <w:sz w:val="22"/>
          <w:szCs w:val="22"/>
        </w:rPr>
      </w:pPr>
      <w:r w:rsidRPr="00C11123">
        <w:rPr>
          <w:rFonts w:cs="Arial"/>
          <w:sz w:val="22"/>
          <w:szCs w:val="22"/>
        </w:rPr>
        <w:t xml:space="preserve">The </w:t>
      </w:r>
      <w:r w:rsidR="002938B2" w:rsidRPr="00C11123">
        <w:rPr>
          <w:rFonts w:cs="Arial"/>
          <w:sz w:val="22"/>
          <w:szCs w:val="22"/>
        </w:rPr>
        <w:t xml:space="preserve">Applicant’s patients presently face wait times </w:t>
      </w:r>
      <w:r w:rsidR="00D27892" w:rsidRPr="00C11123">
        <w:rPr>
          <w:rFonts w:cs="Arial"/>
          <w:sz w:val="22"/>
          <w:szCs w:val="22"/>
        </w:rPr>
        <w:t xml:space="preserve">for imaging </w:t>
      </w:r>
      <w:r w:rsidR="002938B2" w:rsidRPr="00C11123">
        <w:rPr>
          <w:rFonts w:cs="Arial"/>
          <w:sz w:val="22"/>
          <w:szCs w:val="22"/>
        </w:rPr>
        <w:t xml:space="preserve">ranging from </w:t>
      </w:r>
      <w:r w:rsidR="00A23683" w:rsidRPr="00C11123">
        <w:rPr>
          <w:rFonts w:cs="Arial"/>
          <w:sz w:val="22"/>
          <w:szCs w:val="22"/>
        </w:rPr>
        <w:t>a few</w:t>
      </w:r>
      <w:r w:rsidR="002938B2" w:rsidRPr="00C11123">
        <w:rPr>
          <w:rFonts w:cs="Arial"/>
          <w:sz w:val="22"/>
          <w:szCs w:val="22"/>
        </w:rPr>
        <w:t xml:space="preserve"> weeks (for patients whose physicians indicate an urgent need for imaging) to a month. During this time, </w:t>
      </w:r>
      <w:r w:rsidR="008C748F" w:rsidRPr="00C11123">
        <w:rPr>
          <w:rFonts w:cs="Arial"/>
          <w:sz w:val="22"/>
          <w:szCs w:val="22"/>
        </w:rPr>
        <w:t xml:space="preserve">patients may face prolonged stress and uncertainty about their diagnosis or disease progression, while their health </w:t>
      </w:r>
      <w:r w:rsidR="00D27892" w:rsidRPr="00C11123">
        <w:rPr>
          <w:rFonts w:cs="Arial"/>
          <w:sz w:val="22"/>
          <w:szCs w:val="22"/>
        </w:rPr>
        <w:t>condition</w:t>
      </w:r>
      <w:r w:rsidR="007845C8" w:rsidRPr="00C11123">
        <w:rPr>
          <w:rFonts w:cs="Arial"/>
          <w:sz w:val="22"/>
          <w:szCs w:val="22"/>
        </w:rPr>
        <w:t>s</w:t>
      </w:r>
      <w:r w:rsidR="00D27892" w:rsidRPr="00C11123">
        <w:rPr>
          <w:rFonts w:cs="Arial"/>
          <w:sz w:val="22"/>
          <w:szCs w:val="22"/>
        </w:rPr>
        <w:t xml:space="preserve"> </w:t>
      </w:r>
      <w:r w:rsidR="001E0DF3" w:rsidRPr="00C11123">
        <w:rPr>
          <w:rFonts w:cs="Arial"/>
          <w:sz w:val="22"/>
          <w:szCs w:val="22"/>
        </w:rPr>
        <w:t xml:space="preserve">may go untreated. </w:t>
      </w:r>
      <w:r w:rsidR="00464BA2" w:rsidRPr="00C11123">
        <w:rPr>
          <w:rFonts w:cs="Arial"/>
          <w:sz w:val="22"/>
          <w:szCs w:val="22"/>
        </w:rPr>
        <w:t xml:space="preserve">These delays reflect reliance on external imaging providers with limited availability and competing demand. </w:t>
      </w:r>
      <w:r w:rsidR="002938B2" w:rsidRPr="00C11123">
        <w:rPr>
          <w:rFonts w:cs="Arial"/>
          <w:sz w:val="22"/>
          <w:szCs w:val="22"/>
        </w:rPr>
        <w:t>The Proposed Project will decrease these wait times and the consequent stress felt by patients awaiting imaging</w:t>
      </w:r>
      <w:r w:rsidR="00F45E05" w:rsidRPr="00C11123">
        <w:rPr>
          <w:rFonts w:cs="Arial"/>
          <w:sz w:val="22"/>
          <w:szCs w:val="22"/>
        </w:rPr>
        <w:t xml:space="preserve"> by eliminating scheduling constraints associated with third</w:t>
      </w:r>
      <w:r w:rsidR="00F45E05" w:rsidRPr="00C11123">
        <w:rPr>
          <w:rFonts w:cs="Arial"/>
          <w:sz w:val="22"/>
          <w:szCs w:val="22"/>
        </w:rPr>
        <w:noBreakHyphen/>
        <w:t>party providers.</w:t>
      </w:r>
      <w:r w:rsidR="007845C8" w:rsidRPr="00C11123">
        <w:rPr>
          <w:rFonts w:cs="Arial"/>
          <w:sz w:val="22"/>
          <w:szCs w:val="22"/>
        </w:rPr>
        <w:t xml:space="preserve"> By easing scheduling, the Proposed Project should also result in earlier diagnoses, improving patient outcomes.  </w:t>
      </w:r>
    </w:p>
    <w:p w14:paraId="02B43EB7" w14:textId="4A88008E" w:rsidR="00957C90" w:rsidRPr="00C11123" w:rsidRDefault="00957C90" w:rsidP="00D70747">
      <w:pPr>
        <w:spacing w:after="0" w:line="240" w:lineRule="auto"/>
        <w:rPr>
          <w:sz w:val="22"/>
          <w:szCs w:val="22"/>
        </w:rPr>
      </w:pPr>
    </w:p>
    <w:p w14:paraId="7D7B103C" w14:textId="3F1E7E85" w:rsidR="00A92F9B" w:rsidRPr="00C11123" w:rsidRDefault="00000000" w:rsidP="00B71B60">
      <w:pPr>
        <w:pStyle w:val="Heading4"/>
      </w:pPr>
      <w:bookmarkStart w:id="3" w:name="_Hlk220600518"/>
      <w:r w:rsidRPr="00C11123">
        <w:t>Need Based on Health Equity</w:t>
      </w:r>
    </w:p>
    <w:p w14:paraId="31F64F9F" w14:textId="77777777" w:rsidR="00DD265E" w:rsidRPr="00C11123" w:rsidRDefault="00DD265E" w:rsidP="00CC6024">
      <w:pPr>
        <w:spacing w:after="0" w:line="240" w:lineRule="auto"/>
        <w:jc w:val="both"/>
        <w:rPr>
          <w:rFonts w:cs="Arial"/>
          <w:sz w:val="22"/>
          <w:szCs w:val="22"/>
        </w:rPr>
      </w:pPr>
    </w:p>
    <w:p w14:paraId="4375BB57" w14:textId="4B663360" w:rsidR="009F415E" w:rsidRPr="00C11123" w:rsidRDefault="00000000" w:rsidP="00CC6024">
      <w:pPr>
        <w:spacing w:after="0" w:line="240" w:lineRule="auto"/>
        <w:jc w:val="both"/>
        <w:rPr>
          <w:rFonts w:cs="Arial"/>
          <w:sz w:val="22"/>
          <w:szCs w:val="22"/>
        </w:rPr>
      </w:pPr>
      <w:r w:rsidRPr="00C11123">
        <w:rPr>
          <w:rFonts w:cs="Arial"/>
          <w:sz w:val="22"/>
          <w:szCs w:val="22"/>
        </w:rPr>
        <w:t xml:space="preserve">The Proposed Project will also promote the Commonwealth’s goals of health equity.  Nationally, prostate cancer disproportionately </w:t>
      </w:r>
      <w:r w:rsidR="007E69ED" w:rsidRPr="00C11123">
        <w:rPr>
          <w:rFonts w:cs="Arial"/>
          <w:sz w:val="22"/>
          <w:szCs w:val="22"/>
        </w:rPr>
        <w:t>impacts</w:t>
      </w:r>
      <w:r w:rsidRPr="00C11123">
        <w:rPr>
          <w:rFonts w:cs="Arial"/>
          <w:sz w:val="22"/>
          <w:szCs w:val="22"/>
        </w:rPr>
        <w:t xml:space="preserve"> </w:t>
      </w:r>
      <w:r w:rsidR="007E69ED" w:rsidRPr="00C11123">
        <w:rPr>
          <w:rFonts w:cs="Arial"/>
          <w:sz w:val="22"/>
          <w:szCs w:val="22"/>
        </w:rPr>
        <w:t>B</w:t>
      </w:r>
      <w:r w:rsidRPr="00C11123">
        <w:rPr>
          <w:rFonts w:cs="Arial"/>
          <w:sz w:val="22"/>
          <w:szCs w:val="22"/>
        </w:rPr>
        <w:t>lack m</w:t>
      </w:r>
      <w:r w:rsidR="007E69ED" w:rsidRPr="00C11123">
        <w:rPr>
          <w:rFonts w:cs="Arial"/>
          <w:sz w:val="22"/>
          <w:szCs w:val="22"/>
        </w:rPr>
        <w:t>ales</w:t>
      </w:r>
      <w:r w:rsidRPr="00C11123">
        <w:rPr>
          <w:rFonts w:cs="Arial"/>
          <w:sz w:val="22"/>
          <w:szCs w:val="22"/>
        </w:rPr>
        <w:t>.</w:t>
      </w:r>
      <w:r>
        <w:rPr>
          <w:rStyle w:val="FootnoteReference"/>
          <w:rFonts w:cs="Arial"/>
          <w:sz w:val="22"/>
          <w:szCs w:val="22"/>
        </w:rPr>
        <w:footnoteReference w:id="42"/>
      </w:r>
      <w:r w:rsidR="007E69ED" w:rsidRPr="00C11123">
        <w:rPr>
          <w:rFonts w:cs="Arial"/>
          <w:sz w:val="22"/>
          <w:szCs w:val="22"/>
        </w:rPr>
        <w:t xml:space="preserve"> The data in Massachusetts show a similar </w:t>
      </w:r>
      <w:r w:rsidR="00406A36" w:rsidRPr="00C11123">
        <w:rPr>
          <w:rFonts w:cs="Arial"/>
          <w:sz w:val="22"/>
          <w:szCs w:val="22"/>
        </w:rPr>
        <w:t>reality</w:t>
      </w:r>
      <w:r w:rsidR="007E69ED" w:rsidRPr="00C11123">
        <w:rPr>
          <w:rFonts w:cs="Arial"/>
          <w:sz w:val="22"/>
          <w:szCs w:val="22"/>
        </w:rPr>
        <w:t>. According to DPH’s statewide study</w:t>
      </w:r>
      <w:r w:rsidR="00406A36" w:rsidRPr="00C11123">
        <w:rPr>
          <w:rFonts w:cs="Arial"/>
          <w:sz w:val="22"/>
          <w:szCs w:val="22"/>
        </w:rPr>
        <w:t xml:space="preserve"> on cancer incidence</w:t>
      </w:r>
      <w:r w:rsidR="007E69ED" w:rsidRPr="00C11123">
        <w:rPr>
          <w:rFonts w:cs="Arial"/>
          <w:sz w:val="22"/>
          <w:szCs w:val="22"/>
        </w:rPr>
        <w:t xml:space="preserve">, Black males had significantly higher </w:t>
      </w:r>
      <w:r w:rsidR="007E69ED" w:rsidRPr="00C11123">
        <w:rPr>
          <w:rFonts w:cs="Arial"/>
          <w:sz w:val="22"/>
          <w:szCs w:val="22"/>
        </w:rPr>
        <w:lastRenderedPageBreak/>
        <w:t>incidence rates of prostate cancer than any other racial/ethnic groups, being one and one-half times (1.5X) higher than that of White males</w:t>
      </w:r>
      <w:r w:rsidR="0018772E" w:rsidRPr="00C11123">
        <w:rPr>
          <w:rFonts w:cs="Arial"/>
          <w:sz w:val="22"/>
          <w:szCs w:val="22"/>
        </w:rPr>
        <w:t xml:space="preserve"> – </w:t>
      </w:r>
      <w:r w:rsidR="0018772E" w:rsidRPr="00C11123">
        <w:rPr>
          <w:rFonts w:cs="Arial"/>
          <w:sz w:val="22"/>
          <w:szCs w:val="22"/>
          <w:lang w:val="x-none"/>
        </w:rPr>
        <w:t>187.0 per 100,000 vs. 112.5 per 100,000, respectively</w:t>
      </w:r>
      <w:r w:rsidR="00DB4C57" w:rsidRPr="00C11123">
        <w:rPr>
          <w:rFonts w:cs="Arial"/>
          <w:sz w:val="22"/>
          <w:szCs w:val="22"/>
        </w:rPr>
        <w:t>.</w:t>
      </w:r>
      <w:r>
        <w:rPr>
          <w:rStyle w:val="FootnoteReference"/>
          <w:rFonts w:cs="Arial"/>
          <w:sz w:val="22"/>
          <w:szCs w:val="22"/>
        </w:rPr>
        <w:footnoteReference w:id="43"/>
      </w:r>
      <w:r w:rsidR="00E04E9E" w:rsidRPr="00C11123">
        <w:rPr>
          <w:rFonts w:cs="Arial"/>
          <w:sz w:val="22"/>
          <w:szCs w:val="22"/>
        </w:rPr>
        <w:t xml:space="preserve"> </w:t>
      </w:r>
      <w:r w:rsidR="00DB4C57" w:rsidRPr="00C11123">
        <w:rPr>
          <w:rFonts w:cs="Arial"/>
          <w:sz w:val="22"/>
          <w:szCs w:val="22"/>
        </w:rPr>
        <w:t>As a result, prostate cancer has been the leading cause of cancer deaths for Black males in Massachusetts.</w:t>
      </w:r>
      <w:r>
        <w:rPr>
          <w:rStyle w:val="FootnoteReference"/>
          <w:rFonts w:cs="Arial"/>
          <w:sz w:val="22"/>
          <w:szCs w:val="22"/>
        </w:rPr>
        <w:footnoteReference w:id="44"/>
      </w:r>
      <w:r w:rsidRPr="00C11123">
        <w:rPr>
          <w:rFonts w:cs="Arial"/>
          <w:sz w:val="22"/>
          <w:szCs w:val="22"/>
        </w:rPr>
        <w:t xml:space="preserve"> </w:t>
      </w:r>
      <w:r w:rsidR="00C41517" w:rsidRPr="00C11123">
        <w:rPr>
          <w:rFonts w:cs="Arial"/>
          <w:sz w:val="22"/>
          <w:szCs w:val="22"/>
        </w:rPr>
        <w:t>When</w:t>
      </w:r>
      <w:r w:rsidR="0043033B" w:rsidRPr="00C11123">
        <w:rPr>
          <w:rFonts w:cs="Arial"/>
          <w:sz w:val="22"/>
          <w:szCs w:val="22"/>
        </w:rPr>
        <w:t xml:space="preserve"> caught early in localized</w:t>
      </w:r>
      <w:r w:rsidR="009D6DB2" w:rsidRPr="00C11123">
        <w:rPr>
          <w:rFonts w:cs="Arial"/>
          <w:sz w:val="22"/>
          <w:szCs w:val="22"/>
        </w:rPr>
        <w:t xml:space="preserve"> non-metastatic stages</w:t>
      </w:r>
      <w:r w:rsidR="0043033B" w:rsidRPr="00C11123">
        <w:rPr>
          <w:rFonts w:cs="Arial"/>
          <w:sz w:val="22"/>
          <w:szCs w:val="22"/>
        </w:rPr>
        <w:t xml:space="preserve">, prostate cancer </w:t>
      </w:r>
      <w:r w:rsidR="00C41517" w:rsidRPr="00C11123">
        <w:rPr>
          <w:rFonts w:cs="Arial"/>
          <w:sz w:val="22"/>
          <w:szCs w:val="22"/>
        </w:rPr>
        <w:t>is highly treatable with strong survivability outcomes</w:t>
      </w:r>
      <w:r w:rsidR="0043033B" w:rsidRPr="00C11123">
        <w:rPr>
          <w:rFonts w:cs="Arial"/>
          <w:sz w:val="22"/>
          <w:szCs w:val="22"/>
        </w:rPr>
        <w:t>.</w:t>
      </w:r>
      <w:r>
        <w:rPr>
          <w:rStyle w:val="FootnoteReference"/>
          <w:rFonts w:cs="Arial"/>
          <w:sz w:val="22"/>
          <w:szCs w:val="22"/>
        </w:rPr>
        <w:footnoteReference w:id="45"/>
      </w:r>
      <w:r w:rsidR="00C41517" w:rsidRPr="00C11123">
        <w:rPr>
          <w:rFonts w:cs="Arial"/>
          <w:sz w:val="22"/>
          <w:szCs w:val="22"/>
        </w:rPr>
        <w:t xml:space="preserve"> The elevated mortality rate among Black males, however, </w:t>
      </w:r>
      <w:r w:rsidR="00581331" w:rsidRPr="00C11123">
        <w:rPr>
          <w:rFonts w:cs="Arial"/>
          <w:sz w:val="22"/>
          <w:szCs w:val="22"/>
        </w:rPr>
        <w:t xml:space="preserve">corroborates </w:t>
      </w:r>
      <w:r w:rsidR="00C41517" w:rsidRPr="00C11123">
        <w:rPr>
          <w:rFonts w:cs="Arial"/>
          <w:sz w:val="22"/>
          <w:szCs w:val="22"/>
        </w:rPr>
        <w:t>that their cancers are more often diagnosed at later and more advanced stages</w:t>
      </w:r>
      <w:r w:rsidR="008F6B84" w:rsidRPr="00C11123">
        <w:rPr>
          <w:rFonts w:cs="Arial"/>
          <w:sz w:val="22"/>
          <w:szCs w:val="22"/>
        </w:rPr>
        <w:t>.</w:t>
      </w:r>
      <w:r>
        <w:rPr>
          <w:rStyle w:val="FootnoteReference"/>
          <w:rFonts w:cs="Arial"/>
          <w:sz w:val="22"/>
          <w:szCs w:val="22"/>
        </w:rPr>
        <w:footnoteReference w:id="46"/>
      </w:r>
      <w:r w:rsidR="00CA1732" w:rsidRPr="00C11123">
        <w:rPr>
          <w:rFonts w:cs="Arial"/>
          <w:sz w:val="22"/>
          <w:szCs w:val="22"/>
        </w:rPr>
        <w:t xml:space="preserve"> </w:t>
      </w:r>
      <w:r w:rsidR="00581331" w:rsidRPr="00C11123">
        <w:rPr>
          <w:rFonts w:cs="Arial"/>
          <w:sz w:val="22"/>
          <w:szCs w:val="22"/>
        </w:rPr>
        <w:t xml:space="preserve"> </w:t>
      </w:r>
    </w:p>
    <w:p w14:paraId="1C694CB1" w14:textId="77777777" w:rsidR="00081E0C" w:rsidRPr="00C11123" w:rsidRDefault="00081E0C" w:rsidP="00CC6024">
      <w:pPr>
        <w:spacing w:after="0" w:line="240" w:lineRule="auto"/>
        <w:jc w:val="both"/>
        <w:rPr>
          <w:rFonts w:cs="Arial"/>
          <w:sz w:val="22"/>
          <w:szCs w:val="22"/>
        </w:rPr>
      </w:pPr>
    </w:p>
    <w:p w14:paraId="2073EACB" w14:textId="2A9467C0" w:rsidR="00B71C49" w:rsidRPr="00C11123" w:rsidRDefault="00000000" w:rsidP="00CC6024">
      <w:pPr>
        <w:spacing w:after="0" w:line="240" w:lineRule="auto"/>
        <w:jc w:val="both"/>
        <w:rPr>
          <w:rFonts w:cs="Arial"/>
          <w:sz w:val="22"/>
          <w:szCs w:val="22"/>
        </w:rPr>
      </w:pPr>
      <w:r w:rsidRPr="00C11123">
        <w:rPr>
          <w:rFonts w:cs="Arial"/>
          <w:sz w:val="22"/>
          <w:szCs w:val="22"/>
        </w:rPr>
        <w:t xml:space="preserve">As observed by </w:t>
      </w:r>
      <w:r w:rsidR="003D1815" w:rsidRPr="00C11123">
        <w:rPr>
          <w:rFonts w:cs="Arial"/>
          <w:sz w:val="22"/>
          <w:szCs w:val="22"/>
        </w:rPr>
        <w:t xml:space="preserve">numerous </w:t>
      </w:r>
      <w:r w:rsidRPr="00C11123">
        <w:rPr>
          <w:rFonts w:cs="Arial"/>
          <w:sz w:val="22"/>
          <w:szCs w:val="22"/>
        </w:rPr>
        <w:t>researchers</w:t>
      </w:r>
      <w:r w:rsidR="00846C55" w:rsidRPr="00C11123">
        <w:rPr>
          <w:rFonts w:cs="Arial"/>
          <w:sz w:val="22"/>
          <w:szCs w:val="22"/>
        </w:rPr>
        <w:t xml:space="preserve">, </w:t>
      </w:r>
      <w:r w:rsidR="004C4BBD" w:rsidRPr="00C11123">
        <w:rPr>
          <w:rFonts w:cs="Arial"/>
          <w:sz w:val="22"/>
          <w:szCs w:val="22"/>
        </w:rPr>
        <w:t xml:space="preserve">Black </w:t>
      </w:r>
      <w:r w:rsidR="003D1815" w:rsidRPr="00C11123">
        <w:rPr>
          <w:rFonts w:cs="Arial"/>
          <w:sz w:val="22"/>
          <w:szCs w:val="22"/>
        </w:rPr>
        <w:t xml:space="preserve">males </w:t>
      </w:r>
      <w:r w:rsidR="00D32CCD" w:rsidRPr="00C11123">
        <w:rPr>
          <w:rFonts w:cs="Arial"/>
          <w:sz w:val="22"/>
          <w:szCs w:val="22"/>
        </w:rPr>
        <w:t xml:space="preserve">face </w:t>
      </w:r>
      <w:r w:rsidR="003D1815" w:rsidRPr="00C11123">
        <w:rPr>
          <w:rFonts w:cs="Arial"/>
          <w:sz w:val="22"/>
          <w:szCs w:val="22"/>
        </w:rPr>
        <w:t>more challenges</w:t>
      </w:r>
      <w:r w:rsidR="004C4BBD" w:rsidRPr="00C11123">
        <w:rPr>
          <w:rFonts w:cs="Arial"/>
          <w:sz w:val="22"/>
          <w:szCs w:val="22"/>
        </w:rPr>
        <w:t xml:space="preserve"> </w:t>
      </w:r>
      <w:r w:rsidR="00D32CCD" w:rsidRPr="00C11123">
        <w:rPr>
          <w:rFonts w:cs="Arial"/>
          <w:sz w:val="22"/>
          <w:szCs w:val="22"/>
        </w:rPr>
        <w:t xml:space="preserve">accessing quality </w:t>
      </w:r>
      <w:r w:rsidR="003D1815" w:rsidRPr="00C11123">
        <w:rPr>
          <w:rFonts w:cs="Arial"/>
          <w:sz w:val="22"/>
          <w:szCs w:val="22"/>
        </w:rPr>
        <w:t>prostate cancer care th</w:t>
      </w:r>
      <w:r w:rsidR="00585E08" w:rsidRPr="00C11123">
        <w:rPr>
          <w:rFonts w:cs="Arial"/>
          <w:sz w:val="22"/>
          <w:szCs w:val="22"/>
        </w:rPr>
        <w:t>a</w:t>
      </w:r>
      <w:r w:rsidR="003D1815" w:rsidRPr="00C11123">
        <w:rPr>
          <w:rFonts w:cs="Arial"/>
          <w:sz w:val="22"/>
          <w:szCs w:val="22"/>
        </w:rPr>
        <w:t>n White males,</w:t>
      </w:r>
      <w:r w:rsidR="00557718" w:rsidRPr="00C11123">
        <w:rPr>
          <w:rFonts w:cs="Arial"/>
          <w:sz w:val="22"/>
          <w:szCs w:val="22"/>
        </w:rPr>
        <w:t xml:space="preserve"> a pattern </w:t>
      </w:r>
      <w:r w:rsidR="003571AF" w:rsidRPr="00C11123">
        <w:rPr>
          <w:rFonts w:cs="Arial"/>
          <w:sz w:val="22"/>
          <w:szCs w:val="22"/>
        </w:rPr>
        <w:t xml:space="preserve">substantially </w:t>
      </w:r>
      <w:r w:rsidR="00557718" w:rsidRPr="00C11123">
        <w:rPr>
          <w:rFonts w:cs="Arial"/>
          <w:sz w:val="22"/>
          <w:szCs w:val="22"/>
        </w:rPr>
        <w:t>driven by a combination of social, environmental, and systemic factors.</w:t>
      </w:r>
      <w:r>
        <w:rPr>
          <w:rStyle w:val="FootnoteReference"/>
          <w:rFonts w:cs="Arial"/>
          <w:sz w:val="22"/>
          <w:szCs w:val="22"/>
        </w:rPr>
        <w:footnoteReference w:id="47"/>
      </w:r>
      <w:r w:rsidR="00557718" w:rsidRPr="00C11123">
        <w:rPr>
          <w:rFonts w:cs="Arial"/>
          <w:sz w:val="22"/>
          <w:szCs w:val="22"/>
        </w:rPr>
        <w:t xml:space="preserve"> </w:t>
      </w:r>
      <w:r w:rsidR="003D1815" w:rsidRPr="00C11123">
        <w:rPr>
          <w:rFonts w:cs="Arial"/>
          <w:sz w:val="22"/>
          <w:szCs w:val="22"/>
        </w:rPr>
        <w:t xml:space="preserve">Black </w:t>
      </w:r>
      <w:r w:rsidR="00557718" w:rsidRPr="00C11123">
        <w:rPr>
          <w:rFonts w:cs="Arial"/>
          <w:sz w:val="22"/>
          <w:szCs w:val="22"/>
        </w:rPr>
        <w:t>m</w:t>
      </w:r>
      <w:r w:rsidR="003D1815" w:rsidRPr="00C11123">
        <w:rPr>
          <w:rFonts w:cs="Arial"/>
          <w:sz w:val="22"/>
          <w:szCs w:val="22"/>
        </w:rPr>
        <w:t>ales</w:t>
      </w:r>
      <w:r w:rsidR="00557718" w:rsidRPr="00C11123">
        <w:rPr>
          <w:rFonts w:cs="Arial"/>
          <w:sz w:val="22"/>
          <w:szCs w:val="22"/>
        </w:rPr>
        <w:t xml:space="preserve"> more often present with advanced or aggressive disease, face lower rates of screening, </w:t>
      </w:r>
      <w:r w:rsidR="00374DA0" w:rsidRPr="00C11123">
        <w:rPr>
          <w:rFonts w:cs="Arial"/>
          <w:sz w:val="22"/>
          <w:szCs w:val="22"/>
        </w:rPr>
        <w:t xml:space="preserve">and </w:t>
      </w:r>
      <w:r w:rsidR="00557718" w:rsidRPr="00C11123">
        <w:rPr>
          <w:rFonts w:cs="Arial"/>
          <w:sz w:val="22"/>
          <w:szCs w:val="22"/>
        </w:rPr>
        <w:t>delayed access to treatment—all of which contribute to later-stage diagnosis and worse outcomes.</w:t>
      </w:r>
      <w:r>
        <w:rPr>
          <w:rStyle w:val="FootnoteReference"/>
          <w:rFonts w:cs="Arial"/>
          <w:sz w:val="22"/>
          <w:szCs w:val="22"/>
        </w:rPr>
        <w:footnoteReference w:id="48"/>
      </w:r>
      <w:r w:rsidR="00557718" w:rsidRPr="00C11123">
        <w:rPr>
          <w:rFonts w:cs="Arial"/>
          <w:sz w:val="22"/>
          <w:szCs w:val="22"/>
        </w:rPr>
        <w:t xml:space="preserve"> These disparities are further exacerbated by structural barriers such as</w:t>
      </w:r>
      <w:r w:rsidRPr="00C11123">
        <w:rPr>
          <w:rFonts w:cs="Arial"/>
          <w:sz w:val="22"/>
          <w:szCs w:val="22"/>
        </w:rPr>
        <w:t xml:space="preserve"> mistrust of the healthcare system due to the effects of discrimination,</w:t>
      </w:r>
      <w:r w:rsidR="00557718" w:rsidRPr="00C11123">
        <w:rPr>
          <w:rFonts w:cs="Arial"/>
          <w:sz w:val="22"/>
          <w:szCs w:val="22"/>
        </w:rPr>
        <w:t xml:space="preserve"> limited access to high</w:t>
      </w:r>
      <w:r w:rsidR="00557718" w:rsidRPr="00C11123">
        <w:rPr>
          <w:rFonts w:cs="Arial"/>
          <w:sz w:val="22"/>
          <w:szCs w:val="22"/>
        </w:rPr>
        <w:noBreakHyphen/>
        <w:t>quality diagnostic tools</w:t>
      </w:r>
      <w:r w:rsidRPr="00C11123">
        <w:rPr>
          <w:rFonts w:cs="Arial"/>
          <w:sz w:val="22"/>
          <w:szCs w:val="22"/>
        </w:rPr>
        <w:t>,</w:t>
      </w:r>
      <w:r w:rsidR="00557718" w:rsidRPr="00C11123">
        <w:rPr>
          <w:rFonts w:cs="Arial"/>
          <w:sz w:val="22"/>
          <w:szCs w:val="22"/>
        </w:rPr>
        <w:t xml:space="preserve"> and</w:t>
      </w:r>
      <w:r w:rsidR="00133539" w:rsidRPr="00C11123">
        <w:rPr>
          <w:rFonts w:cs="Arial"/>
          <w:sz w:val="22"/>
          <w:szCs w:val="22"/>
        </w:rPr>
        <w:t xml:space="preserve"> </w:t>
      </w:r>
      <w:r w:rsidR="00557718" w:rsidRPr="00C11123">
        <w:rPr>
          <w:rFonts w:cs="Arial"/>
          <w:sz w:val="22"/>
          <w:szCs w:val="22"/>
        </w:rPr>
        <w:t xml:space="preserve">underrepresentation in clinical trials, which restrict opportunities for early detection and </w:t>
      </w:r>
      <w:r w:rsidR="00374DA0" w:rsidRPr="00C11123">
        <w:rPr>
          <w:rFonts w:cs="Arial"/>
          <w:sz w:val="22"/>
          <w:szCs w:val="22"/>
        </w:rPr>
        <w:t>effective treatment and</w:t>
      </w:r>
      <w:r w:rsidR="00557718" w:rsidRPr="00C11123">
        <w:rPr>
          <w:rFonts w:cs="Arial"/>
          <w:sz w:val="22"/>
          <w:szCs w:val="22"/>
        </w:rPr>
        <w:t xml:space="preserve"> care</w:t>
      </w:r>
      <w:r w:rsidR="00374DA0" w:rsidRPr="00C11123">
        <w:rPr>
          <w:rFonts w:cs="Arial"/>
          <w:sz w:val="22"/>
          <w:szCs w:val="22"/>
        </w:rPr>
        <w:t xml:space="preserve"> planning</w:t>
      </w:r>
      <w:r w:rsidR="00557718" w:rsidRPr="00C11123">
        <w:rPr>
          <w:rFonts w:cs="Arial"/>
          <w:sz w:val="22"/>
          <w:szCs w:val="22"/>
        </w:rPr>
        <w:t>.</w:t>
      </w:r>
      <w:r>
        <w:rPr>
          <w:rStyle w:val="FootnoteReference"/>
          <w:rFonts w:cs="Arial"/>
          <w:sz w:val="22"/>
          <w:szCs w:val="22"/>
        </w:rPr>
        <w:footnoteReference w:id="49"/>
      </w:r>
      <w:r w:rsidR="00557718" w:rsidRPr="00C11123">
        <w:rPr>
          <w:rFonts w:cs="Arial"/>
          <w:sz w:val="22"/>
          <w:szCs w:val="22"/>
        </w:rPr>
        <w:t xml:space="preserve"> </w:t>
      </w:r>
      <w:r w:rsidRPr="00C11123">
        <w:rPr>
          <w:rFonts w:cs="Arial"/>
          <w:sz w:val="22"/>
          <w:szCs w:val="22"/>
        </w:rPr>
        <w:t>In addition,</w:t>
      </w:r>
      <w:r w:rsidR="00374DA0" w:rsidRPr="00C11123">
        <w:rPr>
          <w:rFonts w:cs="Arial"/>
          <w:sz w:val="22"/>
          <w:szCs w:val="22"/>
        </w:rPr>
        <w:t xml:space="preserve"> transportation barrier</w:t>
      </w:r>
      <w:r w:rsidR="008F6B84" w:rsidRPr="00C11123">
        <w:rPr>
          <w:rFonts w:cs="Arial"/>
          <w:sz w:val="22"/>
          <w:szCs w:val="22"/>
        </w:rPr>
        <w:t>s</w:t>
      </w:r>
      <w:r w:rsidR="00374DA0" w:rsidRPr="00C11123">
        <w:rPr>
          <w:rFonts w:cs="Arial"/>
          <w:sz w:val="22"/>
          <w:szCs w:val="22"/>
        </w:rPr>
        <w:t xml:space="preserve"> to healthcare access </w:t>
      </w:r>
      <w:r w:rsidRPr="00C11123">
        <w:rPr>
          <w:rFonts w:cs="Arial"/>
          <w:sz w:val="22"/>
          <w:szCs w:val="22"/>
        </w:rPr>
        <w:t>affect the course of diagnosis, treatment, and clinical outcomes.</w:t>
      </w:r>
      <w:r>
        <w:rPr>
          <w:rStyle w:val="FootnoteReference"/>
          <w:rFonts w:cs="Arial"/>
          <w:sz w:val="22"/>
          <w:szCs w:val="22"/>
        </w:rPr>
        <w:footnoteReference w:id="50"/>
      </w:r>
    </w:p>
    <w:p w14:paraId="32192BA9" w14:textId="77777777" w:rsidR="00B71C49" w:rsidRPr="00C11123" w:rsidRDefault="00B71C49" w:rsidP="00CC6024">
      <w:pPr>
        <w:spacing w:after="0" w:line="240" w:lineRule="auto"/>
        <w:jc w:val="both"/>
        <w:rPr>
          <w:rFonts w:cs="Arial"/>
          <w:sz w:val="22"/>
          <w:szCs w:val="22"/>
        </w:rPr>
      </w:pPr>
    </w:p>
    <w:p w14:paraId="55CFDFFC" w14:textId="5E3D0B5C" w:rsidR="00FF3FA2" w:rsidRPr="00C11123" w:rsidRDefault="00000000" w:rsidP="00CC6024">
      <w:pPr>
        <w:spacing w:after="0" w:line="240" w:lineRule="auto"/>
        <w:jc w:val="both"/>
        <w:rPr>
          <w:rFonts w:cs="Arial"/>
          <w:sz w:val="22"/>
          <w:szCs w:val="22"/>
        </w:rPr>
      </w:pPr>
      <w:r w:rsidRPr="00C11123">
        <w:rPr>
          <w:rFonts w:cs="Arial"/>
          <w:sz w:val="22"/>
          <w:szCs w:val="22"/>
        </w:rPr>
        <w:t xml:space="preserve">By delivering mobile PSMA PET/CT imaging directly </w:t>
      </w:r>
      <w:r w:rsidR="007E51B6" w:rsidRPr="00C11123">
        <w:rPr>
          <w:rFonts w:cs="Arial"/>
          <w:sz w:val="22"/>
          <w:szCs w:val="22"/>
        </w:rPr>
        <w:t>within</w:t>
      </w:r>
      <w:r w:rsidRPr="00C11123">
        <w:rPr>
          <w:rFonts w:cs="Arial"/>
          <w:sz w:val="22"/>
          <w:szCs w:val="22"/>
        </w:rPr>
        <w:t xml:space="preserve"> the Applicant’s community-based physician offices in the Boston area and Southeastern communities, the </w:t>
      </w:r>
      <w:r w:rsidR="002418E1" w:rsidRPr="00C11123">
        <w:rPr>
          <w:rFonts w:cs="Arial"/>
          <w:sz w:val="22"/>
          <w:szCs w:val="22"/>
        </w:rPr>
        <w:t>Proposed Project</w:t>
      </w:r>
      <w:r w:rsidRPr="00C11123">
        <w:rPr>
          <w:rFonts w:cs="Arial"/>
          <w:sz w:val="22"/>
          <w:szCs w:val="22"/>
        </w:rPr>
        <w:t xml:space="preserve"> will help eliminate existing barriers to care </w:t>
      </w:r>
      <w:r w:rsidR="00D6708C" w:rsidRPr="00C11123">
        <w:rPr>
          <w:rFonts w:cs="Arial"/>
          <w:sz w:val="22"/>
          <w:szCs w:val="22"/>
        </w:rPr>
        <w:t xml:space="preserve">by </w:t>
      </w:r>
      <w:r w:rsidRPr="00C11123">
        <w:rPr>
          <w:rFonts w:cs="Arial"/>
          <w:sz w:val="22"/>
          <w:szCs w:val="22"/>
        </w:rPr>
        <w:t>expand</w:t>
      </w:r>
      <w:r w:rsidR="00D6708C" w:rsidRPr="00C11123">
        <w:rPr>
          <w:rFonts w:cs="Arial"/>
          <w:sz w:val="22"/>
          <w:szCs w:val="22"/>
        </w:rPr>
        <w:t>ing</w:t>
      </w:r>
      <w:r w:rsidRPr="00C11123">
        <w:rPr>
          <w:rFonts w:cs="Arial"/>
          <w:sz w:val="22"/>
          <w:szCs w:val="22"/>
        </w:rPr>
        <w:t xml:space="preserve"> equitable access to prostate cancer diagnosis and treatment. </w:t>
      </w:r>
      <w:r w:rsidR="001D2A5D" w:rsidRPr="00C11123">
        <w:rPr>
          <w:rFonts w:cs="Arial"/>
          <w:sz w:val="22"/>
          <w:szCs w:val="22"/>
        </w:rPr>
        <w:t xml:space="preserve">For example, the </w:t>
      </w:r>
      <w:r w:rsidR="007E51B6" w:rsidRPr="00C11123">
        <w:rPr>
          <w:rFonts w:cs="Arial"/>
          <w:sz w:val="22"/>
          <w:szCs w:val="22"/>
        </w:rPr>
        <w:t xml:space="preserve">Applicant’s Dedham location is particularly well positioned to advance health equity in prostate cancer care through the provision of PSMA PET/CT imaging. Dedham </w:t>
      </w:r>
      <w:proofErr w:type="gramStart"/>
      <w:r w:rsidR="007E51B6" w:rsidRPr="00C11123">
        <w:rPr>
          <w:rFonts w:cs="Arial"/>
          <w:sz w:val="22"/>
          <w:szCs w:val="22"/>
        </w:rPr>
        <w:t>is located in</w:t>
      </w:r>
      <w:proofErr w:type="gramEnd"/>
      <w:r w:rsidR="007E51B6" w:rsidRPr="00C11123">
        <w:rPr>
          <w:rFonts w:cs="Arial"/>
          <w:sz w:val="22"/>
          <w:szCs w:val="22"/>
        </w:rPr>
        <w:t xml:space="preserve"> </w:t>
      </w:r>
      <w:proofErr w:type="gramStart"/>
      <w:r w:rsidR="007E51B6" w:rsidRPr="00C11123">
        <w:rPr>
          <w:rFonts w:cs="Arial"/>
          <w:sz w:val="22"/>
          <w:szCs w:val="22"/>
        </w:rPr>
        <w:t>close proximity</w:t>
      </w:r>
      <w:proofErr w:type="gramEnd"/>
      <w:r w:rsidR="007E51B6" w:rsidRPr="00C11123">
        <w:rPr>
          <w:rFonts w:cs="Arial"/>
          <w:sz w:val="22"/>
          <w:szCs w:val="22"/>
        </w:rPr>
        <w:t xml:space="preserve"> to several Boston neighborhoods with sizable Black populations.</w:t>
      </w:r>
      <w:r>
        <w:rPr>
          <w:rStyle w:val="FootnoteReference"/>
          <w:rFonts w:cs="Arial"/>
          <w:sz w:val="22"/>
          <w:szCs w:val="22"/>
        </w:rPr>
        <w:footnoteReference w:id="51"/>
      </w:r>
      <w:r w:rsidR="007E51B6" w:rsidRPr="00C11123">
        <w:rPr>
          <w:rFonts w:cs="Arial"/>
          <w:sz w:val="22"/>
          <w:szCs w:val="22"/>
        </w:rPr>
        <w:t xml:space="preserve"> In addition, the Applicant’s </w:t>
      </w:r>
      <w:r w:rsidR="00270CCC" w:rsidRPr="00C11123">
        <w:rPr>
          <w:rFonts w:cs="Arial"/>
          <w:sz w:val="22"/>
          <w:szCs w:val="22"/>
        </w:rPr>
        <w:t xml:space="preserve">specific </w:t>
      </w:r>
      <w:r w:rsidR="007E51B6" w:rsidRPr="00C11123">
        <w:rPr>
          <w:rFonts w:cs="Arial"/>
          <w:sz w:val="22"/>
          <w:szCs w:val="22"/>
        </w:rPr>
        <w:t xml:space="preserve">Patient Panels at its Dedham, </w:t>
      </w:r>
      <w:r w:rsidRPr="00C11123">
        <w:rPr>
          <w:rFonts w:cs="Arial"/>
          <w:sz w:val="22"/>
          <w:szCs w:val="22"/>
        </w:rPr>
        <w:t>Milton, and North East</w:t>
      </w:r>
      <w:r w:rsidR="0041763E" w:rsidRPr="00C11123">
        <w:rPr>
          <w:rFonts w:cs="Arial"/>
          <w:sz w:val="22"/>
          <w:szCs w:val="22"/>
        </w:rPr>
        <w:t>on</w:t>
      </w:r>
      <w:r w:rsidRPr="00C11123">
        <w:rPr>
          <w:rFonts w:cs="Arial"/>
          <w:sz w:val="22"/>
          <w:szCs w:val="22"/>
        </w:rPr>
        <w:t xml:space="preserve"> practice</w:t>
      </w:r>
      <w:r w:rsidR="007E51B6" w:rsidRPr="00C11123">
        <w:rPr>
          <w:rFonts w:cs="Arial"/>
          <w:sz w:val="22"/>
          <w:szCs w:val="22"/>
        </w:rPr>
        <w:t xml:space="preserve"> </w:t>
      </w:r>
      <w:proofErr w:type="gramStart"/>
      <w:r w:rsidR="007E51B6" w:rsidRPr="00C11123">
        <w:rPr>
          <w:rFonts w:cs="Arial"/>
          <w:sz w:val="22"/>
          <w:szCs w:val="22"/>
        </w:rPr>
        <w:t>sites—</w:t>
      </w:r>
      <w:proofErr w:type="gramEnd"/>
      <w:r w:rsidR="007E51B6" w:rsidRPr="00C11123">
        <w:rPr>
          <w:rFonts w:cs="Arial"/>
          <w:sz w:val="22"/>
          <w:szCs w:val="22"/>
        </w:rPr>
        <w:t xml:space="preserve">which are geographically </w:t>
      </w:r>
      <w:r w:rsidR="00787F06" w:rsidRPr="00C11123">
        <w:rPr>
          <w:rFonts w:cs="Arial"/>
          <w:sz w:val="22"/>
          <w:szCs w:val="22"/>
        </w:rPr>
        <w:t>close</w:t>
      </w:r>
      <w:r w:rsidR="007E51B6" w:rsidRPr="00C11123">
        <w:rPr>
          <w:rFonts w:cs="Arial"/>
          <w:sz w:val="22"/>
          <w:szCs w:val="22"/>
        </w:rPr>
        <w:t xml:space="preserve"> to one another—include substantial numbers of Black patients who already seek care within the Applicant’s network. </w:t>
      </w:r>
      <w:r w:rsidR="008F7B1E" w:rsidRPr="00C11123">
        <w:rPr>
          <w:rFonts w:cs="Arial"/>
          <w:sz w:val="22"/>
          <w:szCs w:val="22"/>
        </w:rPr>
        <w:t>Across 2023–2025,</w:t>
      </w:r>
      <w:r w:rsidR="00787F06" w:rsidRPr="00C11123">
        <w:rPr>
          <w:rFonts w:cs="Arial"/>
          <w:sz w:val="22"/>
          <w:szCs w:val="22"/>
        </w:rPr>
        <w:t xml:space="preserve"> each of the Dedham</w:t>
      </w:r>
      <w:r w:rsidRPr="00C11123">
        <w:rPr>
          <w:rFonts w:cs="Arial"/>
          <w:sz w:val="22"/>
          <w:szCs w:val="22"/>
        </w:rPr>
        <w:t>, Milton, and North Easton</w:t>
      </w:r>
      <w:r w:rsidR="00787F06" w:rsidRPr="00C11123">
        <w:rPr>
          <w:rFonts w:cs="Arial"/>
          <w:sz w:val="22"/>
          <w:szCs w:val="22"/>
        </w:rPr>
        <w:t xml:space="preserve"> practice </w:t>
      </w:r>
      <w:r w:rsidRPr="00C11123">
        <w:rPr>
          <w:rFonts w:cs="Arial"/>
          <w:sz w:val="22"/>
          <w:szCs w:val="22"/>
        </w:rPr>
        <w:t>sites</w:t>
      </w:r>
      <w:r w:rsidR="008715F0" w:rsidRPr="00C11123">
        <w:rPr>
          <w:rFonts w:cs="Arial"/>
          <w:sz w:val="22"/>
          <w:szCs w:val="22"/>
        </w:rPr>
        <w:t xml:space="preserve"> had Black patient volumes of approximately 9-12%, 14-15% and 9-12.5%, respectively</w:t>
      </w:r>
      <w:r w:rsidRPr="00C11123">
        <w:rPr>
          <w:rFonts w:cs="Arial"/>
          <w:sz w:val="22"/>
          <w:szCs w:val="22"/>
        </w:rPr>
        <w:t xml:space="preserve">. </w:t>
      </w:r>
      <w:r w:rsidR="00787F06" w:rsidRPr="00C11123">
        <w:rPr>
          <w:rFonts w:cs="Arial"/>
          <w:sz w:val="22"/>
          <w:szCs w:val="22"/>
        </w:rPr>
        <w:t xml:space="preserve">See Table </w:t>
      </w:r>
      <w:r w:rsidR="00483F4C" w:rsidRPr="00C11123">
        <w:rPr>
          <w:rFonts w:cs="Arial"/>
          <w:sz w:val="22"/>
          <w:szCs w:val="22"/>
        </w:rPr>
        <w:t>13</w:t>
      </w:r>
      <w:r w:rsidR="00787F06" w:rsidRPr="00C11123">
        <w:rPr>
          <w:rFonts w:cs="Arial"/>
          <w:sz w:val="22"/>
          <w:szCs w:val="22"/>
        </w:rPr>
        <w:t xml:space="preserve">. </w:t>
      </w:r>
      <w:r w:rsidR="008715F0" w:rsidRPr="00C11123">
        <w:rPr>
          <w:rFonts w:cs="Arial"/>
          <w:sz w:val="22"/>
          <w:szCs w:val="22"/>
        </w:rPr>
        <w:t xml:space="preserve"> Providing PSMA PET/CT at the Plymouth practice site will serve similar goals. The Plymouth site is geographically accessible to patients of both the Hyannis and Attleboro practice sites, each of which had Black patient volumes of approximately 8-9% and 3%, respectively, for a combined 11-12%. </w:t>
      </w:r>
      <w:r w:rsidR="00312F86" w:rsidRPr="00C11123">
        <w:rPr>
          <w:rFonts w:cs="Arial"/>
          <w:sz w:val="22"/>
          <w:szCs w:val="22"/>
        </w:rPr>
        <w:t>See Table 13.</w:t>
      </w:r>
    </w:p>
    <w:p w14:paraId="35AC5D4E" w14:textId="77777777" w:rsidR="008715F0" w:rsidRPr="00C11123" w:rsidRDefault="008715F0" w:rsidP="00CC6024">
      <w:pPr>
        <w:spacing w:after="0" w:line="240" w:lineRule="auto"/>
        <w:jc w:val="both"/>
        <w:rPr>
          <w:rFonts w:cs="Arial"/>
          <w:sz w:val="22"/>
          <w:szCs w:val="22"/>
        </w:rPr>
      </w:pPr>
    </w:p>
    <w:p w14:paraId="2954A787" w14:textId="3AB34C9E" w:rsidR="009D024B" w:rsidRPr="00C11123" w:rsidRDefault="00000000" w:rsidP="00CC6024">
      <w:pPr>
        <w:spacing w:after="0" w:line="240" w:lineRule="auto"/>
        <w:jc w:val="both"/>
        <w:rPr>
          <w:rFonts w:cs="Arial"/>
          <w:sz w:val="22"/>
          <w:szCs w:val="22"/>
        </w:rPr>
      </w:pPr>
      <w:r w:rsidRPr="00C11123">
        <w:rPr>
          <w:rFonts w:cs="Arial"/>
          <w:sz w:val="22"/>
          <w:szCs w:val="22"/>
        </w:rPr>
        <w:lastRenderedPageBreak/>
        <w:t>As demonstrated by these figures, the Applicant already provides care to a substantial number of Black patients, with percentages that meet or exceed the statewide Black population rate of approximately 10%.</w:t>
      </w:r>
      <w:r>
        <w:rPr>
          <w:rStyle w:val="FootnoteReference"/>
          <w:rFonts w:cs="Arial"/>
          <w:sz w:val="22"/>
          <w:szCs w:val="22"/>
        </w:rPr>
        <w:footnoteReference w:id="52"/>
      </w:r>
      <w:r w:rsidRPr="00C11123">
        <w:rPr>
          <w:rFonts w:cs="Arial"/>
          <w:sz w:val="22"/>
          <w:szCs w:val="22"/>
        </w:rPr>
        <w:t xml:space="preserve"> Building on this established pattern of care, locating mobile PSMA PET/CT services in Dedham and Plymouth will further advance the Commonwealth’s health equity objectives by expanding access to a high</w:t>
      </w:r>
      <w:r w:rsidRPr="00C11123">
        <w:rPr>
          <w:rFonts w:cs="Arial"/>
          <w:sz w:val="22"/>
          <w:szCs w:val="22"/>
        </w:rPr>
        <w:noBreakHyphen/>
        <w:t>value diagnostic modality for a population that experiences well</w:t>
      </w:r>
      <w:r w:rsidRPr="00C11123">
        <w:rPr>
          <w:rFonts w:cs="Arial"/>
          <w:sz w:val="22"/>
          <w:szCs w:val="22"/>
        </w:rPr>
        <w:noBreakHyphen/>
        <w:t>documented disparities in prostate cancer burden. By offering this service at practice sites that already serve significant numbers of Black patients, the Proposed Project will strengthen continuity of care, reduce logistical and geographic barriers to timely diagnosis, and ensure more equitable access to state</w:t>
      </w:r>
      <w:r w:rsidRPr="00C11123">
        <w:rPr>
          <w:rFonts w:cs="Arial"/>
          <w:sz w:val="22"/>
          <w:szCs w:val="22"/>
        </w:rPr>
        <w:noBreakHyphen/>
        <w:t>of</w:t>
      </w:r>
      <w:r w:rsidRPr="00C11123">
        <w:rPr>
          <w:rFonts w:cs="Arial"/>
          <w:sz w:val="22"/>
          <w:szCs w:val="22"/>
        </w:rPr>
        <w:noBreakHyphen/>
        <w:t>the</w:t>
      </w:r>
      <w:r w:rsidRPr="00C11123">
        <w:rPr>
          <w:rFonts w:cs="Arial"/>
          <w:sz w:val="22"/>
          <w:szCs w:val="22"/>
        </w:rPr>
        <w:noBreakHyphen/>
        <w:t>art imaging resources in cancer care.</w:t>
      </w:r>
    </w:p>
    <w:bookmarkEnd w:id="2"/>
    <w:bookmarkEnd w:id="3"/>
    <w:p w14:paraId="3CA0F2B2" w14:textId="77777777" w:rsidR="0046308F" w:rsidRPr="00C11123" w:rsidRDefault="0046308F" w:rsidP="00CC6024">
      <w:pPr>
        <w:spacing w:after="0" w:line="240" w:lineRule="auto"/>
        <w:jc w:val="both"/>
        <w:rPr>
          <w:rFonts w:cs="Arial"/>
          <w:b/>
          <w:bCs/>
          <w:sz w:val="22"/>
          <w:szCs w:val="22"/>
        </w:rPr>
      </w:pPr>
    </w:p>
    <w:p w14:paraId="617FFF85" w14:textId="77777777" w:rsidR="0039329C" w:rsidRPr="00C11123" w:rsidRDefault="00000000" w:rsidP="00E221AE">
      <w:pPr>
        <w:pStyle w:val="Heading2"/>
      </w:pPr>
      <w:r w:rsidRPr="00C11123">
        <w:t xml:space="preserve">F1.a.iii. </w:t>
      </w:r>
      <w:r w:rsidRPr="00C11123">
        <w:tab/>
      </w:r>
      <w:r w:rsidRPr="00C11123">
        <w:rPr>
          <w:u w:val="single"/>
        </w:rPr>
        <w:t>Competition</w:t>
      </w:r>
      <w:r w:rsidRPr="00C11123">
        <w:t xml:space="preserve">: </w:t>
      </w:r>
    </w:p>
    <w:p w14:paraId="067A6AA3" w14:textId="77777777" w:rsidR="0039329C" w:rsidRPr="00C11123" w:rsidRDefault="00000000" w:rsidP="00CC6024">
      <w:pPr>
        <w:spacing w:after="0" w:line="240" w:lineRule="auto"/>
        <w:jc w:val="both"/>
        <w:rPr>
          <w:rFonts w:cs="Arial"/>
          <w:b/>
          <w:bCs/>
          <w:sz w:val="22"/>
          <w:szCs w:val="22"/>
        </w:rPr>
      </w:pPr>
      <w:r w:rsidRPr="00C11123">
        <w:rPr>
          <w:rFonts w:cs="Arial"/>
          <w:b/>
          <w:bCs/>
          <w:sz w:val="22"/>
          <w:szCs w:val="22"/>
        </w:rPr>
        <w:t xml:space="preserve">Provide evidence that the Proposed Project will compete </w:t>
      </w:r>
      <w:proofErr w:type="gramStart"/>
      <w:r w:rsidRPr="00C11123">
        <w:rPr>
          <w:rFonts w:cs="Arial"/>
          <w:b/>
          <w:bCs/>
          <w:sz w:val="22"/>
          <w:szCs w:val="22"/>
        </w:rPr>
        <w:t>on the basis of</w:t>
      </w:r>
      <w:proofErr w:type="gramEnd"/>
      <w:r w:rsidRPr="00C11123">
        <w:rPr>
          <w:rFonts w:cs="Arial"/>
          <w:b/>
          <w:bCs/>
          <w:sz w:val="22"/>
          <w:szCs w:val="22"/>
        </w:rPr>
        <w:t xml:space="preserve"> price, total medical expenses, provider costs, and other recognized measures of health care spending. When responding to this question, please consider Factor 4, Financial Feasibility and Reasonableness of Costs.</w:t>
      </w:r>
    </w:p>
    <w:p w14:paraId="636A3EB7" w14:textId="77777777" w:rsidR="007500F6" w:rsidRPr="00C11123" w:rsidRDefault="007500F6" w:rsidP="00CC6024">
      <w:pPr>
        <w:spacing w:after="0" w:line="240" w:lineRule="auto"/>
        <w:jc w:val="both"/>
        <w:rPr>
          <w:rFonts w:cs="Arial"/>
          <w:sz w:val="22"/>
          <w:szCs w:val="22"/>
        </w:rPr>
      </w:pPr>
    </w:p>
    <w:p w14:paraId="03FA520D" w14:textId="1BDF5FC8" w:rsidR="0039329C" w:rsidRPr="00C11123" w:rsidRDefault="00000000" w:rsidP="00CC6024">
      <w:pPr>
        <w:spacing w:after="0" w:line="240" w:lineRule="auto"/>
        <w:jc w:val="both"/>
        <w:rPr>
          <w:rFonts w:cs="Arial"/>
          <w:sz w:val="22"/>
          <w:szCs w:val="22"/>
        </w:rPr>
      </w:pPr>
      <w:r w:rsidRPr="00C11123">
        <w:rPr>
          <w:rFonts w:cs="Arial"/>
          <w:sz w:val="22"/>
          <w:szCs w:val="22"/>
        </w:rPr>
        <w:t xml:space="preserve">In meeting patient need for PSMA PET/CT imaging, the Proposed Project will compete </w:t>
      </w:r>
      <w:proofErr w:type="gramStart"/>
      <w:r w:rsidRPr="00C11123">
        <w:rPr>
          <w:rFonts w:cs="Arial"/>
          <w:sz w:val="22"/>
          <w:szCs w:val="22"/>
        </w:rPr>
        <w:t>on the basis of</w:t>
      </w:r>
      <w:proofErr w:type="gramEnd"/>
      <w:r w:rsidRPr="00C11123">
        <w:rPr>
          <w:rFonts w:cs="Arial"/>
          <w:sz w:val="22"/>
          <w:szCs w:val="22"/>
        </w:rPr>
        <w:t xml:space="preserve"> price, total medical expenses (“TME”), provider costs, and other recognized measures of health care spending.  As a physician practice, the Applicant treats patients in outpatient medical offices rather than at a hospital-based inpatient or hospital-based outpatient facility.  As a result, the Applicant will be able to provide PSMA PET/CT scans in a practice environment that is inherently and substantially less costly to patients and payers.</w:t>
      </w:r>
      <w:r>
        <w:rPr>
          <w:rStyle w:val="FootnoteReference"/>
          <w:rFonts w:cs="Arial"/>
          <w:sz w:val="22"/>
          <w:szCs w:val="22"/>
        </w:rPr>
        <w:footnoteReference w:id="53"/>
      </w:r>
      <w:r w:rsidRPr="00C11123">
        <w:rPr>
          <w:rFonts w:cs="Arial"/>
          <w:sz w:val="22"/>
          <w:szCs w:val="22"/>
        </w:rPr>
        <w:t xml:space="preserve"> </w:t>
      </w:r>
    </w:p>
    <w:p w14:paraId="352A61F7" w14:textId="77777777" w:rsidR="0039329C" w:rsidRPr="00C11123" w:rsidRDefault="0039329C" w:rsidP="00CC6024">
      <w:pPr>
        <w:spacing w:after="0" w:line="240" w:lineRule="auto"/>
        <w:jc w:val="both"/>
        <w:rPr>
          <w:rFonts w:cs="Arial"/>
          <w:sz w:val="22"/>
          <w:szCs w:val="22"/>
        </w:rPr>
      </w:pPr>
    </w:p>
    <w:p w14:paraId="35FCFEC6" w14:textId="2FA829AA" w:rsidR="0039329C" w:rsidRPr="00C11123" w:rsidRDefault="00000000" w:rsidP="00CC6024">
      <w:pPr>
        <w:spacing w:after="0" w:line="240" w:lineRule="auto"/>
        <w:jc w:val="both"/>
        <w:rPr>
          <w:rFonts w:cs="Arial"/>
          <w:sz w:val="22"/>
          <w:szCs w:val="22"/>
        </w:rPr>
      </w:pPr>
      <w:r w:rsidRPr="00C11123">
        <w:rPr>
          <w:rFonts w:cs="Arial"/>
          <w:sz w:val="22"/>
          <w:szCs w:val="22"/>
        </w:rPr>
        <w:t>Health care spending on imaging is driven by a variety of factors, notably the setting of care and volume of services.</w:t>
      </w:r>
      <w:r>
        <w:rPr>
          <w:rStyle w:val="FootnoteReference"/>
          <w:rFonts w:cs="Arial"/>
          <w:sz w:val="22"/>
          <w:szCs w:val="22"/>
        </w:rPr>
        <w:footnoteReference w:id="54"/>
      </w:r>
      <w:r w:rsidRPr="00C11123">
        <w:rPr>
          <w:rFonts w:cs="Arial"/>
          <w:sz w:val="22"/>
          <w:szCs w:val="22"/>
        </w:rPr>
        <w:t xml:space="preserve">  The Massachusetts Health Policy Commission (“HPC”) observes that the “</w:t>
      </w:r>
      <w:r w:rsidR="00924E47" w:rsidRPr="00C11123">
        <w:rPr>
          <w:rFonts w:cs="Arial"/>
          <w:sz w:val="22"/>
          <w:szCs w:val="22"/>
        </w:rPr>
        <w:t>[</w:t>
      </w:r>
      <w:r w:rsidRPr="00C11123">
        <w:rPr>
          <w:rFonts w:cs="Arial"/>
          <w:sz w:val="22"/>
          <w:szCs w:val="22"/>
        </w:rPr>
        <w:t>s</w:t>
      </w:r>
      <w:r w:rsidR="00924E47" w:rsidRPr="00C11123">
        <w:rPr>
          <w:rFonts w:cs="Arial"/>
          <w:sz w:val="22"/>
          <w:szCs w:val="22"/>
        </w:rPr>
        <w:t>]</w:t>
      </w:r>
      <w:proofErr w:type="spellStart"/>
      <w:r w:rsidRPr="00C11123">
        <w:rPr>
          <w:rFonts w:cs="Arial"/>
          <w:sz w:val="22"/>
          <w:szCs w:val="22"/>
        </w:rPr>
        <w:t>etting</w:t>
      </w:r>
      <w:proofErr w:type="spellEnd"/>
      <w:r w:rsidRPr="00C11123">
        <w:rPr>
          <w:rFonts w:cs="Arial"/>
          <w:sz w:val="22"/>
          <w:szCs w:val="22"/>
        </w:rPr>
        <w:t xml:space="preserve"> of care is increasingly a focus of attention” because imaging tests conducted by hospitals are significantly more expensive than those conducted in physician office-based settings or freestanding imaging centers.</w:t>
      </w:r>
      <w:r>
        <w:rPr>
          <w:rStyle w:val="FootnoteReference"/>
          <w:rFonts w:cs="Arial"/>
          <w:sz w:val="22"/>
          <w:szCs w:val="22"/>
        </w:rPr>
        <w:footnoteReference w:id="55"/>
      </w:r>
      <w:r w:rsidRPr="00C11123">
        <w:rPr>
          <w:rFonts w:cs="Arial"/>
          <w:sz w:val="22"/>
          <w:szCs w:val="22"/>
        </w:rPr>
        <w:t xml:space="preserve">  Prices for imaging services are “more than twice as high when the service is provided in a hospital outpatient department or other facility, compared to the same service performed in a doctor’s office or other non-facility setting.”</w:t>
      </w:r>
      <w:r>
        <w:rPr>
          <w:rStyle w:val="FootnoteReference"/>
          <w:rFonts w:cs="Arial"/>
          <w:sz w:val="22"/>
          <w:szCs w:val="22"/>
        </w:rPr>
        <w:footnoteReference w:id="56"/>
      </w:r>
      <w:r w:rsidRPr="00C11123">
        <w:rPr>
          <w:rFonts w:cs="Arial"/>
          <w:sz w:val="22"/>
          <w:szCs w:val="22"/>
        </w:rPr>
        <w:t> Consequently, this difference in cost has a major impact on healthcare spending in the Commonwealth. Large healthcare insurers also recognize the reality of higher imaging costs in hospital-based settings when compared to outpatient or office-based settings like physician practices</w:t>
      </w:r>
      <w:r w:rsidR="007845C8" w:rsidRPr="00C11123">
        <w:rPr>
          <w:rFonts w:cs="Arial"/>
          <w:sz w:val="22"/>
          <w:szCs w:val="22"/>
        </w:rPr>
        <w:t>, with United Healthcare finding that</w:t>
      </w:r>
      <w:r w:rsidRPr="00C11123">
        <w:rPr>
          <w:rFonts w:cs="Arial"/>
          <w:sz w:val="22"/>
          <w:szCs w:val="22"/>
        </w:rPr>
        <w:t xml:space="preserve"> hospital imaging </w:t>
      </w:r>
      <w:r w:rsidR="007845C8" w:rsidRPr="00C11123">
        <w:rPr>
          <w:rFonts w:cs="Arial"/>
          <w:sz w:val="22"/>
          <w:szCs w:val="22"/>
        </w:rPr>
        <w:t xml:space="preserve">costs </w:t>
      </w:r>
      <w:r w:rsidRPr="00C11123">
        <w:rPr>
          <w:rFonts w:cs="Arial"/>
          <w:sz w:val="22"/>
          <w:szCs w:val="22"/>
        </w:rPr>
        <w:t>an average of 165% more.</w:t>
      </w:r>
      <w:r>
        <w:rPr>
          <w:rStyle w:val="FootnoteReference"/>
          <w:rFonts w:cs="Arial"/>
          <w:sz w:val="22"/>
          <w:szCs w:val="22"/>
        </w:rPr>
        <w:footnoteReference w:id="57"/>
      </w:r>
    </w:p>
    <w:p w14:paraId="45C6B4B1" w14:textId="77777777" w:rsidR="0039329C" w:rsidRPr="00C11123" w:rsidRDefault="0039329C" w:rsidP="00CC6024">
      <w:pPr>
        <w:spacing w:after="0" w:line="240" w:lineRule="auto"/>
        <w:jc w:val="both"/>
        <w:rPr>
          <w:rFonts w:cs="Arial"/>
          <w:sz w:val="22"/>
          <w:szCs w:val="22"/>
        </w:rPr>
      </w:pPr>
    </w:p>
    <w:p w14:paraId="730EBE11" w14:textId="543AEA37" w:rsidR="0039329C" w:rsidRPr="00C11123" w:rsidRDefault="00000000" w:rsidP="00CC6024">
      <w:pPr>
        <w:spacing w:after="0" w:line="240" w:lineRule="auto"/>
        <w:jc w:val="both"/>
        <w:rPr>
          <w:rFonts w:cs="Arial"/>
          <w:sz w:val="22"/>
          <w:szCs w:val="22"/>
        </w:rPr>
      </w:pPr>
      <w:r w:rsidRPr="00C11123">
        <w:rPr>
          <w:rFonts w:cs="Arial"/>
          <w:sz w:val="22"/>
          <w:szCs w:val="22"/>
        </w:rPr>
        <w:t xml:space="preserve">The HPC’s findings align with </w:t>
      </w:r>
      <w:r w:rsidR="00C572CD" w:rsidRPr="00C11123">
        <w:rPr>
          <w:rFonts w:cs="Arial"/>
          <w:sz w:val="22"/>
          <w:szCs w:val="22"/>
        </w:rPr>
        <w:t>trends around the country</w:t>
      </w:r>
      <w:r w:rsidRPr="00C11123">
        <w:rPr>
          <w:rFonts w:cs="Arial"/>
          <w:sz w:val="22"/>
          <w:szCs w:val="22"/>
        </w:rPr>
        <w:t xml:space="preserve"> </w:t>
      </w:r>
      <w:r w:rsidR="00E30A23" w:rsidRPr="00C11123">
        <w:rPr>
          <w:rFonts w:cs="Arial"/>
          <w:sz w:val="22"/>
          <w:szCs w:val="22"/>
        </w:rPr>
        <w:t xml:space="preserve">for </w:t>
      </w:r>
      <w:r w:rsidRPr="00C11123">
        <w:rPr>
          <w:rFonts w:cs="Arial"/>
          <w:sz w:val="22"/>
          <w:szCs w:val="22"/>
        </w:rPr>
        <w:t>PET</w:t>
      </w:r>
      <w:r w:rsidR="009C63FB" w:rsidRPr="00C11123">
        <w:rPr>
          <w:rFonts w:cs="Arial"/>
          <w:sz w:val="22"/>
          <w:szCs w:val="22"/>
        </w:rPr>
        <w:t>-based</w:t>
      </w:r>
      <w:r w:rsidR="006647D3" w:rsidRPr="00C11123">
        <w:rPr>
          <w:rFonts w:cs="Arial"/>
          <w:sz w:val="22"/>
          <w:szCs w:val="22"/>
        </w:rPr>
        <w:t xml:space="preserve"> scans</w:t>
      </w:r>
      <w:r w:rsidRPr="00C11123">
        <w:rPr>
          <w:rFonts w:cs="Arial"/>
          <w:sz w:val="22"/>
          <w:szCs w:val="22"/>
        </w:rPr>
        <w:t xml:space="preserve"> and other forms of advanced imaging.  As shown in Table</w:t>
      </w:r>
      <w:r w:rsidR="00D22CF2" w:rsidRPr="00C11123">
        <w:rPr>
          <w:rFonts w:cs="Arial"/>
          <w:sz w:val="22"/>
          <w:szCs w:val="22"/>
        </w:rPr>
        <w:t xml:space="preserve"> 17</w:t>
      </w:r>
      <w:r w:rsidRPr="00C11123">
        <w:rPr>
          <w:rFonts w:cs="Arial"/>
          <w:sz w:val="22"/>
          <w:szCs w:val="22"/>
        </w:rPr>
        <w:t xml:space="preserve"> below, PET scans performed outside of hospital settings </w:t>
      </w:r>
      <w:r w:rsidR="00474D6F" w:rsidRPr="00C11123">
        <w:rPr>
          <w:rFonts w:cs="Arial"/>
          <w:sz w:val="22"/>
          <w:szCs w:val="22"/>
        </w:rPr>
        <w:lastRenderedPageBreak/>
        <w:t xml:space="preserve">can </w:t>
      </w:r>
      <w:r w:rsidRPr="00C11123">
        <w:rPr>
          <w:rFonts w:cs="Arial"/>
          <w:sz w:val="22"/>
          <w:szCs w:val="22"/>
        </w:rPr>
        <w:t xml:space="preserve">cost roughly one-third (1/3) of those performed in hospitals. </w:t>
      </w:r>
      <w:r w:rsidR="00876C9A" w:rsidRPr="00C11123">
        <w:rPr>
          <w:rFonts w:cs="Arial"/>
          <w:sz w:val="22"/>
          <w:szCs w:val="22"/>
        </w:rPr>
        <w:t>The</w:t>
      </w:r>
      <w:r w:rsidRPr="00C11123">
        <w:rPr>
          <w:rFonts w:cs="Arial"/>
          <w:sz w:val="22"/>
          <w:szCs w:val="22"/>
        </w:rPr>
        <w:t xml:space="preserve"> average cost of a PET</w:t>
      </w:r>
      <w:r w:rsidR="00597CBE" w:rsidRPr="00C11123">
        <w:rPr>
          <w:rFonts w:cs="Arial"/>
          <w:sz w:val="22"/>
          <w:szCs w:val="22"/>
        </w:rPr>
        <w:t xml:space="preserve"> scan</w:t>
      </w:r>
      <w:r w:rsidRPr="00C11123">
        <w:rPr>
          <w:rFonts w:cs="Arial"/>
          <w:sz w:val="22"/>
          <w:szCs w:val="22"/>
        </w:rPr>
        <w:t xml:space="preserve"> in a non-hospital setting</w:t>
      </w:r>
      <w:r w:rsidR="00CA1991" w:rsidRPr="00C11123">
        <w:rPr>
          <w:rFonts w:cs="Arial"/>
          <w:sz w:val="22"/>
          <w:szCs w:val="22"/>
        </w:rPr>
        <w:t>,</w:t>
      </w:r>
      <w:r w:rsidR="00D22CF2" w:rsidRPr="00C11123">
        <w:rPr>
          <w:rFonts w:cs="Arial"/>
          <w:sz w:val="22"/>
          <w:szCs w:val="22"/>
        </w:rPr>
        <w:t xml:space="preserve"> therefore</w:t>
      </w:r>
      <w:r w:rsidR="00CA1991" w:rsidRPr="00C11123">
        <w:rPr>
          <w:rFonts w:cs="Arial"/>
          <w:sz w:val="22"/>
          <w:szCs w:val="22"/>
        </w:rPr>
        <w:t>,</w:t>
      </w:r>
      <w:r w:rsidRPr="00C11123">
        <w:rPr>
          <w:rFonts w:cs="Arial"/>
          <w:sz w:val="22"/>
          <w:szCs w:val="22"/>
        </w:rPr>
        <w:t xml:space="preserve"> is </w:t>
      </w:r>
      <w:r w:rsidR="00333220" w:rsidRPr="00C11123">
        <w:rPr>
          <w:rFonts w:cs="Arial"/>
          <w:sz w:val="22"/>
          <w:szCs w:val="22"/>
        </w:rPr>
        <w:t>about</w:t>
      </w:r>
      <w:r w:rsidRPr="00C11123">
        <w:rPr>
          <w:rFonts w:cs="Arial"/>
          <w:sz w:val="22"/>
          <w:szCs w:val="22"/>
        </w:rPr>
        <w:t xml:space="preserve"> 70% less than in a hospital, most often due to the higher overhead costs and facility fees that hospitals pass on to patients and payers.</w:t>
      </w:r>
      <w:r>
        <w:rPr>
          <w:rStyle w:val="FootnoteReference"/>
          <w:rFonts w:cs="Arial"/>
          <w:sz w:val="22"/>
          <w:szCs w:val="22"/>
        </w:rPr>
        <w:footnoteReference w:id="58"/>
      </w:r>
      <w:r w:rsidRPr="00C11123">
        <w:rPr>
          <w:rFonts w:cs="Arial"/>
          <w:sz w:val="22"/>
          <w:szCs w:val="22"/>
        </w:rPr>
        <w:t xml:space="preserve"> </w:t>
      </w:r>
      <w:r w:rsidR="00333220" w:rsidRPr="00C11123">
        <w:rPr>
          <w:rFonts w:cs="Arial"/>
          <w:sz w:val="22"/>
          <w:szCs w:val="22"/>
        </w:rPr>
        <w:t>However, the range of possible costs in hospitals compared to non-hospital outpatient settings is even more pronounced</w:t>
      </w:r>
      <w:r w:rsidR="00876C9A" w:rsidRPr="00C11123">
        <w:rPr>
          <w:rFonts w:cs="Arial"/>
          <w:sz w:val="22"/>
          <w:szCs w:val="22"/>
        </w:rPr>
        <w:t>. At hospitals,</w:t>
      </w:r>
      <w:r w:rsidR="00333220" w:rsidRPr="00C11123">
        <w:rPr>
          <w:rFonts w:cs="Arial"/>
          <w:sz w:val="22"/>
          <w:szCs w:val="22"/>
        </w:rPr>
        <w:t xml:space="preserve"> PET imaging costs </w:t>
      </w:r>
      <w:r w:rsidR="00876C9A" w:rsidRPr="00C11123">
        <w:rPr>
          <w:rFonts w:cs="Arial"/>
          <w:sz w:val="22"/>
          <w:szCs w:val="22"/>
        </w:rPr>
        <w:t>at the lower end begin higher than the non-hospital outpatient average ($4,000 vs. $2,</w:t>
      </w:r>
      <w:r w:rsidR="00C572CD" w:rsidRPr="00C11123">
        <w:rPr>
          <w:rFonts w:cs="Arial"/>
          <w:sz w:val="22"/>
          <w:szCs w:val="22"/>
        </w:rPr>
        <w:t>5</w:t>
      </w:r>
      <w:r w:rsidR="00876C9A" w:rsidRPr="00C11123">
        <w:rPr>
          <w:rFonts w:cs="Arial"/>
          <w:sz w:val="22"/>
          <w:szCs w:val="22"/>
        </w:rPr>
        <w:t>50)</w:t>
      </w:r>
      <w:r w:rsidR="00333220" w:rsidRPr="00C11123">
        <w:rPr>
          <w:rFonts w:cs="Arial"/>
          <w:sz w:val="22"/>
          <w:szCs w:val="22"/>
        </w:rPr>
        <w:t xml:space="preserve"> </w:t>
      </w:r>
      <w:r w:rsidR="00876C9A" w:rsidRPr="00C11123">
        <w:rPr>
          <w:rFonts w:cs="Arial"/>
          <w:sz w:val="22"/>
          <w:szCs w:val="22"/>
        </w:rPr>
        <w:t>and can reach as high as approximately $18,000. By contrast, non-hospital outpatient scans might range up to $6,000.</w:t>
      </w:r>
    </w:p>
    <w:p w14:paraId="179E953A" w14:textId="77777777" w:rsidR="0039329C" w:rsidRPr="00C11123" w:rsidRDefault="0039329C" w:rsidP="00CC6024">
      <w:pPr>
        <w:spacing w:after="0" w:line="240" w:lineRule="auto"/>
        <w:ind w:left="1440"/>
        <w:jc w:val="both"/>
        <w:rPr>
          <w:rFonts w:cs="Arial"/>
          <w:b/>
          <w:bCs/>
          <w:sz w:val="22"/>
          <w:szCs w:val="22"/>
          <w:u w:val="single"/>
        </w:rPr>
      </w:pPr>
    </w:p>
    <w:p w14:paraId="6D3CAFBF" w14:textId="485F3C7D" w:rsidR="0039329C" w:rsidRPr="00C11123" w:rsidRDefault="00000000" w:rsidP="00CC6024">
      <w:pPr>
        <w:spacing w:after="0" w:line="240" w:lineRule="auto"/>
        <w:jc w:val="both"/>
        <w:rPr>
          <w:rFonts w:cs="Arial"/>
          <w:b/>
          <w:bCs/>
          <w:sz w:val="22"/>
          <w:szCs w:val="22"/>
        </w:rPr>
      </w:pPr>
      <w:r w:rsidRPr="00C11123">
        <w:rPr>
          <w:rFonts w:cs="Arial"/>
          <w:b/>
          <w:bCs/>
          <w:sz w:val="22"/>
          <w:szCs w:val="22"/>
        </w:rPr>
        <w:t xml:space="preserve">Table: </w:t>
      </w:r>
      <w:r w:rsidR="00D22CF2" w:rsidRPr="00C11123">
        <w:rPr>
          <w:rFonts w:cs="Arial"/>
          <w:b/>
          <w:bCs/>
          <w:sz w:val="22"/>
          <w:szCs w:val="22"/>
        </w:rPr>
        <w:t>17</w:t>
      </w:r>
      <w:r w:rsidRPr="00C11123">
        <w:rPr>
          <w:rFonts w:cs="Arial"/>
          <w:b/>
          <w:bCs/>
          <w:sz w:val="22"/>
          <w:szCs w:val="22"/>
        </w:rPr>
        <w:t xml:space="preserve"> Typical/Estimated Costs for PET</w:t>
      </w:r>
      <w:r w:rsidR="007827EC" w:rsidRPr="00C11123">
        <w:rPr>
          <w:rFonts w:cs="Arial"/>
          <w:b/>
          <w:bCs/>
          <w:sz w:val="22"/>
          <w:szCs w:val="22"/>
        </w:rPr>
        <w:t xml:space="preserve"> Scans</w:t>
      </w:r>
      <w:r w:rsidRPr="00C11123">
        <w:rPr>
          <w:rFonts w:cs="Arial"/>
          <w:b/>
          <w:bCs/>
          <w:sz w:val="22"/>
          <w:szCs w:val="22"/>
        </w:rPr>
        <w:t xml:space="preserve"> Ranging by Setting (National)</w:t>
      </w:r>
    </w:p>
    <w:tbl>
      <w:tblPr>
        <w:tblStyle w:val="GridTable4"/>
        <w:tblW w:w="0" w:type="auto"/>
        <w:tblLook w:val="0420" w:firstRow="1" w:lastRow="0" w:firstColumn="0" w:lastColumn="0" w:noHBand="0" w:noVBand="1"/>
        <w:tblCaption w:val="Typical/Estimated Costs for PET Scans Ranging by Setting (National)"/>
      </w:tblPr>
      <w:tblGrid>
        <w:gridCol w:w="3116"/>
        <w:gridCol w:w="3117"/>
        <w:gridCol w:w="3117"/>
      </w:tblGrid>
      <w:tr w:rsidR="00507820" w14:paraId="25645663" w14:textId="77777777" w:rsidTr="00196D4A">
        <w:trPr>
          <w:cnfStyle w:val="100000000000" w:firstRow="1" w:lastRow="0" w:firstColumn="0" w:lastColumn="0" w:oddVBand="0" w:evenVBand="0" w:oddHBand="0" w:evenHBand="0" w:firstRowFirstColumn="0" w:firstRowLastColumn="0" w:lastRowFirstColumn="0" w:lastRowLastColumn="0"/>
          <w:cantSplit/>
          <w:tblHeader/>
        </w:trPr>
        <w:tc>
          <w:tcPr>
            <w:tcW w:w="3116" w:type="dxa"/>
          </w:tcPr>
          <w:p w14:paraId="4C2F3117" w14:textId="77777777" w:rsidR="0039329C" w:rsidRPr="00C11123" w:rsidRDefault="00000000" w:rsidP="00CC6024">
            <w:pPr>
              <w:rPr>
                <w:rFonts w:cs="Arial"/>
                <w:b w:val="0"/>
                <w:bCs w:val="0"/>
                <w:sz w:val="22"/>
                <w:szCs w:val="22"/>
              </w:rPr>
            </w:pPr>
            <w:r w:rsidRPr="00C11123">
              <w:rPr>
                <w:rFonts w:cs="Arial"/>
                <w:sz w:val="22"/>
                <w:szCs w:val="22"/>
              </w:rPr>
              <w:t>Setting</w:t>
            </w:r>
          </w:p>
        </w:tc>
        <w:tc>
          <w:tcPr>
            <w:tcW w:w="3117" w:type="dxa"/>
          </w:tcPr>
          <w:p w14:paraId="497B1F30" w14:textId="77777777" w:rsidR="0039329C" w:rsidRPr="00C11123" w:rsidRDefault="00000000" w:rsidP="00CC6024">
            <w:pPr>
              <w:rPr>
                <w:rFonts w:cs="Arial"/>
                <w:b w:val="0"/>
                <w:bCs w:val="0"/>
                <w:sz w:val="22"/>
                <w:szCs w:val="22"/>
              </w:rPr>
            </w:pPr>
            <w:r w:rsidRPr="00C11123">
              <w:rPr>
                <w:rFonts w:cs="Arial"/>
                <w:sz w:val="22"/>
                <w:szCs w:val="22"/>
              </w:rPr>
              <w:t>Average Cost Per Scan</w:t>
            </w:r>
            <w:r>
              <w:rPr>
                <w:rStyle w:val="FootnoteReference"/>
                <w:rFonts w:cs="Arial"/>
                <w:sz w:val="22"/>
                <w:szCs w:val="22"/>
              </w:rPr>
              <w:footnoteReference w:id="59"/>
            </w:r>
          </w:p>
        </w:tc>
        <w:tc>
          <w:tcPr>
            <w:tcW w:w="3117" w:type="dxa"/>
          </w:tcPr>
          <w:p w14:paraId="13685A7E" w14:textId="77777777" w:rsidR="0039329C" w:rsidRPr="00C11123" w:rsidRDefault="00000000" w:rsidP="00CC6024">
            <w:pPr>
              <w:rPr>
                <w:rFonts w:cs="Arial"/>
                <w:b w:val="0"/>
                <w:bCs w:val="0"/>
                <w:sz w:val="22"/>
                <w:szCs w:val="22"/>
              </w:rPr>
            </w:pPr>
            <w:r w:rsidRPr="00C11123">
              <w:rPr>
                <w:rFonts w:cs="Arial"/>
                <w:sz w:val="22"/>
                <w:szCs w:val="22"/>
              </w:rPr>
              <w:t>Range</w:t>
            </w:r>
            <w:r>
              <w:rPr>
                <w:rStyle w:val="FootnoteReference"/>
                <w:rFonts w:cs="Arial"/>
                <w:sz w:val="22"/>
                <w:szCs w:val="22"/>
              </w:rPr>
              <w:footnoteReference w:id="60"/>
            </w:r>
          </w:p>
        </w:tc>
      </w:tr>
      <w:tr w:rsidR="00507820" w14:paraId="42C72A7C" w14:textId="77777777" w:rsidTr="00196D4A">
        <w:trPr>
          <w:cnfStyle w:val="000000100000" w:firstRow="0" w:lastRow="0" w:firstColumn="0" w:lastColumn="0" w:oddVBand="0" w:evenVBand="0" w:oddHBand="1" w:evenHBand="0" w:firstRowFirstColumn="0" w:firstRowLastColumn="0" w:lastRowFirstColumn="0" w:lastRowLastColumn="0"/>
          <w:cantSplit/>
        </w:trPr>
        <w:tc>
          <w:tcPr>
            <w:tcW w:w="3116" w:type="dxa"/>
          </w:tcPr>
          <w:p w14:paraId="1552D9CD" w14:textId="78F75410" w:rsidR="0039329C" w:rsidRPr="00C11123" w:rsidRDefault="00000000" w:rsidP="00CC6024">
            <w:pPr>
              <w:rPr>
                <w:rFonts w:cs="Arial"/>
                <w:sz w:val="22"/>
                <w:szCs w:val="22"/>
              </w:rPr>
            </w:pPr>
            <w:r w:rsidRPr="00C11123">
              <w:rPr>
                <w:rFonts w:cs="Arial"/>
                <w:sz w:val="22"/>
                <w:szCs w:val="22"/>
              </w:rPr>
              <w:t>Non-hospital</w:t>
            </w:r>
            <w:r w:rsidR="00CA1991" w:rsidRPr="00C11123">
              <w:rPr>
                <w:rFonts w:cs="Arial"/>
                <w:sz w:val="22"/>
                <w:szCs w:val="22"/>
              </w:rPr>
              <w:t xml:space="preserve"> (outpatient)</w:t>
            </w:r>
          </w:p>
        </w:tc>
        <w:tc>
          <w:tcPr>
            <w:tcW w:w="3117" w:type="dxa"/>
          </w:tcPr>
          <w:p w14:paraId="267A4C0A" w14:textId="73382DBF" w:rsidR="0039329C" w:rsidRPr="00C11123" w:rsidRDefault="00000000" w:rsidP="00CC6024">
            <w:pPr>
              <w:jc w:val="center"/>
              <w:rPr>
                <w:rFonts w:cs="Arial"/>
                <w:sz w:val="22"/>
                <w:szCs w:val="22"/>
              </w:rPr>
            </w:pPr>
            <w:r w:rsidRPr="00C11123">
              <w:rPr>
                <w:rFonts w:cs="Arial"/>
                <w:sz w:val="22"/>
                <w:szCs w:val="22"/>
              </w:rPr>
              <w:t>$2,</w:t>
            </w:r>
            <w:r w:rsidR="00C572CD" w:rsidRPr="00C11123">
              <w:rPr>
                <w:rFonts w:cs="Arial"/>
                <w:sz w:val="22"/>
                <w:szCs w:val="22"/>
              </w:rPr>
              <w:t>5</w:t>
            </w:r>
            <w:r w:rsidRPr="00C11123">
              <w:rPr>
                <w:rFonts w:cs="Arial"/>
                <w:sz w:val="22"/>
                <w:szCs w:val="22"/>
              </w:rPr>
              <w:t>50</w:t>
            </w:r>
          </w:p>
        </w:tc>
        <w:tc>
          <w:tcPr>
            <w:tcW w:w="3117" w:type="dxa"/>
          </w:tcPr>
          <w:p w14:paraId="3CC3E8CF" w14:textId="77777777" w:rsidR="0039329C" w:rsidRPr="00C11123" w:rsidRDefault="00000000" w:rsidP="00CC6024">
            <w:pPr>
              <w:rPr>
                <w:rFonts w:cs="Arial"/>
                <w:sz w:val="22"/>
                <w:szCs w:val="22"/>
              </w:rPr>
            </w:pPr>
            <w:r w:rsidRPr="00C11123">
              <w:rPr>
                <w:rFonts w:cs="Arial"/>
                <w:sz w:val="22"/>
                <w:szCs w:val="22"/>
              </w:rPr>
              <w:t>$1,200–$6,000</w:t>
            </w:r>
          </w:p>
        </w:tc>
      </w:tr>
      <w:tr w:rsidR="00507820" w14:paraId="4CC9C6C8" w14:textId="77777777" w:rsidTr="00196D4A">
        <w:trPr>
          <w:cantSplit/>
        </w:trPr>
        <w:tc>
          <w:tcPr>
            <w:tcW w:w="3116" w:type="dxa"/>
          </w:tcPr>
          <w:p w14:paraId="6DB5B65A" w14:textId="77777777" w:rsidR="0039329C" w:rsidRPr="00C11123" w:rsidRDefault="00000000" w:rsidP="00CC6024">
            <w:pPr>
              <w:rPr>
                <w:rFonts w:cs="Arial"/>
                <w:sz w:val="22"/>
                <w:szCs w:val="22"/>
              </w:rPr>
            </w:pPr>
            <w:r w:rsidRPr="00C11123">
              <w:rPr>
                <w:rFonts w:cs="Arial"/>
                <w:sz w:val="22"/>
                <w:szCs w:val="22"/>
              </w:rPr>
              <w:t>Hospital/Inpatient</w:t>
            </w:r>
          </w:p>
        </w:tc>
        <w:tc>
          <w:tcPr>
            <w:tcW w:w="3117" w:type="dxa"/>
          </w:tcPr>
          <w:p w14:paraId="6F219CB1" w14:textId="4FABD1D5" w:rsidR="0039329C" w:rsidRPr="00C11123" w:rsidRDefault="00000000" w:rsidP="00CC6024">
            <w:pPr>
              <w:jc w:val="center"/>
              <w:rPr>
                <w:rFonts w:cs="Arial"/>
                <w:sz w:val="22"/>
                <w:szCs w:val="22"/>
              </w:rPr>
            </w:pPr>
            <w:r w:rsidRPr="00C11123">
              <w:rPr>
                <w:rFonts w:cs="Arial"/>
                <w:sz w:val="22"/>
                <w:szCs w:val="22"/>
              </w:rPr>
              <w:t>$7,275</w:t>
            </w:r>
          </w:p>
        </w:tc>
        <w:tc>
          <w:tcPr>
            <w:tcW w:w="3117" w:type="dxa"/>
          </w:tcPr>
          <w:p w14:paraId="77853832" w14:textId="77777777" w:rsidR="0039329C" w:rsidRPr="00C11123" w:rsidRDefault="00000000" w:rsidP="00CC6024">
            <w:pPr>
              <w:rPr>
                <w:rFonts w:cs="Arial"/>
                <w:sz w:val="22"/>
                <w:szCs w:val="22"/>
              </w:rPr>
            </w:pPr>
            <w:r w:rsidRPr="00C11123">
              <w:rPr>
                <w:rFonts w:cs="Arial"/>
                <w:sz w:val="22"/>
                <w:szCs w:val="22"/>
              </w:rPr>
              <w:t>$4,000–$18,000</w:t>
            </w:r>
          </w:p>
        </w:tc>
      </w:tr>
    </w:tbl>
    <w:p w14:paraId="73DBC0CB" w14:textId="77777777" w:rsidR="0039329C" w:rsidRPr="00C11123" w:rsidRDefault="0039329C" w:rsidP="00D70747">
      <w:pPr>
        <w:spacing w:after="0" w:line="240" w:lineRule="auto"/>
        <w:rPr>
          <w:rFonts w:cs="Arial"/>
          <w:sz w:val="22"/>
          <w:szCs w:val="22"/>
        </w:rPr>
      </w:pPr>
    </w:p>
    <w:p w14:paraId="20A6944A" w14:textId="2AC8E3AD" w:rsidR="004214B1" w:rsidRPr="00C11123" w:rsidRDefault="00000000">
      <w:pPr>
        <w:spacing w:after="0" w:line="240" w:lineRule="auto"/>
        <w:jc w:val="both"/>
        <w:rPr>
          <w:rFonts w:cs="Arial"/>
          <w:sz w:val="22"/>
          <w:szCs w:val="22"/>
        </w:rPr>
      </w:pPr>
      <w:r w:rsidRPr="00C11123">
        <w:rPr>
          <w:rFonts w:cs="Arial"/>
          <w:sz w:val="22"/>
          <w:szCs w:val="22"/>
        </w:rPr>
        <w:t>PSMA PET scans for prostate cancer follow the same pattern. Nationally, PSMA PET scans for prostate cancer outside of hospital settings are</w:t>
      </w:r>
      <w:r w:rsidR="002418E1" w:rsidRPr="00C11123">
        <w:rPr>
          <w:rFonts w:cs="Arial"/>
          <w:sz w:val="22"/>
          <w:szCs w:val="22"/>
        </w:rPr>
        <w:t>,</w:t>
      </w:r>
      <w:r w:rsidRPr="00C11123">
        <w:rPr>
          <w:rFonts w:cs="Arial"/>
          <w:sz w:val="22"/>
          <w:szCs w:val="22"/>
        </w:rPr>
        <w:t xml:space="preserve"> likewise</w:t>
      </w:r>
      <w:r w:rsidR="002418E1" w:rsidRPr="00C11123">
        <w:rPr>
          <w:rFonts w:cs="Arial"/>
          <w:sz w:val="22"/>
          <w:szCs w:val="22"/>
        </w:rPr>
        <w:t>,</w:t>
      </w:r>
      <w:r w:rsidRPr="00C11123">
        <w:rPr>
          <w:rFonts w:cs="Arial"/>
          <w:sz w:val="22"/>
          <w:szCs w:val="22"/>
        </w:rPr>
        <w:t xml:space="preserve"> dramatically less costly, with an average cost of approximately 50% percent less than at hospitals ($5,352 compared to $11,093 at hospitals).</w:t>
      </w:r>
      <w:r>
        <w:rPr>
          <w:rStyle w:val="FootnoteReference"/>
          <w:rFonts w:cs="Arial"/>
          <w:sz w:val="22"/>
          <w:szCs w:val="22"/>
        </w:rPr>
        <w:footnoteReference w:id="61"/>
      </w:r>
      <w:r w:rsidRPr="00C11123">
        <w:rPr>
          <w:rFonts w:cs="Arial"/>
          <w:sz w:val="22"/>
          <w:szCs w:val="22"/>
        </w:rPr>
        <w:t xml:space="preserve"> Accordingly, the location of the imaging is directly tied to the cost </w:t>
      </w:r>
      <w:r w:rsidR="007845C8" w:rsidRPr="00C11123">
        <w:rPr>
          <w:rFonts w:cs="Arial"/>
          <w:sz w:val="22"/>
          <w:szCs w:val="22"/>
        </w:rPr>
        <w:t xml:space="preserve">- </w:t>
      </w:r>
      <w:r w:rsidRPr="00C11123">
        <w:rPr>
          <w:rFonts w:cs="Arial"/>
          <w:sz w:val="22"/>
          <w:szCs w:val="22"/>
        </w:rPr>
        <w:t>having the scans conducted in a hospital costs more than the same scans conducted in a non-hospital, outpatient setting</w:t>
      </w:r>
      <w:r w:rsidR="007845C8" w:rsidRPr="00C11123">
        <w:rPr>
          <w:rFonts w:cs="Arial"/>
          <w:sz w:val="22"/>
          <w:szCs w:val="22"/>
        </w:rPr>
        <w:t xml:space="preserve">. In sum, </w:t>
      </w:r>
      <w:r w:rsidRPr="00C11123">
        <w:rPr>
          <w:rFonts w:cs="Arial"/>
          <w:sz w:val="22"/>
          <w:szCs w:val="22"/>
        </w:rPr>
        <w:t xml:space="preserve">patients </w:t>
      </w:r>
      <w:r w:rsidR="007845C8" w:rsidRPr="00C11123">
        <w:rPr>
          <w:rFonts w:cs="Arial"/>
          <w:sz w:val="22"/>
          <w:szCs w:val="22"/>
        </w:rPr>
        <w:t xml:space="preserve">and insurers pay more when scans occur in a hospital setting because </w:t>
      </w:r>
      <w:r w:rsidRPr="00C11123">
        <w:rPr>
          <w:rFonts w:cs="Arial"/>
          <w:sz w:val="22"/>
          <w:szCs w:val="22"/>
        </w:rPr>
        <w:t>hospitals cost more to run.</w:t>
      </w:r>
      <w:r>
        <w:rPr>
          <w:rStyle w:val="FootnoteReference"/>
          <w:rFonts w:cs="Arial"/>
          <w:sz w:val="22"/>
          <w:szCs w:val="22"/>
        </w:rPr>
        <w:footnoteReference w:id="62"/>
      </w:r>
    </w:p>
    <w:p w14:paraId="50DD452B" w14:textId="77777777" w:rsidR="00801D37" w:rsidRPr="00C11123" w:rsidRDefault="00801D37" w:rsidP="00D70747">
      <w:pPr>
        <w:spacing w:after="0" w:line="240" w:lineRule="auto"/>
        <w:jc w:val="both"/>
        <w:rPr>
          <w:rFonts w:cs="Arial"/>
          <w:sz w:val="22"/>
          <w:szCs w:val="22"/>
        </w:rPr>
      </w:pPr>
    </w:p>
    <w:p w14:paraId="5D571B4D" w14:textId="0226373D" w:rsidR="0039329C" w:rsidRPr="00C11123" w:rsidRDefault="00000000">
      <w:pPr>
        <w:spacing w:after="0" w:line="240" w:lineRule="auto"/>
        <w:jc w:val="both"/>
        <w:rPr>
          <w:rFonts w:cs="Arial"/>
          <w:sz w:val="22"/>
          <w:szCs w:val="22"/>
        </w:rPr>
      </w:pPr>
      <w:r w:rsidRPr="00C11123">
        <w:rPr>
          <w:rFonts w:cs="Arial"/>
          <w:sz w:val="22"/>
          <w:szCs w:val="22"/>
        </w:rPr>
        <w:t xml:space="preserve">Accordingly, the Applicant does not anticipate that the </w:t>
      </w:r>
      <w:r w:rsidR="00115B19" w:rsidRPr="00C11123">
        <w:rPr>
          <w:rFonts w:cs="Arial"/>
          <w:sz w:val="22"/>
          <w:szCs w:val="22"/>
        </w:rPr>
        <w:t>P</w:t>
      </w:r>
      <w:r w:rsidRPr="00C11123">
        <w:rPr>
          <w:rFonts w:cs="Arial"/>
          <w:sz w:val="22"/>
          <w:szCs w:val="22"/>
        </w:rPr>
        <w:t xml:space="preserve">roposed Project will contribute to a rise in TME or other measures of health care spending in the Commonwealth. Rather, the Applicant sees the </w:t>
      </w:r>
      <w:r w:rsidR="007845C8" w:rsidRPr="00C11123">
        <w:rPr>
          <w:rFonts w:cs="Arial"/>
          <w:sz w:val="22"/>
          <w:szCs w:val="22"/>
        </w:rPr>
        <w:t>Proposed Project</w:t>
      </w:r>
      <w:r w:rsidRPr="00C11123">
        <w:rPr>
          <w:rFonts w:cs="Arial"/>
          <w:sz w:val="22"/>
          <w:szCs w:val="22"/>
        </w:rPr>
        <w:t xml:space="preserve"> as facilitating cost-containment, both in the delivery of imaging services to its Patient Panel and in prostate cancer treatment more broadly. By integrating onsite PSMA PET/CT diagnostic imaging into its urology physician practice, the Applicant expects to be able to provide these essential imaging services at significantly lower costs than in other settings, particularly traditional hospital-based imaging departments. </w:t>
      </w:r>
    </w:p>
    <w:p w14:paraId="1E7354FA" w14:textId="77777777" w:rsidR="00801D37" w:rsidRPr="00C11123" w:rsidRDefault="00801D37" w:rsidP="00D70747">
      <w:pPr>
        <w:spacing w:after="0" w:line="240" w:lineRule="auto"/>
        <w:jc w:val="both"/>
        <w:rPr>
          <w:rFonts w:cs="Arial"/>
          <w:sz w:val="22"/>
          <w:szCs w:val="22"/>
        </w:rPr>
      </w:pPr>
    </w:p>
    <w:p w14:paraId="2E7B5D9B" w14:textId="1469A120" w:rsidR="00A71013" w:rsidRPr="00C11123" w:rsidRDefault="00000000">
      <w:pPr>
        <w:spacing w:after="0" w:line="240" w:lineRule="auto"/>
        <w:jc w:val="both"/>
        <w:rPr>
          <w:rFonts w:cs="Arial"/>
          <w:sz w:val="22"/>
          <w:szCs w:val="22"/>
        </w:rPr>
      </w:pPr>
      <w:r w:rsidRPr="00C11123">
        <w:rPr>
          <w:rFonts w:cs="Arial"/>
          <w:sz w:val="22"/>
          <w:szCs w:val="22"/>
        </w:rPr>
        <w:t xml:space="preserve">Unlike hospitals and certain other institutional imaging provider settings, which must support extensive facility infrastructure, staffing, supply line, and other administrative costs, the Applicant operates within substantially leaner and less complicated business and cost structures. As such, the Applicant is not burdened by the same financial pressures that can potentially encourage movement toward higher utilization of healthcare services, higher reimbursement rates, or higher additional fees to balance against operational costs. For example, as an office-based setting, the Applicant would not be collecting separate facility fees associated with the </w:t>
      </w:r>
      <w:r w:rsidR="007845C8" w:rsidRPr="00C11123">
        <w:rPr>
          <w:rFonts w:cs="Arial"/>
          <w:sz w:val="22"/>
          <w:szCs w:val="22"/>
        </w:rPr>
        <w:t xml:space="preserve">PSMA </w:t>
      </w:r>
      <w:r w:rsidRPr="00C11123">
        <w:rPr>
          <w:rFonts w:cs="Arial"/>
          <w:sz w:val="22"/>
          <w:szCs w:val="22"/>
        </w:rPr>
        <w:t>PET/CT services as would a hospital—often a substantial component of total imaging costs.</w:t>
      </w:r>
      <w:r>
        <w:rPr>
          <w:rStyle w:val="FootnoteReference"/>
          <w:rFonts w:cs="Arial"/>
          <w:sz w:val="22"/>
          <w:szCs w:val="22"/>
        </w:rPr>
        <w:footnoteReference w:id="63"/>
      </w:r>
      <w:r w:rsidRPr="00C11123">
        <w:rPr>
          <w:rFonts w:cs="Arial"/>
          <w:sz w:val="22"/>
          <w:szCs w:val="22"/>
        </w:rPr>
        <w:t xml:space="preserve"> Therefore, the Applicant’s practice setting has a natural competitive pricing advantage. </w:t>
      </w:r>
    </w:p>
    <w:p w14:paraId="6F4520A6" w14:textId="77777777" w:rsidR="00801D37" w:rsidRPr="00C11123" w:rsidRDefault="00801D37" w:rsidP="00D70747">
      <w:pPr>
        <w:spacing w:after="0" w:line="240" w:lineRule="auto"/>
        <w:jc w:val="both"/>
        <w:rPr>
          <w:rFonts w:cs="Arial"/>
          <w:sz w:val="22"/>
          <w:szCs w:val="22"/>
        </w:rPr>
      </w:pPr>
    </w:p>
    <w:p w14:paraId="71BF36A1" w14:textId="77D322A2" w:rsidR="0039329C" w:rsidRPr="00C11123" w:rsidRDefault="00000000">
      <w:pPr>
        <w:spacing w:after="0" w:line="240" w:lineRule="auto"/>
        <w:jc w:val="both"/>
        <w:rPr>
          <w:rFonts w:cs="Arial"/>
          <w:sz w:val="22"/>
          <w:szCs w:val="22"/>
        </w:rPr>
      </w:pPr>
      <w:r w:rsidRPr="00C11123">
        <w:rPr>
          <w:rFonts w:cs="Arial"/>
          <w:sz w:val="22"/>
          <w:szCs w:val="22"/>
        </w:rPr>
        <w:t xml:space="preserve">Further, the Applicant’s plan to use a mobile PET/CT unit will enhance cost-effectiveness of the integrated imaging services because the Applicant will not need to perform costly </w:t>
      </w:r>
      <w:proofErr w:type="gramStart"/>
      <w:r w:rsidRPr="00C11123">
        <w:rPr>
          <w:rFonts w:cs="Arial"/>
          <w:sz w:val="22"/>
          <w:szCs w:val="22"/>
        </w:rPr>
        <w:t>facility renovations</w:t>
      </w:r>
      <w:proofErr w:type="gramEnd"/>
      <w:r w:rsidRPr="00C11123">
        <w:rPr>
          <w:rFonts w:cs="Arial"/>
          <w:sz w:val="22"/>
          <w:szCs w:val="22"/>
        </w:rPr>
        <w:t xml:space="preserve"> and/or rent additional building space to accommodate the unit and related equipment. Instead, the Applicant will be able to mitigate its overhead at the outset of the Project. Fixed costs will be substantially limited to leasing the mobile unit, obtaining </w:t>
      </w:r>
      <w:r w:rsidR="00CD17F2" w:rsidRPr="00C11123">
        <w:rPr>
          <w:rFonts w:cs="Arial"/>
          <w:sz w:val="22"/>
          <w:szCs w:val="22"/>
        </w:rPr>
        <w:t xml:space="preserve">or contracting with </w:t>
      </w:r>
      <w:r w:rsidRPr="00C11123">
        <w:rPr>
          <w:rFonts w:cs="Arial"/>
          <w:sz w:val="22"/>
          <w:szCs w:val="22"/>
        </w:rPr>
        <w:t>requisite staff, laying docking pad</w:t>
      </w:r>
      <w:r w:rsidR="00CD17F2" w:rsidRPr="00C11123">
        <w:rPr>
          <w:rFonts w:cs="Arial"/>
          <w:sz w:val="22"/>
          <w:szCs w:val="22"/>
        </w:rPr>
        <w:t>s</w:t>
      </w:r>
      <w:r w:rsidR="00450AC8" w:rsidRPr="00C11123">
        <w:rPr>
          <w:rFonts w:cs="Arial"/>
          <w:sz w:val="22"/>
          <w:szCs w:val="22"/>
        </w:rPr>
        <w:t>, and ensuring sufficient power supply</w:t>
      </w:r>
      <w:r w:rsidRPr="00C11123">
        <w:rPr>
          <w:rFonts w:cs="Arial"/>
          <w:sz w:val="22"/>
          <w:szCs w:val="22"/>
        </w:rPr>
        <w:t xml:space="preserve">. Consequently, the Applicant’s proposal to provide mobile PSMA PET/CT imaging to its Patient Panel as a physician practice represents an immediate reduction in primary cost drivers that financially burden </w:t>
      </w:r>
      <w:r w:rsidR="00D03C9C" w:rsidRPr="00C11123">
        <w:rPr>
          <w:rFonts w:cs="Arial"/>
          <w:sz w:val="22"/>
          <w:szCs w:val="22"/>
        </w:rPr>
        <w:t xml:space="preserve">patients and </w:t>
      </w:r>
      <w:r w:rsidRPr="00C11123">
        <w:rPr>
          <w:rFonts w:cs="Arial"/>
          <w:sz w:val="22"/>
          <w:szCs w:val="22"/>
        </w:rPr>
        <w:t>payers. This is especially important for patients facing higher out-of-pocket healthcare costs</w:t>
      </w:r>
      <w:r w:rsidR="00584C5E" w:rsidRPr="00C11123">
        <w:rPr>
          <w:rFonts w:cs="Arial"/>
          <w:sz w:val="22"/>
          <w:szCs w:val="22"/>
        </w:rPr>
        <w:t xml:space="preserve"> and cost sharing</w:t>
      </w:r>
      <w:r w:rsidRPr="00C11123">
        <w:rPr>
          <w:rFonts w:cs="Arial"/>
          <w:sz w:val="22"/>
          <w:szCs w:val="22"/>
        </w:rPr>
        <w:t xml:space="preserve"> (e.g. less insurance coverage, high deductibles, and co-pay and co-insurance obligations) who may forgo diagnostic testing to save money based on their immediate financial circumstances, putting themselves and the larger healthcare system at risk for adverse health consequences and more expensive care that could have been avoided.</w:t>
      </w:r>
      <w:r>
        <w:rPr>
          <w:rStyle w:val="FootnoteReference"/>
          <w:rFonts w:cs="Arial"/>
          <w:sz w:val="22"/>
          <w:szCs w:val="22"/>
        </w:rPr>
        <w:footnoteReference w:id="64"/>
      </w:r>
      <w:r w:rsidRPr="00C11123">
        <w:rPr>
          <w:rFonts w:cs="Arial"/>
          <w:sz w:val="22"/>
          <w:szCs w:val="22"/>
        </w:rPr>
        <w:t xml:space="preserve"> </w:t>
      </w:r>
    </w:p>
    <w:p w14:paraId="65234B03" w14:textId="77777777" w:rsidR="00801D37" w:rsidRPr="00C11123" w:rsidRDefault="00801D37" w:rsidP="00D70747">
      <w:pPr>
        <w:spacing w:after="0" w:line="240" w:lineRule="auto"/>
        <w:jc w:val="both"/>
        <w:rPr>
          <w:rFonts w:cs="Arial"/>
          <w:sz w:val="22"/>
          <w:szCs w:val="22"/>
        </w:rPr>
      </w:pPr>
    </w:p>
    <w:p w14:paraId="4F9FC0A3" w14:textId="26F4B6C9" w:rsidR="0039329C" w:rsidRPr="00C11123" w:rsidRDefault="00000000" w:rsidP="00D70747">
      <w:pPr>
        <w:spacing w:after="0" w:line="240" w:lineRule="auto"/>
        <w:jc w:val="both"/>
        <w:rPr>
          <w:rFonts w:cs="Arial"/>
          <w:sz w:val="22"/>
          <w:szCs w:val="22"/>
        </w:rPr>
      </w:pPr>
      <w:r w:rsidRPr="00C11123">
        <w:rPr>
          <w:rFonts w:cs="Arial"/>
          <w:sz w:val="22"/>
          <w:szCs w:val="22"/>
        </w:rPr>
        <w:t>The Proposed Project, therefore, constitutes an opportunity to shift advanced prostate cancer diagnostic imaging services for a wide Patient Panel away from more expensive imaging providers and into a lower cost setting – here, urology physician offices with the specialty expertise needed to make critical medical judgments. The value of this cost-saving endeavor closely aligns with and is supported by the findings of local state authorities, researchers, and professional organizations alike. The Massachusetts HPC itself has found that compared to the national average, Massachusetts residents receive a larger share of imaging in hospital outpatient departments (HOPD) – high-cost centers – but also recognizes that the same advanced imaging can be safely and effectively performed in non-hospital settings, like physician offices.</w:t>
      </w:r>
      <w:r>
        <w:rPr>
          <w:rStyle w:val="FootnoteReference"/>
          <w:rFonts w:cs="Arial"/>
          <w:sz w:val="22"/>
          <w:szCs w:val="22"/>
        </w:rPr>
        <w:footnoteReference w:id="65"/>
      </w:r>
      <w:r w:rsidRPr="00C11123">
        <w:rPr>
          <w:rFonts w:cs="Arial"/>
          <w:sz w:val="22"/>
          <w:szCs w:val="22"/>
        </w:rPr>
        <w:t xml:space="preserve"> Consequently, the Applicant is well-positioned to offer PSMA PET/CT to a large patient population in a manner that is capable of achieving the Commonwealth’s cost-containment, access, and health equity goals. As a physician group, the Applicant already operates within a care model for imaging that state regulators present as an important alternative to HOPD imaging. </w:t>
      </w:r>
    </w:p>
    <w:p w14:paraId="38017B90" w14:textId="77777777" w:rsidR="00152FFB" w:rsidRPr="00C11123" w:rsidRDefault="00152FFB" w:rsidP="00D70747">
      <w:pPr>
        <w:spacing w:after="0" w:line="240" w:lineRule="auto"/>
        <w:jc w:val="both"/>
        <w:rPr>
          <w:rFonts w:cs="Arial"/>
          <w:sz w:val="22"/>
          <w:szCs w:val="22"/>
        </w:rPr>
      </w:pPr>
    </w:p>
    <w:p w14:paraId="3EAE1AAF" w14:textId="151510F1" w:rsidR="0039329C" w:rsidRPr="00C11123" w:rsidRDefault="00000000">
      <w:pPr>
        <w:spacing w:after="0" w:line="240" w:lineRule="auto"/>
        <w:jc w:val="both"/>
        <w:rPr>
          <w:rFonts w:cs="Arial"/>
          <w:sz w:val="22"/>
          <w:szCs w:val="22"/>
        </w:rPr>
      </w:pPr>
      <w:r w:rsidRPr="00C11123">
        <w:rPr>
          <w:rFonts w:cs="Arial"/>
          <w:sz w:val="22"/>
          <w:szCs w:val="22"/>
        </w:rPr>
        <w:t xml:space="preserve">Additionally, by integrating its patients’ urology care with PSMA PET/CT imaging capabilities, the Applicant will be able to develop ways to more effectively diagnose prostate cancer, deliver preventative care, and achieve more efficient cancer management, which can altogether reduce the overall cost of care for one of the most significant and prevalent cancers today. </w:t>
      </w:r>
      <w:r w:rsidR="009319C9" w:rsidRPr="00C11123">
        <w:rPr>
          <w:rFonts w:cs="Arial"/>
          <w:sz w:val="22"/>
          <w:szCs w:val="22"/>
        </w:rPr>
        <w:t xml:space="preserve"> </w:t>
      </w:r>
      <w:r w:rsidRPr="00C11123">
        <w:rPr>
          <w:rFonts w:cs="Arial"/>
          <w:sz w:val="22"/>
          <w:szCs w:val="22"/>
        </w:rPr>
        <w:t>Researchers over the past several years have identified PSMA PET</w:t>
      </w:r>
      <w:r w:rsidR="009319C9" w:rsidRPr="00C11123">
        <w:rPr>
          <w:rFonts w:cs="Arial"/>
          <w:sz w:val="22"/>
          <w:szCs w:val="22"/>
        </w:rPr>
        <w:t>/CT</w:t>
      </w:r>
      <w:r w:rsidRPr="00C11123">
        <w:rPr>
          <w:rFonts w:cs="Arial"/>
          <w:sz w:val="22"/>
          <w:szCs w:val="22"/>
        </w:rPr>
        <w:t xml:space="preserve"> imaging as an effective tool for prostate cancer detection and staging, as well as for promoting cost-savings in the healthcare system by improving downstream health outcomes for patients, including quality</w:t>
      </w:r>
      <w:r w:rsidR="003945CF" w:rsidRPr="00C11123">
        <w:rPr>
          <w:rFonts w:cs="Arial"/>
          <w:sz w:val="22"/>
          <w:szCs w:val="22"/>
        </w:rPr>
        <w:t>-</w:t>
      </w:r>
      <w:r w:rsidRPr="00C11123">
        <w:rPr>
          <w:rFonts w:cs="Arial"/>
          <w:sz w:val="22"/>
          <w:szCs w:val="22"/>
        </w:rPr>
        <w:t>adjusted life years.</w:t>
      </w:r>
      <w:r>
        <w:rPr>
          <w:rStyle w:val="FootnoteReference"/>
          <w:rFonts w:cs="Arial"/>
          <w:sz w:val="22"/>
          <w:szCs w:val="22"/>
        </w:rPr>
        <w:footnoteReference w:id="66"/>
      </w:r>
      <w:r w:rsidRPr="00C11123">
        <w:rPr>
          <w:rFonts w:cs="Arial"/>
          <w:sz w:val="22"/>
          <w:szCs w:val="22"/>
        </w:rPr>
        <w:t xml:space="preserve"> The effectiveness </w:t>
      </w:r>
      <w:r w:rsidRPr="00C11123">
        <w:rPr>
          <w:rFonts w:cs="Arial"/>
          <w:sz w:val="22"/>
          <w:szCs w:val="22"/>
        </w:rPr>
        <w:lastRenderedPageBreak/>
        <w:t>of PSMA PET/CT has become increasingly hailed as a “paradigm shift” that “demonstrate</w:t>
      </w:r>
      <w:r w:rsidR="0005659E" w:rsidRPr="00C11123">
        <w:rPr>
          <w:rFonts w:cs="Arial"/>
          <w:sz w:val="22"/>
          <w:szCs w:val="22"/>
        </w:rPr>
        <w:t>[</w:t>
      </w:r>
      <w:r w:rsidRPr="00C11123">
        <w:rPr>
          <w:rFonts w:cs="Arial"/>
          <w:sz w:val="22"/>
          <w:szCs w:val="22"/>
        </w:rPr>
        <w:t>s</w:t>
      </w:r>
      <w:r w:rsidR="0005659E" w:rsidRPr="00C11123">
        <w:rPr>
          <w:rFonts w:cs="Arial"/>
          <w:sz w:val="22"/>
          <w:szCs w:val="22"/>
        </w:rPr>
        <w:t>]</w:t>
      </w:r>
      <w:r w:rsidRPr="00C11123">
        <w:rPr>
          <w:rFonts w:cs="Arial"/>
          <w:sz w:val="22"/>
          <w:szCs w:val="22"/>
        </w:rPr>
        <w:t xml:space="preserve"> superior performance compared to conventional imaging modalities,” providing not only disease detection, but also “quantitative insights that inform treatment decisions and improve patient outcomes across the disease spectrum.</w:t>
      </w:r>
      <w:r>
        <w:rPr>
          <w:rStyle w:val="FootnoteReference"/>
          <w:rFonts w:cs="Arial"/>
          <w:sz w:val="22"/>
          <w:szCs w:val="22"/>
        </w:rPr>
        <w:footnoteReference w:id="67"/>
      </w:r>
      <w:r w:rsidRPr="00C11123">
        <w:rPr>
          <w:rFonts w:cs="Arial"/>
          <w:sz w:val="22"/>
          <w:szCs w:val="22"/>
        </w:rPr>
        <w:t xml:space="preserve"> As researchers have observed, a PSMA PET</w:t>
      </w:r>
      <w:r w:rsidR="0085457B" w:rsidRPr="00C11123">
        <w:rPr>
          <w:rFonts w:cs="Arial"/>
          <w:sz w:val="22"/>
          <w:szCs w:val="22"/>
        </w:rPr>
        <w:t>/CT</w:t>
      </w:r>
      <w:r w:rsidRPr="00C11123">
        <w:rPr>
          <w:rFonts w:cs="Arial"/>
          <w:sz w:val="22"/>
          <w:szCs w:val="22"/>
        </w:rPr>
        <w:t xml:space="preserve"> scan is “cost-effective when compared to conventional imaging for initial staging” and “independently can save time and act as a decision-making aid</w:t>
      </w:r>
      <w:r w:rsidR="0085457B" w:rsidRPr="00C11123">
        <w:rPr>
          <w:rFonts w:cs="Arial"/>
          <w:sz w:val="22"/>
          <w:szCs w:val="22"/>
        </w:rPr>
        <w:t xml:space="preserve"> for the patient, </w:t>
      </w:r>
      <w:r w:rsidRPr="00C11123">
        <w:rPr>
          <w:rFonts w:cs="Arial"/>
          <w:sz w:val="22"/>
          <w:szCs w:val="22"/>
        </w:rPr>
        <w:t>potentially improving delivery of appropriate care for men with [prostate cancer].”</w:t>
      </w:r>
      <w:r>
        <w:rPr>
          <w:rStyle w:val="FootnoteReference"/>
          <w:rFonts w:cs="Arial"/>
          <w:sz w:val="22"/>
          <w:szCs w:val="22"/>
        </w:rPr>
        <w:footnoteReference w:id="68"/>
      </w:r>
      <w:r w:rsidRPr="00C11123">
        <w:rPr>
          <w:rFonts w:cs="Arial"/>
          <w:sz w:val="22"/>
          <w:szCs w:val="22"/>
        </w:rPr>
        <w:t xml:space="preserve"> There is also for the potential for</w:t>
      </w:r>
      <w:r w:rsidRPr="00C11123">
        <w:rPr>
          <w:rFonts w:cs="Arial"/>
          <w:b/>
          <w:bCs/>
          <w:sz w:val="22"/>
          <w:szCs w:val="22"/>
        </w:rPr>
        <w:t xml:space="preserve"> </w:t>
      </w:r>
      <w:r w:rsidRPr="00C11123">
        <w:rPr>
          <w:rFonts w:cs="Arial"/>
          <w:sz w:val="22"/>
          <w:szCs w:val="22"/>
        </w:rPr>
        <w:t>PSMA PET/CT to replace other forms of tests, such as bone scans, in staging workflows, reducing the total number of imaging tests a patient undergoes and, accordingly, healthcare system imaging expenditures.</w:t>
      </w:r>
      <w:r>
        <w:rPr>
          <w:rStyle w:val="FootnoteReference"/>
          <w:rFonts w:cs="Arial"/>
          <w:sz w:val="22"/>
          <w:szCs w:val="22"/>
        </w:rPr>
        <w:footnoteReference w:id="69"/>
      </w:r>
    </w:p>
    <w:p w14:paraId="5D30514C" w14:textId="77777777" w:rsidR="00801D37" w:rsidRPr="00C11123" w:rsidRDefault="00801D37" w:rsidP="00D70747">
      <w:pPr>
        <w:spacing w:after="0" w:line="240" w:lineRule="auto"/>
        <w:jc w:val="both"/>
        <w:rPr>
          <w:rFonts w:cs="Arial"/>
          <w:sz w:val="22"/>
          <w:szCs w:val="22"/>
        </w:rPr>
      </w:pPr>
    </w:p>
    <w:p w14:paraId="2BBEC0B6" w14:textId="1259B788" w:rsidR="00684E0F" w:rsidRPr="00C11123" w:rsidRDefault="00000000">
      <w:pPr>
        <w:spacing w:after="0" w:line="240" w:lineRule="auto"/>
        <w:jc w:val="both"/>
        <w:rPr>
          <w:rFonts w:cs="Arial"/>
          <w:sz w:val="22"/>
          <w:szCs w:val="22"/>
        </w:rPr>
      </w:pPr>
      <w:r w:rsidRPr="00C11123">
        <w:rPr>
          <w:rFonts w:cs="Arial"/>
          <w:sz w:val="22"/>
          <w:szCs w:val="22"/>
        </w:rPr>
        <w:t xml:space="preserve">Federal authorities and cancer experts alike have recognized the importance of PSMA PET/CT in the fight against prostate cancer. Over the past five (5) years, the </w:t>
      </w:r>
      <w:r w:rsidR="00FB3A00" w:rsidRPr="00C11123">
        <w:rPr>
          <w:rFonts w:cs="Arial"/>
          <w:sz w:val="22"/>
          <w:szCs w:val="22"/>
        </w:rPr>
        <w:t xml:space="preserve">U.S. Food and Drug Administration </w:t>
      </w:r>
      <w:r w:rsidRPr="00C11123">
        <w:rPr>
          <w:rFonts w:cs="Arial"/>
          <w:sz w:val="22"/>
          <w:szCs w:val="22"/>
        </w:rPr>
        <w:t xml:space="preserve"> has approved the use of a number of tracer agents for PSMA PET/CT, including PYLARIFY® (also known as </w:t>
      </w:r>
      <w:proofErr w:type="spellStart"/>
      <w:r w:rsidRPr="00C11123">
        <w:rPr>
          <w:rFonts w:cs="Arial"/>
          <w:sz w:val="22"/>
          <w:szCs w:val="22"/>
        </w:rPr>
        <w:t>piflufolastat</w:t>
      </w:r>
      <w:proofErr w:type="spellEnd"/>
      <w:r w:rsidRPr="00C11123">
        <w:rPr>
          <w:rFonts w:cs="Arial"/>
          <w:sz w:val="22"/>
          <w:szCs w:val="22"/>
        </w:rPr>
        <w:t xml:space="preserve"> F18 and 18F-DCFPyL), which the Applicant proposes to use in the Proposed Project.</w:t>
      </w:r>
      <w:r>
        <w:rPr>
          <w:rStyle w:val="FootnoteReference"/>
          <w:rFonts w:cs="Arial"/>
          <w:sz w:val="22"/>
          <w:szCs w:val="22"/>
        </w:rPr>
        <w:footnoteReference w:id="70"/>
      </w:r>
      <w:r w:rsidRPr="00C11123">
        <w:rPr>
          <w:rFonts w:cs="Arial"/>
          <w:sz w:val="22"/>
          <w:szCs w:val="22"/>
        </w:rPr>
        <w:t xml:space="preserve"> Likewise, the National Comprehensive Cancer Network (NCCN) has added PYLARIFY PSMA-PET</w:t>
      </w:r>
      <w:r w:rsidR="007845C8" w:rsidRPr="00C11123">
        <w:rPr>
          <w:rFonts w:cs="Arial"/>
          <w:sz w:val="22"/>
          <w:szCs w:val="22"/>
        </w:rPr>
        <w:t>/CT</w:t>
      </w:r>
      <w:r w:rsidRPr="00C11123">
        <w:rPr>
          <w:rFonts w:cs="Arial"/>
          <w:sz w:val="22"/>
          <w:szCs w:val="22"/>
        </w:rPr>
        <w:t xml:space="preserve"> imaging modalities to its clinical practice guidelines for prostate cancer – “[t]he updated guidelines will encourage clinicians to use PSMA-PET as a primary imaging modality in patients and will deliver the benefit of a more streamlined approach.”</w:t>
      </w:r>
      <w:r>
        <w:rPr>
          <w:rStyle w:val="FootnoteReference"/>
          <w:rFonts w:cs="Arial"/>
          <w:sz w:val="22"/>
          <w:szCs w:val="22"/>
        </w:rPr>
        <w:footnoteReference w:id="71"/>
      </w:r>
      <w:r w:rsidRPr="00C11123">
        <w:rPr>
          <w:rFonts w:cs="Arial"/>
          <w:sz w:val="22"/>
          <w:szCs w:val="22"/>
        </w:rPr>
        <w:t xml:space="preserve"> The updated NCCN guidelines indicate that the NCCN</w:t>
      </w:r>
      <w:r w:rsidRPr="00C11123">
        <w:rPr>
          <w:rFonts w:cs="Arial"/>
          <w:color w:val="000000"/>
          <w:sz w:val="22"/>
          <w:szCs w:val="22"/>
        </w:rPr>
        <w:t xml:space="preserve"> </w:t>
      </w:r>
      <w:r w:rsidRPr="00C11123">
        <w:rPr>
          <w:rFonts w:cs="Arial"/>
          <w:sz w:val="22"/>
          <w:szCs w:val="22"/>
        </w:rPr>
        <w:t>panel no longer believes that conventional imaging is a necessary prerequisite, but rather that PSMA PET/CT may be an equally effective, if not more effective imaging test for patients.</w:t>
      </w:r>
      <w:r>
        <w:rPr>
          <w:rStyle w:val="FootnoteReference"/>
          <w:rFonts w:cs="Arial"/>
          <w:sz w:val="22"/>
          <w:szCs w:val="22"/>
        </w:rPr>
        <w:footnoteReference w:id="72"/>
      </w:r>
      <w:r w:rsidRPr="00C11123">
        <w:rPr>
          <w:rFonts w:cs="Arial"/>
          <w:sz w:val="22"/>
          <w:szCs w:val="22"/>
        </w:rPr>
        <w:t xml:space="preserve"> </w:t>
      </w:r>
      <w:r w:rsidR="00557FC9" w:rsidRPr="00C11123">
        <w:rPr>
          <w:rFonts w:cs="Arial"/>
          <w:sz w:val="22"/>
          <w:szCs w:val="22"/>
        </w:rPr>
        <w:t xml:space="preserve">The </w:t>
      </w:r>
      <w:r w:rsidRPr="00C11123">
        <w:rPr>
          <w:rFonts w:cs="Arial"/>
          <w:sz w:val="22"/>
          <w:szCs w:val="22"/>
        </w:rPr>
        <w:t>NCCN guidelines “are considered a global standard to guide oncology practice and reimbursement</w:t>
      </w:r>
      <w:r w:rsidR="00920156" w:rsidRPr="00C11123">
        <w:rPr>
          <w:rFonts w:cs="Arial"/>
          <w:sz w:val="22"/>
          <w:szCs w:val="22"/>
        </w:rPr>
        <w:t>;</w:t>
      </w:r>
      <w:r w:rsidRPr="00C11123">
        <w:rPr>
          <w:rFonts w:cs="Arial"/>
          <w:sz w:val="22"/>
          <w:szCs w:val="22"/>
        </w:rPr>
        <w:t>” it is</w:t>
      </w:r>
      <w:r w:rsidR="00920156" w:rsidRPr="00C11123">
        <w:rPr>
          <w:rFonts w:cs="Arial"/>
          <w:sz w:val="22"/>
          <w:szCs w:val="22"/>
        </w:rPr>
        <w:t xml:space="preserve"> also</w:t>
      </w:r>
      <w:r w:rsidRPr="00C11123">
        <w:rPr>
          <w:rFonts w:cs="Arial"/>
          <w:sz w:val="22"/>
          <w:szCs w:val="22"/>
        </w:rPr>
        <w:t xml:space="preserve"> significant that the Centers for Medicare and Medicaid Services (CMS) </w:t>
      </w:r>
      <w:r w:rsidR="004A398C" w:rsidRPr="00C11123">
        <w:rPr>
          <w:rFonts w:cs="Arial"/>
          <w:sz w:val="22"/>
          <w:szCs w:val="22"/>
        </w:rPr>
        <w:t xml:space="preserve">likewise </w:t>
      </w:r>
      <w:r w:rsidRPr="00C11123">
        <w:rPr>
          <w:rFonts w:cs="Arial"/>
          <w:sz w:val="22"/>
          <w:szCs w:val="22"/>
        </w:rPr>
        <w:t>made PSMA PET scans reimbursable with its own billing code and schedule.</w:t>
      </w:r>
      <w:r>
        <w:rPr>
          <w:rStyle w:val="FootnoteReference"/>
          <w:rFonts w:cs="Arial"/>
          <w:sz w:val="22"/>
          <w:szCs w:val="22"/>
        </w:rPr>
        <w:footnoteReference w:id="73"/>
      </w:r>
      <w:r w:rsidRPr="00C11123">
        <w:rPr>
          <w:rFonts w:cs="Arial"/>
          <w:sz w:val="22"/>
          <w:szCs w:val="22"/>
        </w:rPr>
        <w:t xml:space="preserve"> The inclusion of PSMA PET</w:t>
      </w:r>
      <w:r w:rsidR="007845C8" w:rsidRPr="00C11123">
        <w:rPr>
          <w:rFonts w:cs="Arial"/>
          <w:sz w:val="22"/>
          <w:szCs w:val="22"/>
        </w:rPr>
        <w:t>/CT</w:t>
      </w:r>
      <w:r w:rsidRPr="00C11123">
        <w:rPr>
          <w:rFonts w:cs="Arial"/>
          <w:sz w:val="22"/>
          <w:szCs w:val="22"/>
        </w:rPr>
        <w:t xml:space="preserve"> in guidelines and federal coverage policies reflects a recognition that this technology promotes value-based care goals, as it is an intervention that improves outcomes with more precise capabilities, potentially avoiding wasted resources on older and less effective methods. In other words, investing in better diagnostics like PSMA PET/CT can yield system-wide savings by reducing the burden of advanced prostate cancer down the line – the overall impact being a high-value tool that delivers better health results per dollar spent.</w:t>
      </w:r>
    </w:p>
    <w:p w14:paraId="005C806E" w14:textId="77777777" w:rsidR="00801D37" w:rsidRPr="00C11123" w:rsidRDefault="00801D37" w:rsidP="00D70747">
      <w:pPr>
        <w:spacing w:after="0" w:line="240" w:lineRule="auto"/>
        <w:jc w:val="both"/>
        <w:rPr>
          <w:rFonts w:cs="Arial"/>
          <w:sz w:val="22"/>
          <w:szCs w:val="22"/>
        </w:rPr>
      </w:pPr>
    </w:p>
    <w:p w14:paraId="1D43893E" w14:textId="30F04459" w:rsidR="00323587" w:rsidRPr="00C11123" w:rsidRDefault="00000000">
      <w:pPr>
        <w:spacing w:after="0" w:line="240" w:lineRule="auto"/>
        <w:jc w:val="both"/>
        <w:rPr>
          <w:rFonts w:cs="Arial"/>
          <w:sz w:val="22"/>
          <w:szCs w:val="22"/>
        </w:rPr>
      </w:pPr>
      <w:r w:rsidRPr="00C11123">
        <w:rPr>
          <w:rFonts w:cs="Arial"/>
          <w:sz w:val="22"/>
          <w:szCs w:val="22"/>
        </w:rPr>
        <w:t xml:space="preserve">Therefore, </w:t>
      </w:r>
      <w:r w:rsidR="001676B8" w:rsidRPr="00C11123">
        <w:rPr>
          <w:rFonts w:cs="Arial"/>
          <w:sz w:val="22"/>
          <w:szCs w:val="22"/>
        </w:rPr>
        <w:t xml:space="preserve">the </w:t>
      </w:r>
      <w:r w:rsidRPr="00C11123">
        <w:rPr>
          <w:rFonts w:cs="Arial"/>
          <w:sz w:val="22"/>
          <w:szCs w:val="22"/>
        </w:rPr>
        <w:t>Proposed Project will expand patient access to modern and essential uses of</w:t>
      </w:r>
      <w:r w:rsidR="007845C8" w:rsidRPr="00C11123">
        <w:rPr>
          <w:rFonts w:cs="Arial"/>
          <w:sz w:val="22"/>
          <w:szCs w:val="22"/>
        </w:rPr>
        <w:t xml:space="preserve"> PSMA</w:t>
      </w:r>
      <w:r w:rsidRPr="00C11123">
        <w:rPr>
          <w:rFonts w:cs="Arial"/>
          <w:sz w:val="22"/>
          <w:szCs w:val="22"/>
        </w:rPr>
        <w:t xml:space="preserve"> PET/CT technology in the fight against prostate cancer prevention and treatment, while also making a substantive contribution to the Commonwealth’s cost-containment goals. The Applicant’s proposed use of PSMA PET/CT diagnostic imaging in its office-based settings embodies both innovation and prudent resource allocation to deliver critical diagnostic capability while helping to facilitate lower costs for the Applicant’s large Patient Panel that spans across </w:t>
      </w:r>
      <w:r w:rsidR="00DA1989" w:rsidRPr="00C11123">
        <w:rPr>
          <w:rFonts w:cs="Arial"/>
          <w:sz w:val="22"/>
          <w:szCs w:val="22"/>
        </w:rPr>
        <w:t xml:space="preserve">Eastern </w:t>
      </w:r>
      <w:r w:rsidRPr="00C11123">
        <w:rPr>
          <w:rFonts w:cs="Arial"/>
          <w:sz w:val="22"/>
          <w:szCs w:val="22"/>
        </w:rPr>
        <w:t>Massachusetts</w:t>
      </w:r>
      <w:r w:rsidR="003C6BF5" w:rsidRPr="00C11123">
        <w:rPr>
          <w:rFonts w:cs="Arial"/>
          <w:sz w:val="22"/>
          <w:szCs w:val="22"/>
        </w:rPr>
        <w:t xml:space="preserve"> population centers</w:t>
      </w:r>
      <w:r w:rsidRPr="00C11123">
        <w:rPr>
          <w:rFonts w:cs="Arial"/>
          <w:sz w:val="22"/>
          <w:szCs w:val="22"/>
        </w:rPr>
        <w:t xml:space="preserve">. This achievable outcome aligns squarely with the Commonwealth’s mission to </w:t>
      </w:r>
      <w:r w:rsidRPr="00C11123">
        <w:rPr>
          <w:rFonts w:cs="Arial"/>
          <w:sz w:val="22"/>
          <w:szCs w:val="22"/>
        </w:rPr>
        <w:lastRenderedPageBreak/>
        <w:t xml:space="preserve">ensure sustainable, distributed healthcare resource deployment, while </w:t>
      </w:r>
      <w:r w:rsidR="00021DCC" w:rsidRPr="00C11123">
        <w:rPr>
          <w:rFonts w:cs="Arial"/>
          <w:sz w:val="22"/>
          <w:szCs w:val="22"/>
        </w:rPr>
        <w:t>promoting reductions</w:t>
      </w:r>
      <w:r w:rsidRPr="00C11123">
        <w:rPr>
          <w:rFonts w:cs="Arial"/>
          <w:sz w:val="22"/>
          <w:szCs w:val="22"/>
        </w:rPr>
        <w:t xml:space="preserve"> </w:t>
      </w:r>
      <w:r w:rsidR="00021DCC" w:rsidRPr="00C11123">
        <w:rPr>
          <w:rFonts w:cs="Arial"/>
          <w:sz w:val="22"/>
          <w:szCs w:val="22"/>
        </w:rPr>
        <w:t>in</w:t>
      </w:r>
      <w:r w:rsidRPr="00C11123">
        <w:rPr>
          <w:rFonts w:cs="Arial"/>
          <w:sz w:val="22"/>
          <w:szCs w:val="22"/>
        </w:rPr>
        <w:t xml:space="preserve"> total medical spending.</w:t>
      </w:r>
      <w:r>
        <w:rPr>
          <w:rStyle w:val="FootnoteReference"/>
          <w:rFonts w:cs="Arial"/>
          <w:sz w:val="22"/>
          <w:szCs w:val="22"/>
        </w:rPr>
        <w:footnoteReference w:id="74"/>
      </w:r>
    </w:p>
    <w:p w14:paraId="2D142CCD" w14:textId="77777777" w:rsidR="00801D37" w:rsidRPr="00C11123" w:rsidRDefault="00801D37" w:rsidP="00D70747">
      <w:pPr>
        <w:spacing w:after="0" w:line="240" w:lineRule="auto"/>
        <w:jc w:val="both"/>
        <w:rPr>
          <w:rFonts w:cs="Arial"/>
          <w:b/>
          <w:bCs/>
          <w:sz w:val="22"/>
          <w:szCs w:val="22"/>
        </w:rPr>
      </w:pPr>
    </w:p>
    <w:p w14:paraId="53AC6E84" w14:textId="1543E11D" w:rsidR="00323587" w:rsidRPr="00FE3340" w:rsidRDefault="00000000" w:rsidP="00FE3340">
      <w:pPr>
        <w:pStyle w:val="Heading2"/>
        <w:rPr>
          <w:u w:val="single"/>
        </w:rPr>
      </w:pPr>
      <w:r w:rsidRPr="00C11123">
        <w:t>F</w:t>
      </w:r>
      <w:proofErr w:type="gramStart"/>
      <w:r w:rsidRPr="00C11123">
        <w:t>1.b.i.</w:t>
      </w:r>
      <w:proofErr w:type="gramEnd"/>
      <w:r w:rsidRPr="00C11123">
        <w:t xml:space="preserve"> </w:t>
      </w:r>
      <w:r w:rsidRPr="00C11123">
        <w:tab/>
      </w:r>
      <w:r w:rsidRPr="00FE3340">
        <w:rPr>
          <w:u w:val="single"/>
        </w:rPr>
        <w:t xml:space="preserve">Public Health Value /Evidence-Based: </w:t>
      </w:r>
    </w:p>
    <w:p w14:paraId="15C4E3B1" w14:textId="77777777" w:rsidR="00A34DFB" w:rsidRPr="00C11123" w:rsidRDefault="00000000" w:rsidP="00CC6024">
      <w:pPr>
        <w:spacing w:after="0" w:line="240" w:lineRule="auto"/>
        <w:ind w:left="1440"/>
        <w:jc w:val="both"/>
        <w:rPr>
          <w:rFonts w:cs="Arial"/>
          <w:b/>
          <w:bCs/>
          <w:sz w:val="22"/>
          <w:szCs w:val="22"/>
        </w:rPr>
      </w:pPr>
      <w:r w:rsidRPr="00C11123">
        <w:rPr>
          <w:rFonts w:cs="Arial"/>
          <w:b/>
          <w:bCs/>
          <w:sz w:val="22"/>
          <w:szCs w:val="22"/>
        </w:rPr>
        <w:t>Provide information on the evidence-base for the Proposed Project. That is, how does the Proposed Project address the Need that Applicant has identified.</w:t>
      </w:r>
    </w:p>
    <w:p w14:paraId="2DB9F459" w14:textId="77777777" w:rsidR="000B076F" w:rsidRPr="00C11123" w:rsidRDefault="000B076F" w:rsidP="00CC6024">
      <w:pPr>
        <w:spacing w:after="0" w:line="240" w:lineRule="auto"/>
        <w:jc w:val="both"/>
        <w:rPr>
          <w:rFonts w:cs="Arial"/>
          <w:b/>
          <w:bCs/>
          <w:sz w:val="22"/>
          <w:szCs w:val="22"/>
        </w:rPr>
      </w:pPr>
    </w:p>
    <w:p w14:paraId="23E188D8" w14:textId="1A74BF34" w:rsidR="000573B6" w:rsidRPr="00C11123" w:rsidRDefault="00000000">
      <w:pPr>
        <w:spacing w:after="0" w:line="240" w:lineRule="auto"/>
        <w:jc w:val="both"/>
        <w:rPr>
          <w:rFonts w:cs="Arial"/>
          <w:sz w:val="22"/>
          <w:szCs w:val="22"/>
        </w:rPr>
      </w:pPr>
      <w:r w:rsidRPr="00C11123">
        <w:rPr>
          <w:rFonts w:cs="Arial"/>
          <w:sz w:val="22"/>
          <w:szCs w:val="22"/>
        </w:rPr>
        <w:t>Prostate cancer is a leading cause of cancer-related death among men</w:t>
      </w:r>
      <w:r w:rsidR="0030174C" w:rsidRPr="00C11123">
        <w:rPr>
          <w:rFonts w:cs="Arial"/>
          <w:sz w:val="22"/>
          <w:szCs w:val="22"/>
        </w:rPr>
        <w:t xml:space="preserve"> and so is a “major public health concern</w:t>
      </w:r>
      <w:r w:rsidRPr="00C11123">
        <w:rPr>
          <w:rFonts w:cs="Arial"/>
          <w:sz w:val="22"/>
          <w:szCs w:val="22"/>
        </w:rPr>
        <w:t>,</w:t>
      </w:r>
      <w:r w:rsidR="0030174C" w:rsidRPr="00C11123">
        <w:rPr>
          <w:rFonts w:cs="Arial"/>
          <w:sz w:val="22"/>
          <w:szCs w:val="22"/>
        </w:rPr>
        <w:t>”</w:t>
      </w:r>
      <w:r w:rsidRPr="00C11123">
        <w:rPr>
          <w:rFonts w:cs="Arial"/>
          <w:sz w:val="22"/>
          <w:szCs w:val="22"/>
        </w:rPr>
        <w:t xml:space="preserve"> making accurate diagnosis and effective management a critical concern with significant implications for the Applicant’s Patient Panel and for public health in Massachusetts.</w:t>
      </w:r>
      <w:r>
        <w:rPr>
          <w:rStyle w:val="FootnoteReference"/>
          <w:rFonts w:cs="Arial"/>
          <w:sz w:val="22"/>
          <w:szCs w:val="22"/>
        </w:rPr>
        <w:footnoteReference w:id="75"/>
      </w:r>
      <w:r w:rsidRPr="00C11123">
        <w:rPr>
          <w:rFonts w:cs="Arial"/>
          <w:b/>
          <w:bCs/>
          <w:sz w:val="22"/>
          <w:szCs w:val="22"/>
        </w:rPr>
        <w:t xml:space="preserve"> </w:t>
      </w:r>
      <w:r w:rsidRPr="00C11123">
        <w:rPr>
          <w:rFonts w:cs="Arial"/>
          <w:sz w:val="22"/>
          <w:szCs w:val="22"/>
        </w:rPr>
        <w:t xml:space="preserve">The disease affects approximately six (6) out of every ten (10) men over age 65, and about one (1) in eight (8) men overall will be diagnosed with </w:t>
      </w:r>
      <w:r w:rsidR="007845C8" w:rsidRPr="00C11123">
        <w:rPr>
          <w:rFonts w:cs="Arial"/>
          <w:sz w:val="22"/>
          <w:szCs w:val="22"/>
        </w:rPr>
        <w:t>prostate cancer</w:t>
      </w:r>
      <w:r w:rsidRPr="00C11123">
        <w:rPr>
          <w:rFonts w:cs="Arial"/>
          <w:sz w:val="22"/>
          <w:szCs w:val="22"/>
        </w:rPr>
        <w:t>.</w:t>
      </w:r>
      <w:r>
        <w:rPr>
          <w:rStyle w:val="FootnoteReference"/>
          <w:rFonts w:cs="Arial"/>
          <w:sz w:val="22"/>
          <w:szCs w:val="22"/>
        </w:rPr>
        <w:footnoteReference w:id="76"/>
      </w:r>
      <w:r w:rsidRPr="00C11123">
        <w:rPr>
          <w:rFonts w:cs="Arial"/>
          <w:sz w:val="22"/>
          <w:szCs w:val="22"/>
        </w:rPr>
        <w:t xml:space="preserve"> There were an</w:t>
      </w:r>
      <w:r w:rsidRPr="00C11123">
        <w:rPr>
          <w:rFonts w:cs="Arial"/>
          <w:b/>
          <w:bCs/>
          <w:sz w:val="22"/>
          <w:szCs w:val="22"/>
        </w:rPr>
        <w:t xml:space="preserve"> </w:t>
      </w:r>
      <w:r w:rsidRPr="00C11123">
        <w:rPr>
          <w:rFonts w:cs="Arial"/>
          <w:sz w:val="22"/>
          <w:szCs w:val="22"/>
        </w:rPr>
        <w:t>estimated 288,300 new cases and 34,700 deaths in the U.S. in 2023.</w:t>
      </w:r>
      <w:r>
        <w:rPr>
          <w:rStyle w:val="FootnoteReference"/>
          <w:rFonts w:cs="Arial"/>
          <w:sz w:val="22"/>
          <w:szCs w:val="22"/>
        </w:rPr>
        <w:footnoteReference w:id="77"/>
      </w:r>
      <w:r w:rsidRPr="00C11123">
        <w:rPr>
          <w:rFonts w:cs="Arial"/>
          <w:sz w:val="22"/>
          <w:szCs w:val="22"/>
        </w:rPr>
        <w:t xml:space="preserve"> The disease is on the rise, with its incidence rate increasing by 3% per year since 2014.</w:t>
      </w:r>
      <w:r>
        <w:rPr>
          <w:rStyle w:val="FootnoteReference"/>
          <w:rFonts w:cs="Arial"/>
          <w:sz w:val="22"/>
          <w:szCs w:val="22"/>
        </w:rPr>
        <w:footnoteReference w:id="78"/>
      </w:r>
      <w:r w:rsidRPr="00C11123">
        <w:rPr>
          <w:rFonts w:cs="Arial"/>
          <w:sz w:val="22"/>
          <w:szCs w:val="22"/>
        </w:rPr>
        <w:t xml:space="preserve">  In 202</w:t>
      </w:r>
      <w:r w:rsidR="00362E18" w:rsidRPr="00C11123">
        <w:rPr>
          <w:rFonts w:cs="Arial"/>
          <w:sz w:val="22"/>
          <w:szCs w:val="22"/>
        </w:rPr>
        <w:t>6</w:t>
      </w:r>
      <w:r w:rsidRPr="00C11123">
        <w:rPr>
          <w:rFonts w:cs="Arial"/>
          <w:sz w:val="22"/>
          <w:szCs w:val="22"/>
        </w:rPr>
        <w:t xml:space="preserve">, </w:t>
      </w:r>
      <w:r w:rsidR="00362E18" w:rsidRPr="00C11123">
        <w:rPr>
          <w:rFonts w:cs="Arial"/>
          <w:sz w:val="22"/>
          <w:szCs w:val="22"/>
        </w:rPr>
        <w:t>the American Cancer Society estimates that there will be</w:t>
      </w:r>
      <w:r w:rsidRPr="00C11123">
        <w:rPr>
          <w:rFonts w:cs="Arial"/>
          <w:sz w:val="22"/>
          <w:szCs w:val="22"/>
        </w:rPr>
        <w:t xml:space="preserve"> </w:t>
      </w:r>
      <w:r w:rsidR="00E04019" w:rsidRPr="00C11123">
        <w:rPr>
          <w:rFonts w:cs="Arial"/>
          <w:sz w:val="22"/>
          <w:szCs w:val="22"/>
        </w:rPr>
        <w:t>333,830 </w:t>
      </w:r>
      <w:r w:rsidRPr="00C11123">
        <w:rPr>
          <w:rFonts w:cs="Arial"/>
          <w:sz w:val="22"/>
          <w:szCs w:val="22"/>
        </w:rPr>
        <w:t xml:space="preserve">new cases of </w:t>
      </w:r>
      <w:r w:rsidR="007845C8" w:rsidRPr="00C11123">
        <w:rPr>
          <w:rFonts w:cs="Arial"/>
          <w:sz w:val="22"/>
          <w:szCs w:val="22"/>
        </w:rPr>
        <w:t xml:space="preserve">prostate cancer </w:t>
      </w:r>
      <w:r w:rsidR="00031D44" w:rsidRPr="00C11123">
        <w:rPr>
          <w:rFonts w:cs="Arial"/>
          <w:sz w:val="22"/>
          <w:szCs w:val="22"/>
        </w:rPr>
        <w:t>(7,310 in Massachusetts alone)</w:t>
      </w:r>
      <w:r w:rsidRPr="00C11123">
        <w:rPr>
          <w:rFonts w:cs="Arial"/>
          <w:sz w:val="22"/>
          <w:szCs w:val="22"/>
        </w:rPr>
        <w:t xml:space="preserve"> and about </w:t>
      </w:r>
      <w:r w:rsidR="00E04019" w:rsidRPr="00C11123">
        <w:rPr>
          <w:rFonts w:cs="Arial"/>
          <w:sz w:val="22"/>
          <w:szCs w:val="22"/>
        </w:rPr>
        <w:t xml:space="preserve">36,320 </w:t>
      </w:r>
      <w:r w:rsidRPr="00C11123">
        <w:rPr>
          <w:rFonts w:cs="Arial"/>
          <w:sz w:val="22"/>
          <w:szCs w:val="22"/>
        </w:rPr>
        <w:t xml:space="preserve">deaths from </w:t>
      </w:r>
      <w:r w:rsidR="007845C8" w:rsidRPr="00C11123">
        <w:rPr>
          <w:rFonts w:cs="Arial"/>
          <w:sz w:val="22"/>
          <w:szCs w:val="22"/>
        </w:rPr>
        <w:t>prostate cancer</w:t>
      </w:r>
      <w:r w:rsidRPr="00C11123">
        <w:rPr>
          <w:rFonts w:cs="Arial"/>
          <w:sz w:val="22"/>
          <w:szCs w:val="22"/>
        </w:rPr>
        <w:t>.</w:t>
      </w:r>
      <w:r>
        <w:rPr>
          <w:rStyle w:val="FootnoteReference"/>
          <w:rFonts w:cs="Arial"/>
          <w:sz w:val="22"/>
          <w:szCs w:val="22"/>
        </w:rPr>
        <w:footnoteReference w:id="79"/>
      </w:r>
      <w:r w:rsidRPr="00C11123">
        <w:rPr>
          <w:rFonts w:cs="Arial"/>
          <w:sz w:val="22"/>
          <w:szCs w:val="22"/>
        </w:rPr>
        <w:t xml:space="preserve"> As set forth in </w:t>
      </w:r>
      <w:r w:rsidR="00C243E0" w:rsidRPr="00C11123">
        <w:rPr>
          <w:rFonts w:cs="Arial"/>
          <w:sz w:val="22"/>
          <w:szCs w:val="22"/>
          <w:u w:val="single"/>
        </w:rPr>
        <w:t xml:space="preserve">Factor </w:t>
      </w:r>
      <w:r w:rsidR="00B4151F" w:rsidRPr="00C11123">
        <w:rPr>
          <w:rFonts w:cs="Arial"/>
          <w:sz w:val="22"/>
          <w:szCs w:val="22"/>
          <w:u w:val="single"/>
        </w:rPr>
        <w:t xml:space="preserve">F1 </w:t>
      </w:r>
      <w:proofErr w:type="spellStart"/>
      <w:r w:rsidR="00B4151F" w:rsidRPr="00C11123">
        <w:rPr>
          <w:rFonts w:cs="Arial"/>
          <w:sz w:val="22"/>
          <w:szCs w:val="22"/>
          <w:u w:val="single"/>
        </w:rPr>
        <w:t>a.ii</w:t>
      </w:r>
      <w:proofErr w:type="spellEnd"/>
      <w:r w:rsidR="00B4151F" w:rsidRPr="00C11123">
        <w:rPr>
          <w:rFonts w:cs="Arial"/>
          <w:sz w:val="22"/>
          <w:szCs w:val="22"/>
        </w:rPr>
        <w:t xml:space="preserve"> above, </w:t>
      </w:r>
      <w:r w:rsidR="00291A25" w:rsidRPr="00C11123">
        <w:rPr>
          <w:rFonts w:cs="Arial"/>
          <w:sz w:val="22"/>
          <w:szCs w:val="22"/>
        </w:rPr>
        <w:t xml:space="preserve">in </w:t>
      </w:r>
      <w:r w:rsidR="00B4151F" w:rsidRPr="00C11123">
        <w:rPr>
          <w:rFonts w:cs="Arial"/>
          <w:sz w:val="22"/>
          <w:szCs w:val="22"/>
        </w:rPr>
        <w:t>the Applicant’s Patient Panel</w:t>
      </w:r>
      <w:r w:rsidR="00291A25" w:rsidRPr="00C11123">
        <w:rPr>
          <w:rFonts w:cs="Arial"/>
          <w:sz w:val="22"/>
          <w:szCs w:val="22"/>
        </w:rPr>
        <w:t>,</w:t>
      </w:r>
      <w:r w:rsidR="00B4151F" w:rsidRPr="00C11123">
        <w:rPr>
          <w:rFonts w:cs="Arial"/>
          <w:sz w:val="22"/>
          <w:szCs w:val="22"/>
        </w:rPr>
        <w:t xml:space="preserve"> between 2023 and 2025 new prostate diagnoses </w:t>
      </w:r>
      <w:r w:rsidR="00291A25" w:rsidRPr="00C11123">
        <w:rPr>
          <w:rFonts w:cs="Arial"/>
          <w:sz w:val="22"/>
          <w:szCs w:val="22"/>
        </w:rPr>
        <w:t>increased substantially</w:t>
      </w:r>
      <w:r w:rsidR="00B4151F" w:rsidRPr="00C11123">
        <w:rPr>
          <w:rFonts w:cs="Arial"/>
          <w:sz w:val="22"/>
          <w:szCs w:val="22"/>
        </w:rPr>
        <w:t>, as well.</w:t>
      </w:r>
      <w:r>
        <w:rPr>
          <w:rStyle w:val="FootnoteReference"/>
          <w:rFonts w:cs="Arial"/>
          <w:sz w:val="22"/>
          <w:szCs w:val="22"/>
        </w:rPr>
        <w:footnoteReference w:id="80"/>
      </w:r>
      <w:r w:rsidR="00B4151F" w:rsidRPr="00C11123">
        <w:rPr>
          <w:rFonts w:cs="Arial"/>
          <w:sz w:val="22"/>
          <w:szCs w:val="22"/>
        </w:rPr>
        <w:t xml:space="preserve"> Researchers have found that “[t]he incidence of aggressive (versus indolent) and metastatic disease at diagnosis is also rising,”</w:t>
      </w:r>
      <w:r>
        <w:rPr>
          <w:rStyle w:val="FootnoteReference"/>
          <w:rFonts w:cs="Arial"/>
          <w:sz w:val="22"/>
          <w:szCs w:val="22"/>
        </w:rPr>
        <w:footnoteReference w:id="81"/>
      </w:r>
      <w:r w:rsidR="00B4151F" w:rsidRPr="00C11123">
        <w:rPr>
          <w:rFonts w:cs="Arial"/>
          <w:sz w:val="22"/>
          <w:szCs w:val="22"/>
        </w:rPr>
        <w:t xml:space="preserve"> which is </w:t>
      </w:r>
      <w:r w:rsidR="00CA4966" w:rsidRPr="00C11123">
        <w:rPr>
          <w:rFonts w:cs="Arial"/>
          <w:sz w:val="22"/>
          <w:szCs w:val="22"/>
        </w:rPr>
        <w:t xml:space="preserve">likewise </w:t>
      </w:r>
      <w:r w:rsidR="00B4151F" w:rsidRPr="00C11123">
        <w:rPr>
          <w:rFonts w:cs="Arial"/>
          <w:sz w:val="22"/>
          <w:szCs w:val="22"/>
        </w:rPr>
        <w:t>corroborated by the Applicant’s own Patient Panel data</w:t>
      </w:r>
      <w:r w:rsidR="00CA4966" w:rsidRPr="00C11123">
        <w:rPr>
          <w:rFonts w:cs="Arial"/>
          <w:sz w:val="22"/>
          <w:szCs w:val="22"/>
        </w:rPr>
        <w:t>. The Patient Panel comprises a prostate cancer population that is shifting toward higher</w:t>
      </w:r>
      <w:r w:rsidR="00CA4966" w:rsidRPr="00C11123">
        <w:rPr>
          <w:rFonts w:cs="Arial"/>
          <w:sz w:val="22"/>
          <w:szCs w:val="22"/>
        </w:rPr>
        <w:noBreakHyphen/>
        <w:t xml:space="preserve">acuity disease, with marked increases in </w:t>
      </w:r>
      <w:r w:rsidRPr="00C11123">
        <w:rPr>
          <w:rFonts w:cs="Arial"/>
          <w:sz w:val="22"/>
          <w:szCs w:val="22"/>
        </w:rPr>
        <w:t>patients having intermediate risk (Gleason 4+3) and highest risk prognosis (Gleason 9 and 10).</w:t>
      </w:r>
      <w:r>
        <w:rPr>
          <w:rStyle w:val="FootnoteReference"/>
          <w:rFonts w:cs="Arial"/>
          <w:sz w:val="22"/>
          <w:szCs w:val="22"/>
        </w:rPr>
        <w:footnoteReference w:id="82"/>
      </w:r>
      <w:r w:rsidRPr="00C11123">
        <w:rPr>
          <w:rFonts w:cs="Arial"/>
          <w:sz w:val="22"/>
          <w:szCs w:val="22"/>
        </w:rPr>
        <w:t xml:space="preserve"> </w:t>
      </w:r>
    </w:p>
    <w:p w14:paraId="7CFE9479" w14:textId="77777777" w:rsidR="00801D37" w:rsidRPr="00C11123" w:rsidRDefault="00801D37" w:rsidP="00D70747">
      <w:pPr>
        <w:spacing w:after="0" w:line="240" w:lineRule="auto"/>
        <w:jc w:val="both"/>
        <w:rPr>
          <w:rFonts w:cs="Arial"/>
          <w:sz w:val="22"/>
          <w:szCs w:val="22"/>
        </w:rPr>
      </w:pPr>
    </w:p>
    <w:p w14:paraId="26FC2FEF" w14:textId="2BEAD651" w:rsidR="00801D37" w:rsidRPr="00C11123" w:rsidRDefault="00000000" w:rsidP="00D70747">
      <w:pPr>
        <w:spacing w:after="0" w:line="240" w:lineRule="auto"/>
        <w:jc w:val="both"/>
        <w:rPr>
          <w:rFonts w:cs="Arial"/>
          <w:sz w:val="22"/>
          <w:szCs w:val="22"/>
        </w:rPr>
      </w:pPr>
      <w:r w:rsidRPr="00C11123">
        <w:rPr>
          <w:rFonts w:cs="Arial"/>
          <w:sz w:val="22"/>
          <w:szCs w:val="22"/>
        </w:rPr>
        <w:t xml:space="preserve">Accordingly, the fight against </w:t>
      </w:r>
      <w:r w:rsidR="007845C8" w:rsidRPr="00C11123">
        <w:rPr>
          <w:rFonts w:cs="Arial"/>
          <w:sz w:val="22"/>
          <w:szCs w:val="22"/>
        </w:rPr>
        <w:t>prostate cancer</w:t>
      </w:r>
      <w:r w:rsidRPr="00C11123">
        <w:rPr>
          <w:rFonts w:cs="Arial"/>
          <w:sz w:val="22"/>
          <w:szCs w:val="22"/>
        </w:rPr>
        <w:t xml:space="preserve"> demands advanced diagnostic tools that enable precise detection, accurate staging, and informed treatment strategies to improve survival rates and quality of life. PSMA PET/CT imaging represents not merely an enhancement to traditional urological care, but a substantial advancement that is essential for men at risk of developing the disease. Because the majority of the Applicant’s Patient Panel constitutes patients in this category – ages 65 and over – making on-site access to this advanced imaging technology is critical for the Applicant’s physicians to deliver the most effective and timely care in addressing this widespread and devastating disease.</w:t>
      </w:r>
    </w:p>
    <w:p w14:paraId="5544406B" w14:textId="77777777" w:rsidR="005A466A" w:rsidRPr="00C11123" w:rsidRDefault="005A466A" w:rsidP="00D70747">
      <w:pPr>
        <w:spacing w:after="0" w:line="240" w:lineRule="auto"/>
        <w:jc w:val="both"/>
        <w:rPr>
          <w:rFonts w:cs="Arial"/>
          <w:b/>
          <w:bCs/>
          <w:sz w:val="22"/>
          <w:szCs w:val="22"/>
        </w:rPr>
      </w:pPr>
    </w:p>
    <w:p w14:paraId="1C393266" w14:textId="4F13EBA3" w:rsidR="000B076F" w:rsidRPr="00FF237B" w:rsidRDefault="00000000" w:rsidP="00FF237B">
      <w:pPr>
        <w:pStyle w:val="Heading3"/>
        <w:numPr>
          <w:ilvl w:val="0"/>
          <w:numId w:val="37"/>
        </w:numPr>
        <w:rPr>
          <w:u w:val="single"/>
        </w:rPr>
      </w:pPr>
      <w:r w:rsidRPr="00FF237B">
        <w:rPr>
          <w:u w:val="single"/>
        </w:rPr>
        <w:t>The Role</w:t>
      </w:r>
      <w:r w:rsidR="00610145" w:rsidRPr="00FF237B">
        <w:rPr>
          <w:u w:val="single"/>
        </w:rPr>
        <w:t xml:space="preserve"> of</w:t>
      </w:r>
      <w:r w:rsidRPr="00FF237B">
        <w:rPr>
          <w:u w:val="single"/>
        </w:rPr>
        <w:t xml:space="preserve"> PSMA In Prostate Cancer Imaging</w:t>
      </w:r>
    </w:p>
    <w:p w14:paraId="594F293A" w14:textId="77777777" w:rsidR="000B076F" w:rsidRPr="00C11123" w:rsidRDefault="000B076F" w:rsidP="00CC6024">
      <w:pPr>
        <w:pStyle w:val="ListParagraph"/>
        <w:spacing w:after="0" w:line="240" w:lineRule="auto"/>
        <w:jc w:val="both"/>
        <w:rPr>
          <w:rFonts w:cs="Arial"/>
          <w:sz w:val="22"/>
          <w:szCs w:val="22"/>
        </w:rPr>
      </w:pPr>
    </w:p>
    <w:p w14:paraId="4DCB19B8" w14:textId="3C3AE5E0" w:rsidR="000B076F" w:rsidRPr="00C11123" w:rsidRDefault="00000000" w:rsidP="00D70747">
      <w:pPr>
        <w:spacing w:after="0" w:line="240" w:lineRule="auto"/>
        <w:jc w:val="both"/>
        <w:rPr>
          <w:rFonts w:cs="Arial"/>
          <w:sz w:val="22"/>
          <w:szCs w:val="22"/>
        </w:rPr>
      </w:pPr>
      <w:r w:rsidRPr="00C11123">
        <w:rPr>
          <w:rFonts w:cs="Arial"/>
          <w:sz w:val="22"/>
          <w:szCs w:val="22"/>
        </w:rPr>
        <w:lastRenderedPageBreak/>
        <w:t xml:space="preserve">Conventional imaging modalities such as MRI, CT, and bone scintigraphy (bone scan) have long been used for </w:t>
      </w:r>
      <w:r w:rsidR="007845C8" w:rsidRPr="00C11123">
        <w:rPr>
          <w:rFonts w:cs="Arial"/>
          <w:sz w:val="22"/>
          <w:szCs w:val="22"/>
        </w:rPr>
        <w:t xml:space="preserve">prostate cancer </w:t>
      </w:r>
      <w:r w:rsidRPr="00C11123">
        <w:rPr>
          <w:rFonts w:cs="Arial"/>
          <w:sz w:val="22"/>
          <w:szCs w:val="22"/>
        </w:rPr>
        <w:t>diagnosis and staging.</w:t>
      </w:r>
      <w:r>
        <w:rPr>
          <w:rStyle w:val="FootnoteReference"/>
          <w:rFonts w:cs="Arial"/>
          <w:sz w:val="22"/>
          <w:szCs w:val="22"/>
        </w:rPr>
        <w:footnoteReference w:id="83"/>
      </w:r>
      <w:r w:rsidRPr="00C11123">
        <w:rPr>
          <w:rFonts w:cs="Arial"/>
          <w:sz w:val="22"/>
          <w:szCs w:val="22"/>
        </w:rPr>
        <w:t xml:space="preserve"> Because of the way that </w:t>
      </w:r>
      <w:r w:rsidR="007845C8" w:rsidRPr="00C11123">
        <w:rPr>
          <w:rFonts w:cs="Arial"/>
          <w:sz w:val="22"/>
          <w:szCs w:val="22"/>
        </w:rPr>
        <w:t xml:space="preserve">prostate cancer </w:t>
      </w:r>
      <w:r w:rsidRPr="00C11123">
        <w:rPr>
          <w:rFonts w:cs="Arial"/>
          <w:sz w:val="22"/>
          <w:szCs w:val="22"/>
        </w:rPr>
        <w:t>is expressed biologically, however, these methods have only limited capabilities and often fail to detect small tumors or recurrences.</w:t>
      </w:r>
      <w:r>
        <w:rPr>
          <w:rStyle w:val="FootnoteReference"/>
          <w:rFonts w:cs="Arial"/>
          <w:sz w:val="22"/>
          <w:szCs w:val="22"/>
        </w:rPr>
        <w:footnoteReference w:id="84"/>
      </w:r>
      <w:r w:rsidRPr="00C11123">
        <w:rPr>
          <w:rFonts w:cs="Arial"/>
          <w:sz w:val="22"/>
          <w:szCs w:val="22"/>
        </w:rPr>
        <w:t xml:space="preserve">  These limitations have created a need for more accurate </w:t>
      </w:r>
      <w:r w:rsidR="007845C8" w:rsidRPr="00C11123">
        <w:rPr>
          <w:rFonts w:cs="Arial"/>
          <w:sz w:val="22"/>
          <w:szCs w:val="22"/>
        </w:rPr>
        <w:t xml:space="preserve">prostate cancer </w:t>
      </w:r>
      <w:r w:rsidRPr="00C11123">
        <w:rPr>
          <w:rFonts w:cs="Arial"/>
          <w:sz w:val="22"/>
          <w:szCs w:val="22"/>
        </w:rPr>
        <w:t>detection have led to the pursuit of advanced molecular imaging techniques capable of delivering greater sensitivity and specificity.</w:t>
      </w:r>
      <w:r>
        <w:rPr>
          <w:rStyle w:val="FootnoteReference"/>
          <w:rFonts w:cs="Arial"/>
          <w:sz w:val="22"/>
          <w:szCs w:val="22"/>
        </w:rPr>
        <w:footnoteReference w:id="85"/>
      </w:r>
      <w:r w:rsidRPr="00C11123">
        <w:rPr>
          <w:rFonts w:cs="Arial"/>
          <w:sz w:val="22"/>
          <w:szCs w:val="22"/>
        </w:rPr>
        <w:t xml:space="preserve">  </w:t>
      </w:r>
    </w:p>
    <w:p w14:paraId="51456FCD" w14:textId="77777777" w:rsidR="00D22CF2" w:rsidRPr="00C11123" w:rsidRDefault="00D22CF2" w:rsidP="00D70747">
      <w:pPr>
        <w:spacing w:after="0" w:line="240" w:lineRule="auto"/>
        <w:jc w:val="both"/>
        <w:rPr>
          <w:rFonts w:cs="Arial"/>
          <w:sz w:val="22"/>
          <w:szCs w:val="22"/>
        </w:rPr>
      </w:pPr>
    </w:p>
    <w:p w14:paraId="03A6838F" w14:textId="0BD7F407" w:rsidR="000B076F" w:rsidRPr="00C11123" w:rsidRDefault="00000000">
      <w:pPr>
        <w:spacing w:after="0" w:line="240" w:lineRule="auto"/>
        <w:jc w:val="both"/>
        <w:rPr>
          <w:rFonts w:cs="Arial"/>
          <w:sz w:val="22"/>
          <w:szCs w:val="22"/>
        </w:rPr>
      </w:pPr>
      <w:r w:rsidRPr="00C11123">
        <w:rPr>
          <w:rFonts w:cs="Arial"/>
          <w:sz w:val="22"/>
          <w:szCs w:val="22"/>
        </w:rPr>
        <w:t xml:space="preserve">In recent years, prostate-specific membrane antigen (PSMA), a type of protein, has answered this need and gained prominence as a key biomarker (indicator) for </w:t>
      </w:r>
      <w:r w:rsidR="007845C8" w:rsidRPr="00C11123">
        <w:rPr>
          <w:rFonts w:cs="Arial"/>
          <w:sz w:val="22"/>
          <w:szCs w:val="22"/>
        </w:rPr>
        <w:t>prostate cancer</w:t>
      </w:r>
      <w:r w:rsidRPr="00C11123">
        <w:rPr>
          <w:rFonts w:cs="Arial"/>
          <w:sz w:val="22"/>
          <w:szCs w:val="22"/>
        </w:rPr>
        <w:t>.</w:t>
      </w:r>
      <w:r>
        <w:rPr>
          <w:rStyle w:val="FootnoteReference"/>
          <w:rFonts w:cs="Arial"/>
          <w:sz w:val="22"/>
          <w:szCs w:val="22"/>
        </w:rPr>
        <w:footnoteReference w:id="86"/>
      </w:r>
      <w:r w:rsidRPr="00C11123">
        <w:rPr>
          <w:rFonts w:cs="Arial"/>
          <w:b/>
          <w:bCs/>
          <w:sz w:val="22"/>
          <w:szCs w:val="22"/>
        </w:rPr>
        <w:t xml:space="preserve">  </w:t>
      </w:r>
      <w:r w:rsidRPr="00C11123">
        <w:rPr>
          <w:rFonts w:cs="Arial"/>
          <w:sz w:val="22"/>
          <w:szCs w:val="22"/>
        </w:rPr>
        <w:t xml:space="preserve">As a result, PSMA PET/CT has emerged as a revolutionizing technology and imaging technique in the detection and management of </w:t>
      </w:r>
      <w:r w:rsidR="007845C8" w:rsidRPr="00C11123">
        <w:rPr>
          <w:rFonts w:cs="Arial"/>
          <w:sz w:val="22"/>
          <w:szCs w:val="22"/>
        </w:rPr>
        <w:t>prostate cancer</w:t>
      </w:r>
      <w:r w:rsidRPr="00C11123">
        <w:rPr>
          <w:rFonts w:cs="Arial"/>
          <w:sz w:val="22"/>
          <w:szCs w:val="22"/>
        </w:rPr>
        <w:t>.</w:t>
      </w:r>
      <w:r>
        <w:rPr>
          <w:rStyle w:val="FootnoteReference"/>
          <w:rFonts w:cs="Arial"/>
          <w:sz w:val="22"/>
          <w:szCs w:val="22"/>
        </w:rPr>
        <w:footnoteReference w:id="87"/>
      </w:r>
      <w:r w:rsidRPr="00C11123">
        <w:rPr>
          <w:rFonts w:cs="Arial"/>
          <w:b/>
          <w:bCs/>
          <w:sz w:val="22"/>
          <w:szCs w:val="22"/>
        </w:rPr>
        <w:t xml:space="preserve"> </w:t>
      </w:r>
      <w:r w:rsidRPr="00C11123">
        <w:rPr>
          <w:rFonts w:cs="Arial"/>
          <w:sz w:val="22"/>
          <w:szCs w:val="22"/>
        </w:rPr>
        <w:t>PET/CT</w:t>
      </w:r>
      <w:r w:rsidR="00103481" w:rsidRPr="00C11123">
        <w:rPr>
          <w:rFonts w:cs="Arial"/>
          <w:sz w:val="22"/>
          <w:szCs w:val="22"/>
        </w:rPr>
        <w:t>, as proposed by the Applicant,</w:t>
      </w:r>
      <w:r w:rsidRPr="00C11123">
        <w:rPr>
          <w:rFonts w:cs="Arial"/>
          <w:sz w:val="22"/>
          <w:szCs w:val="22"/>
        </w:rPr>
        <w:t xml:space="preserve"> is an advanced imaging modality combining the </w:t>
      </w:r>
      <w:r w:rsidR="002D7549" w:rsidRPr="00C11123">
        <w:rPr>
          <w:rFonts w:cs="Arial"/>
          <w:sz w:val="22"/>
          <w:szCs w:val="22"/>
        </w:rPr>
        <w:t xml:space="preserve">cell </w:t>
      </w:r>
      <w:r w:rsidRPr="00C11123">
        <w:rPr>
          <w:rFonts w:cs="Arial"/>
          <w:sz w:val="22"/>
          <w:szCs w:val="22"/>
        </w:rPr>
        <w:t>function</w:t>
      </w:r>
      <w:r w:rsidR="002D7549" w:rsidRPr="00C11123">
        <w:rPr>
          <w:rFonts w:cs="Arial"/>
          <w:sz w:val="22"/>
          <w:szCs w:val="22"/>
        </w:rPr>
        <w:t xml:space="preserve"> and metabolic</w:t>
      </w:r>
      <w:r w:rsidRPr="00C11123">
        <w:rPr>
          <w:rFonts w:cs="Arial"/>
          <w:sz w:val="22"/>
          <w:szCs w:val="22"/>
        </w:rPr>
        <w:t xml:space="preserve"> insights of positron emission tomography (PET) with the anatomical detail provided by computed tomography (CT).</w:t>
      </w:r>
      <w:r>
        <w:rPr>
          <w:rStyle w:val="FootnoteReference"/>
          <w:rFonts w:cs="Arial"/>
          <w:sz w:val="22"/>
          <w:szCs w:val="22"/>
        </w:rPr>
        <w:footnoteReference w:id="88"/>
      </w:r>
      <w:r w:rsidRPr="00C11123">
        <w:rPr>
          <w:rFonts w:cs="Arial"/>
          <w:sz w:val="22"/>
          <w:szCs w:val="22"/>
        </w:rPr>
        <w:t xml:space="preserve"> Applied to </w:t>
      </w:r>
      <w:r w:rsidR="007845C8" w:rsidRPr="00C11123">
        <w:rPr>
          <w:rFonts w:cs="Arial"/>
          <w:sz w:val="22"/>
          <w:szCs w:val="22"/>
        </w:rPr>
        <w:t>prostate cancer</w:t>
      </w:r>
      <w:r w:rsidRPr="00C11123">
        <w:rPr>
          <w:rFonts w:cs="Arial"/>
          <w:sz w:val="22"/>
          <w:szCs w:val="22"/>
        </w:rPr>
        <w:t xml:space="preserve">, the technology works due to the interaction between PSMA proteins and certain radioactive tracers that allow tumors to be imaged. </w:t>
      </w:r>
      <w:r w:rsidR="00653E00" w:rsidRPr="00C11123">
        <w:rPr>
          <w:rFonts w:cs="Arial"/>
          <w:sz w:val="22"/>
          <w:szCs w:val="22"/>
        </w:rPr>
        <w:t>Over 90% of t</w:t>
      </w:r>
      <w:r w:rsidRPr="00C11123">
        <w:rPr>
          <w:rFonts w:cs="Arial"/>
          <w:sz w:val="22"/>
          <w:szCs w:val="22"/>
        </w:rPr>
        <w:t>umors associated with</w:t>
      </w:r>
      <w:r w:rsidR="007845C8" w:rsidRPr="00C11123">
        <w:rPr>
          <w:rFonts w:cs="Arial"/>
          <w:sz w:val="22"/>
          <w:szCs w:val="22"/>
        </w:rPr>
        <w:t xml:space="preserve"> prostate cancer </w:t>
      </w:r>
      <w:r w:rsidRPr="00C11123">
        <w:rPr>
          <w:rFonts w:cs="Arial"/>
          <w:sz w:val="22"/>
          <w:szCs w:val="22"/>
        </w:rPr>
        <w:t>highly over-express PSMA proteins such that PSMA radiotracers readily bind to them.</w:t>
      </w:r>
      <w:r>
        <w:rPr>
          <w:rStyle w:val="FootnoteReference"/>
          <w:rFonts w:cs="Arial"/>
          <w:sz w:val="22"/>
          <w:szCs w:val="22"/>
        </w:rPr>
        <w:footnoteReference w:id="89"/>
      </w:r>
      <w:r w:rsidRPr="00C11123">
        <w:rPr>
          <w:rFonts w:cs="Arial"/>
          <w:b/>
          <w:bCs/>
          <w:sz w:val="22"/>
          <w:szCs w:val="22"/>
        </w:rPr>
        <w:t xml:space="preserve">  </w:t>
      </w:r>
      <w:r w:rsidRPr="00C11123">
        <w:rPr>
          <w:rFonts w:cs="Arial"/>
          <w:sz w:val="22"/>
          <w:szCs w:val="22"/>
        </w:rPr>
        <w:t xml:space="preserve">Examples of such tracers include Gallium-68 (Ga68 PSMA-11) and (18F)-labeled agents like </w:t>
      </w:r>
      <w:proofErr w:type="spellStart"/>
      <w:r w:rsidRPr="00C11123">
        <w:rPr>
          <w:rFonts w:cs="Arial"/>
          <w:sz w:val="22"/>
          <w:szCs w:val="22"/>
        </w:rPr>
        <w:t>Pilufolastat</w:t>
      </w:r>
      <w:proofErr w:type="spellEnd"/>
      <w:r w:rsidRPr="00C11123">
        <w:rPr>
          <w:rFonts w:cs="Arial"/>
          <w:sz w:val="22"/>
          <w:szCs w:val="22"/>
        </w:rPr>
        <w:t xml:space="preserve"> (also known as PYLARIFY), which the Applicant proposes to use.</w:t>
      </w:r>
      <w:r>
        <w:rPr>
          <w:rStyle w:val="FootnoteReference"/>
          <w:rFonts w:cs="Arial"/>
          <w:sz w:val="22"/>
          <w:szCs w:val="22"/>
        </w:rPr>
        <w:footnoteReference w:id="90"/>
      </w:r>
      <w:r w:rsidRPr="00C11123">
        <w:rPr>
          <w:rFonts w:cs="Arial"/>
          <w:sz w:val="22"/>
          <w:szCs w:val="22"/>
        </w:rPr>
        <w:t xml:space="preserve"> The tracer is introduced intravenously to the patient, circulates, and specifically binds to PSMA-expressing cells, emitting positrons that are detected by the PET scanner to produce images of metabolic activity.</w:t>
      </w:r>
      <w:r>
        <w:rPr>
          <w:rStyle w:val="FootnoteReference"/>
          <w:rFonts w:cs="Arial"/>
          <w:sz w:val="22"/>
          <w:szCs w:val="22"/>
        </w:rPr>
        <w:footnoteReference w:id="91"/>
      </w:r>
      <w:r w:rsidRPr="00C11123">
        <w:rPr>
          <w:rFonts w:cs="Arial"/>
          <w:sz w:val="22"/>
          <w:szCs w:val="22"/>
        </w:rPr>
        <w:t xml:space="preserve"> The integrated CT component overlays structural information, allowing clinicians to precisely identify areas of tracer uptake and accumulation, which appear as "hot spots" indicative of cancerous cells or lesions.</w:t>
      </w:r>
      <w:r>
        <w:rPr>
          <w:rStyle w:val="FootnoteReference"/>
          <w:rFonts w:cs="Arial"/>
          <w:sz w:val="22"/>
          <w:szCs w:val="22"/>
        </w:rPr>
        <w:footnoteReference w:id="92"/>
      </w:r>
      <w:r w:rsidRPr="00C11123">
        <w:rPr>
          <w:rFonts w:cs="Arial"/>
          <w:sz w:val="22"/>
          <w:szCs w:val="22"/>
        </w:rPr>
        <w:t xml:space="preserve"> Together, the PET/CT unit can capture images of</w:t>
      </w:r>
      <w:r w:rsidR="007845C8" w:rsidRPr="00C11123">
        <w:rPr>
          <w:rFonts w:cs="Arial"/>
          <w:sz w:val="22"/>
          <w:szCs w:val="22"/>
        </w:rPr>
        <w:t xml:space="preserve"> prostate cancer </w:t>
      </w:r>
      <w:r w:rsidRPr="00C11123">
        <w:rPr>
          <w:rFonts w:cs="Arial"/>
          <w:sz w:val="22"/>
          <w:szCs w:val="22"/>
        </w:rPr>
        <w:t>tumors with the radioactive tracers, including very tiny numbers of tumors that have spread to other parts of the body – a circumstance that is often missed with conventional prostate imaging methods.</w:t>
      </w:r>
      <w:r>
        <w:rPr>
          <w:rStyle w:val="FootnoteReference"/>
          <w:rFonts w:cs="Arial"/>
          <w:sz w:val="22"/>
          <w:szCs w:val="22"/>
        </w:rPr>
        <w:footnoteReference w:id="93"/>
      </w:r>
      <w:r w:rsidR="007845C8" w:rsidRPr="00C11123">
        <w:rPr>
          <w:rFonts w:cs="Arial"/>
          <w:sz w:val="22"/>
          <w:szCs w:val="22"/>
        </w:rPr>
        <w:t xml:space="preserve"> </w:t>
      </w:r>
    </w:p>
    <w:p w14:paraId="242FA117" w14:textId="77777777" w:rsidR="005A466A" w:rsidRPr="00C11123" w:rsidRDefault="005A466A" w:rsidP="00D70747">
      <w:pPr>
        <w:spacing w:after="0" w:line="240" w:lineRule="auto"/>
        <w:jc w:val="both"/>
        <w:rPr>
          <w:rFonts w:cs="Arial"/>
          <w:sz w:val="22"/>
          <w:szCs w:val="22"/>
        </w:rPr>
      </w:pPr>
    </w:p>
    <w:p w14:paraId="2611C504" w14:textId="77777777" w:rsidR="000B076F" w:rsidRPr="00094699" w:rsidRDefault="00000000" w:rsidP="00094699">
      <w:pPr>
        <w:pStyle w:val="Heading3"/>
        <w:numPr>
          <w:ilvl w:val="0"/>
          <w:numId w:val="37"/>
        </w:numPr>
        <w:rPr>
          <w:u w:val="single"/>
        </w:rPr>
      </w:pPr>
      <w:r w:rsidRPr="00094699">
        <w:rPr>
          <w:u w:val="single"/>
        </w:rPr>
        <w:t xml:space="preserve">PET/CT Has Emerged as a Superior Standard </w:t>
      </w:r>
      <w:proofErr w:type="gramStart"/>
      <w:r w:rsidRPr="00094699">
        <w:rPr>
          <w:u w:val="single"/>
        </w:rPr>
        <w:t>For</w:t>
      </w:r>
      <w:proofErr w:type="gramEnd"/>
      <w:r w:rsidRPr="00094699">
        <w:rPr>
          <w:u w:val="single"/>
        </w:rPr>
        <w:t xml:space="preserve"> Prostate Cancer Imaging</w:t>
      </w:r>
    </w:p>
    <w:p w14:paraId="67EF870A" w14:textId="77777777" w:rsidR="00D22CF2" w:rsidRPr="00C11123" w:rsidRDefault="00D22CF2" w:rsidP="00D22CF2">
      <w:pPr>
        <w:pStyle w:val="ListParagraph"/>
        <w:spacing w:after="0" w:line="240" w:lineRule="auto"/>
        <w:jc w:val="both"/>
        <w:rPr>
          <w:rFonts w:cs="Arial"/>
          <w:b/>
          <w:bCs/>
          <w:sz w:val="22"/>
          <w:szCs w:val="22"/>
        </w:rPr>
      </w:pPr>
    </w:p>
    <w:p w14:paraId="12BFE98C" w14:textId="2F639E00" w:rsidR="000B076F" w:rsidRPr="00C11123" w:rsidRDefault="00000000" w:rsidP="00D70747">
      <w:pPr>
        <w:spacing w:after="0" w:line="240" w:lineRule="auto"/>
        <w:jc w:val="both"/>
        <w:rPr>
          <w:rFonts w:cs="Arial"/>
          <w:sz w:val="22"/>
          <w:szCs w:val="22"/>
        </w:rPr>
      </w:pPr>
      <w:r w:rsidRPr="00C11123">
        <w:rPr>
          <w:rFonts w:cs="Arial"/>
          <w:sz w:val="22"/>
          <w:szCs w:val="22"/>
        </w:rPr>
        <w:lastRenderedPageBreak/>
        <w:t>The Federal Food and Drug Administration (FDA) has recognized the efficacy and importance of PSMA PET/CT imaging, approving the use of a number of radioactive tracers, including PYLARIFY, since 2020.</w:t>
      </w:r>
      <w:r>
        <w:rPr>
          <w:rStyle w:val="FootnoteReference"/>
          <w:rFonts w:cs="Arial"/>
          <w:sz w:val="22"/>
          <w:szCs w:val="22"/>
        </w:rPr>
        <w:footnoteReference w:id="94"/>
      </w:r>
      <w:r w:rsidRPr="00C11123">
        <w:rPr>
          <w:rFonts w:cs="Arial"/>
          <w:sz w:val="22"/>
          <w:szCs w:val="22"/>
        </w:rPr>
        <w:t xml:space="preserve"> PSMA PET/CT </w:t>
      </w:r>
      <w:r w:rsidRPr="00C11123">
        <w:rPr>
          <w:rFonts w:cs="Arial"/>
          <w:sz w:val="22"/>
          <w:szCs w:val="22"/>
          <w:lang w:val="x-none"/>
        </w:rPr>
        <w:t>continues to be widely discussed and reviewed by oncology, radiology, and molecular imaging experts.</w:t>
      </w:r>
      <w:r>
        <w:rPr>
          <w:rStyle w:val="FootnoteReference"/>
          <w:rFonts w:cs="Arial"/>
          <w:sz w:val="22"/>
          <w:szCs w:val="22"/>
          <w:lang w:val="x-none"/>
        </w:rPr>
        <w:footnoteReference w:id="95"/>
      </w:r>
      <w:r w:rsidRPr="00C11123">
        <w:rPr>
          <w:rFonts w:cs="Arial"/>
          <w:b/>
          <w:bCs/>
          <w:sz w:val="22"/>
          <w:szCs w:val="22"/>
          <w:lang w:val="x-none"/>
        </w:rPr>
        <w:t xml:space="preserve">  </w:t>
      </w:r>
      <w:r w:rsidRPr="00C11123">
        <w:rPr>
          <w:rFonts w:cs="Arial"/>
          <w:sz w:val="22"/>
          <w:szCs w:val="22"/>
        </w:rPr>
        <w:t xml:space="preserve">Its PSMA-targeted approach excels in detecting </w:t>
      </w:r>
      <w:r w:rsidR="007845C8" w:rsidRPr="00C11123">
        <w:rPr>
          <w:rFonts w:cs="Arial"/>
          <w:sz w:val="22"/>
          <w:szCs w:val="22"/>
        </w:rPr>
        <w:t>prostate cancer</w:t>
      </w:r>
      <w:r w:rsidRPr="00C11123">
        <w:rPr>
          <w:rFonts w:cs="Arial"/>
          <w:sz w:val="22"/>
          <w:szCs w:val="22"/>
        </w:rPr>
        <w:t>, including primary prostate tumors, regional lymph node involvement, and distant metastases in bones or soft tissues, and has resulted in its being hailed as a “paradigm shift in prostate cancer care” – one that is being swiftly adopted because “</w:t>
      </w:r>
      <w:r w:rsidRPr="00C11123">
        <w:rPr>
          <w:rFonts w:cs="Arial"/>
          <w:sz w:val="22"/>
          <w:szCs w:val="22"/>
          <w:lang w:val="x-none"/>
        </w:rPr>
        <w:t xml:space="preserve">it can significantly improve prostate cancer detection and treatment,” </w:t>
      </w:r>
      <w:r>
        <w:rPr>
          <w:rStyle w:val="FootnoteReference"/>
          <w:rFonts w:cs="Arial"/>
          <w:sz w:val="22"/>
          <w:szCs w:val="22"/>
          <w:lang w:val="x-none"/>
        </w:rPr>
        <w:footnoteReference w:id="96"/>
      </w:r>
      <w:r w:rsidRPr="00C11123">
        <w:rPr>
          <w:rFonts w:cs="Arial"/>
          <w:b/>
          <w:bCs/>
          <w:sz w:val="22"/>
          <w:szCs w:val="22"/>
          <w:lang w:val="x-none"/>
        </w:rPr>
        <w:t xml:space="preserve"> </w:t>
      </w:r>
      <w:r w:rsidRPr="00C11123">
        <w:rPr>
          <w:rFonts w:cs="Arial"/>
          <w:sz w:val="22"/>
          <w:szCs w:val="22"/>
          <w:lang w:val="x-none"/>
        </w:rPr>
        <w:t xml:space="preserve">particularly when compared to other diagnostic tools, like MRI, CT, and bone scans. </w:t>
      </w:r>
      <w:r w:rsidRPr="00C11123">
        <w:rPr>
          <w:rFonts w:cs="Arial"/>
          <w:sz w:val="22"/>
          <w:szCs w:val="22"/>
        </w:rPr>
        <w:t>Unlike conventional imaging modalities, PSMA PET/CT offers molecular-level specificity, making it invaluable for early and comprehensive visualization of disease extent.  The procedure is minimally invasive</w:t>
      </w:r>
      <w:r w:rsidRPr="00C11123">
        <w:rPr>
          <w:rFonts w:cs="Arial"/>
          <w:sz w:val="22"/>
          <w:szCs w:val="22"/>
          <w:shd w:val="clear" w:color="auto" w:fill="FFFFFF"/>
        </w:rPr>
        <w:t xml:space="preserve"> and </w:t>
      </w:r>
      <w:r w:rsidRPr="00C11123">
        <w:rPr>
          <w:rFonts w:cs="Arial"/>
          <w:sz w:val="22"/>
          <w:szCs w:val="22"/>
        </w:rPr>
        <w:t>exposes patients to substantially lower radiation</w:t>
      </w:r>
      <w:r w:rsidR="00C14164" w:rsidRPr="00C11123">
        <w:rPr>
          <w:rFonts w:cs="Arial"/>
          <w:sz w:val="22"/>
          <w:szCs w:val="22"/>
        </w:rPr>
        <w:t>,</w:t>
      </w:r>
      <w:r w:rsidRPr="00C11123">
        <w:rPr>
          <w:rFonts w:cs="Arial"/>
          <w:sz w:val="22"/>
          <w:szCs w:val="22"/>
        </w:rPr>
        <w:t xml:space="preserve"> </w:t>
      </w:r>
      <w:r w:rsidR="00C14164" w:rsidRPr="00C11123">
        <w:rPr>
          <w:rFonts w:cs="Arial"/>
          <w:sz w:val="22"/>
          <w:szCs w:val="22"/>
        </w:rPr>
        <w:t>indicating</w:t>
      </w:r>
      <w:r w:rsidRPr="00C11123">
        <w:rPr>
          <w:rFonts w:cs="Arial"/>
          <w:sz w:val="22"/>
          <w:szCs w:val="22"/>
        </w:rPr>
        <w:t xml:space="preserve"> its safety profile for routine clinical use.</w:t>
      </w:r>
      <w:r>
        <w:rPr>
          <w:rStyle w:val="FootnoteReference"/>
          <w:rFonts w:cs="Arial"/>
          <w:sz w:val="22"/>
          <w:szCs w:val="22"/>
        </w:rPr>
        <w:footnoteReference w:id="97"/>
      </w:r>
    </w:p>
    <w:p w14:paraId="5B27F67E" w14:textId="77777777" w:rsidR="00D22CF2" w:rsidRPr="00C11123" w:rsidRDefault="00D22CF2" w:rsidP="00D70747">
      <w:pPr>
        <w:spacing w:after="0" w:line="240" w:lineRule="auto"/>
        <w:jc w:val="both"/>
        <w:rPr>
          <w:rFonts w:cs="Arial"/>
          <w:sz w:val="22"/>
          <w:szCs w:val="22"/>
          <w:lang w:val="x-none"/>
        </w:rPr>
      </w:pPr>
    </w:p>
    <w:p w14:paraId="676F5116" w14:textId="3A20564D" w:rsidR="000B076F" w:rsidRPr="00C11123" w:rsidRDefault="00000000" w:rsidP="00D70747">
      <w:pPr>
        <w:spacing w:after="0" w:line="240" w:lineRule="auto"/>
        <w:jc w:val="both"/>
        <w:rPr>
          <w:rFonts w:cs="Arial"/>
          <w:b/>
          <w:bCs/>
          <w:sz w:val="22"/>
          <w:szCs w:val="22"/>
        </w:rPr>
      </w:pPr>
      <w:r w:rsidRPr="00C11123">
        <w:rPr>
          <w:rFonts w:cs="Arial"/>
          <w:sz w:val="22"/>
          <w:szCs w:val="22"/>
          <w:lang w:val="x-none"/>
        </w:rPr>
        <w:t xml:space="preserve">PSMA PET/CT’s superior sensitivity and specificity over conventional imaging gives it important uses at the level of </w:t>
      </w:r>
      <w:r w:rsidR="007845C8" w:rsidRPr="00C11123">
        <w:rPr>
          <w:rFonts w:cs="Arial"/>
          <w:sz w:val="22"/>
          <w:szCs w:val="22"/>
          <w:lang w:val="x-none"/>
        </w:rPr>
        <w:t>prostate cancer</w:t>
      </w:r>
      <w:r w:rsidRPr="00C11123">
        <w:rPr>
          <w:rFonts w:cs="Arial"/>
          <w:sz w:val="22"/>
          <w:szCs w:val="22"/>
          <w:lang w:val="x-none"/>
        </w:rPr>
        <w:t xml:space="preserve"> screening and initial diagnosis, as well as in downstream disease management. </w:t>
      </w:r>
      <w:r w:rsidRPr="00C11123">
        <w:rPr>
          <w:rFonts w:cs="Arial"/>
          <w:b/>
          <w:bCs/>
          <w:sz w:val="22"/>
          <w:szCs w:val="22"/>
          <w:lang w:val="x-none"/>
        </w:rPr>
        <w:t xml:space="preserve"> </w:t>
      </w:r>
      <w:r w:rsidRPr="00C11123">
        <w:rPr>
          <w:rFonts w:cs="Arial"/>
          <w:sz w:val="22"/>
          <w:szCs w:val="22"/>
          <w:lang w:val="x-none"/>
        </w:rPr>
        <w:t>When</w:t>
      </w:r>
      <w:r w:rsidRPr="00C11123">
        <w:rPr>
          <w:rFonts w:cs="Arial"/>
          <w:sz w:val="22"/>
          <w:szCs w:val="22"/>
        </w:rPr>
        <w:t xml:space="preserve"> conventional imaging does not indicate </w:t>
      </w:r>
      <w:r w:rsidR="007845C8" w:rsidRPr="00C11123">
        <w:rPr>
          <w:rFonts w:cs="Arial"/>
          <w:sz w:val="22"/>
          <w:szCs w:val="22"/>
          <w:lang w:val="x-none"/>
        </w:rPr>
        <w:t>prostate cancer</w:t>
      </w:r>
      <w:r w:rsidRPr="00C11123">
        <w:rPr>
          <w:rFonts w:cs="Arial"/>
          <w:sz w:val="22"/>
          <w:szCs w:val="22"/>
        </w:rPr>
        <w:t>, clinicians are often forced to make consequential diagnosis and care management decisions with limited information, potentially leading to ineffective treatment and avoidable procedures, or even erroneous diagnosis. PSMA PET/CT, however, enables clinicians to detect cancer in cells and organs that would have appeared normal using other imaging or diagnostic tests.</w:t>
      </w:r>
      <w:r>
        <w:rPr>
          <w:rStyle w:val="FootnoteReference"/>
          <w:rFonts w:cs="Arial"/>
          <w:sz w:val="22"/>
          <w:szCs w:val="22"/>
        </w:rPr>
        <w:footnoteReference w:id="98"/>
      </w:r>
    </w:p>
    <w:p w14:paraId="56AAA2A7" w14:textId="77777777" w:rsidR="00D22CF2" w:rsidRPr="00C11123" w:rsidRDefault="00D22CF2" w:rsidP="00D70747">
      <w:pPr>
        <w:spacing w:after="0" w:line="240" w:lineRule="auto"/>
        <w:jc w:val="both"/>
        <w:rPr>
          <w:rFonts w:cs="Arial"/>
          <w:sz w:val="22"/>
          <w:szCs w:val="22"/>
        </w:rPr>
      </w:pPr>
    </w:p>
    <w:p w14:paraId="34869FCB" w14:textId="76B9649D" w:rsidR="000B076F" w:rsidRPr="00C11123" w:rsidRDefault="00000000" w:rsidP="00D70747">
      <w:pPr>
        <w:spacing w:after="0" w:line="240" w:lineRule="auto"/>
        <w:jc w:val="both"/>
        <w:rPr>
          <w:rFonts w:cs="Arial"/>
          <w:i/>
          <w:iCs/>
          <w:sz w:val="22"/>
          <w:szCs w:val="22"/>
          <w:lang w:val="x-none"/>
        </w:rPr>
      </w:pPr>
      <w:r w:rsidRPr="00C11123">
        <w:rPr>
          <w:rFonts w:cs="Arial"/>
          <w:sz w:val="22"/>
          <w:szCs w:val="22"/>
        </w:rPr>
        <w:t>This ability to detect even the smallest cancer cells allows clinicians to deliver more precise and targeted treatment, and earlier in disease progression.</w:t>
      </w:r>
      <w:r>
        <w:rPr>
          <w:rStyle w:val="FootnoteReference"/>
          <w:rFonts w:cs="Arial"/>
          <w:sz w:val="22"/>
          <w:szCs w:val="22"/>
        </w:rPr>
        <w:footnoteReference w:id="99"/>
      </w:r>
      <w:r w:rsidRPr="00C11123">
        <w:rPr>
          <w:rFonts w:cs="Arial"/>
          <w:b/>
          <w:bCs/>
          <w:sz w:val="22"/>
          <w:szCs w:val="22"/>
        </w:rPr>
        <w:t xml:space="preserve"> </w:t>
      </w:r>
      <w:r w:rsidRPr="00C11123">
        <w:rPr>
          <w:rFonts w:cs="Arial"/>
          <w:sz w:val="22"/>
          <w:szCs w:val="22"/>
        </w:rPr>
        <w:t>For example, current studies indicate that PSMA PET/CT is 27% more accurate than standard imaging diagnostics.</w:t>
      </w:r>
      <w:r>
        <w:rPr>
          <w:rStyle w:val="FootnoteReference"/>
          <w:rFonts w:cs="Arial"/>
          <w:sz w:val="22"/>
          <w:szCs w:val="22"/>
        </w:rPr>
        <w:footnoteReference w:id="100"/>
      </w:r>
      <w:r w:rsidRPr="00C11123">
        <w:rPr>
          <w:rFonts w:cs="Arial"/>
          <w:sz w:val="22"/>
          <w:szCs w:val="22"/>
        </w:rPr>
        <w:t xml:space="preserve"> Following diagnosis, </w:t>
      </w:r>
      <w:r w:rsidRPr="00C11123">
        <w:rPr>
          <w:rStyle w:val="s1"/>
          <w:rFonts w:asciiTheme="minorHAnsi" w:hAnsiTheme="minorHAnsi" w:cs="Arial"/>
          <w:b w:val="0"/>
          <w:bCs w:val="0"/>
          <w:sz w:val="22"/>
          <w:szCs w:val="22"/>
        </w:rPr>
        <w:t>accurate staging is critical for effective treatment planning, and PSMA PET/CT has shown diagnostic accuracy rates as high as 92%</w:t>
      </w:r>
      <w:r>
        <w:rPr>
          <w:rStyle w:val="FootnoteReference"/>
          <w:rFonts w:cs="Arial"/>
          <w:sz w:val="22"/>
          <w:szCs w:val="22"/>
        </w:rPr>
        <w:footnoteReference w:id="101"/>
      </w:r>
      <w:r w:rsidRPr="00C11123">
        <w:rPr>
          <w:rStyle w:val="s1"/>
          <w:rFonts w:asciiTheme="minorHAnsi" w:hAnsiTheme="minorHAnsi" w:cs="Arial"/>
          <w:b w:val="0"/>
          <w:bCs w:val="0"/>
          <w:sz w:val="22"/>
          <w:szCs w:val="22"/>
        </w:rPr>
        <w:t xml:space="preserve"> for nodal and distant metastases, compared to 65% for conventional imaging.</w:t>
      </w:r>
      <w:r>
        <w:rPr>
          <w:rStyle w:val="FootnoteReference"/>
          <w:rFonts w:cs="Arial"/>
          <w:sz w:val="22"/>
          <w:szCs w:val="22"/>
        </w:rPr>
        <w:footnoteReference w:id="102"/>
      </w:r>
      <w:r w:rsidRPr="00C11123">
        <w:rPr>
          <w:rStyle w:val="s1"/>
          <w:rFonts w:asciiTheme="minorHAnsi" w:hAnsiTheme="minorHAnsi" w:cs="Arial"/>
          <w:b w:val="0"/>
          <w:bCs w:val="0"/>
          <w:sz w:val="22"/>
          <w:szCs w:val="22"/>
        </w:rPr>
        <w:t xml:space="preserve"> In other words, patients’ cancers may be “</w:t>
      </w:r>
      <w:proofErr w:type="spellStart"/>
      <w:r w:rsidRPr="00C11123">
        <w:rPr>
          <w:rStyle w:val="s1"/>
          <w:rFonts w:asciiTheme="minorHAnsi" w:hAnsiTheme="minorHAnsi" w:cs="Arial"/>
          <w:b w:val="0"/>
          <w:bCs w:val="0"/>
          <w:sz w:val="22"/>
          <w:szCs w:val="22"/>
        </w:rPr>
        <w:t>understaged</w:t>
      </w:r>
      <w:proofErr w:type="spellEnd"/>
      <w:r w:rsidRPr="00C11123">
        <w:rPr>
          <w:rStyle w:val="s1"/>
          <w:rFonts w:asciiTheme="minorHAnsi" w:hAnsiTheme="minorHAnsi" w:cs="Arial"/>
          <w:b w:val="0"/>
          <w:bCs w:val="0"/>
          <w:sz w:val="22"/>
          <w:szCs w:val="22"/>
        </w:rPr>
        <w:t xml:space="preserve">” by conventional </w:t>
      </w:r>
      <w:r w:rsidRPr="00C11123">
        <w:rPr>
          <w:rStyle w:val="s1"/>
          <w:rFonts w:asciiTheme="minorHAnsi" w:hAnsiTheme="minorHAnsi" w:cs="Arial"/>
          <w:b w:val="0"/>
          <w:bCs w:val="0"/>
          <w:sz w:val="22"/>
          <w:szCs w:val="22"/>
        </w:rPr>
        <w:lastRenderedPageBreak/>
        <w:t>imaging.</w:t>
      </w:r>
      <w:r>
        <w:rPr>
          <w:rStyle w:val="FootnoteReference"/>
          <w:rFonts w:cs="Arial"/>
          <w:sz w:val="22"/>
          <w:szCs w:val="22"/>
        </w:rPr>
        <w:footnoteReference w:id="103"/>
      </w:r>
      <w:r w:rsidRPr="00C11123">
        <w:rPr>
          <w:rStyle w:val="s1"/>
          <w:rFonts w:asciiTheme="minorHAnsi" w:hAnsiTheme="minorHAnsi" w:cs="Arial"/>
          <w:b w:val="0"/>
          <w:bCs w:val="0"/>
          <w:sz w:val="22"/>
          <w:szCs w:val="22"/>
        </w:rPr>
        <w:t xml:space="preserve"> By contrast, </w:t>
      </w:r>
      <w:r w:rsidRPr="00C11123">
        <w:rPr>
          <w:rFonts w:cs="Arial"/>
          <w:sz w:val="22"/>
          <w:szCs w:val="22"/>
        </w:rPr>
        <w:t xml:space="preserve">PSMA PET/CT’s high sensitivity for identifying </w:t>
      </w:r>
      <w:r w:rsidR="007845C8" w:rsidRPr="00C11123">
        <w:rPr>
          <w:rFonts w:cs="Arial"/>
          <w:sz w:val="22"/>
          <w:szCs w:val="22"/>
          <w:lang w:val="x-none"/>
        </w:rPr>
        <w:t xml:space="preserve">prostate cancer </w:t>
      </w:r>
      <w:r w:rsidRPr="00C11123">
        <w:rPr>
          <w:rFonts w:cs="Arial"/>
          <w:sz w:val="22"/>
          <w:szCs w:val="22"/>
        </w:rPr>
        <w:t xml:space="preserve">cells enables it to </w:t>
      </w:r>
      <w:r w:rsidRPr="00C11123">
        <w:rPr>
          <w:rFonts w:cs="Arial"/>
          <w:sz w:val="22"/>
          <w:szCs w:val="22"/>
          <w:lang w:val="x-none"/>
        </w:rPr>
        <w:t>detect metastatic disease even at low PSA values</w:t>
      </w:r>
      <w:r w:rsidRPr="00C11123">
        <w:rPr>
          <w:rFonts w:cs="Arial"/>
          <w:i/>
          <w:iCs/>
          <w:sz w:val="22"/>
          <w:szCs w:val="22"/>
          <w:lang w:val="x-none"/>
        </w:rPr>
        <w:t>.</w:t>
      </w:r>
      <w:r>
        <w:rPr>
          <w:rStyle w:val="FootnoteReference"/>
          <w:rFonts w:cs="Arial"/>
          <w:sz w:val="22"/>
          <w:szCs w:val="22"/>
          <w:lang w:val="x-none"/>
        </w:rPr>
        <w:footnoteReference w:id="104"/>
      </w:r>
    </w:p>
    <w:p w14:paraId="4CCECFF3" w14:textId="77777777" w:rsidR="00D22CF2" w:rsidRPr="00C11123" w:rsidRDefault="00D22CF2" w:rsidP="00D70747">
      <w:pPr>
        <w:spacing w:after="0" w:line="240" w:lineRule="auto"/>
        <w:jc w:val="both"/>
        <w:rPr>
          <w:rFonts w:cs="Arial"/>
          <w:sz w:val="22"/>
          <w:szCs w:val="22"/>
        </w:rPr>
      </w:pPr>
    </w:p>
    <w:p w14:paraId="2BAD10AE" w14:textId="524401A6" w:rsidR="000B076F" w:rsidRPr="00C11123" w:rsidRDefault="00000000" w:rsidP="00D70747">
      <w:pPr>
        <w:spacing w:after="0" w:line="240" w:lineRule="auto"/>
        <w:jc w:val="both"/>
        <w:rPr>
          <w:rStyle w:val="s1"/>
          <w:rFonts w:asciiTheme="minorHAnsi" w:hAnsiTheme="minorHAnsi" w:cs="Arial"/>
          <w:b w:val="0"/>
          <w:bCs w:val="0"/>
          <w:sz w:val="22"/>
          <w:szCs w:val="22"/>
        </w:rPr>
      </w:pPr>
      <w:r w:rsidRPr="00C11123">
        <w:rPr>
          <w:rFonts w:cs="Arial"/>
          <w:sz w:val="22"/>
          <w:szCs w:val="22"/>
        </w:rPr>
        <w:t>In addition, research shows that PSMA PET</w:t>
      </w:r>
      <w:r w:rsidR="003D0769" w:rsidRPr="00C11123">
        <w:rPr>
          <w:rFonts w:cs="Arial"/>
          <w:sz w:val="22"/>
          <w:szCs w:val="22"/>
        </w:rPr>
        <w:t>/</w:t>
      </w:r>
      <w:r w:rsidRPr="00C11123">
        <w:rPr>
          <w:rFonts w:cs="Arial"/>
          <w:sz w:val="22"/>
          <w:szCs w:val="22"/>
        </w:rPr>
        <w:t>CT is much less likely to produce inconclusive, or equivocal, results compared to conventional imaging (7% versus 23%).</w:t>
      </w:r>
      <w:r>
        <w:rPr>
          <w:rStyle w:val="FootnoteReference"/>
          <w:rFonts w:cs="Arial"/>
          <w:sz w:val="22"/>
          <w:szCs w:val="22"/>
        </w:rPr>
        <w:footnoteReference w:id="105"/>
      </w:r>
      <w:r w:rsidRPr="00C11123">
        <w:rPr>
          <w:rFonts w:cs="Arial"/>
          <w:sz w:val="22"/>
          <w:szCs w:val="22"/>
        </w:rPr>
        <w:t xml:space="preserve">  This finding is significant because imaging that produces equivocal findings often results in the use of more healthcare resources, such as more scans, biopsies and/or other tests, potentially increasing healthcare costs.</w:t>
      </w:r>
      <w:r>
        <w:rPr>
          <w:rStyle w:val="FootnoteReference"/>
          <w:rFonts w:cs="Arial"/>
          <w:sz w:val="22"/>
          <w:szCs w:val="22"/>
        </w:rPr>
        <w:footnoteReference w:id="106"/>
      </w:r>
      <w:r w:rsidRPr="00C11123">
        <w:rPr>
          <w:rFonts w:cs="Arial"/>
          <w:sz w:val="22"/>
          <w:szCs w:val="22"/>
        </w:rPr>
        <w:t xml:space="preserve"> </w:t>
      </w:r>
      <w:r w:rsidRPr="00C11123">
        <w:rPr>
          <w:rStyle w:val="s1"/>
          <w:rFonts w:asciiTheme="minorHAnsi" w:hAnsiTheme="minorHAnsi" w:cs="Arial"/>
          <w:b w:val="0"/>
          <w:bCs w:val="0"/>
          <w:sz w:val="22"/>
          <w:szCs w:val="22"/>
        </w:rPr>
        <w:t xml:space="preserve">Approximately one-third of patients diagnosed with </w:t>
      </w:r>
      <w:r w:rsidR="007845C8" w:rsidRPr="00C11123">
        <w:rPr>
          <w:rFonts w:cs="Arial"/>
          <w:sz w:val="22"/>
          <w:szCs w:val="22"/>
          <w:lang w:val="x-none"/>
        </w:rPr>
        <w:t xml:space="preserve">prostate cancer </w:t>
      </w:r>
      <w:r w:rsidRPr="00C11123">
        <w:rPr>
          <w:rStyle w:val="s1"/>
          <w:rFonts w:asciiTheme="minorHAnsi" w:hAnsiTheme="minorHAnsi" w:cs="Arial"/>
          <w:b w:val="0"/>
          <w:bCs w:val="0"/>
          <w:sz w:val="22"/>
          <w:szCs w:val="22"/>
        </w:rPr>
        <w:t>will undergo a form of definitive treatment, but 20-50% of them will experience a recurrence within 10 years.</w:t>
      </w:r>
      <w:r>
        <w:rPr>
          <w:rStyle w:val="FootnoteReference"/>
          <w:rFonts w:cs="Arial"/>
          <w:sz w:val="22"/>
          <w:szCs w:val="22"/>
        </w:rPr>
        <w:footnoteReference w:id="107"/>
      </w:r>
      <w:r w:rsidRPr="00C11123">
        <w:rPr>
          <w:rStyle w:val="s1"/>
          <w:rFonts w:asciiTheme="minorHAnsi" w:hAnsiTheme="minorHAnsi" w:cs="Arial"/>
          <w:b w:val="0"/>
          <w:bCs w:val="0"/>
          <w:sz w:val="22"/>
          <w:szCs w:val="22"/>
        </w:rPr>
        <w:t xml:space="preserve"> Researchers attribute this high recurrent rate in part “to the limitations of </w:t>
      </w:r>
      <w:r w:rsidR="00E0088F" w:rsidRPr="00C11123">
        <w:rPr>
          <w:rStyle w:val="s1"/>
          <w:rFonts w:asciiTheme="minorHAnsi" w:hAnsiTheme="minorHAnsi" w:cs="Arial"/>
          <w:b w:val="0"/>
          <w:bCs w:val="0"/>
          <w:sz w:val="22"/>
          <w:szCs w:val="22"/>
        </w:rPr>
        <w:t xml:space="preserve">current </w:t>
      </w:r>
      <w:r w:rsidRPr="00C11123">
        <w:rPr>
          <w:rStyle w:val="s1"/>
          <w:rFonts w:asciiTheme="minorHAnsi" w:hAnsiTheme="minorHAnsi" w:cs="Arial"/>
          <w:b w:val="0"/>
          <w:bCs w:val="0"/>
          <w:sz w:val="22"/>
          <w:szCs w:val="22"/>
        </w:rPr>
        <w:t xml:space="preserve">conventional imaging modalities” (i.e. CT, MRI, and bone scan) in the detection of locally advanced or metastatic </w:t>
      </w:r>
      <w:r w:rsidR="007845C8" w:rsidRPr="00C11123">
        <w:rPr>
          <w:rFonts w:cs="Arial"/>
          <w:sz w:val="22"/>
          <w:szCs w:val="22"/>
          <w:lang w:val="x-none"/>
        </w:rPr>
        <w:t>prostate cancer</w:t>
      </w:r>
      <w:r w:rsidRPr="00C11123">
        <w:rPr>
          <w:rStyle w:val="s1"/>
          <w:rFonts w:asciiTheme="minorHAnsi" w:hAnsiTheme="minorHAnsi" w:cs="Arial"/>
          <w:b w:val="0"/>
          <w:bCs w:val="0"/>
          <w:sz w:val="22"/>
          <w:szCs w:val="22"/>
        </w:rPr>
        <w:t>.</w:t>
      </w:r>
      <w:r>
        <w:rPr>
          <w:rStyle w:val="FootnoteReference"/>
          <w:rFonts w:cs="Arial"/>
          <w:sz w:val="22"/>
          <w:szCs w:val="22"/>
        </w:rPr>
        <w:footnoteReference w:id="108"/>
      </w:r>
      <w:r w:rsidRPr="00C11123">
        <w:rPr>
          <w:rStyle w:val="s1"/>
          <w:rFonts w:asciiTheme="minorHAnsi" w:hAnsiTheme="minorHAnsi" w:cs="Arial"/>
          <w:b w:val="0"/>
          <w:bCs w:val="0"/>
          <w:sz w:val="22"/>
          <w:szCs w:val="22"/>
        </w:rPr>
        <w:t xml:space="preserve"> </w:t>
      </w:r>
      <w:r w:rsidRPr="00C11123">
        <w:rPr>
          <w:rFonts w:cs="Arial"/>
          <w:sz w:val="22"/>
          <w:szCs w:val="22"/>
        </w:rPr>
        <w:t xml:space="preserve">PSMA PET/CT imaging, however, </w:t>
      </w:r>
      <w:r w:rsidRPr="00C11123">
        <w:rPr>
          <w:rStyle w:val="s1"/>
          <w:rFonts w:asciiTheme="minorHAnsi" w:hAnsiTheme="minorHAnsi" w:cs="Arial"/>
          <w:b w:val="0"/>
          <w:bCs w:val="0"/>
          <w:sz w:val="22"/>
          <w:szCs w:val="22"/>
        </w:rPr>
        <w:t>allows for tailored treatment strategies, such as metastasis-directed therapy, and can help avoid unnecessary procedures, ultimately improving patient outcomes.</w:t>
      </w:r>
      <w:r>
        <w:rPr>
          <w:rStyle w:val="FootnoteReference"/>
          <w:rFonts w:cs="Arial"/>
          <w:sz w:val="22"/>
          <w:szCs w:val="22"/>
        </w:rPr>
        <w:footnoteReference w:id="109"/>
      </w:r>
      <w:r w:rsidRPr="00C11123">
        <w:rPr>
          <w:rStyle w:val="s1"/>
          <w:rFonts w:asciiTheme="minorHAnsi" w:hAnsiTheme="minorHAnsi" w:cs="Arial"/>
          <w:b w:val="0"/>
          <w:bCs w:val="0"/>
          <w:sz w:val="22"/>
          <w:szCs w:val="22"/>
        </w:rPr>
        <w:t xml:space="preserve"> As observed in a recent study concerning</w:t>
      </w:r>
      <w:r w:rsidR="007845C8" w:rsidRPr="00C11123">
        <w:rPr>
          <w:rStyle w:val="s1"/>
          <w:rFonts w:asciiTheme="minorHAnsi" w:hAnsiTheme="minorHAnsi" w:cs="Arial"/>
          <w:b w:val="0"/>
          <w:bCs w:val="0"/>
          <w:sz w:val="22"/>
          <w:szCs w:val="22"/>
        </w:rPr>
        <w:t xml:space="preserve"> PSMA</w:t>
      </w:r>
      <w:r w:rsidRPr="00C11123">
        <w:rPr>
          <w:rStyle w:val="s1"/>
          <w:rFonts w:asciiTheme="minorHAnsi" w:hAnsiTheme="minorHAnsi" w:cs="Arial"/>
          <w:b w:val="0"/>
          <w:bCs w:val="0"/>
          <w:sz w:val="22"/>
          <w:szCs w:val="22"/>
        </w:rPr>
        <w:t xml:space="preserve"> PET/CT, “[a] </w:t>
      </w:r>
      <w:r w:rsidRPr="00C11123">
        <w:rPr>
          <w:rFonts w:eastAsia="Times New Roman" w:cs="Arial"/>
          <w:color w:val="000000"/>
          <w:kern w:val="0"/>
          <w:sz w:val="22"/>
          <w:szCs w:val="22"/>
        </w:rPr>
        <w:t xml:space="preserve">superior imaging modality with reliable exclusion of metastases can crucially alter oncological outcomes for a patient with </w:t>
      </w:r>
      <w:r w:rsidR="007845C8" w:rsidRPr="00C11123">
        <w:rPr>
          <w:rFonts w:eastAsia="Times New Roman" w:cs="Arial"/>
          <w:color w:val="000000"/>
          <w:kern w:val="0"/>
          <w:sz w:val="22"/>
          <w:szCs w:val="22"/>
        </w:rPr>
        <w:t>prostate cancer</w:t>
      </w:r>
      <w:r w:rsidRPr="00C11123">
        <w:rPr>
          <w:rFonts w:eastAsia="Times New Roman" w:cs="Arial"/>
          <w:color w:val="000000"/>
          <w:kern w:val="0"/>
          <w:sz w:val="22"/>
          <w:szCs w:val="22"/>
        </w:rPr>
        <w:t>, shift the cost-benefit analysis of definitive therapy, and potentially spare patients the morbidity of unnecessary treatments.”</w:t>
      </w:r>
      <w:r>
        <w:rPr>
          <w:rStyle w:val="FootnoteReference"/>
          <w:rFonts w:cs="Arial"/>
          <w:color w:val="000000"/>
          <w:sz w:val="22"/>
          <w:szCs w:val="22"/>
        </w:rPr>
        <w:footnoteReference w:id="110"/>
      </w:r>
      <w:r w:rsidRPr="00C11123">
        <w:rPr>
          <w:rStyle w:val="s1"/>
          <w:rFonts w:asciiTheme="minorHAnsi" w:hAnsiTheme="minorHAnsi" w:cs="Arial"/>
          <w:b w:val="0"/>
          <w:bCs w:val="0"/>
          <w:sz w:val="22"/>
          <w:szCs w:val="22"/>
        </w:rPr>
        <w:t xml:space="preserve"> </w:t>
      </w:r>
    </w:p>
    <w:p w14:paraId="3AE093EE" w14:textId="77777777" w:rsidR="00D22CF2" w:rsidRPr="00C11123" w:rsidRDefault="00D22CF2" w:rsidP="00D70747">
      <w:pPr>
        <w:spacing w:after="0" w:line="240" w:lineRule="auto"/>
        <w:jc w:val="both"/>
        <w:rPr>
          <w:rStyle w:val="s1"/>
          <w:rFonts w:asciiTheme="minorHAnsi" w:hAnsiTheme="minorHAnsi" w:cs="Arial"/>
          <w:b w:val="0"/>
          <w:bCs w:val="0"/>
          <w:sz w:val="22"/>
          <w:szCs w:val="22"/>
        </w:rPr>
      </w:pPr>
    </w:p>
    <w:p w14:paraId="2965A633" w14:textId="6CF1AFFA" w:rsidR="000B076F" w:rsidRPr="00C11123" w:rsidRDefault="00000000" w:rsidP="00D70747">
      <w:pPr>
        <w:spacing w:after="0" w:line="240" w:lineRule="auto"/>
        <w:jc w:val="both"/>
        <w:rPr>
          <w:rFonts w:cs="Arial"/>
          <w:sz w:val="22"/>
          <w:szCs w:val="22"/>
        </w:rPr>
      </w:pPr>
      <w:r w:rsidRPr="00C11123">
        <w:rPr>
          <w:rFonts w:cs="Arial"/>
          <w:sz w:val="22"/>
          <w:szCs w:val="22"/>
        </w:rPr>
        <w:t>Accordingly,</w:t>
      </w:r>
      <w:r w:rsidRPr="00C11123">
        <w:rPr>
          <w:rFonts w:cs="Arial"/>
          <w:b/>
          <w:bCs/>
          <w:sz w:val="22"/>
          <w:szCs w:val="22"/>
        </w:rPr>
        <w:t xml:space="preserve"> </w:t>
      </w:r>
      <w:r w:rsidRPr="00C11123">
        <w:rPr>
          <w:rFonts w:cs="Arial"/>
          <w:sz w:val="22"/>
          <w:szCs w:val="22"/>
          <w:lang w:val="x-none"/>
        </w:rPr>
        <w:t>clinical authorities now recommend PSMA PET/CT as the preferable imaging technique instead of conventional imaging, including for patients with PSA recurrence after failure of local therapy, in the setting of negative conventional imaging, and as an integrated medical service for monitoring disease status and progression.</w:t>
      </w:r>
      <w:r>
        <w:rPr>
          <w:rStyle w:val="FootnoteReference"/>
          <w:rFonts w:cs="Arial"/>
          <w:sz w:val="22"/>
          <w:szCs w:val="22"/>
          <w:lang w:val="x-none"/>
        </w:rPr>
        <w:footnoteReference w:id="111"/>
      </w:r>
      <w:r w:rsidRPr="00C11123">
        <w:rPr>
          <w:rFonts w:cs="Arial"/>
          <w:i/>
          <w:iCs/>
          <w:sz w:val="22"/>
          <w:szCs w:val="22"/>
          <w:lang w:val="x-none"/>
        </w:rPr>
        <w:t xml:space="preserve"> </w:t>
      </w:r>
      <w:r w:rsidRPr="00C11123">
        <w:rPr>
          <w:rFonts w:cs="Arial"/>
          <w:sz w:val="22"/>
          <w:szCs w:val="22"/>
          <w:lang w:val="x-none"/>
        </w:rPr>
        <w:t xml:space="preserve">National guidelines reinforce the public health value of PSMA PET/CT imaging.  For example, the American Urological Association </w:t>
      </w:r>
      <w:r w:rsidRPr="00C11123">
        <w:rPr>
          <w:rFonts w:cs="Arial"/>
          <w:sz w:val="22"/>
          <w:szCs w:val="22"/>
        </w:rPr>
        <w:t>recommends PSMA PET preferentially for PSA recurrence after local therapy due to its greater sensitivity over conventional imaging, and for periodic staging in high-risk non-metastatic castration-resistant cases every 6-12 months.</w:t>
      </w:r>
      <w:r>
        <w:rPr>
          <w:rStyle w:val="FootnoteReference"/>
          <w:rFonts w:cs="Arial"/>
          <w:sz w:val="22"/>
          <w:szCs w:val="22"/>
        </w:rPr>
        <w:footnoteReference w:id="112"/>
      </w:r>
      <w:r w:rsidRPr="00C11123">
        <w:rPr>
          <w:rFonts w:cs="Arial"/>
          <w:sz w:val="22"/>
          <w:szCs w:val="22"/>
        </w:rPr>
        <w:t xml:space="preserve"> Similarly, following professional studies on PSMA</w:t>
      </w:r>
      <w:r w:rsidR="007845C8" w:rsidRPr="00C11123">
        <w:rPr>
          <w:rFonts w:cs="Arial"/>
          <w:sz w:val="22"/>
          <w:szCs w:val="22"/>
        </w:rPr>
        <w:t xml:space="preserve"> </w:t>
      </w:r>
      <w:r w:rsidRPr="00C11123">
        <w:rPr>
          <w:rFonts w:cs="Arial"/>
          <w:sz w:val="22"/>
          <w:szCs w:val="22"/>
        </w:rPr>
        <w:t>PET</w:t>
      </w:r>
      <w:r w:rsidR="007845C8" w:rsidRPr="00C11123">
        <w:rPr>
          <w:rFonts w:cs="Arial"/>
          <w:sz w:val="22"/>
          <w:szCs w:val="22"/>
        </w:rPr>
        <w:t>/CT</w:t>
      </w:r>
      <w:r w:rsidRPr="00C11123">
        <w:rPr>
          <w:rFonts w:cs="Arial"/>
          <w:sz w:val="22"/>
          <w:szCs w:val="22"/>
        </w:rPr>
        <w:t xml:space="preserve"> imaging, the National Comprehensive Cancer Network (NCCN) now endorses PSMA</w:t>
      </w:r>
      <w:r w:rsidR="007845C8" w:rsidRPr="00C11123">
        <w:rPr>
          <w:rFonts w:cs="Arial"/>
          <w:sz w:val="22"/>
          <w:szCs w:val="22"/>
        </w:rPr>
        <w:t xml:space="preserve"> </w:t>
      </w:r>
      <w:r w:rsidRPr="00C11123">
        <w:rPr>
          <w:rFonts w:cs="Arial"/>
          <w:sz w:val="22"/>
          <w:szCs w:val="22"/>
        </w:rPr>
        <w:t>PET</w:t>
      </w:r>
      <w:r w:rsidR="007845C8" w:rsidRPr="00C11123">
        <w:rPr>
          <w:rFonts w:cs="Arial"/>
          <w:sz w:val="22"/>
          <w:szCs w:val="22"/>
        </w:rPr>
        <w:t>/CT</w:t>
      </w:r>
      <w:r w:rsidRPr="00C11123">
        <w:rPr>
          <w:rFonts w:cs="Arial"/>
          <w:sz w:val="22"/>
          <w:szCs w:val="22"/>
        </w:rPr>
        <w:t xml:space="preserve"> imaging with tracers like PYLARIFY and has updated its clinical guidelines to no longer recommend conventional imaging as a prerequisite – rather, </w:t>
      </w:r>
      <w:r w:rsidR="007845C8" w:rsidRPr="00C11123">
        <w:rPr>
          <w:rFonts w:cs="Arial"/>
          <w:sz w:val="22"/>
          <w:szCs w:val="22"/>
        </w:rPr>
        <w:t xml:space="preserve"> PSMA PET/CT</w:t>
      </w:r>
      <w:r w:rsidRPr="00C11123">
        <w:rPr>
          <w:rFonts w:cs="Arial"/>
          <w:sz w:val="22"/>
          <w:szCs w:val="22"/>
        </w:rPr>
        <w:t xml:space="preserve"> can be the first line tool.</w:t>
      </w:r>
      <w:r>
        <w:rPr>
          <w:rStyle w:val="FootnoteReference"/>
          <w:rFonts w:cs="Arial"/>
          <w:sz w:val="22"/>
          <w:szCs w:val="22"/>
        </w:rPr>
        <w:footnoteReference w:id="113"/>
      </w:r>
      <w:r w:rsidRPr="00C11123">
        <w:rPr>
          <w:rFonts w:cs="Arial"/>
          <w:sz w:val="22"/>
          <w:szCs w:val="22"/>
        </w:rPr>
        <w:t xml:space="preserve">  The addition of </w:t>
      </w:r>
      <w:r w:rsidR="007845C8" w:rsidRPr="00C11123">
        <w:rPr>
          <w:rFonts w:cs="Arial"/>
          <w:sz w:val="22"/>
          <w:szCs w:val="22"/>
        </w:rPr>
        <w:t xml:space="preserve">PSMA PET/CT </w:t>
      </w:r>
      <w:r w:rsidRPr="00C11123">
        <w:rPr>
          <w:rFonts w:cs="Arial"/>
          <w:sz w:val="22"/>
          <w:szCs w:val="22"/>
        </w:rPr>
        <w:lastRenderedPageBreak/>
        <w:t>imaging to the NCCN Guidelines is important in the urology and radiology industries broadly, as they are considered “a global standard to guide oncology practice and reimbursement. The inclusion of PSMA-PET imaging . . . further signals the emergence of PSMA-PET imaging as a state-of-the-art imaging modality.”</w:t>
      </w:r>
      <w:r>
        <w:rPr>
          <w:rStyle w:val="FootnoteReference"/>
          <w:rFonts w:cs="Arial"/>
          <w:sz w:val="22"/>
          <w:szCs w:val="22"/>
        </w:rPr>
        <w:footnoteReference w:id="114"/>
      </w:r>
      <w:r w:rsidRPr="00C11123">
        <w:rPr>
          <w:rFonts w:cs="Arial"/>
          <w:sz w:val="22"/>
          <w:szCs w:val="22"/>
        </w:rPr>
        <w:t xml:space="preserve"> Because the NCCN guidelines are “widely used by clinicians and health care providers as a benchmark to assess clinical utility,” it is expected that they will “encourage clinicians to use </w:t>
      </w:r>
      <w:r w:rsidR="007845C8" w:rsidRPr="00C11123">
        <w:rPr>
          <w:rFonts w:cs="Arial"/>
          <w:sz w:val="22"/>
          <w:szCs w:val="22"/>
        </w:rPr>
        <w:t xml:space="preserve">PSMA PET/CT </w:t>
      </w:r>
      <w:r w:rsidRPr="00C11123">
        <w:rPr>
          <w:rFonts w:cs="Arial"/>
          <w:sz w:val="22"/>
          <w:szCs w:val="22"/>
        </w:rPr>
        <w:t>as a primary imaging modality in patients and will deliver the benefit of a more streamlined approach” for patients and practitioners.</w:t>
      </w:r>
      <w:r>
        <w:rPr>
          <w:rStyle w:val="FootnoteReference"/>
          <w:rFonts w:cs="Arial"/>
          <w:sz w:val="22"/>
          <w:szCs w:val="22"/>
        </w:rPr>
        <w:footnoteReference w:id="115"/>
      </w:r>
    </w:p>
    <w:p w14:paraId="1F4F5C07" w14:textId="77777777" w:rsidR="00D22CF2" w:rsidRPr="00C11123" w:rsidRDefault="00D22CF2" w:rsidP="00D70747">
      <w:pPr>
        <w:spacing w:after="0" w:line="240" w:lineRule="auto"/>
        <w:jc w:val="both"/>
        <w:rPr>
          <w:rFonts w:cs="Arial"/>
          <w:sz w:val="22"/>
          <w:szCs w:val="22"/>
        </w:rPr>
      </w:pPr>
    </w:p>
    <w:p w14:paraId="591AF228" w14:textId="7CE7BD0F" w:rsidR="00B65784" w:rsidRPr="00C11123" w:rsidRDefault="00000000" w:rsidP="00D70747">
      <w:pPr>
        <w:spacing w:after="0" w:line="240" w:lineRule="auto"/>
        <w:jc w:val="both"/>
        <w:rPr>
          <w:rFonts w:cs="Arial"/>
          <w:sz w:val="22"/>
          <w:szCs w:val="22"/>
        </w:rPr>
      </w:pPr>
      <w:r w:rsidRPr="00C11123">
        <w:rPr>
          <w:rFonts w:cs="Arial"/>
          <w:sz w:val="22"/>
          <w:szCs w:val="22"/>
          <w:lang w:val="x-none"/>
        </w:rPr>
        <w:t>The research, data, and growing clinical adoption of PSMA</w:t>
      </w:r>
      <w:r w:rsidR="007845C8" w:rsidRPr="00C11123">
        <w:rPr>
          <w:rFonts w:cs="Arial"/>
          <w:sz w:val="22"/>
          <w:szCs w:val="22"/>
          <w:lang w:val="x-none"/>
        </w:rPr>
        <w:t xml:space="preserve"> </w:t>
      </w:r>
      <w:r w:rsidRPr="00C11123">
        <w:rPr>
          <w:rFonts w:cs="Arial"/>
          <w:sz w:val="22"/>
          <w:szCs w:val="22"/>
          <w:lang w:val="x-none"/>
        </w:rPr>
        <w:t xml:space="preserve">PET/CT imaging empirically demonstrates the public value of the Proposed Project to the Applicant’s clinical urology practice. Where the Applicant’s Patient Panel is largely composed of patients aged 65 and older – the demographic most affected by </w:t>
      </w:r>
      <w:r w:rsidR="00397E04" w:rsidRPr="00C11123">
        <w:rPr>
          <w:rFonts w:cs="Arial"/>
          <w:sz w:val="22"/>
          <w:szCs w:val="22"/>
          <w:lang w:val="x-none"/>
        </w:rPr>
        <w:t>Prostate Cancer</w:t>
      </w:r>
      <w:r w:rsidRPr="00C11123">
        <w:rPr>
          <w:rFonts w:cs="Arial"/>
          <w:sz w:val="22"/>
          <w:szCs w:val="22"/>
          <w:lang w:val="x-none"/>
        </w:rPr>
        <w:t xml:space="preserve"> – the integration of PSMA</w:t>
      </w:r>
      <w:r w:rsidR="007845C8" w:rsidRPr="00C11123">
        <w:rPr>
          <w:rFonts w:cs="Arial"/>
          <w:sz w:val="22"/>
          <w:szCs w:val="22"/>
          <w:lang w:val="x-none"/>
        </w:rPr>
        <w:t xml:space="preserve"> </w:t>
      </w:r>
      <w:r w:rsidRPr="00C11123">
        <w:rPr>
          <w:rFonts w:cs="Arial"/>
          <w:sz w:val="22"/>
          <w:szCs w:val="22"/>
          <w:lang w:val="x-none"/>
        </w:rPr>
        <w:t xml:space="preserve">PET/CT into the Applicant’s urology practice is not simply logical, it is indispensable. </w:t>
      </w:r>
      <w:r w:rsidRPr="00C11123">
        <w:rPr>
          <w:rFonts w:cs="Arial"/>
          <w:sz w:val="22"/>
          <w:szCs w:val="22"/>
        </w:rPr>
        <w:t>In the patient population where distant-stage disease carries only a 38% five-year survival rate, the ability of the Applicant’s urologists to deploy PSMA</w:t>
      </w:r>
      <w:r w:rsidR="007845C8" w:rsidRPr="00C11123">
        <w:rPr>
          <w:rFonts w:cs="Arial"/>
          <w:sz w:val="22"/>
          <w:szCs w:val="22"/>
        </w:rPr>
        <w:t xml:space="preserve"> </w:t>
      </w:r>
      <w:r w:rsidRPr="00C11123">
        <w:rPr>
          <w:rFonts w:cs="Arial"/>
          <w:sz w:val="22"/>
          <w:szCs w:val="22"/>
        </w:rPr>
        <w:t>PET/CT to identify disease in their patients earlier and more comprehensively represents a transformative advance in the Applicant’s care delivery. By providing on-site access to PSMA</w:t>
      </w:r>
      <w:r w:rsidR="007845C8" w:rsidRPr="00C11123">
        <w:rPr>
          <w:rFonts w:cs="Arial"/>
          <w:sz w:val="22"/>
          <w:szCs w:val="22"/>
        </w:rPr>
        <w:t xml:space="preserve"> </w:t>
      </w:r>
      <w:r w:rsidRPr="00C11123">
        <w:rPr>
          <w:rFonts w:cs="Arial"/>
          <w:sz w:val="22"/>
          <w:szCs w:val="22"/>
        </w:rPr>
        <w:t xml:space="preserve">PET/CT, the Proposed Project ensures timely, evidence-based care for a high-risk population, thereby advancing health equity and addressing a widespread and devastating disease with the most effective diagnostic technology available. These advantages directly align with the Determination of Need Program’s criteria </w:t>
      </w:r>
      <w:proofErr w:type="gramStart"/>
      <w:r w:rsidRPr="00C11123">
        <w:rPr>
          <w:rFonts w:cs="Arial"/>
          <w:sz w:val="22"/>
          <w:szCs w:val="22"/>
        </w:rPr>
        <w:t>of</w:t>
      </w:r>
      <w:proofErr w:type="gramEnd"/>
      <w:r w:rsidRPr="00C11123">
        <w:rPr>
          <w:rFonts w:cs="Arial"/>
          <w:sz w:val="22"/>
          <w:szCs w:val="22"/>
        </w:rPr>
        <w:t xml:space="preserve"> improving clinical outcomes, reducing resource utilization, and enhancing patient safety. </w:t>
      </w:r>
    </w:p>
    <w:p w14:paraId="6768BED8" w14:textId="77777777" w:rsidR="00E762B4" w:rsidRDefault="00E762B4" w:rsidP="00CC6024">
      <w:pPr>
        <w:spacing w:after="0" w:line="240" w:lineRule="auto"/>
        <w:jc w:val="both"/>
        <w:rPr>
          <w:rFonts w:cs="Arial"/>
          <w:b/>
          <w:bCs/>
          <w:sz w:val="22"/>
          <w:szCs w:val="22"/>
        </w:rPr>
      </w:pPr>
    </w:p>
    <w:p w14:paraId="2F72455C" w14:textId="77777777" w:rsidR="00E762B4" w:rsidRPr="00C11123" w:rsidRDefault="00E762B4" w:rsidP="00CC6024">
      <w:pPr>
        <w:spacing w:after="0" w:line="240" w:lineRule="auto"/>
        <w:jc w:val="both"/>
        <w:rPr>
          <w:rFonts w:cs="Arial"/>
          <w:b/>
          <w:bCs/>
          <w:sz w:val="22"/>
          <w:szCs w:val="22"/>
        </w:rPr>
      </w:pPr>
    </w:p>
    <w:p w14:paraId="3561002D" w14:textId="3BE00016" w:rsidR="00A34DFB" w:rsidRPr="00C11123" w:rsidRDefault="00000000" w:rsidP="00094699">
      <w:pPr>
        <w:pStyle w:val="Heading2"/>
      </w:pPr>
      <w:r w:rsidRPr="00C11123">
        <w:t>F1.</w:t>
      </w:r>
      <w:proofErr w:type="gramStart"/>
      <w:r w:rsidRPr="00C11123">
        <w:t>b.ii.</w:t>
      </w:r>
      <w:proofErr w:type="gramEnd"/>
      <w:r w:rsidRPr="00C11123">
        <w:t xml:space="preserve"> </w:t>
      </w:r>
      <w:r w:rsidRPr="00C11123">
        <w:tab/>
      </w:r>
      <w:r w:rsidRPr="00094699">
        <w:rPr>
          <w:u w:val="single"/>
        </w:rPr>
        <w:t xml:space="preserve">Public Health Value /Outcome-Oriented </w:t>
      </w:r>
    </w:p>
    <w:p w14:paraId="4FB3F7BE" w14:textId="7A94B141" w:rsidR="00A34DFB" w:rsidRPr="00C11123" w:rsidRDefault="00000000" w:rsidP="00CC6024">
      <w:pPr>
        <w:spacing w:after="0" w:line="240" w:lineRule="auto"/>
        <w:jc w:val="both"/>
        <w:rPr>
          <w:rFonts w:cs="Arial"/>
          <w:b/>
          <w:bCs/>
          <w:sz w:val="22"/>
          <w:szCs w:val="22"/>
        </w:rPr>
      </w:pPr>
      <w:r w:rsidRPr="00C11123">
        <w:rPr>
          <w:rFonts w:cs="Arial"/>
          <w:b/>
          <w:bCs/>
          <w:sz w:val="22"/>
          <w:szCs w:val="22"/>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2E1F52AA" w14:textId="77777777" w:rsidR="00B65784" w:rsidRPr="00C11123" w:rsidRDefault="00B65784" w:rsidP="00CC6024">
      <w:pPr>
        <w:spacing w:after="0" w:line="240" w:lineRule="auto"/>
        <w:jc w:val="both"/>
        <w:rPr>
          <w:rFonts w:cs="Arial"/>
          <w:b/>
          <w:bCs/>
          <w:sz w:val="22"/>
          <w:szCs w:val="22"/>
        </w:rPr>
      </w:pPr>
    </w:p>
    <w:p w14:paraId="04CD7318" w14:textId="77777777" w:rsidR="00294D85" w:rsidRPr="00D76BBF" w:rsidRDefault="00000000" w:rsidP="00094699">
      <w:pPr>
        <w:pStyle w:val="Heading3"/>
        <w:numPr>
          <w:ilvl w:val="0"/>
          <w:numId w:val="38"/>
        </w:numPr>
      </w:pPr>
      <w:r w:rsidRPr="00D76BBF">
        <w:t>Improving Outcomes by Building Trust and Facilitating Care</w:t>
      </w:r>
    </w:p>
    <w:p w14:paraId="58C5251A"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1E2D37EE" w14:textId="77777777" w:rsidR="00294D85" w:rsidRPr="00C11123" w:rsidRDefault="00000000" w:rsidP="00D70747">
      <w:pPr>
        <w:widowControl w:val="0"/>
        <w:autoSpaceDE w:val="0"/>
        <w:autoSpaceDN w:val="0"/>
        <w:spacing w:after="0" w:line="240" w:lineRule="auto"/>
        <w:ind w:right="369"/>
        <w:jc w:val="both"/>
        <w:rPr>
          <w:rFonts w:eastAsia="Calibri" w:cs="Arial"/>
          <w:kern w:val="0"/>
          <w:sz w:val="22"/>
          <w:szCs w:val="22"/>
          <w14:ligatures w14:val="none"/>
        </w:rPr>
      </w:pPr>
      <w:r w:rsidRPr="00C11123">
        <w:rPr>
          <w:rFonts w:eastAsia="Calibri" w:cs="Arial"/>
          <w:kern w:val="0"/>
          <w:sz w:val="22"/>
          <w:szCs w:val="22"/>
          <w14:ligatures w14:val="none"/>
        </w:rPr>
        <w:t xml:space="preserve">As a urology-specific practice, the Applicant is deeply committed to improving prostate cancer outcomes for </w:t>
      </w:r>
      <w:proofErr w:type="gramStart"/>
      <w:r w:rsidRPr="00C11123">
        <w:rPr>
          <w:rFonts w:eastAsia="Calibri" w:cs="Arial"/>
          <w:kern w:val="0"/>
          <w:sz w:val="22"/>
          <w:szCs w:val="22"/>
          <w14:ligatures w14:val="none"/>
        </w:rPr>
        <w:t>all of</w:t>
      </w:r>
      <w:proofErr w:type="gramEnd"/>
      <w:r w:rsidRPr="00C11123">
        <w:rPr>
          <w:rFonts w:eastAsia="Calibri" w:cs="Arial"/>
          <w:kern w:val="0"/>
          <w:sz w:val="22"/>
          <w:szCs w:val="22"/>
          <w14:ligatures w14:val="none"/>
        </w:rPr>
        <w:t xml:space="preserve"> its patients in the Commonwealth. The Applicant has developed the Proposed Project to build upon the trust it has developed with its patients, as the Applicant understands the importance of mutual trust and respect between patients and care providers and the improved outcomes that can result from patients having early and continued access to quality care and a stable, dedicated, trusted care team.</w:t>
      </w:r>
      <w:r>
        <w:rPr>
          <w:rFonts w:eastAsia="Calibri" w:cs="Arial"/>
          <w:kern w:val="0"/>
          <w:sz w:val="22"/>
          <w:szCs w:val="22"/>
          <w:vertAlign w:val="superscript"/>
          <w14:ligatures w14:val="none"/>
        </w:rPr>
        <w:footnoteReference w:id="116"/>
      </w:r>
      <w:r w:rsidRPr="00C11123">
        <w:rPr>
          <w:rFonts w:eastAsia="Calibri" w:cs="Arial"/>
          <w:kern w:val="0"/>
          <w:sz w:val="22"/>
          <w:szCs w:val="22"/>
          <w14:ligatures w14:val="none"/>
        </w:rPr>
        <w:t xml:space="preserve"> The Applicant fully believes that “patients who trust their clinicians … report a higher quality of life, increased satisfaction with care, better adherence to treatment, and have better and more sustainable health outcomes” and views the Proposed Project as an essential component of trust-building with its prostate </w:t>
      </w:r>
      <w:r w:rsidRPr="00C11123">
        <w:rPr>
          <w:rFonts w:eastAsia="Calibri" w:cs="Arial"/>
          <w:kern w:val="0"/>
          <w:sz w:val="22"/>
          <w:szCs w:val="22"/>
          <w14:ligatures w14:val="none"/>
        </w:rPr>
        <w:lastRenderedPageBreak/>
        <w:t>cancer patients.</w:t>
      </w:r>
      <w:r>
        <w:rPr>
          <w:rFonts w:eastAsia="Calibri" w:cs="Arial"/>
          <w:kern w:val="0"/>
          <w:sz w:val="22"/>
          <w:szCs w:val="22"/>
          <w:vertAlign w:val="superscript"/>
          <w14:ligatures w14:val="none"/>
        </w:rPr>
        <w:footnoteReference w:id="117"/>
      </w:r>
      <w:r w:rsidRPr="00C11123">
        <w:rPr>
          <w:rFonts w:eastAsia="Calibri" w:cs="Arial"/>
          <w:kern w:val="0"/>
          <w:sz w:val="22"/>
          <w:szCs w:val="22"/>
          <w14:ligatures w14:val="none"/>
        </w:rPr>
        <w:t xml:space="preserve"> </w:t>
      </w:r>
    </w:p>
    <w:p w14:paraId="47C76500"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477A8C0A" w14:textId="77777777" w:rsidR="00294D85" w:rsidRPr="00C11123" w:rsidRDefault="00000000" w:rsidP="00D70747">
      <w:pPr>
        <w:widowControl w:val="0"/>
        <w:autoSpaceDE w:val="0"/>
        <w:autoSpaceDN w:val="0"/>
        <w:spacing w:after="0" w:line="240" w:lineRule="auto"/>
        <w:ind w:right="369"/>
        <w:jc w:val="both"/>
        <w:rPr>
          <w:rFonts w:eastAsia="Calibri" w:cs="Arial"/>
          <w:kern w:val="0"/>
          <w:sz w:val="22"/>
          <w:szCs w:val="22"/>
          <w14:ligatures w14:val="none"/>
        </w:rPr>
      </w:pPr>
      <w:r w:rsidRPr="00C11123">
        <w:rPr>
          <w:rFonts w:eastAsia="Calibri" w:cs="Arial"/>
          <w:kern w:val="0"/>
          <w:sz w:val="22"/>
          <w:szCs w:val="22"/>
          <w14:ligatures w14:val="none"/>
        </w:rPr>
        <w:t>The Applicant views continuity of care, together with ease of scheduling and a unified care program, as essential to developing this trust.</w:t>
      </w:r>
      <w:r>
        <w:rPr>
          <w:rFonts w:eastAsia="Calibri" w:cs="Arial"/>
          <w:kern w:val="0"/>
          <w:sz w:val="22"/>
          <w:szCs w:val="22"/>
          <w:vertAlign w:val="superscript"/>
          <w14:ligatures w14:val="none"/>
        </w:rPr>
        <w:footnoteReference w:id="118"/>
      </w:r>
      <w:r w:rsidRPr="00C11123">
        <w:rPr>
          <w:rFonts w:eastAsia="Calibri" w:cs="Arial"/>
          <w:kern w:val="0"/>
          <w:sz w:val="22"/>
          <w:szCs w:val="22"/>
          <w14:ligatures w14:val="none"/>
        </w:rPr>
        <w:t xml:space="preserve"> The Applicant regularly sees the frustration patients feel when they are referred to outside practices for further scans and face nerve-wracking wait times, complicated by the administrative and logistical burdens associated with traveling to and paying for a new care provider. By receiving scanning services from their existing care provider, Applicant’s patients will benefit not only from shorter wait times, but also from using familiar scheduling and payment systems and meeting with familiar faces. This integration of care will continue throughout the treatment process, with any additional required scans handled onsite and reviewed by professionals already engaged in the applicable patient’s care. </w:t>
      </w:r>
      <w:proofErr w:type="gramStart"/>
      <w:r w:rsidRPr="00C11123">
        <w:rPr>
          <w:rFonts w:eastAsia="Calibri" w:cs="Arial"/>
          <w:kern w:val="0"/>
          <w:sz w:val="22"/>
          <w:szCs w:val="22"/>
          <w14:ligatures w14:val="none"/>
        </w:rPr>
        <w:t>All of</w:t>
      </w:r>
      <w:proofErr w:type="gramEnd"/>
      <w:r w:rsidRPr="00C11123">
        <w:rPr>
          <w:rFonts w:eastAsia="Calibri" w:cs="Arial"/>
          <w:kern w:val="0"/>
          <w:sz w:val="22"/>
          <w:szCs w:val="22"/>
          <w14:ligatures w14:val="none"/>
        </w:rPr>
        <w:t xml:space="preserve"> these factors will promote trust, therefore improving patient outcomes.</w:t>
      </w:r>
    </w:p>
    <w:p w14:paraId="435B29B5"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1B5BE8F0" w14:textId="1B701533" w:rsidR="00294D85" w:rsidRPr="00C11123" w:rsidRDefault="00000000" w:rsidP="00D70747">
      <w:pPr>
        <w:widowControl w:val="0"/>
        <w:autoSpaceDE w:val="0"/>
        <w:autoSpaceDN w:val="0"/>
        <w:spacing w:after="0" w:line="240" w:lineRule="auto"/>
        <w:ind w:right="369"/>
        <w:jc w:val="both"/>
        <w:rPr>
          <w:rFonts w:eastAsia="Calibri" w:cs="Arial"/>
          <w:kern w:val="0"/>
          <w:sz w:val="22"/>
          <w:szCs w:val="22"/>
          <w14:ligatures w14:val="none"/>
        </w:rPr>
      </w:pPr>
      <w:r w:rsidRPr="00C11123">
        <w:rPr>
          <w:rFonts w:eastAsia="Calibri" w:cs="Arial"/>
          <w:kern w:val="0"/>
          <w:sz w:val="22"/>
          <w:szCs w:val="22"/>
          <w14:ligatures w14:val="none"/>
        </w:rPr>
        <w:t xml:space="preserve">Additionally, the Applicant’s patients </w:t>
      </w:r>
      <w:r w:rsidR="00C15CD8" w:rsidRPr="00C11123">
        <w:rPr>
          <w:rFonts w:eastAsia="Calibri" w:cs="Arial"/>
          <w:kern w:val="0"/>
          <w:sz w:val="22"/>
          <w:szCs w:val="22"/>
          <w14:ligatures w14:val="none"/>
        </w:rPr>
        <w:t xml:space="preserve">will not </w:t>
      </w:r>
      <w:r w:rsidRPr="00C11123">
        <w:rPr>
          <w:rFonts w:eastAsia="Calibri" w:cs="Arial"/>
          <w:kern w:val="0"/>
          <w:sz w:val="22"/>
          <w:szCs w:val="22"/>
          <w14:ligatures w14:val="none"/>
        </w:rPr>
        <w:t>face the transportation issues currently associated with outside referrals. As discussed elsewhere</w:t>
      </w:r>
      <w:r w:rsidR="007845C8" w:rsidRPr="00C11123">
        <w:rPr>
          <w:rFonts w:eastAsia="Calibri" w:cs="Arial"/>
          <w:kern w:val="0"/>
          <w:sz w:val="22"/>
          <w:szCs w:val="22"/>
          <w14:ligatures w14:val="none"/>
        </w:rPr>
        <w:t xml:space="preserve"> in this Application</w:t>
      </w:r>
      <w:r w:rsidRPr="00C11123">
        <w:rPr>
          <w:rFonts w:eastAsia="Calibri" w:cs="Arial"/>
          <w:kern w:val="0"/>
          <w:sz w:val="22"/>
          <w:szCs w:val="22"/>
          <w14:ligatures w14:val="none"/>
        </w:rPr>
        <w:t xml:space="preserve">, the Applicant is committed to ensuring that all patients can access care, so will be regularly moving the PSMA/CT unit between three (3) locations across Metro-Boston and South Shore Massachusetts, all of which accessible by major highways and a variety of public transportation options. The Applicant will </w:t>
      </w:r>
      <w:r w:rsidR="00893572" w:rsidRPr="00C11123">
        <w:rPr>
          <w:rFonts w:eastAsia="Calibri" w:cs="Arial"/>
          <w:kern w:val="0"/>
          <w:sz w:val="22"/>
          <w:szCs w:val="22"/>
          <w14:ligatures w14:val="none"/>
        </w:rPr>
        <w:t>deploy a weekly rotating</w:t>
      </w:r>
      <w:r w:rsidRPr="00C11123">
        <w:rPr>
          <w:rFonts w:eastAsia="Calibri" w:cs="Arial"/>
          <w:kern w:val="0"/>
          <w:sz w:val="22"/>
          <w:szCs w:val="22"/>
          <w14:ligatures w14:val="none"/>
        </w:rPr>
        <w:t xml:space="preserve"> travel schedule for the unit, </w:t>
      </w:r>
      <w:r w:rsidR="009745A7" w:rsidRPr="00C11123">
        <w:rPr>
          <w:rFonts w:eastAsia="Calibri" w:cs="Arial"/>
          <w:kern w:val="0"/>
          <w:sz w:val="22"/>
          <w:szCs w:val="22"/>
          <w14:ligatures w14:val="none"/>
        </w:rPr>
        <w:t xml:space="preserve">and </w:t>
      </w:r>
      <w:r w:rsidRPr="00C11123">
        <w:rPr>
          <w:rFonts w:eastAsia="Calibri" w:cs="Arial"/>
          <w:kern w:val="0"/>
          <w:sz w:val="22"/>
          <w:szCs w:val="22"/>
          <w14:ligatures w14:val="none"/>
        </w:rPr>
        <w:t xml:space="preserve">so will be able to respond </w:t>
      </w:r>
      <w:r w:rsidR="003123DA" w:rsidRPr="00C11123">
        <w:rPr>
          <w:rFonts w:eastAsia="Calibri" w:cs="Arial"/>
          <w:kern w:val="0"/>
          <w:sz w:val="22"/>
          <w:szCs w:val="22"/>
          <w14:ligatures w14:val="none"/>
        </w:rPr>
        <w:t>equitably</w:t>
      </w:r>
      <w:r w:rsidRPr="00C11123">
        <w:rPr>
          <w:rFonts w:eastAsia="Calibri" w:cs="Arial"/>
          <w:kern w:val="0"/>
          <w:sz w:val="22"/>
          <w:szCs w:val="22"/>
          <w14:ligatures w14:val="none"/>
        </w:rPr>
        <w:t xml:space="preserve"> to increased needs in particular offices and locations, preventing backlogs. By removing this point of friction and providing patients with imaging options within trusted environments, the Applicant expects that patients will more quickly and routinely follow up on imaging referrals and feel a higher level of comfort with results. </w:t>
      </w:r>
    </w:p>
    <w:p w14:paraId="3003ED0B"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21A99F22" w14:textId="0BD63E51" w:rsidR="00294D85" w:rsidRPr="00C11123" w:rsidRDefault="00000000" w:rsidP="00D70747">
      <w:pPr>
        <w:widowControl w:val="0"/>
        <w:autoSpaceDE w:val="0"/>
        <w:autoSpaceDN w:val="0"/>
        <w:spacing w:after="0" w:line="240" w:lineRule="auto"/>
        <w:ind w:right="369"/>
        <w:jc w:val="both"/>
        <w:rPr>
          <w:rFonts w:eastAsia="Calibri" w:cs="Arial"/>
          <w:kern w:val="0"/>
          <w:sz w:val="22"/>
          <w:szCs w:val="22"/>
          <w14:ligatures w14:val="none"/>
        </w:rPr>
      </w:pPr>
      <w:r w:rsidRPr="00C11123">
        <w:rPr>
          <w:rFonts w:eastAsia="Calibri" w:cs="Arial"/>
          <w:kern w:val="0"/>
          <w:sz w:val="22"/>
          <w:szCs w:val="22"/>
          <w14:ligatures w14:val="none"/>
        </w:rPr>
        <w:t xml:space="preserve">A crucial component of the Applicant’s plan to improve health outcomes is the Nurse Navigator. As discussed elsewhere in this </w:t>
      </w:r>
      <w:r w:rsidR="00A1117A" w:rsidRPr="00C11123">
        <w:rPr>
          <w:rFonts w:eastAsia="Calibri" w:cs="Arial"/>
          <w:kern w:val="0"/>
          <w:sz w:val="22"/>
          <w:szCs w:val="22"/>
          <w14:ligatures w14:val="none"/>
        </w:rPr>
        <w:t>Application</w:t>
      </w:r>
      <w:r w:rsidRPr="00C11123">
        <w:rPr>
          <w:rFonts w:eastAsia="Calibri" w:cs="Arial"/>
          <w:kern w:val="0"/>
          <w:sz w:val="22"/>
          <w:szCs w:val="22"/>
          <w14:ligatures w14:val="none"/>
        </w:rPr>
        <w:t xml:space="preserve">, the Nurse Navigator will be a designated point of care for patients, helping to meaningfully reduce barriers to care and provide patients and their caregivers with an extra level of support. The Nurse Navigator will also serve to develop and foster the trust the Applicant views as essential to improving outcomes for patients, particularly those who may have felt disenfranchised or unsupported in other care settings.  </w:t>
      </w:r>
    </w:p>
    <w:p w14:paraId="034A908E"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5E9849B6" w14:textId="77777777" w:rsidR="00294D85" w:rsidRPr="00C11123" w:rsidRDefault="00000000" w:rsidP="00D70747">
      <w:pPr>
        <w:widowControl w:val="0"/>
        <w:autoSpaceDE w:val="0"/>
        <w:autoSpaceDN w:val="0"/>
        <w:spacing w:after="0" w:line="240" w:lineRule="auto"/>
        <w:ind w:right="369"/>
        <w:jc w:val="both"/>
        <w:rPr>
          <w:rFonts w:eastAsia="Calibri" w:cs="Arial"/>
          <w:kern w:val="0"/>
          <w:sz w:val="22"/>
          <w:szCs w:val="22"/>
          <w14:ligatures w14:val="none"/>
        </w:rPr>
      </w:pPr>
      <w:r w:rsidRPr="00C11123">
        <w:rPr>
          <w:rFonts w:eastAsia="Calibri" w:cs="Arial"/>
          <w:kern w:val="0"/>
          <w:sz w:val="22"/>
          <w:szCs w:val="22"/>
          <w14:ligatures w14:val="none"/>
        </w:rPr>
        <w:t>The development of trust is particularly important among Black Americans who, in addition to being at a higher risk of prostate cancer, also report a lower historic level of trust in the healthcare system than their White peers.</w:t>
      </w:r>
      <w:r>
        <w:rPr>
          <w:rFonts w:eastAsia="Calibri" w:cs="Arial"/>
          <w:kern w:val="0"/>
          <w:sz w:val="22"/>
          <w:szCs w:val="22"/>
          <w:vertAlign w:val="superscript"/>
          <w14:ligatures w14:val="none"/>
        </w:rPr>
        <w:footnoteReference w:id="119"/>
      </w:r>
      <w:r w:rsidRPr="00C11123">
        <w:rPr>
          <w:rFonts w:eastAsia="Calibri" w:cs="Arial"/>
          <w:kern w:val="0"/>
          <w:sz w:val="22"/>
          <w:szCs w:val="22"/>
          <w14:ligatures w14:val="none"/>
        </w:rPr>
        <w:t xml:space="preserve"> Studies have shown that, across races, patients are more likely to trust their personal doctor, with whom they have a developed relationship.</w:t>
      </w:r>
      <w:r>
        <w:rPr>
          <w:rFonts w:eastAsia="Calibri" w:cs="Arial"/>
          <w:kern w:val="0"/>
          <w:sz w:val="22"/>
          <w:szCs w:val="22"/>
          <w:vertAlign w:val="superscript"/>
          <w14:ligatures w14:val="none"/>
        </w:rPr>
        <w:footnoteReference w:id="120"/>
      </w:r>
      <w:r w:rsidRPr="00C11123">
        <w:rPr>
          <w:rFonts w:eastAsia="Calibri" w:cs="Arial"/>
          <w:kern w:val="0"/>
          <w:sz w:val="22"/>
          <w:szCs w:val="22"/>
          <w14:ligatures w14:val="none"/>
        </w:rPr>
        <w:t xml:space="preserve"> The Applicant therefore views the development of trust as supporting not only patient outcomes but also in supporting patients who feel historical mistrust of healthcare systems, which might delay diagnosis and negatively impact prognosis.  </w:t>
      </w:r>
    </w:p>
    <w:p w14:paraId="1350B8D1"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1ACEF169" w14:textId="77777777" w:rsidR="00294D85" w:rsidRPr="00C11123" w:rsidRDefault="00000000" w:rsidP="00D76BBF">
      <w:pPr>
        <w:pStyle w:val="Heading3"/>
        <w:numPr>
          <w:ilvl w:val="0"/>
          <w:numId w:val="38"/>
        </w:numPr>
      </w:pPr>
      <w:r w:rsidRPr="00C11123">
        <w:t>Assessing the Impact of the Proposed Project</w:t>
      </w:r>
    </w:p>
    <w:p w14:paraId="10100790"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51FEDE8D" w14:textId="77777777" w:rsidR="00294D85" w:rsidRPr="00C11123" w:rsidRDefault="00000000" w:rsidP="00D70747">
      <w:pPr>
        <w:widowControl w:val="0"/>
        <w:autoSpaceDE w:val="0"/>
        <w:autoSpaceDN w:val="0"/>
        <w:spacing w:after="0" w:line="240" w:lineRule="auto"/>
        <w:ind w:right="369"/>
        <w:jc w:val="both"/>
        <w:rPr>
          <w:rFonts w:eastAsia="Calibri" w:cs="Arial"/>
          <w:kern w:val="0"/>
          <w:sz w:val="22"/>
          <w:szCs w:val="22"/>
          <w14:ligatures w14:val="none"/>
        </w:rPr>
      </w:pPr>
      <w:r w:rsidRPr="00C11123">
        <w:rPr>
          <w:rFonts w:eastAsia="Calibri" w:cs="Arial"/>
          <w:kern w:val="0"/>
          <w:sz w:val="22"/>
          <w:szCs w:val="22"/>
          <w14:ligatures w14:val="none"/>
        </w:rPr>
        <w:t xml:space="preserve">Applicant will regularly assess the impact of the Proposed Project by following the below quality metrics and reporting measures. </w:t>
      </w:r>
    </w:p>
    <w:p w14:paraId="39ACACC0"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306C2050" w14:textId="77777777" w:rsidR="00294D85" w:rsidRPr="00BD13BF" w:rsidRDefault="00000000" w:rsidP="00BD13BF">
      <w:pPr>
        <w:pStyle w:val="Heading4"/>
        <w:numPr>
          <w:ilvl w:val="0"/>
          <w:numId w:val="39"/>
        </w:numPr>
        <w:rPr>
          <w:b/>
          <w:bCs/>
          <w:u w:val="none"/>
        </w:rPr>
      </w:pPr>
      <w:r w:rsidRPr="00BD13BF">
        <w:rPr>
          <w:b/>
          <w:bCs/>
          <w:u w:val="none"/>
        </w:rPr>
        <w:t xml:space="preserve">Patient Satisfaction and Trust. </w:t>
      </w:r>
    </w:p>
    <w:p w14:paraId="3F205961"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5711C08B" w14:textId="191DF1AC"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Method:</w:t>
      </w:r>
      <w:r w:rsidRPr="00C11123">
        <w:rPr>
          <w:rFonts w:eastAsia="Calibri" w:cs="Arial"/>
          <w:kern w:val="0"/>
          <w:sz w:val="22"/>
          <w:szCs w:val="22"/>
          <w14:ligatures w14:val="none"/>
        </w:rPr>
        <w:t xml:space="preserve"> The Applicant will</w:t>
      </w:r>
      <w:r w:rsidR="00E46689" w:rsidRPr="00C11123">
        <w:rPr>
          <w:rFonts w:eastAsia="Calibri" w:cs="Arial"/>
          <w:kern w:val="0"/>
          <w:sz w:val="22"/>
          <w:szCs w:val="22"/>
          <w14:ligatures w14:val="none"/>
        </w:rPr>
        <w:t xml:space="preserve"> send each patient a survey via text after the patient’s appointment </w:t>
      </w:r>
      <w:r w:rsidRPr="00C11123">
        <w:rPr>
          <w:rFonts w:eastAsia="Calibri" w:cs="Arial"/>
          <w:kern w:val="0"/>
          <w:sz w:val="22"/>
          <w:szCs w:val="22"/>
          <w14:ligatures w14:val="none"/>
        </w:rPr>
        <w:t xml:space="preserve">to determine their level of satisfaction with the Proposed Project, together with the wrap-around services provided by the Applicant in relation to Proposed Project, including the Nurse Navigator and other services. </w:t>
      </w:r>
    </w:p>
    <w:p w14:paraId="5F147A52"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2FA59639" w14:textId="77777777"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Projections: </w:t>
      </w:r>
      <w:r w:rsidRPr="00C11123">
        <w:rPr>
          <w:rFonts w:eastAsia="Calibri" w:cs="Arial"/>
          <w:kern w:val="0"/>
          <w:sz w:val="22"/>
          <w:szCs w:val="22"/>
          <w14:ligatures w14:val="none"/>
        </w:rPr>
        <w:t xml:space="preserve">The Applicant will develop a baseline following one full year of operation of the Proposed Project. As an initial step, the Applicant will compare survey results for the Proposed Project to existing surveys for Applicant’s other services. </w:t>
      </w:r>
    </w:p>
    <w:p w14:paraId="7E80DAE6"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305AB3B9" w14:textId="77777777"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Monitoring: </w:t>
      </w:r>
      <w:r w:rsidRPr="00C11123">
        <w:rPr>
          <w:rFonts w:eastAsia="Calibri" w:cs="Arial"/>
          <w:kern w:val="0"/>
          <w:sz w:val="22"/>
          <w:szCs w:val="22"/>
          <w14:ligatures w14:val="none"/>
        </w:rPr>
        <w:t>The Applicant will regularly review and respond to survey results. The Applicant will work with Nurse Navigators and other employees to ensure that they are improving in response to survey results and provide additional training as necessary.</w:t>
      </w:r>
    </w:p>
    <w:p w14:paraId="22AD97F3"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78AB13A6" w14:textId="77777777" w:rsidR="00294D85" w:rsidRPr="00C11123" w:rsidRDefault="00000000" w:rsidP="00BD13BF">
      <w:pPr>
        <w:pStyle w:val="Heading4"/>
      </w:pPr>
      <w:r w:rsidRPr="00BD13BF">
        <w:rPr>
          <w:b/>
          <w:bCs/>
          <w:u w:val="none"/>
        </w:rPr>
        <w:t>Scheduling</w:t>
      </w:r>
      <w:r w:rsidRPr="00C11123">
        <w:t xml:space="preserve">. </w:t>
      </w:r>
    </w:p>
    <w:p w14:paraId="561DC75B" w14:textId="77777777" w:rsidR="00294D85" w:rsidRPr="00C11123" w:rsidRDefault="00294D85" w:rsidP="00D70747">
      <w:pPr>
        <w:widowControl w:val="0"/>
        <w:autoSpaceDE w:val="0"/>
        <w:autoSpaceDN w:val="0"/>
        <w:spacing w:after="0" w:line="240" w:lineRule="auto"/>
        <w:ind w:left="720" w:right="369"/>
        <w:jc w:val="both"/>
        <w:rPr>
          <w:rFonts w:eastAsia="Calibri" w:cs="Arial"/>
          <w:b/>
          <w:bCs/>
          <w:kern w:val="0"/>
          <w:sz w:val="22"/>
          <w:szCs w:val="22"/>
          <w14:ligatures w14:val="none"/>
        </w:rPr>
      </w:pPr>
    </w:p>
    <w:p w14:paraId="4F75D83B" w14:textId="77777777"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Method: </w:t>
      </w:r>
      <w:r w:rsidRPr="00C11123">
        <w:rPr>
          <w:rFonts w:eastAsia="Calibri" w:cs="Arial"/>
          <w:kern w:val="0"/>
          <w:sz w:val="22"/>
          <w:szCs w:val="22"/>
          <w14:ligatures w14:val="none"/>
        </w:rPr>
        <w:t xml:space="preserve">From the initiation of the Proposed Project, the Applicant will continually review the scheduling and turnaround times of the PSMA/CT unit and determine whether its schedule must be altered to ensure that patients have short wait times. </w:t>
      </w:r>
    </w:p>
    <w:p w14:paraId="76F53808"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38737AA0" w14:textId="1842934E"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Projections: </w:t>
      </w:r>
      <w:r w:rsidRPr="00C11123">
        <w:rPr>
          <w:rFonts w:eastAsia="Calibri" w:cs="Arial"/>
          <w:kern w:val="0"/>
          <w:sz w:val="22"/>
          <w:szCs w:val="22"/>
          <w14:ligatures w14:val="none"/>
        </w:rPr>
        <w:t xml:space="preserve">The Applicant anticipates that the PSMA/CT unit will be at each of the three (3) offices at least once a week. It anticipates that all patients will be able to be scheduled within 2 weeks of referral. </w:t>
      </w:r>
    </w:p>
    <w:p w14:paraId="41341F5F"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07A451C9" w14:textId="77777777"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Monitoring: </w:t>
      </w:r>
      <w:r w:rsidRPr="00C11123">
        <w:rPr>
          <w:rFonts w:eastAsia="Calibri" w:cs="Arial"/>
          <w:kern w:val="0"/>
          <w:sz w:val="22"/>
          <w:szCs w:val="22"/>
          <w14:ligatures w14:val="none"/>
        </w:rPr>
        <w:t xml:space="preserve">The Applicant will re-evaluate the PSMA/CT unit’s travel schedule each quarter and determine, based on the wait times faced by patients at each office, whether adjustments to the schedule are required. </w:t>
      </w:r>
    </w:p>
    <w:p w14:paraId="45E2506E"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16345F95" w14:textId="77777777" w:rsidR="00294D85" w:rsidRPr="00BD13BF" w:rsidRDefault="00000000" w:rsidP="00BD13BF">
      <w:pPr>
        <w:pStyle w:val="Heading4"/>
        <w:rPr>
          <w:b/>
          <w:bCs/>
          <w:u w:val="none"/>
        </w:rPr>
      </w:pPr>
      <w:r w:rsidRPr="00BD13BF">
        <w:rPr>
          <w:b/>
          <w:bCs/>
          <w:u w:val="none"/>
        </w:rPr>
        <w:t xml:space="preserve">Quality of Care – Critical Value Reporting. </w:t>
      </w:r>
    </w:p>
    <w:p w14:paraId="7243A5E0" w14:textId="77777777" w:rsidR="00294D85" w:rsidRPr="00C11123" w:rsidRDefault="00294D85" w:rsidP="00D70747">
      <w:pPr>
        <w:widowControl w:val="0"/>
        <w:autoSpaceDE w:val="0"/>
        <w:autoSpaceDN w:val="0"/>
        <w:spacing w:after="0" w:line="240" w:lineRule="auto"/>
        <w:ind w:right="369"/>
        <w:jc w:val="both"/>
        <w:rPr>
          <w:rFonts w:eastAsia="Calibri" w:cs="Arial"/>
          <w:kern w:val="0"/>
          <w:sz w:val="22"/>
          <w:szCs w:val="22"/>
          <w14:ligatures w14:val="none"/>
        </w:rPr>
      </w:pPr>
    </w:p>
    <w:p w14:paraId="283F7EE8" w14:textId="1F2265E2"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Method: </w:t>
      </w:r>
      <w:r w:rsidRPr="00C11123">
        <w:rPr>
          <w:rFonts w:eastAsia="Calibri" w:cs="Arial"/>
          <w:kern w:val="0"/>
          <w:sz w:val="22"/>
          <w:szCs w:val="22"/>
          <w14:ligatures w14:val="none"/>
        </w:rPr>
        <w:t>Abnormal results will be promptly reported to the referring physician, who can access the integrated medi</w:t>
      </w:r>
      <w:r w:rsidR="00A561E4">
        <w:rPr>
          <w:rFonts w:eastAsia="Calibri" w:cs="Arial"/>
          <w:kern w:val="0"/>
          <w:sz w:val="22"/>
          <w:szCs w:val="22"/>
          <w14:ligatures w14:val="none"/>
        </w:rPr>
        <w:t>c</w:t>
      </w:r>
      <w:r w:rsidRPr="00C11123">
        <w:rPr>
          <w:rFonts w:eastAsia="Calibri" w:cs="Arial"/>
          <w:kern w:val="0"/>
          <w:sz w:val="22"/>
          <w:szCs w:val="22"/>
          <w14:ligatures w14:val="none"/>
        </w:rPr>
        <w:t xml:space="preserve">al record to review results and communicate with the radiologist, as necessary. </w:t>
      </w:r>
    </w:p>
    <w:p w14:paraId="26F45FED"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0810D22E" w14:textId="2C1299F9"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Projections: </w:t>
      </w:r>
      <w:r w:rsidRPr="00C11123">
        <w:rPr>
          <w:rFonts w:eastAsia="Calibri" w:cs="Arial"/>
          <w:kern w:val="0"/>
          <w:sz w:val="22"/>
          <w:szCs w:val="22"/>
          <w14:ligatures w14:val="none"/>
        </w:rPr>
        <w:t xml:space="preserve">Baseline: 100% of abnormal results reported within </w:t>
      </w:r>
      <w:r w:rsidR="002179BC" w:rsidRPr="00C11123">
        <w:rPr>
          <w:rFonts w:eastAsia="Calibri" w:cs="Arial"/>
          <w:kern w:val="0"/>
          <w:sz w:val="22"/>
          <w:szCs w:val="22"/>
          <w14:ligatures w14:val="none"/>
        </w:rPr>
        <w:t>24 hours</w:t>
      </w:r>
      <w:r w:rsidRPr="00C11123">
        <w:rPr>
          <w:rFonts w:eastAsia="Calibri" w:cs="Arial"/>
          <w:kern w:val="0"/>
          <w:sz w:val="22"/>
          <w:szCs w:val="22"/>
          <w14:ligatures w14:val="none"/>
        </w:rPr>
        <w:t xml:space="preserve"> of detection; Year 1: 100% of abnormal results reported within </w:t>
      </w:r>
      <w:r w:rsidR="002179BC" w:rsidRPr="00C11123">
        <w:rPr>
          <w:rFonts w:eastAsia="Calibri" w:cs="Arial"/>
          <w:kern w:val="0"/>
          <w:sz w:val="22"/>
          <w:szCs w:val="22"/>
          <w14:ligatures w14:val="none"/>
        </w:rPr>
        <w:t>24 hours</w:t>
      </w:r>
      <w:r w:rsidRPr="00C11123">
        <w:rPr>
          <w:rFonts w:eastAsia="Calibri" w:cs="Arial"/>
          <w:kern w:val="0"/>
          <w:sz w:val="22"/>
          <w:szCs w:val="22"/>
          <w14:ligatures w14:val="none"/>
        </w:rPr>
        <w:t xml:space="preserve"> of detection; Year 2: 100% of abnormal results reported within </w:t>
      </w:r>
      <w:r w:rsidR="002179BC" w:rsidRPr="00C11123">
        <w:rPr>
          <w:rFonts w:eastAsia="Calibri" w:cs="Arial"/>
          <w:kern w:val="0"/>
          <w:sz w:val="22"/>
          <w:szCs w:val="22"/>
          <w14:ligatures w14:val="none"/>
        </w:rPr>
        <w:t>24 hours</w:t>
      </w:r>
      <w:r w:rsidRPr="00C11123">
        <w:rPr>
          <w:rFonts w:eastAsia="Calibri" w:cs="Arial"/>
          <w:kern w:val="0"/>
          <w:sz w:val="22"/>
          <w:szCs w:val="22"/>
          <w14:ligatures w14:val="none"/>
        </w:rPr>
        <w:t xml:space="preserve"> of detection; Year 3: 100% of abnormal results reported within </w:t>
      </w:r>
      <w:r w:rsidR="002179BC" w:rsidRPr="00C11123">
        <w:rPr>
          <w:rFonts w:eastAsia="Calibri" w:cs="Arial"/>
          <w:kern w:val="0"/>
          <w:sz w:val="22"/>
          <w:szCs w:val="22"/>
          <w14:ligatures w14:val="none"/>
        </w:rPr>
        <w:t>24 hours</w:t>
      </w:r>
      <w:r w:rsidRPr="00C11123">
        <w:rPr>
          <w:rFonts w:eastAsia="Calibri" w:cs="Arial"/>
          <w:kern w:val="0"/>
          <w:sz w:val="22"/>
          <w:szCs w:val="22"/>
          <w14:ligatures w14:val="none"/>
        </w:rPr>
        <w:t xml:space="preserve"> of detection.</w:t>
      </w:r>
    </w:p>
    <w:p w14:paraId="085BE257" w14:textId="77777777" w:rsidR="00294D85" w:rsidRPr="00C11123" w:rsidRDefault="00294D85" w:rsidP="00D70747">
      <w:pPr>
        <w:widowControl w:val="0"/>
        <w:autoSpaceDE w:val="0"/>
        <w:autoSpaceDN w:val="0"/>
        <w:spacing w:after="0" w:line="240" w:lineRule="auto"/>
        <w:ind w:left="720" w:right="369"/>
        <w:jc w:val="both"/>
        <w:rPr>
          <w:rFonts w:eastAsia="Calibri" w:cs="Arial"/>
          <w:kern w:val="0"/>
          <w:sz w:val="22"/>
          <w:szCs w:val="22"/>
          <w14:ligatures w14:val="none"/>
        </w:rPr>
      </w:pPr>
    </w:p>
    <w:p w14:paraId="4806DCDA" w14:textId="77777777" w:rsidR="00294D85" w:rsidRPr="00C11123" w:rsidRDefault="00000000" w:rsidP="00D70747">
      <w:pPr>
        <w:widowControl w:val="0"/>
        <w:autoSpaceDE w:val="0"/>
        <w:autoSpaceDN w:val="0"/>
        <w:spacing w:after="0" w:line="240" w:lineRule="auto"/>
        <w:ind w:left="720" w:right="369"/>
        <w:jc w:val="both"/>
        <w:rPr>
          <w:rFonts w:eastAsia="Calibri" w:cs="Arial"/>
          <w:kern w:val="0"/>
          <w:sz w:val="22"/>
          <w:szCs w:val="22"/>
          <w14:ligatures w14:val="none"/>
        </w:rPr>
      </w:pPr>
      <w:r w:rsidRPr="00C11123">
        <w:rPr>
          <w:rFonts w:eastAsia="Calibri" w:cs="Arial"/>
          <w:b/>
          <w:bCs/>
          <w:i/>
          <w:iCs/>
          <w:kern w:val="0"/>
          <w:sz w:val="22"/>
          <w:szCs w:val="22"/>
          <w14:ligatures w14:val="none"/>
        </w:rPr>
        <w:t xml:space="preserve">Monitoring: </w:t>
      </w:r>
      <w:r w:rsidRPr="00C11123">
        <w:rPr>
          <w:rFonts w:eastAsia="Calibri" w:cs="Arial"/>
          <w:kern w:val="0"/>
          <w:sz w:val="22"/>
          <w:szCs w:val="22"/>
          <w14:ligatures w14:val="none"/>
        </w:rPr>
        <w:t xml:space="preserve">Failure to promptly report and upload results into the integrated medical system will prompt a notification for the radiologist. Repeated failures by radiologists to upload results may result in discipline or reassignment. </w:t>
      </w:r>
    </w:p>
    <w:p w14:paraId="4A536858" w14:textId="77777777" w:rsidR="00294D85" w:rsidRDefault="00294D85" w:rsidP="00D70747">
      <w:pPr>
        <w:widowControl w:val="0"/>
        <w:autoSpaceDE w:val="0"/>
        <w:autoSpaceDN w:val="0"/>
        <w:spacing w:after="0" w:line="240" w:lineRule="auto"/>
        <w:ind w:left="720" w:right="369"/>
        <w:jc w:val="both"/>
        <w:rPr>
          <w:rFonts w:eastAsia="Calibri" w:cs="Arial"/>
          <w:b/>
          <w:bCs/>
          <w:i/>
          <w:iCs/>
          <w:kern w:val="0"/>
          <w:sz w:val="22"/>
          <w:szCs w:val="22"/>
          <w14:ligatures w14:val="none"/>
        </w:rPr>
      </w:pPr>
    </w:p>
    <w:p w14:paraId="3C30DBD8" w14:textId="77777777" w:rsidR="005A466A" w:rsidRPr="00C11123" w:rsidRDefault="005A466A" w:rsidP="00D70747">
      <w:pPr>
        <w:widowControl w:val="0"/>
        <w:autoSpaceDE w:val="0"/>
        <w:autoSpaceDN w:val="0"/>
        <w:spacing w:after="0" w:line="240" w:lineRule="auto"/>
        <w:ind w:left="720" w:right="369"/>
        <w:jc w:val="both"/>
        <w:rPr>
          <w:rFonts w:eastAsia="Calibri" w:cs="Arial"/>
          <w:b/>
          <w:bCs/>
          <w:i/>
          <w:iCs/>
          <w:kern w:val="0"/>
          <w:sz w:val="22"/>
          <w:szCs w:val="22"/>
          <w14:ligatures w14:val="none"/>
        </w:rPr>
      </w:pPr>
    </w:p>
    <w:p w14:paraId="7CD6C6F1" w14:textId="6C98AD5C" w:rsidR="00294D85" w:rsidRPr="00421722" w:rsidRDefault="00000000" w:rsidP="00421722">
      <w:pPr>
        <w:pStyle w:val="Heading4"/>
        <w:rPr>
          <w:b/>
          <w:bCs/>
          <w:u w:val="none"/>
        </w:rPr>
      </w:pPr>
      <w:r w:rsidRPr="00421722">
        <w:rPr>
          <w:b/>
          <w:bCs/>
          <w:u w:val="none"/>
        </w:rPr>
        <w:lastRenderedPageBreak/>
        <w:t xml:space="preserve">Quality of Care – </w:t>
      </w:r>
      <w:r w:rsidR="00264E21" w:rsidRPr="00421722">
        <w:rPr>
          <w:b/>
          <w:bCs/>
          <w:u w:val="none"/>
        </w:rPr>
        <w:t>Diagnostic Accuracy and Interpret</w:t>
      </w:r>
      <w:r w:rsidR="002A3A28" w:rsidRPr="00421722">
        <w:rPr>
          <w:b/>
          <w:bCs/>
          <w:u w:val="none"/>
        </w:rPr>
        <w:t>at</w:t>
      </w:r>
      <w:r w:rsidR="00264E21" w:rsidRPr="00421722">
        <w:rPr>
          <w:b/>
          <w:bCs/>
          <w:u w:val="none"/>
        </w:rPr>
        <w:t>ion Oversight Monitoring.</w:t>
      </w:r>
    </w:p>
    <w:p w14:paraId="569AF69F" w14:textId="77777777" w:rsidR="00294D85" w:rsidRPr="00C11123" w:rsidRDefault="00294D85" w:rsidP="00D70747">
      <w:pPr>
        <w:widowControl w:val="0"/>
        <w:autoSpaceDE w:val="0"/>
        <w:autoSpaceDN w:val="0"/>
        <w:spacing w:after="0" w:line="240" w:lineRule="auto"/>
        <w:ind w:left="720" w:right="369"/>
        <w:jc w:val="both"/>
        <w:rPr>
          <w:rFonts w:eastAsia="Calibri" w:cs="Arial"/>
          <w:b/>
          <w:bCs/>
          <w:kern w:val="0"/>
          <w:sz w:val="22"/>
          <w:szCs w:val="22"/>
          <w14:ligatures w14:val="none"/>
        </w:rPr>
      </w:pPr>
    </w:p>
    <w:p w14:paraId="2AE1A199" w14:textId="4136E4F0" w:rsidR="00264E21" w:rsidRPr="00264E21" w:rsidRDefault="00000000" w:rsidP="00264E21">
      <w:pPr>
        <w:spacing w:after="0" w:line="240" w:lineRule="auto"/>
        <w:jc w:val="both"/>
        <w:rPr>
          <w:rFonts w:cs="Arial"/>
          <w:sz w:val="22"/>
          <w:szCs w:val="22"/>
        </w:rPr>
      </w:pPr>
      <w:r w:rsidRPr="00264E21">
        <w:rPr>
          <w:rFonts w:cs="Arial"/>
          <w:sz w:val="22"/>
          <w:szCs w:val="22"/>
        </w:rPr>
        <w:t>The Applicant will partner with a qualified third</w:t>
      </w:r>
      <w:r w:rsidRPr="00264E21">
        <w:rPr>
          <w:rFonts w:cs="Arial"/>
          <w:sz w:val="22"/>
          <w:szCs w:val="22"/>
        </w:rPr>
        <w:noBreakHyphen/>
        <w:t>party radiology services vendor to support interpretation quality assurance and ongoing performance monitoring for PSMA PET/CT imaging. The vendor will employ standardized quality assurance methodologies and nationally recognized benchmarks to assess diagnostic accuracy, consistency, and adherence to applicable clinical standards.</w:t>
      </w:r>
    </w:p>
    <w:p w14:paraId="2D014120" w14:textId="77777777" w:rsidR="00264E21" w:rsidRPr="00264E21" w:rsidRDefault="00000000" w:rsidP="00264E21">
      <w:pPr>
        <w:spacing w:after="0" w:line="240" w:lineRule="auto"/>
        <w:jc w:val="both"/>
        <w:rPr>
          <w:rFonts w:cs="Arial"/>
          <w:sz w:val="22"/>
          <w:szCs w:val="22"/>
        </w:rPr>
      </w:pPr>
      <w:r w:rsidRPr="00264E21">
        <w:rPr>
          <w:rFonts w:cs="Arial"/>
          <w:sz w:val="22"/>
          <w:szCs w:val="22"/>
        </w:rPr>
        <w:t> </w:t>
      </w:r>
    </w:p>
    <w:p w14:paraId="242C3A99" w14:textId="77777777" w:rsidR="00264E21" w:rsidRPr="00C11123" w:rsidRDefault="00000000" w:rsidP="00264E21">
      <w:pPr>
        <w:spacing w:after="0" w:line="240" w:lineRule="auto"/>
        <w:jc w:val="both"/>
        <w:rPr>
          <w:rFonts w:cs="Arial"/>
          <w:sz w:val="22"/>
          <w:szCs w:val="22"/>
        </w:rPr>
      </w:pPr>
      <w:r w:rsidRPr="00264E21">
        <w:rPr>
          <w:rFonts w:cs="Arial"/>
          <w:sz w:val="22"/>
          <w:szCs w:val="22"/>
        </w:rPr>
        <w:t xml:space="preserve">Performance reports and </w:t>
      </w:r>
      <w:proofErr w:type="gramStart"/>
      <w:r w:rsidRPr="00264E21">
        <w:rPr>
          <w:rFonts w:cs="Arial"/>
          <w:sz w:val="22"/>
          <w:szCs w:val="22"/>
        </w:rPr>
        <w:t>exception</w:t>
      </w:r>
      <w:proofErr w:type="gramEnd"/>
      <w:r w:rsidRPr="00264E21">
        <w:rPr>
          <w:rFonts w:cs="Arial"/>
          <w:sz w:val="22"/>
          <w:szCs w:val="22"/>
        </w:rPr>
        <w:t xml:space="preserve"> findings provided by the vendor will be reviewed by the Applicant’s clinical and operational leadership on a regular basis to identify trends, variances, or opportunities for improvement. Monitoring will focus on whether imaging interpretations meet established quality thresholds and support accurate, timely clinical decision</w:t>
      </w:r>
      <w:r w:rsidRPr="00264E21">
        <w:rPr>
          <w:rFonts w:cs="Arial"/>
          <w:sz w:val="22"/>
          <w:szCs w:val="22"/>
        </w:rPr>
        <w:noBreakHyphen/>
        <w:t>making.</w:t>
      </w:r>
    </w:p>
    <w:p w14:paraId="3DB97C13" w14:textId="77777777" w:rsidR="00264E21" w:rsidRPr="00264E21" w:rsidRDefault="00264E21" w:rsidP="00264E21">
      <w:pPr>
        <w:spacing w:after="0" w:line="240" w:lineRule="auto"/>
        <w:jc w:val="both"/>
        <w:rPr>
          <w:rFonts w:cs="Arial"/>
          <w:sz w:val="22"/>
          <w:szCs w:val="22"/>
        </w:rPr>
      </w:pPr>
    </w:p>
    <w:p w14:paraId="4FD0CE7B" w14:textId="77777777" w:rsidR="00264E21" w:rsidRPr="00264E21" w:rsidRDefault="00000000" w:rsidP="00264E21">
      <w:pPr>
        <w:spacing w:after="0" w:line="240" w:lineRule="auto"/>
        <w:jc w:val="both"/>
        <w:rPr>
          <w:rFonts w:cs="Arial"/>
          <w:sz w:val="22"/>
          <w:szCs w:val="22"/>
        </w:rPr>
      </w:pPr>
      <w:r w:rsidRPr="00264E21">
        <w:rPr>
          <w:rFonts w:cs="Arial"/>
          <w:sz w:val="22"/>
          <w:szCs w:val="22"/>
        </w:rPr>
        <w:t>When monitoring identifies patterns of variance or performance below expected benchmarks, the Applicant will work collaboratively with the vendor to implement corrective actions, which may include targeted education, protocol refinement, workflow adjustments, or other remediation measures.</w:t>
      </w:r>
    </w:p>
    <w:p w14:paraId="188E28CA" w14:textId="77777777" w:rsidR="00264E21" w:rsidRPr="00264E21" w:rsidRDefault="00000000" w:rsidP="00264E21">
      <w:pPr>
        <w:spacing w:after="0" w:line="240" w:lineRule="auto"/>
        <w:jc w:val="both"/>
        <w:rPr>
          <w:rFonts w:cs="Arial"/>
          <w:sz w:val="22"/>
          <w:szCs w:val="22"/>
        </w:rPr>
      </w:pPr>
      <w:r w:rsidRPr="00264E21">
        <w:rPr>
          <w:rFonts w:cs="Arial"/>
          <w:sz w:val="22"/>
          <w:szCs w:val="22"/>
        </w:rPr>
        <w:t> </w:t>
      </w:r>
    </w:p>
    <w:p w14:paraId="20BF9AA3" w14:textId="77777777" w:rsidR="00264E21" w:rsidRPr="00264E21" w:rsidRDefault="00000000" w:rsidP="00264E21">
      <w:pPr>
        <w:spacing w:after="0" w:line="240" w:lineRule="auto"/>
        <w:jc w:val="both"/>
        <w:rPr>
          <w:rFonts w:cs="Arial"/>
          <w:sz w:val="22"/>
          <w:szCs w:val="22"/>
        </w:rPr>
      </w:pPr>
      <w:r w:rsidRPr="00264E21">
        <w:rPr>
          <w:rFonts w:cs="Arial"/>
          <w:sz w:val="22"/>
          <w:szCs w:val="22"/>
        </w:rPr>
        <w:t>The Applicant will evaluate the effectiveness of these interventions through subsequent monitoring cycles to confirm measurable improvement in diagnostic accuracy and consistency over time.</w:t>
      </w:r>
    </w:p>
    <w:p w14:paraId="2A090A36" w14:textId="610BE795" w:rsidR="00A5084E" w:rsidRPr="00C11123" w:rsidRDefault="00A5084E" w:rsidP="00CC6024">
      <w:pPr>
        <w:spacing w:after="0" w:line="240" w:lineRule="auto"/>
        <w:jc w:val="both"/>
        <w:rPr>
          <w:rFonts w:cs="Arial"/>
          <w:b/>
          <w:bCs/>
          <w:sz w:val="22"/>
          <w:szCs w:val="22"/>
        </w:rPr>
      </w:pPr>
      <w:bookmarkStart w:id="4" w:name="_Hlk216100946"/>
      <w:bookmarkStart w:id="5" w:name="_Hlk216100963"/>
    </w:p>
    <w:p w14:paraId="7C00D473" w14:textId="257E1F96" w:rsidR="000B076F" w:rsidRPr="00C11123" w:rsidRDefault="00000000" w:rsidP="00A74C5A">
      <w:pPr>
        <w:pStyle w:val="Heading2"/>
      </w:pPr>
      <w:r w:rsidRPr="00C11123">
        <w:t xml:space="preserve">F1.b.iii. </w:t>
      </w:r>
      <w:r w:rsidRPr="00C11123">
        <w:tab/>
      </w:r>
      <w:r w:rsidRPr="007D3AA1">
        <w:rPr>
          <w:u w:val="single"/>
        </w:rPr>
        <w:t xml:space="preserve">Public Health Value /Health Equity-Focused: </w:t>
      </w:r>
    </w:p>
    <w:p w14:paraId="46E33544" w14:textId="77777777" w:rsidR="000B076F" w:rsidRPr="00C11123" w:rsidRDefault="00000000" w:rsidP="00CC6024">
      <w:pPr>
        <w:spacing w:after="0" w:line="240" w:lineRule="auto"/>
        <w:jc w:val="both"/>
        <w:rPr>
          <w:rFonts w:cs="Arial"/>
          <w:b/>
          <w:bCs/>
          <w:sz w:val="22"/>
          <w:szCs w:val="22"/>
        </w:rPr>
      </w:pPr>
      <w:r w:rsidRPr="00C11123">
        <w:rPr>
          <w:rFonts w:cs="Arial"/>
          <w:b/>
          <w:bCs/>
          <w:sz w:val="22"/>
          <w:szCs w:val="22"/>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157F445A" w14:textId="77777777" w:rsidR="000B076F" w:rsidRPr="00C11123" w:rsidRDefault="000B076F" w:rsidP="00CC6024">
      <w:pPr>
        <w:spacing w:after="0" w:line="240" w:lineRule="auto"/>
        <w:jc w:val="both"/>
        <w:rPr>
          <w:rFonts w:cs="Arial"/>
          <w:b/>
          <w:bCs/>
          <w:sz w:val="22"/>
          <w:szCs w:val="22"/>
        </w:rPr>
      </w:pPr>
    </w:p>
    <w:p w14:paraId="4E6DF195" w14:textId="231521B6" w:rsidR="000B076F" w:rsidRPr="00C11123" w:rsidRDefault="00000000" w:rsidP="00CC6024">
      <w:pPr>
        <w:spacing w:after="0" w:line="240" w:lineRule="auto"/>
        <w:jc w:val="both"/>
        <w:rPr>
          <w:rFonts w:cs="Arial"/>
          <w:sz w:val="22"/>
          <w:szCs w:val="22"/>
        </w:rPr>
      </w:pPr>
      <w:r w:rsidRPr="00C11123">
        <w:rPr>
          <w:rFonts w:cs="Arial"/>
          <w:sz w:val="22"/>
          <w:szCs w:val="22"/>
        </w:rPr>
        <w:t xml:space="preserve">The Applicant is committed to the aims of reducing health inequities in the Commonwealth and believes that its deployment of PSMA PET/CT technology within its urology practice will provide it with a more effective and modern means to prevent and combat prostate cancer for all </w:t>
      </w:r>
      <w:proofErr w:type="gramStart"/>
      <w:r w:rsidRPr="00C11123">
        <w:rPr>
          <w:rFonts w:cs="Arial"/>
          <w:sz w:val="22"/>
          <w:szCs w:val="22"/>
        </w:rPr>
        <w:t>persons</w:t>
      </w:r>
      <w:proofErr w:type="gramEnd"/>
      <w:r w:rsidRPr="00C11123">
        <w:rPr>
          <w:rFonts w:cs="Arial"/>
          <w:sz w:val="22"/>
          <w:szCs w:val="22"/>
        </w:rPr>
        <w:t>. However, the Applicant recognizes that certain barriers to accessing care have contributed to differences in health outcomes for certain populations</w:t>
      </w:r>
      <w:r w:rsidR="001D10D8" w:rsidRPr="00C11123">
        <w:rPr>
          <w:rFonts w:cs="Arial"/>
          <w:sz w:val="22"/>
          <w:szCs w:val="22"/>
        </w:rPr>
        <w:t xml:space="preserve"> – specifically Black males</w:t>
      </w:r>
      <w:r w:rsidR="00D8526B" w:rsidRPr="00C11123">
        <w:rPr>
          <w:rFonts w:cs="Arial"/>
          <w:sz w:val="22"/>
          <w:szCs w:val="22"/>
        </w:rPr>
        <w:t>, who experience disproportionately higher prostate cancer incidence and mortality.</w:t>
      </w:r>
      <w:r>
        <w:rPr>
          <w:rStyle w:val="FootnoteReference"/>
          <w:rFonts w:cs="Arial"/>
          <w:sz w:val="22"/>
          <w:szCs w:val="22"/>
        </w:rPr>
        <w:footnoteReference w:id="121"/>
      </w:r>
      <w:r w:rsidRPr="00C11123">
        <w:rPr>
          <w:rFonts w:cs="Arial"/>
          <w:sz w:val="22"/>
          <w:szCs w:val="22"/>
        </w:rPr>
        <w:t xml:space="preserve">  To advance health equity </w:t>
      </w:r>
      <w:r w:rsidR="006B03C3" w:rsidRPr="00C11123">
        <w:rPr>
          <w:rFonts w:cs="Arial"/>
          <w:sz w:val="22"/>
          <w:szCs w:val="22"/>
        </w:rPr>
        <w:t>for</w:t>
      </w:r>
      <w:r w:rsidRPr="00C11123">
        <w:rPr>
          <w:rFonts w:cs="Arial"/>
          <w:sz w:val="22"/>
          <w:szCs w:val="22"/>
        </w:rPr>
        <w:t xml:space="preserve"> groups that have historically faced barriers to high-quality prostate cancer care, the Proposed Project will ensure that access to PSMA PET/CT services is not limited by income, insurance status, or ability to pay. The Applicant will maintain a non-discrimination policy and will continue to serve individuals who are uninsured, underinsured, Medicaid-eligible, or medically indigent. By offering mobile PSMA PET/CT imaging in three geographically convenient physician practice settings, and </w:t>
      </w:r>
      <w:r w:rsidR="00326A25" w:rsidRPr="00C11123">
        <w:rPr>
          <w:rFonts w:cs="Arial"/>
          <w:sz w:val="22"/>
          <w:szCs w:val="22"/>
        </w:rPr>
        <w:t>within a lower cost setting compared</w:t>
      </w:r>
      <w:r w:rsidR="009238F4" w:rsidRPr="00C11123">
        <w:rPr>
          <w:rFonts w:cs="Arial"/>
          <w:sz w:val="22"/>
          <w:szCs w:val="22"/>
        </w:rPr>
        <w:t xml:space="preserve"> </w:t>
      </w:r>
      <w:r w:rsidR="007965F7" w:rsidRPr="00C11123">
        <w:rPr>
          <w:rFonts w:cs="Arial"/>
          <w:sz w:val="22"/>
          <w:szCs w:val="22"/>
        </w:rPr>
        <w:t xml:space="preserve">to </w:t>
      </w:r>
      <w:r w:rsidR="009238F4" w:rsidRPr="00C11123">
        <w:rPr>
          <w:rFonts w:cs="Arial"/>
          <w:sz w:val="22"/>
          <w:szCs w:val="22"/>
        </w:rPr>
        <w:t xml:space="preserve">other institutional facility settings, </w:t>
      </w:r>
      <w:r w:rsidRPr="00C11123">
        <w:rPr>
          <w:rFonts w:cs="Arial"/>
          <w:sz w:val="22"/>
          <w:szCs w:val="22"/>
        </w:rPr>
        <w:t xml:space="preserve">the Proposed Project expands access to state-of-the-art prostate cancer diagnostic imaging technology for </w:t>
      </w:r>
      <w:r w:rsidR="006B03C3" w:rsidRPr="00C11123">
        <w:rPr>
          <w:rFonts w:cs="Arial"/>
          <w:sz w:val="22"/>
          <w:szCs w:val="22"/>
        </w:rPr>
        <w:t xml:space="preserve">disadvantaged </w:t>
      </w:r>
      <w:r w:rsidRPr="00C11123">
        <w:rPr>
          <w:rFonts w:cs="Arial"/>
          <w:sz w:val="22"/>
          <w:szCs w:val="22"/>
        </w:rPr>
        <w:t>patients. This is an especially important for goal remedying health inequities hurting Black men</w:t>
      </w:r>
      <w:r w:rsidR="00D8526B" w:rsidRPr="00C11123">
        <w:rPr>
          <w:rFonts w:cs="Arial"/>
          <w:sz w:val="22"/>
          <w:szCs w:val="22"/>
        </w:rPr>
        <w:t>.</w:t>
      </w:r>
      <w:r w:rsidRPr="00C11123">
        <w:rPr>
          <w:rFonts w:cs="Arial"/>
          <w:sz w:val="22"/>
          <w:szCs w:val="22"/>
        </w:rPr>
        <w:t xml:space="preserve"> </w:t>
      </w:r>
    </w:p>
    <w:p w14:paraId="6AD9C681" w14:textId="77777777" w:rsidR="000B076F" w:rsidRPr="00C11123" w:rsidRDefault="000B076F" w:rsidP="00CC6024">
      <w:pPr>
        <w:spacing w:after="0" w:line="240" w:lineRule="auto"/>
        <w:jc w:val="both"/>
        <w:rPr>
          <w:rFonts w:cs="Arial"/>
          <w:sz w:val="22"/>
          <w:szCs w:val="22"/>
        </w:rPr>
      </w:pPr>
    </w:p>
    <w:p w14:paraId="3FA139DA" w14:textId="77777777" w:rsidR="000B076F" w:rsidRPr="00C107B8" w:rsidRDefault="00000000" w:rsidP="00C107B8">
      <w:pPr>
        <w:pStyle w:val="Heading3"/>
        <w:numPr>
          <w:ilvl w:val="0"/>
          <w:numId w:val="41"/>
        </w:numPr>
        <w:rPr>
          <w:u w:val="single"/>
        </w:rPr>
      </w:pPr>
      <w:r w:rsidRPr="00C107B8">
        <w:rPr>
          <w:u w:val="single"/>
        </w:rPr>
        <w:lastRenderedPageBreak/>
        <w:t>Addressing Access Through More Affordability and Geographic Proximity</w:t>
      </w:r>
    </w:p>
    <w:p w14:paraId="273524C2" w14:textId="77777777" w:rsidR="000B076F" w:rsidRPr="00C11123" w:rsidRDefault="000B076F" w:rsidP="00CC6024">
      <w:pPr>
        <w:pStyle w:val="ListParagraph"/>
        <w:spacing w:after="0" w:line="240" w:lineRule="auto"/>
        <w:jc w:val="both"/>
        <w:rPr>
          <w:rFonts w:cs="Arial"/>
          <w:sz w:val="22"/>
          <w:szCs w:val="22"/>
        </w:rPr>
      </w:pPr>
    </w:p>
    <w:p w14:paraId="6F87568D" w14:textId="77777777" w:rsidR="00C14BB1" w:rsidRPr="00C11123" w:rsidRDefault="00000000" w:rsidP="00CC6024">
      <w:pPr>
        <w:spacing w:after="0" w:line="240" w:lineRule="auto"/>
        <w:jc w:val="both"/>
        <w:rPr>
          <w:rFonts w:cs="Arial"/>
          <w:sz w:val="22"/>
          <w:szCs w:val="22"/>
        </w:rPr>
      </w:pPr>
      <w:r w:rsidRPr="00C11123">
        <w:rPr>
          <w:rFonts w:cs="Arial"/>
          <w:sz w:val="22"/>
          <w:szCs w:val="22"/>
        </w:rPr>
        <w:t>The Applicant recognizes that healthcare affordability is inseparable from health equity. Patients who are struggling financially, including with respect to healthcare, may decide to sacrifice medical attention and diagnostic care. This disparity in healthcare access due to financial or insurance status is most prevalent amongst Black and Hispanic communities within the last 20 years.</w:t>
      </w:r>
      <w:r>
        <w:rPr>
          <w:rStyle w:val="FootnoteReference"/>
          <w:rFonts w:cs="Arial"/>
          <w:sz w:val="22"/>
          <w:szCs w:val="22"/>
        </w:rPr>
        <w:footnoteReference w:id="122"/>
      </w:r>
      <w:r w:rsidRPr="00C11123">
        <w:rPr>
          <w:rFonts w:cs="Arial"/>
          <w:sz w:val="22"/>
          <w:szCs w:val="22"/>
        </w:rPr>
        <w:t xml:space="preserve"> Data specific to Massachusetts corroborates this reality.</w:t>
      </w:r>
      <w:r>
        <w:rPr>
          <w:rStyle w:val="FootnoteReference"/>
          <w:rFonts w:cs="Arial"/>
          <w:sz w:val="22"/>
          <w:szCs w:val="22"/>
        </w:rPr>
        <w:footnoteReference w:id="123"/>
      </w:r>
      <w:r w:rsidRPr="00C11123">
        <w:rPr>
          <w:rFonts w:cs="Arial"/>
          <w:sz w:val="22"/>
          <w:szCs w:val="22"/>
        </w:rPr>
        <w:t xml:space="preserve">  According to the Center for Health information and Analysis (CHIA), the “burden of healthcare affordability issues was greater for Black and Hispanic residents than for White residents.”</w:t>
      </w:r>
      <w:r>
        <w:rPr>
          <w:rStyle w:val="FootnoteReference"/>
          <w:rFonts w:cs="Arial"/>
          <w:sz w:val="22"/>
          <w:szCs w:val="22"/>
        </w:rPr>
        <w:footnoteReference w:id="124"/>
      </w:r>
      <w:r w:rsidRPr="00C11123">
        <w:rPr>
          <w:rFonts w:cs="Arial"/>
          <w:sz w:val="22"/>
          <w:szCs w:val="22"/>
        </w:rPr>
        <w:t xml:space="preserve"> For example, both populations have significantly lower rates of employer-sponsored insurance, with 52.5% of Black residents insured and 44% of Hispanic residents insured, compared to about 72% of White residents insured.</w:t>
      </w:r>
      <w:r>
        <w:rPr>
          <w:rStyle w:val="FootnoteReference"/>
          <w:rFonts w:cs="Arial"/>
          <w:sz w:val="22"/>
          <w:szCs w:val="22"/>
        </w:rPr>
        <w:footnoteReference w:id="125"/>
      </w:r>
      <w:r w:rsidRPr="00C11123">
        <w:rPr>
          <w:rFonts w:cs="Arial"/>
          <w:sz w:val="22"/>
          <w:szCs w:val="22"/>
        </w:rPr>
        <w:t xml:space="preserve"> As a result, Black and Hispanic residents spend less on physician services, including both primary care and specialist care; rather, they rely on hospital emergency rooms for health care approximately twice as much or more than White residents.</w:t>
      </w:r>
      <w:r>
        <w:rPr>
          <w:rStyle w:val="FootnoteReference"/>
          <w:rFonts w:cs="Arial"/>
          <w:sz w:val="22"/>
          <w:szCs w:val="22"/>
        </w:rPr>
        <w:footnoteReference w:id="126"/>
      </w:r>
      <w:r w:rsidRPr="00C11123">
        <w:rPr>
          <w:rFonts w:cs="Arial"/>
          <w:sz w:val="22"/>
          <w:szCs w:val="22"/>
        </w:rPr>
        <w:t xml:space="preserve"> To the extent these populations forgo lifesaving advanced imaging due to lack of insurance or other barriers, the results can be disastrous for persons at risk for new or worsening cancer diagnoses, including late stage diagnoses and irreversible progression. </w:t>
      </w:r>
    </w:p>
    <w:p w14:paraId="5851F19B" w14:textId="77777777" w:rsidR="00C14BB1" w:rsidRPr="00C11123" w:rsidRDefault="00C14BB1" w:rsidP="00CC6024">
      <w:pPr>
        <w:spacing w:after="0" w:line="240" w:lineRule="auto"/>
        <w:jc w:val="both"/>
        <w:rPr>
          <w:rFonts w:cs="Arial"/>
          <w:sz w:val="22"/>
          <w:szCs w:val="22"/>
        </w:rPr>
      </w:pPr>
    </w:p>
    <w:p w14:paraId="3CCFE1AC" w14:textId="0F6F79F4" w:rsidR="000B076F" w:rsidRPr="00C11123" w:rsidRDefault="00000000" w:rsidP="00CC6024">
      <w:pPr>
        <w:spacing w:after="0" w:line="240" w:lineRule="auto"/>
        <w:jc w:val="both"/>
        <w:rPr>
          <w:rFonts w:cs="Arial"/>
          <w:sz w:val="22"/>
          <w:szCs w:val="22"/>
        </w:rPr>
      </w:pPr>
      <w:r w:rsidRPr="00C11123">
        <w:rPr>
          <w:rFonts w:cs="Arial"/>
          <w:sz w:val="22"/>
          <w:szCs w:val="22"/>
        </w:rPr>
        <w:t xml:space="preserve">The Proposed Project, however, will be able to ease the financial burden for such patients in obtaining effective imaging because the Applicant’s physician practice is a lower cost center for healthcare compared to hospital settings they normally use for care. Additionally, the </w:t>
      </w:r>
      <w:r w:rsidR="007845C8" w:rsidRPr="00C11123">
        <w:rPr>
          <w:rFonts w:cs="Arial"/>
          <w:sz w:val="22"/>
          <w:szCs w:val="22"/>
        </w:rPr>
        <w:t xml:space="preserve">PSMA </w:t>
      </w:r>
      <w:r w:rsidRPr="00C11123">
        <w:rPr>
          <w:rFonts w:cs="Arial"/>
          <w:sz w:val="22"/>
          <w:szCs w:val="22"/>
        </w:rPr>
        <w:t xml:space="preserve">PET/CT services will be offered at </w:t>
      </w:r>
      <w:bookmarkStart w:id="6" w:name="_Hlk218851313"/>
      <w:r w:rsidRPr="00C11123">
        <w:rPr>
          <w:rFonts w:cs="Arial"/>
          <w:sz w:val="22"/>
          <w:szCs w:val="22"/>
        </w:rPr>
        <w:t>three</w:t>
      </w:r>
      <w:r w:rsidR="00C14BB1" w:rsidRPr="00C11123">
        <w:rPr>
          <w:rFonts w:cs="Arial"/>
          <w:sz w:val="22"/>
          <w:szCs w:val="22"/>
        </w:rPr>
        <w:t xml:space="preserve"> practice </w:t>
      </w:r>
      <w:r w:rsidRPr="00C11123">
        <w:rPr>
          <w:rFonts w:cs="Arial"/>
          <w:sz w:val="22"/>
          <w:szCs w:val="22"/>
        </w:rPr>
        <w:t xml:space="preserve">locations across Metro-Boston and </w:t>
      </w:r>
      <w:proofErr w:type="gramStart"/>
      <w:r w:rsidRPr="00C11123">
        <w:rPr>
          <w:rFonts w:cs="Arial"/>
          <w:sz w:val="22"/>
          <w:szCs w:val="22"/>
        </w:rPr>
        <w:t>South</w:t>
      </w:r>
      <w:r w:rsidR="00C14BB1" w:rsidRPr="00C11123">
        <w:rPr>
          <w:rFonts w:cs="Arial"/>
          <w:sz w:val="22"/>
          <w:szCs w:val="22"/>
        </w:rPr>
        <w:t>eastern</w:t>
      </w:r>
      <w:r w:rsidRPr="00C11123">
        <w:rPr>
          <w:rFonts w:cs="Arial"/>
          <w:sz w:val="22"/>
          <w:szCs w:val="22"/>
        </w:rPr>
        <w:t xml:space="preserve"> </w:t>
      </w:r>
      <w:r w:rsidR="00C14BB1" w:rsidRPr="00C11123">
        <w:rPr>
          <w:rFonts w:cs="Arial"/>
          <w:sz w:val="22"/>
          <w:szCs w:val="22"/>
        </w:rPr>
        <w:t xml:space="preserve"> </w:t>
      </w:r>
      <w:r w:rsidRPr="00C11123">
        <w:rPr>
          <w:rFonts w:cs="Arial"/>
          <w:sz w:val="22"/>
          <w:szCs w:val="22"/>
        </w:rPr>
        <w:t>Massachusetts</w:t>
      </w:r>
      <w:proofErr w:type="gramEnd"/>
      <w:r w:rsidRPr="00C11123">
        <w:rPr>
          <w:rFonts w:cs="Arial"/>
          <w:sz w:val="22"/>
          <w:szCs w:val="22"/>
        </w:rPr>
        <w:t xml:space="preserve">, all of which are near major highways and a variety of public transportation options. </w:t>
      </w:r>
      <w:bookmarkEnd w:id="6"/>
      <w:r w:rsidRPr="00C11123">
        <w:rPr>
          <w:rFonts w:cs="Arial"/>
          <w:sz w:val="22"/>
          <w:szCs w:val="22"/>
        </w:rPr>
        <w:t>The Proposed Project, therefore, provides the Applicant with the ability to facilitate equalized access to specialty urology care services that will be equipped with modern imaging technologies, while also reducing cost-related disparities in prostate cancer detection, staging, and downstream treatment for better health outcomes for minority groups.</w:t>
      </w:r>
    </w:p>
    <w:p w14:paraId="0E1149FF" w14:textId="77777777" w:rsidR="000B076F" w:rsidRPr="00C11123" w:rsidRDefault="000B076F" w:rsidP="00CC6024">
      <w:pPr>
        <w:spacing w:after="0" w:line="240" w:lineRule="auto"/>
        <w:jc w:val="both"/>
        <w:rPr>
          <w:rFonts w:cs="Arial"/>
          <w:sz w:val="22"/>
          <w:szCs w:val="22"/>
        </w:rPr>
      </w:pPr>
    </w:p>
    <w:p w14:paraId="48506C31" w14:textId="7C80D975" w:rsidR="000B076F" w:rsidRPr="00C107B8" w:rsidRDefault="00000000" w:rsidP="00C107B8">
      <w:pPr>
        <w:pStyle w:val="Heading3"/>
        <w:numPr>
          <w:ilvl w:val="0"/>
          <w:numId w:val="41"/>
        </w:numPr>
        <w:rPr>
          <w:u w:val="single"/>
        </w:rPr>
      </w:pPr>
      <w:r w:rsidRPr="00C107B8">
        <w:rPr>
          <w:u w:val="single"/>
        </w:rPr>
        <w:t>Outreach and Education to Minorities in the Primary Service Area;</w:t>
      </w:r>
      <w:r w:rsidR="003E3E7F" w:rsidRPr="00C107B8">
        <w:rPr>
          <w:u w:val="single"/>
        </w:rPr>
        <w:t xml:space="preserve"> Standardization for Equity; and</w:t>
      </w:r>
      <w:r w:rsidRPr="00C107B8">
        <w:rPr>
          <w:u w:val="single"/>
        </w:rPr>
        <w:t xml:space="preserve"> Interpreter Services</w:t>
      </w:r>
    </w:p>
    <w:p w14:paraId="50536240" w14:textId="77777777" w:rsidR="000B076F" w:rsidRPr="00C11123" w:rsidRDefault="000B076F" w:rsidP="00CC6024">
      <w:pPr>
        <w:spacing w:after="0" w:line="240" w:lineRule="auto"/>
        <w:jc w:val="both"/>
        <w:rPr>
          <w:rFonts w:cs="Arial"/>
          <w:sz w:val="22"/>
          <w:szCs w:val="22"/>
        </w:rPr>
      </w:pPr>
    </w:p>
    <w:p w14:paraId="28D46500" w14:textId="3AC22749" w:rsidR="00A27FB6" w:rsidRPr="00C11123" w:rsidRDefault="00000000" w:rsidP="00CC6024">
      <w:pPr>
        <w:spacing w:after="0" w:line="240" w:lineRule="auto"/>
        <w:jc w:val="both"/>
        <w:rPr>
          <w:rFonts w:cs="Arial"/>
          <w:sz w:val="22"/>
          <w:szCs w:val="22"/>
        </w:rPr>
      </w:pPr>
      <w:r w:rsidRPr="00C11123">
        <w:rPr>
          <w:rFonts w:cs="Arial"/>
          <w:sz w:val="22"/>
          <w:szCs w:val="22"/>
        </w:rPr>
        <w:t xml:space="preserve">The Applicant also maintains a strong commitment to diversity, equity, and inclusion, and will </w:t>
      </w:r>
      <w:r w:rsidR="0032375B" w:rsidRPr="00C11123">
        <w:rPr>
          <w:rFonts w:cs="Arial"/>
          <w:sz w:val="22"/>
          <w:szCs w:val="22"/>
        </w:rPr>
        <w:t>have planned equity programs for patients of color</w:t>
      </w:r>
      <w:r w:rsidRPr="00C11123">
        <w:rPr>
          <w:rFonts w:cs="Arial"/>
          <w:sz w:val="22"/>
          <w:szCs w:val="22"/>
        </w:rPr>
        <w:t xml:space="preserve"> across its physician practice locations to close gaps in care. One approach will be to prioritize outreach to Black </w:t>
      </w:r>
      <w:r w:rsidR="00542BE2" w:rsidRPr="00C11123">
        <w:rPr>
          <w:rFonts w:cs="Arial"/>
          <w:sz w:val="22"/>
          <w:szCs w:val="22"/>
        </w:rPr>
        <w:t>males</w:t>
      </w:r>
      <w:r w:rsidRPr="00C11123">
        <w:rPr>
          <w:rFonts w:cs="Arial"/>
          <w:sz w:val="22"/>
          <w:szCs w:val="22"/>
        </w:rPr>
        <w:t xml:space="preserve">, particularly in urban areas within the Applicant’s Primary Service Area that are proximate to one or more of the Applicant’s proposed imaging sites or that otherwise have public transportation options available. The Applicant will also make educational materials available to minority communities in English and other commonly </w:t>
      </w:r>
      <w:r w:rsidRPr="00C11123">
        <w:rPr>
          <w:rFonts w:cs="Arial"/>
          <w:sz w:val="22"/>
          <w:szCs w:val="22"/>
        </w:rPr>
        <w:lastRenderedPageBreak/>
        <w:t xml:space="preserve">spoken languages in Massachusetts, concerning prostate cancer and how PSMA PET/CT can promote better health outcomes and benefit both patients and their families. </w:t>
      </w:r>
      <w:r w:rsidR="00FE33AD" w:rsidRPr="00C11123">
        <w:rPr>
          <w:rFonts w:cs="Arial"/>
          <w:sz w:val="22"/>
          <w:szCs w:val="22"/>
        </w:rPr>
        <w:t xml:space="preserve">These health equity initiatives build </w:t>
      </w:r>
      <w:proofErr w:type="gramStart"/>
      <w:r w:rsidR="00FE33AD" w:rsidRPr="00C11123">
        <w:rPr>
          <w:rFonts w:cs="Arial"/>
          <w:sz w:val="22"/>
          <w:szCs w:val="22"/>
        </w:rPr>
        <w:t>off of</w:t>
      </w:r>
      <w:proofErr w:type="gramEnd"/>
      <w:r w:rsidR="00FE33AD" w:rsidRPr="00C11123">
        <w:rPr>
          <w:rFonts w:cs="Arial"/>
          <w:sz w:val="22"/>
          <w:szCs w:val="22"/>
        </w:rPr>
        <w:t xml:space="preserve"> the Applicant’s several ongoing health equity initiatives aimed at improving access, quality, and outcomes for underserved populations. These include standardized clinical pathways to reduce variation in care, proactive outreach to patients with identified gaps in care, and close coordination between clinical, scheduling, and care management teams to support timely follow-up. </w:t>
      </w:r>
    </w:p>
    <w:p w14:paraId="71507359" w14:textId="77777777" w:rsidR="00A27FB6" w:rsidRPr="00C11123" w:rsidRDefault="00A27FB6" w:rsidP="00CC6024">
      <w:pPr>
        <w:spacing w:after="0" w:line="240" w:lineRule="auto"/>
        <w:jc w:val="both"/>
        <w:rPr>
          <w:rFonts w:cs="Arial"/>
          <w:sz w:val="22"/>
          <w:szCs w:val="22"/>
        </w:rPr>
      </w:pPr>
    </w:p>
    <w:p w14:paraId="761A0719" w14:textId="671D095D" w:rsidR="00A27FB6" w:rsidRPr="00C11123" w:rsidRDefault="00000000" w:rsidP="00A27FB6">
      <w:pPr>
        <w:spacing w:after="0" w:line="240" w:lineRule="auto"/>
        <w:jc w:val="both"/>
        <w:rPr>
          <w:rFonts w:cs="Arial"/>
          <w:sz w:val="22"/>
          <w:szCs w:val="22"/>
        </w:rPr>
      </w:pPr>
      <w:r w:rsidRPr="00C11123">
        <w:rPr>
          <w:rFonts w:cs="Arial"/>
          <w:sz w:val="22"/>
          <w:szCs w:val="22"/>
        </w:rPr>
        <w:t>The Applicant is also committed to providing linguistically appropriate care to patients with limited English proficiency. Translation services are available through certified medical interpreters, including phone and video interpretation, and translated written materials when available. Clinical and front-desk staff are trained to identify language needs and arrange interpreter services proactively.  Patients’ preferred language(s) is also documented in their medical record.</w:t>
      </w:r>
      <w:r w:rsidRPr="00C11123">
        <w:rPr>
          <w:rFonts w:cs="Arial"/>
          <w:sz w:val="22"/>
          <w:szCs w:val="22"/>
        </w:rPr>
        <w:br/>
        <w:t>Metrics currently monitored include patient experience feedback related to communication and understanding of care plans. These data are used to ensure compliance with language access standards and to guide ongoing improvement efforts.</w:t>
      </w:r>
    </w:p>
    <w:p w14:paraId="06D4D743" w14:textId="77777777" w:rsidR="000B076F" w:rsidRPr="00C11123" w:rsidRDefault="000B076F" w:rsidP="00CC6024">
      <w:pPr>
        <w:spacing w:after="0" w:line="240" w:lineRule="auto"/>
        <w:jc w:val="both"/>
        <w:rPr>
          <w:rFonts w:cs="Arial"/>
          <w:sz w:val="22"/>
          <w:szCs w:val="22"/>
        </w:rPr>
      </w:pPr>
    </w:p>
    <w:p w14:paraId="2E52E0FC" w14:textId="77777777" w:rsidR="000B076F" w:rsidRPr="00192BC2" w:rsidRDefault="00000000" w:rsidP="00192BC2">
      <w:pPr>
        <w:pStyle w:val="Heading3"/>
        <w:numPr>
          <w:ilvl w:val="0"/>
          <w:numId w:val="41"/>
        </w:numPr>
        <w:rPr>
          <w:u w:val="single"/>
        </w:rPr>
      </w:pPr>
      <w:r w:rsidRPr="00192BC2">
        <w:rPr>
          <w:u w:val="single"/>
        </w:rPr>
        <w:t>Range of Insurance Options &amp; Price Transparency</w:t>
      </w:r>
    </w:p>
    <w:p w14:paraId="3C8DED80" w14:textId="77777777" w:rsidR="000B076F" w:rsidRPr="00C11123" w:rsidRDefault="000B076F" w:rsidP="00CC6024">
      <w:pPr>
        <w:spacing w:after="0" w:line="240" w:lineRule="auto"/>
        <w:jc w:val="both"/>
        <w:rPr>
          <w:rFonts w:cs="Arial"/>
          <w:sz w:val="22"/>
          <w:szCs w:val="22"/>
        </w:rPr>
      </w:pPr>
    </w:p>
    <w:p w14:paraId="2BDD2C0E" w14:textId="3ABD807C" w:rsidR="000B076F" w:rsidRPr="00C11123" w:rsidRDefault="00000000" w:rsidP="00CC6024">
      <w:pPr>
        <w:spacing w:after="0" w:line="240" w:lineRule="auto"/>
        <w:jc w:val="both"/>
        <w:rPr>
          <w:rFonts w:cs="Arial"/>
          <w:sz w:val="22"/>
          <w:szCs w:val="22"/>
        </w:rPr>
      </w:pPr>
      <w:r w:rsidRPr="00C11123">
        <w:rPr>
          <w:rFonts w:cs="Arial"/>
          <w:sz w:val="22"/>
          <w:szCs w:val="22"/>
        </w:rPr>
        <w:t xml:space="preserve">Additionally, the Applicant will continue to participate with wide a variety of commercial insurance plans, as well as with vital government insurance and safety net programs, such as Medicare and MassHealth. Patients will also have access to clear cost information. The Applicant will also take steps to keep the cost for imaging services as transparent as possible. </w:t>
      </w:r>
      <w:r w:rsidR="00585878" w:rsidRPr="00C11123">
        <w:rPr>
          <w:rFonts w:cs="Arial"/>
          <w:sz w:val="22"/>
          <w:szCs w:val="22"/>
        </w:rPr>
        <w:t xml:space="preserve"> </w:t>
      </w:r>
      <w:r w:rsidRPr="00C11123">
        <w:rPr>
          <w:rFonts w:cs="Arial"/>
          <w:sz w:val="22"/>
          <w:szCs w:val="22"/>
        </w:rPr>
        <w:t>Its designated Nurse Manager for</w:t>
      </w:r>
      <w:r w:rsidR="007845C8" w:rsidRPr="00C11123">
        <w:rPr>
          <w:rFonts w:cs="Arial"/>
          <w:sz w:val="22"/>
          <w:szCs w:val="22"/>
        </w:rPr>
        <w:t xml:space="preserve"> PSMA</w:t>
      </w:r>
      <w:r w:rsidRPr="00C11123">
        <w:rPr>
          <w:rFonts w:cs="Arial"/>
          <w:sz w:val="22"/>
          <w:szCs w:val="22"/>
        </w:rPr>
        <w:t xml:space="preserve"> PET/CT imaging will work with patients and help them understand their benefits, any out-of-pocket costs, and identify and consider </w:t>
      </w:r>
      <w:r w:rsidR="00542BE2" w:rsidRPr="00C11123">
        <w:rPr>
          <w:rFonts w:cs="Arial"/>
          <w:sz w:val="22"/>
          <w:szCs w:val="22"/>
        </w:rPr>
        <w:t xml:space="preserve">the availability of any </w:t>
      </w:r>
      <w:r w:rsidRPr="00C11123">
        <w:rPr>
          <w:rFonts w:cs="Arial"/>
          <w:sz w:val="22"/>
          <w:szCs w:val="22"/>
        </w:rPr>
        <w:t xml:space="preserve">financial-assistance options. </w:t>
      </w:r>
    </w:p>
    <w:p w14:paraId="5EEFE5C8" w14:textId="77777777" w:rsidR="000B076F" w:rsidRPr="00C11123" w:rsidRDefault="000B076F" w:rsidP="00CC6024">
      <w:pPr>
        <w:spacing w:after="0" w:line="240" w:lineRule="auto"/>
        <w:jc w:val="both"/>
        <w:rPr>
          <w:rFonts w:cs="Arial"/>
          <w:sz w:val="22"/>
          <w:szCs w:val="22"/>
        </w:rPr>
      </w:pPr>
    </w:p>
    <w:p w14:paraId="330C4E57" w14:textId="26CFA549" w:rsidR="00055BA4" w:rsidRPr="00C11123" w:rsidRDefault="00000000" w:rsidP="00CC6024">
      <w:pPr>
        <w:spacing w:after="0" w:line="240" w:lineRule="auto"/>
        <w:jc w:val="both"/>
        <w:rPr>
          <w:rFonts w:cs="Arial"/>
          <w:sz w:val="22"/>
          <w:szCs w:val="22"/>
        </w:rPr>
      </w:pPr>
      <w:r w:rsidRPr="00C11123">
        <w:rPr>
          <w:rFonts w:cs="Arial"/>
          <w:sz w:val="22"/>
          <w:szCs w:val="22"/>
        </w:rPr>
        <w:t xml:space="preserve">Through these coordinated efforts, the Applicant aims to broaden access to advanced prostate cancer imaging, reduce cost-related inequities, and ensure that underserved populations—especially </w:t>
      </w:r>
      <w:r w:rsidR="003A695E" w:rsidRPr="00C11123">
        <w:rPr>
          <w:rFonts w:cs="Arial"/>
          <w:sz w:val="22"/>
          <w:szCs w:val="22"/>
        </w:rPr>
        <w:t>Black</w:t>
      </w:r>
      <w:r w:rsidRPr="00C11123">
        <w:rPr>
          <w:rFonts w:cs="Arial"/>
          <w:sz w:val="22"/>
          <w:szCs w:val="22"/>
        </w:rPr>
        <w:t xml:space="preserve"> m</w:t>
      </w:r>
      <w:r w:rsidR="003A695E" w:rsidRPr="00C11123">
        <w:rPr>
          <w:rFonts w:cs="Arial"/>
          <w:sz w:val="22"/>
          <w:szCs w:val="22"/>
        </w:rPr>
        <w:t>ales</w:t>
      </w:r>
      <w:r w:rsidRPr="00C11123">
        <w:rPr>
          <w:rFonts w:cs="Arial"/>
          <w:sz w:val="22"/>
          <w:szCs w:val="22"/>
        </w:rPr>
        <w:t>—receive timely, high-quality diagnostic services that support better health outcomes. Accordingly, the Proposed Project satisfies this key Determination of Need criteria by promoting cost containment and reducing health inequities for underserved populations.</w:t>
      </w:r>
      <w:bookmarkEnd w:id="4"/>
      <w:bookmarkEnd w:id="5"/>
    </w:p>
    <w:p w14:paraId="28E5B79F" w14:textId="04B8FA28" w:rsidR="00AC16F7" w:rsidRPr="00C11123" w:rsidRDefault="00AC16F7" w:rsidP="00CC6024">
      <w:pPr>
        <w:spacing w:after="0" w:line="240" w:lineRule="auto"/>
        <w:jc w:val="both"/>
        <w:rPr>
          <w:rFonts w:cs="Arial"/>
          <w:b/>
          <w:bCs/>
          <w:sz w:val="22"/>
          <w:szCs w:val="22"/>
        </w:rPr>
      </w:pPr>
    </w:p>
    <w:p w14:paraId="24914528" w14:textId="6DC2915D" w:rsidR="00AC16F7" w:rsidRPr="00C11123" w:rsidRDefault="00000000" w:rsidP="00324984">
      <w:pPr>
        <w:pStyle w:val="Heading2"/>
      </w:pPr>
      <w:r w:rsidRPr="00C11123">
        <w:t>F1.</w:t>
      </w:r>
      <w:proofErr w:type="gramStart"/>
      <w:r w:rsidRPr="00C11123">
        <w:t>b.iv.</w:t>
      </w:r>
      <w:proofErr w:type="gramEnd"/>
      <w:r w:rsidRPr="00C11123">
        <w:t xml:space="preserve"> </w:t>
      </w:r>
      <w:r w:rsidRPr="00C11123">
        <w:tab/>
        <w:t>Provide additional information to demonstrate that the Proposed Project will result in improved health outcomes and quality of life of the Applicant's existing Patient Panel, while providing reasonable assurances of health equity.</w:t>
      </w:r>
    </w:p>
    <w:p w14:paraId="49A34D5F" w14:textId="77777777" w:rsidR="00AC16F7" w:rsidRPr="00C11123" w:rsidRDefault="00AC16F7" w:rsidP="00CC6024">
      <w:pPr>
        <w:spacing w:after="0" w:line="240" w:lineRule="auto"/>
        <w:jc w:val="both"/>
        <w:rPr>
          <w:rFonts w:cs="Arial"/>
          <w:b/>
          <w:bCs/>
          <w:sz w:val="22"/>
          <w:szCs w:val="22"/>
        </w:rPr>
      </w:pPr>
    </w:p>
    <w:p w14:paraId="283D5D74" w14:textId="234394AD" w:rsidR="00900F63" w:rsidRPr="00C11123" w:rsidRDefault="00000000" w:rsidP="00CC6024">
      <w:pPr>
        <w:spacing w:after="0" w:line="240" w:lineRule="auto"/>
        <w:jc w:val="both"/>
        <w:rPr>
          <w:rFonts w:cs="Arial"/>
          <w:sz w:val="22"/>
          <w:szCs w:val="22"/>
        </w:rPr>
      </w:pPr>
      <w:r w:rsidRPr="00C11123">
        <w:rPr>
          <w:rFonts w:cs="Arial"/>
          <w:sz w:val="22"/>
          <w:szCs w:val="22"/>
        </w:rPr>
        <w:t xml:space="preserve">The Proposed Project is designed to broaden access to </w:t>
      </w:r>
      <w:r w:rsidR="001A3231" w:rsidRPr="00C11123">
        <w:rPr>
          <w:rFonts w:cs="Arial"/>
          <w:sz w:val="22"/>
          <w:szCs w:val="22"/>
        </w:rPr>
        <w:t>state-of-the-art</w:t>
      </w:r>
      <w:r w:rsidRPr="00C11123">
        <w:rPr>
          <w:rFonts w:cs="Arial"/>
          <w:sz w:val="22"/>
          <w:szCs w:val="22"/>
        </w:rPr>
        <w:t xml:space="preserve">, but cost-efficient </w:t>
      </w:r>
      <w:r w:rsidR="00DF7C65" w:rsidRPr="00C11123">
        <w:rPr>
          <w:rFonts w:cs="Arial"/>
          <w:sz w:val="22"/>
          <w:szCs w:val="22"/>
        </w:rPr>
        <w:t xml:space="preserve">PSMA </w:t>
      </w:r>
      <w:r w:rsidRPr="00C11123">
        <w:rPr>
          <w:rFonts w:cs="Arial"/>
          <w:sz w:val="22"/>
          <w:szCs w:val="22"/>
        </w:rPr>
        <w:t xml:space="preserve">PET/CT services in the Applicant’s physician practice setting in </w:t>
      </w:r>
      <w:r w:rsidR="0044539C" w:rsidRPr="00C11123">
        <w:rPr>
          <w:rFonts w:cs="Arial"/>
          <w:sz w:val="22"/>
          <w:szCs w:val="22"/>
        </w:rPr>
        <w:t xml:space="preserve">geographic </w:t>
      </w:r>
      <w:r w:rsidRPr="00C11123">
        <w:rPr>
          <w:rFonts w:cs="Arial"/>
          <w:sz w:val="22"/>
          <w:szCs w:val="22"/>
        </w:rPr>
        <w:t xml:space="preserve">locations </w:t>
      </w:r>
      <w:r w:rsidR="0044539C" w:rsidRPr="00C11123">
        <w:rPr>
          <w:rFonts w:cs="Arial"/>
          <w:sz w:val="22"/>
          <w:szCs w:val="22"/>
        </w:rPr>
        <w:t xml:space="preserve">that address need for diagnostic care and convenience </w:t>
      </w:r>
      <w:r w:rsidRPr="00C11123">
        <w:rPr>
          <w:rFonts w:cs="Arial"/>
          <w:sz w:val="22"/>
          <w:szCs w:val="22"/>
        </w:rPr>
        <w:t>for its Patient Panel</w:t>
      </w:r>
      <w:r w:rsidR="0044539C" w:rsidRPr="00C11123">
        <w:rPr>
          <w:rFonts w:cs="Arial"/>
          <w:sz w:val="22"/>
          <w:szCs w:val="22"/>
        </w:rPr>
        <w:t>.</w:t>
      </w:r>
      <w:r w:rsidR="00AD067E" w:rsidRPr="00C11123">
        <w:rPr>
          <w:rFonts w:cs="Arial"/>
          <w:sz w:val="22"/>
          <w:szCs w:val="22"/>
        </w:rPr>
        <w:t xml:space="preserve"> As set forth throughout this </w:t>
      </w:r>
      <w:r w:rsidR="00DF7C65" w:rsidRPr="00C11123">
        <w:rPr>
          <w:rFonts w:cs="Arial"/>
          <w:sz w:val="22"/>
          <w:szCs w:val="22"/>
        </w:rPr>
        <w:t>A</w:t>
      </w:r>
      <w:r w:rsidR="00AD067E" w:rsidRPr="00C11123">
        <w:rPr>
          <w:rFonts w:cs="Arial"/>
          <w:sz w:val="22"/>
          <w:szCs w:val="22"/>
        </w:rPr>
        <w:t>pplication, the Proposed Project will materially improve health outcomes and quality of life for the Patient Panel by combining the Applicant’s long</w:t>
      </w:r>
      <w:r w:rsidR="00AD067E" w:rsidRPr="00C11123">
        <w:rPr>
          <w:rFonts w:cs="Arial"/>
          <w:sz w:val="22"/>
          <w:szCs w:val="22"/>
        </w:rPr>
        <w:noBreakHyphen/>
        <w:t>standing history and experience in delivering high</w:t>
      </w:r>
      <w:r w:rsidR="00AD067E" w:rsidRPr="00C11123">
        <w:rPr>
          <w:rFonts w:cs="Arial"/>
          <w:sz w:val="22"/>
          <w:szCs w:val="22"/>
        </w:rPr>
        <w:noBreakHyphen/>
        <w:t xml:space="preserve">quality </w:t>
      </w:r>
      <w:proofErr w:type="gramStart"/>
      <w:r w:rsidR="00AD067E" w:rsidRPr="00C11123">
        <w:rPr>
          <w:rFonts w:cs="Arial"/>
          <w:sz w:val="22"/>
          <w:szCs w:val="22"/>
        </w:rPr>
        <w:t>urologic</w:t>
      </w:r>
      <w:proofErr w:type="gramEnd"/>
      <w:r w:rsidR="00AD067E" w:rsidRPr="00C11123">
        <w:rPr>
          <w:rFonts w:cs="Arial"/>
          <w:sz w:val="22"/>
          <w:szCs w:val="22"/>
        </w:rPr>
        <w:t xml:space="preserve"> care with the advancements of </w:t>
      </w:r>
      <w:r w:rsidR="00DF7C65" w:rsidRPr="00C11123">
        <w:rPr>
          <w:rFonts w:cs="Arial"/>
          <w:sz w:val="22"/>
          <w:szCs w:val="22"/>
        </w:rPr>
        <w:t xml:space="preserve">PSMA </w:t>
      </w:r>
      <w:r w:rsidR="00AD067E" w:rsidRPr="00C11123">
        <w:rPr>
          <w:rFonts w:cs="Arial"/>
          <w:sz w:val="22"/>
          <w:szCs w:val="22"/>
        </w:rPr>
        <w:t xml:space="preserve">PET/CT technology in an in-house, coordinated, and clinically integrated care model. This integration will enable earlier detection, </w:t>
      </w:r>
      <w:r w:rsidR="00DF7C65" w:rsidRPr="00C11123">
        <w:rPr>
          <w:rFonts w:cs="Arial"/>
          <w:sz w:val="22"/>
          <w:szCs w:val="22"/>
        </w:rPr>
        <w:t>greater accuracy</w:t>
      </w:r>
      <w:r w:rsidR="00AD067E" w:rsidRPr="00C11123">
        <w:rPr>
          <w:rFonts w:cs="Arial"/>
          <w:sz w:val="22"/>
          <w:szCs w:val="22"/>
        </w:rPr>
        <w:t xml:space="preserve">, and improved longitudinal management of prostate cancer and other urologic conditions. The Proposed Project </w:t>
      </w:r>
      <w:r w:rsidR="004D2E70" w:rsidRPr="00C11123">
        <w:rPr>
          <w:rFonts w:cs="Arial"/>
          <w:sz w:val="22"/>
          <w:szCs w:val="22"/>
        </w:rPr>
        <w:t xml:space="preserve">will </w:t>
      </w:r>
      <w:r w:rsidR="00AD067E" w:rsidRPr="00C11123">
        <w:rPr>
          <w:rFonts w:cs="Arial"/>
          <w:sz w:val="22"/>
          <w:szCs w:val="22"/>
        </w:rPr>
        <w:t xml:space="preserve">also provide reasonable assurances of advancing health equity. By </w:t>
      </w:r>
      <w:r w:rsidR="00ED1D12" w:rsidRPr="00C11123">
        <w:rPr>
          <w:rFonts w:cs="Arial"/>
          <w:sz w:val="22"/>
          <w:szCs w:val="22"/>
        </w:rPr>
        <w:t>brin</w:t>
      </w:r>
      <w:r w:rsidR="00FC0A62" w:rsidRPr="00C11123">
        <w:rPr>
          <w:rFonts w:cs="Arial"/>
          <w:sz w:val="22"/>
          <w:szCs w:val="22"/>
        </w:rPr>
        <w:t>g</w:t>
      </w:r>
      <w:r w:rsidR="00ED1D12" w:rsidRPr="00C11123">
        <w:rPr>
          <w:rFonts w:cs="Arial"/>
          <w:sz w:val="22"/>
          <w:szCs w:val="22"/>
        </w:rPr>
        <w:t>ing</w:t>
      </w:r>
      <w:r w:rsidR="00AD067E" w:rsidRPr="00C11123">
        <w:rPr>
          <w:rFonts w:cs="Arial"/>
          <w:sz w:val="22"/>
          <w:szCs w:val="22"/>
        </w:rPr>
        <w:t xml:space="preserve"> </w:t>
      </w:r>
      <w:r w:rsidR="004D2E70" w:rsidRPr="00C11123">
        <w:rPr>
          <w:rFonts w:cs="Arial"/>
          <w:sz w:val="22"/>
          <w:szCs w:val="22"/>
        </w:rPr>
        <w:t xml:space="preserve">PSMA </w:t>
      </w:r>
      <w:r w:rsidR="00AD067E" w:rsidRPr="00C11123">
        <w:rPr>
          <w:rFonts w:cs="Arial"/>
          <w:sz w:val="22"/>
          <w:szCs w:val="22"/>
        </w:rPr>
        <w:t>PET/CT imaging into its community</w:t>
      </w:r>
      <w:r w:rsidR="00AD067E" w:rsidRPr="00C11123">
        <w:rPr>
          <w:rFonts w:cs="Arial"/>
          <w:sz w:val="22"/>
          <w:szCs w:val="22"/>
        </w:rPr>
        <w:noBreakHyphen/>
        <w:t xml:space="preserve">based urology practice settings, the Applicant will reduce the barriers that disproportionately affect underserved and minority patients, such as travel limitations, scheduling delays, and fragmented care pathways. </w:t>
      </w:r>
      <w:r w:rsidR="004D2E70" w:rsidRPr="00C11123">
        <w:rPr>
          <w:rFonts w:cs="Arial"/>
          <w:sz w:val="22"/>
          <w:szCs w:val="22"/>
        </w:rPr>
        <w:t xml:space="preserve">As discussed earlier, the Applicant’s </w:t>
      </w:r>
      <w:r w:rsidR="00C97705" w:rsidRPr="00C11123">
        <w:rPr>
          <w:rFonts w:cs="Arial"/>
          <w:sz w:val="22"/>
          <w:szCs w:val="22"/>
        </w:rPr>
        <w:t xml:space="preserve">Dedham practice site serves a significant Black population, as does the Milton </w:t>
      </w:r>
      <w:r w:rsidR="00C97705" w:rsidRPr="00C11123">
        <w:rPr>
          <w:rFonts w:cs="Arial"/>
          <w:sz w:val="22"/>
          <w:szCs w:val="22"/>
        </w:rPr>
        <w:lastRenderedPageBreak/>
        <w:t xml:space="preserve">practice site.  The Applicant also services a significant Black population in the Bristol and </w:t>
      </w:r>
      <w:proofErr w:type="gramStart"/>
      <w:r w:rsidR="00C97705" w:rsidRPr="00C11123">
        <w:rPr>
          <w:rFonts w:cs="Arial"/>
          <w:sz w:val="22"/>
          <w:szCs w:val="22"/>
        </w:rPr>
        <w:t>Barnstable county</w:t>
      </w:r>
      <w:proofErr w:type="gramEnd"/>
      <w:r w:rsidR="00C97705" w:rsidRPr="00C11123">
        <w:rPr>
          <w:rFonts w:cs="Arial"/>
          <w:sz w:val="22"/>
          <w:szCs w:val="22"/>
        </w:rPr>
        <w:t xml:space="preserve"> communities. Rotating PSMA PET/CT imaging to the Dedham and Plymouth practice sites, therefore, will bring this vital diagnostic tool closer to Black communities and </w:t>
      </w:r>
      <w:proofErr w:type="gramStart"/>
      <w:r w:rsidR="00C97705" w:rsidRPr="00C11123">
        <w:rPr>
          <w:rFonts w:cs="Arial"/>
          <w:sz w:val="22"/>
          <w:szCs w:val="22"/>
        </w:rPr>
        <w:t>provider</w:t>
      </w:r>
      <w:proofErr w:type="gramEnd"/>
      <w:r w:rsidR="00C97705" w:rsidRPr="00C11123">
        <w:rPr>
          <w:rFonts w:cs="Arial"/>
          <w:sz w:val="22"/>
          <w:szCs w:val="22"/>
        </w:rPr>
        <w:t xml:space="preserve"> greater opportunity to close health equity gaps in prostate cancer care.</w:t>
      </w:r>
    </w:p>
    <w:p w14:paraId="2721839F" w14:textId="77777777" w:rsidR="00900F63" w:rsidRPr="00C11123" w:rsidRDefault="00900F63" w:rsidP="00CC6024">
      <w:pPr>
        <w:spacing w:after="0" w:line="240" w:lineRule="auto"/>
        <w:jc w:val="both"/>
        <w:rPr>
          <w:rFonts w:cs="Arial"/>
          <w:sz w:val="22"/>
          <w:szCs w:val="22"/>
        </w:rPr>
      </w:pPr>
    </w:p>
    <w:p w14:paraId="6EBC3AF4" w14:textId="775666FD" w:rsidR="00AD067E" w:rsidRPr="00C11123" w:rsidRDefault="00000000" w:rsidP="00CC6024">
      <w:pPr>
        <w:spacing w:after="0" w:line="240" w:lineRule="auto"/>
        <w:jc w:val="both"/>
        <w:rPr>
          <w:rFonts w:cs="Arial"/>
          <w:sz w:val="22"/>
          <w:szCs w:val="22"/>
        </w:rPr>
      </w:pPr>
      <w:r w:rsidRPr="00C11123">
        <w:rPr>
          <w:rFonts w:cs="Arial"/>
          <w:sz w:val="22"/>
          <w:szCs w:val="22"/>
        </w:rPr>
        <w:t>The Applicant</w:t>
      </w:r>
      <w:r w:rsidR="00FA5ECD" w:rsidRPr="00C11123">
        <w:rPr>
          <w:rFonts w:cs="Arial"/>
          <w:sz w:val="22"/>
          <w:szCs w:val="22"/>
        </w:rPr>
        <w:t xml:space="preserve"> has a designated </w:t>
      </w:r>
      <w:r w:rsidRPr="00C11123">
        <w:rPr>
          <w:rFonts w:cs="Arial"/>
          <w:sz w:val="22"/>
          <w:szCs w:val="22"/>
        </w:rPr>
        <w:t xml:space="preserve">Nurse </w:t>
      </w:r>
      <w:r w:rsidR="00FA5ECD" w:rsidRPr="00C11123">
        <w:rPr>
          <w:rFonts w:cs="Arial"/>
          <w:sz w:val="22"/>
          <w:szCs w:val="22"/>
        </w:rPr>
        <w:t xml:space="preserve">Navigator who </w:t>
      </w:r>
      <w:r w:rsidRPr="00C11123">
        <w:rPr>
          <w:rFonts w:cs="Arial"/>
          <w:sz w:val="22"/>
          <w:szCs w:val="22"/>
        </w:rPr>
        <w:t xml:space="preserve">will also play an important role in the Proposed Project for the benefit of patients.  The Nurse </w:t>
      </w:r>
      <w:r w:rsidR="00FA5ECD" w:rsidRPr="00C11123">
        <w:rPr>
          <w:rFonts w:cs="Arial"/>
          <w:sz w:val="22"/>
          <w:szCs w:val="22"/>
        </w:rPr>
        <w:t xml:space="preserve">Navigator </w:t>
      </w:r>
      <w:r w:rsidRPr="00C11123">
        <w:rPr>
          <w:rFonts w:cs="Arial"/>
          <w:sz w:val="22"/>
          <w:szCs w:val="22"/>
        </w:rPr>
        <w:t xml:space="preserve">will </w:t>
      </w:r>
      <w:r w:rsidR="00C950F5" w:rsidRPr="00C11123">
        <w:rPr>
          <w:rFonts w:cs="Arial"/>
          <w:sz w:val="22"/>
          <w:szCs w:val="22"/>
        </w:rPr>
        <w:t>promote collaboration between the Applicant’s clinicians</w:t>
      </w:r>
      <w:r w:rsidR="00482868" w:rsidRPr="00C11123">
        <w:rPr>
          <w:rFonts w:cs="Arial"/>
          <w:sz w:val="22"/>
          <w:szCs w:val="22"/>
        </w:rPr>
        <w:t xml:space="preserve">, </w:t>
      </w:r>
      <w:r w:rsidR="00C950F5" w:rsidRPr="00C11123">
        <w:rPr>
          <w:rFonts w:cs="Arial"/>
          <w:sz w:val="22"/>
          <w:szCs w:val="22"/>
        </w:rPr>
        <w:t xml:space="preserve">administrators, </w:t>
      </w:r>
      <w:r w:rsidR="00482868" w:rsidRPr="00C11123">
        <w:rPr>
          <w:rFonts w:cs="Arial"/>
          <w:sz w:val="22"/>
          <w:szCs w:val="22"/>
        </w:rPr>
        <w:t>and</w:t>
      </w:r>
      <w:r w:rsidR="00C950F5" w:rsidRPr="00C11123">
        <w:rPr>
          <w:rFonts w:cs="Arial"/>
          <w:sz w:val="22"/>
          <w:szCs w:val="22"/>
        </w:rPr>
        <w:t xml:space="preserve"> external providers to coordinate timely scheduling, provide patients with accessible information about </w:t>
      </w:r>
      <w:r w:rsidR="000B2DE2" w:rsidRPr="00C11123">
        <w:rPr>
          <w:rFonts w:cs="Arial"/>
          <w:sz w:val="22"/>
          <w:szCs w:val="22"/>
        </w:rPr>
        <w:t xml:space="preserve">PSMA </w:t>
      </w:r>
      <w:r w:rsidR="00C950F5" w:rsidRPr="00C11123">
        <w:rPr>
          <w:rFonts w:cs="Arial"/>
          <w:sz w:val="22"/>
          <w:szCs w:val="22"/>
        </w:rPr>
        <w:t xml:space="preserve">PET/CT imaging, and facilitate follow-up care.  The </w:t>
      </w:r>
      <w:r w:rsidR="00FA5ECD" w:rsidRPr="00C11123">
        <w:rPr>
          <w:rFonts w:cs="Arial"/>
          <w:sz w:val="22"/>
          <w:szCs w:val="22"/>
        </w:rPr>
        <w:t xml:space="preserve">Nurse Navigator </w:t>
      </w:r>
      <w:r w:rsidR="00C950F5" w:rsidRPr="00C11123">
        <w:rPr>
          <w:rFonts w:cs="Arial"/>
          <w:sz w:val="22"/>
          <w:szCs w:val="22"/>
        </w:rPr>
        <w:t xml:space="preserve">will also be able to </w:t>
      </w:r>
      <w:r w:rsidR="00B1425C" w:rsidRPr="00C11123">
        <w:rPr>
          <w:rFonts w:cs="Arial"/>
          <w:sz w:val="22"/>
          <w:szCs w:val="22"/>
        </w:rPr>
        <w:t xml:space="preserve">engage with patients early in their imaging process and throughout future imaging and care planning, offering personalized support to minimize logistical obstacles, ensure patient compliance with pre-scan requirements, and foster patient engagement in their care. In addition, the </w:t>
      </w:r>
      <w:r w:rsidR="00FA5ECD" w:rsidRPr="00C11123">
        <w:rPr>
          <w:rFonts w:cs="Arial"/>
          <w:sz w:val="22"/>
          <w:szCs w:val="22"/>
        </w:rPr>
        <w:t xml:space="preserve">Nurse Navigator </w:t>
      </w:r>
      <w:r w:rsidR="00B1425C" w:rsidRPr="00C11123">
        <w:rPr>
          <w:rFonts w:cs="Arial"/>
          <w:sz w:val="22"/>
          <w:szCs w:val="22"/>
        </w:rPr>
        <w:t>will be able to work with patients to identify social determinants of health</w:t>
      </w:r>
      <w:r w:rsidR="00FA5ECD" w:rsidRPr="00C11123">
        <w:rPr>
          <w:rFonts w:cs="Arial"/>
          <w:sz w:val="22"/>
          <w:szCs w:val="22"/>
        </w:rPr>
        <w:t xml:space="preserve"> (</w:t>
      </w:r>
      <w:proofErr w:type="spellStart"/>
      <w:r w:rsidR="00FA5ECD" w:rsidRPr="00C11123">
        <w:rPr>
          <w:rFonts w:cs="Arial"/>
          <w:sz w:val="22"/>
          <w:szCs w:val="22"/>
        </w:rPr>
        <w:t>SDoH</w:t>
      </w:r>
      <w:proofErr w:type="spellEnd"/>
      <w:r w:rsidR="00FA5ECD" w:rsidRPr="00C11123">
        <w:rPr>
          <w:rFonts w:cs="Arial"/>
          <w:sz w:val="22"/>
          <w:szCs w:val="22"/>
        </w:rPr>
        <w:t>)</w:t>
      </w:r>
      <w:r w:rsidR="00D525D0" w:rsidRPr="00C11123">
        <w:rPr>
          <w:rFonts w:cs="Arial"/>
          <w:sz w:val="22"/>
          <w:szCs w:val="22"/>
        </w:rPr>
        <w:t xml:space="preserve"> that create limiting factors</w:t>
      </w:r>
      <w:r w:rsidR="00B1425C" w:rsidRPr="00C11123">
        <w:rPr>
          <w:rFonts w:cs="Arial"/>
          <w:sz w:val="22"/>
          <w:szCs w:val="22"/>
        </w:rPr>
        <w:t xml:space="preserve">, such as transportation </w:t>
      </w:r>
      <w:r w:rsidR="00D525D0" w:rsidRPr="00C11123">
        <w:rPr>
          <w:rFonts w:cs="Arial"/>
          <w:sz w:val="22"/>
          <w:szCs w:val="22"/>
        </w:rPr>
        <w:t>or mobility difficulties</w:t>
      </w:r>
      <w:r w:rsidR="00B1425C" w:rsidRPr="00C11123">
        <w:rPr>
          <w:rFonts w:cs="Arial"/>
          <w:sz w:val="22"/>
          <w:szCs w:val="22"/>
        </w:rPr>
        <w:t xml:space="preserve">, language barriers, and/or low literacy or health education, and connect </w:t>
      </w:r>
      <w:r w:rsidR="00D525D0" w:rsidRPr="00C11123">
        <w:rPr>
          <w:rFonts w:cs="Arial"/>
          <w:sz w:val="22"/>
          <w:szCs w:val="22"/>
        </w:rPr>
        <w:t xml:space="preserve">affected patients appropriate support structures or resources </w:t>
      </w:r>
      <w:r w:rsidR="004B2218" w:rsidRPr="00C11123">
        <w:rPr>
          <w:rFonts w:cs="Arial"/>
          <w:sz w:val="22"/>
          <w:szCs w:val="22"/>
        </w:rPr>
        <w:t>near</w:t>
      </w:r>
      <w:r w:rsidR="00D525D0" w:rsidRPr="00C11123">
        <w:rPr>
          <w:rFonts w:cs="Arial"/>
          <w:sz w:val="22"/>
          <w:szCs w:val="22"/>
        </w:rPr>
        <w:t xml:space="preserve"> the</w:t>
      </w:r>
      <w:r w:rsidR="004B2218" w:rsidRPr="00C11123">
        <w:rPr>
          <w:rFonts w:cs="Arial"/>
          <w:sz w:val="22"/>
          <w:szCs w:val="22"/>
        </w:rPr>
        <w:t>ir</w:t>
      </w:r>
      <w:r w:rsidR="00D525D0" w:rsidRPr="00C11123">
        <w:rPr>
          <w:rFonts w:cs="Arial"/>
          <w:sz w:val="22"/>
          <w:szCs w:val="22"/>
        </w:rPr>
        <w:t xml:space="preserve"> community.  Accordingly, as a critical liaison between clinicians and patients,</w:t>
      </w:r>
      <w:r w:rsidR="00770D37" w:rsidRPr="00C11123">
        <w:rPr>
          <w:rFonts w:cs="Arial"/>
          <w:sz w:val="22"/>
          <w:szCs w:val="22"/>
        </w:rPr>
        <w:t xml:space="preserve"> the </w:t>
      </w:r>
      <w:bookmarkStart w:id="7" w:name="_Hlk218851472"/>
      <w:r w:rsidR="00FA5ECD" w:rsidRPr="00C11123">
        <w:rPr>
          <w:rFonts w:cs="Arial"/>
          <w:sz w:val="22"/>
          <w:szCs w:val="22"/>
        </w:rPr>
        <w:t xml:space="preserve">Nurse Navigator </w:t>
      </w:r>
      <w:r w:rsidR="00770D37" w:rsidRPr="00C11123">
        <w:rPr>
          <w:rFonts w:cs="Arial"/>
          <w:sz w:val="22"/>
          <w:szCs w:val="22"/>
        </w:rPr>
        <w:t xml:space="preserve">will meaningfully contribute to improving health equity </w:t>
      </w:r>
      <w:r w:rsidR="00FA5ECD" w:rsidRPr="00C11123">
        <w:rPr>
          <w:rFonts w:cs="Arial"/>
          <w:sz w:val="22"/>
          <w:szCs w:val="22"/>
        </w:rPr>
        <w:t xml:space="preserve">by </w:t>
      </w:r>
      <w:r w:rsidR="00770D37" w:rsidRPr="00C11123">
        <w:rPr>
          <w:rFonts w:cs="Arial"/>
          <w:sz w:val="22"/>
          <w:szCs w:val="22"/>
        </w:rPr>
        <w:t>ensur</w:t>
      </w:r>
      <w:r w:rsidR="00FA5ECD" w:rsidRPr="00C11123">
        <w:rPr>
          <w:rFonts w:cs="Arial"/>
          <w:sz w:val="22"/>
          <w:szCs w:val="22"/>
        </w:rPr>
        <w:t>ing</w:t>
      </w:r>
      <w:r w:rsidR="00770D37" w:rsidRPr="00C11123">
        <w:rPr>
          <w:rFonts w:cs="Arial"/>
          <w:sz w:val="22"/>
          <w:szCs w:val="22"/>
        </w:rPr>
        <w:t xml:space="preserve"> that all patients</w:t>
      </w:r>
      <w:r w:rsidR="00CC35BE" w:rsidRPr="00C11123">
        <w:rPr>
          <w:rFonts w:cs="Arial"/>
          <w:sz w:val="22"/>
          <w:szCs w:val="22"/>
        </w:rPr>
        <w:t xml:space="preserve"> regardless of background</w:t>
      </w:r>
      <w:r w:rsidR="00770D37" w:rsidRPr="00C11123">
        <w:rPr>
          <w:rFonts w:cs="Arial"/>
          <w:sz w:val="22"/>
          <w:szCs w:val="22"/>
        </w:rPr>
        <w:t xml:space="preserve"> can access and benefit from advanced</w:t>
      </w:r>
      <w:r w:rsidR="007845C8" w:rsidRPr="00C11123">
        <w:rPr>
          <w:rFonts w:cs="Arial"/>
          <w:sz w:val="22"/>
          <w:szCs w:val="22"/>
        </w:rPr>
        <w:t xml:space="preserve"> PSMA</w:t>
      </w:r>
      <w:r w:rsidR="00770D37" w:rsidRPr="00C11123">
        <w:rPr>
          <w:rFonts w:cs="Arial"/>
          <w:sz w:val="22"/>
          <w:szCs w:val="22"/>
        </w:rPr>
        <w:t xml:space="preserve"> PET/CT services at the Applicant’s practice locations. </w:t>
      </w:r>
      <w:bookmarkEnd w:id="7"/>
    </w:p>
    <w:p w14:paraId="62C239D9" w14:textId="77777777" w:rsidR="00AD067E" w:rsidRPr="00C11123" w:rsidRDefault="00AD067E" w:rsidP="00CC6024">
      <w:pPr>
        <w:spacing w:after="0" w:line="240" w:lineRule="auto"/>
        <w:jc w:val="both"/>
        <w:rPr>
          <w:rFonts w:cs="Arial"/>
          <w:sz w:val="22"/>
          <w:szCs w:val="22"/>
        </w:rPr>
      </w:pPr>
    </w:p>
    <w:p w14:paraId="1946584F" w14:textId="48B9E382" w:rsidR="00924D7E" w:rsidRPr="00C11123" w:rsidRDefault="00000000" w:rsidP="00CC6024">
      <w:pPr>
        <w:spacing w:after="0" w:line="240" w:lineRule="auto"/>
        <w:jc w:val="both"/>
        <w:rPr>
          <w:rFonts w:cs="Arial"/>
          <w:sz w:val="22"/>
          <w:szCs w:val="22"/>
        </w:rPr>
      </w:pPr>
      <w:r w:rsidRPr="00C11123">
        <w:rPr>
          <w:rFonts w:cs="Arial"/>
          <w:sz w:val="22"/>
          <w:szCs w:val="22"/>
        </w:rPr>
        <w:t>The Proposed Project will</w:t>
      </w:r>
      <w:r w:rsidR="002C0D6F" w:rsidRPr="00C11123">
        <w:rPr>
          <w:rFonts w:cs="Arial"/>
          <w:sz w:val="22"/>
          <w:szCs w:val="22"/>
        </w:rPr>
        <w:t xml:space="preserve"> </w:t>
      </w:r>
      <w:r w:rsidRPr="00C11123">
        <w:rPr>
          <w:rFonts w:cs="Arial"/>
          <w:sz w:val="22"/>
          <w:szCs w:val="22"/>
        </w:rPr>
        <w:t xml:space="preserve">be </w:t>
      </w:r>
      <w:r w:rsidR="004376D1" w:rsidRPr="00C11123">
        <w:rPr>
          <w:rFonts w:cs="Arial"/>
          <w:sz w:val="22"/>
          <w:szCs w:val="22"/>
        </w:rPr>
        <w:t xml:space="preserve">further </w:t>
      </w:r>
      <w:r w:rsidRPr="00C11123">
        <w:rPr>
          <w:rFonts w:cs="Arial"/>
          <w:sz w:val="22"/>
          <w:szCs w:val="22"/>
        </w:rPr>
        <w:t xml:space="preserve">reinforced by the expertise and infrastructure of </w:t>
      </w:r>
      <w:r w:rsidR="007845C8" w:rsidRPr="00C11123">
        <w:rPr>
          <w:rFonts w:cs="Arial"/>
          <w:sz w:val="22"/>
          <w:szCs w:val="22"/>
        </w:rPr>
        <w:t>U.S. Urology Partners (“USUP”)</w:t>
      </w:r>
      <w:r w:rsidR="004376D1" w:rsidRPr="00C11123">
        <w:rPr>
          <w:rFonts w:cs="Arial"/>
          <w:sz w:val="22"/>
          <w:szCs w:val="22"/>
        </w:rPr>
        <w:t xml:space="preserve">.  As an established national provider of management services to urology physician groups, USUP </w:t>
      </w:r>
      <w:r w:rsidRPr="00C11123">
        <w:rPr>
          <w:rFonts w:cs="Arial"/>
          <w:sz w:val="22"/>
          <w:szCs w:val="22"/>
        </w:rPr>
        <w:t>provides</w:t>
      </w:r>
      <w:r w:rsidR="004376D1" w:rsidRPr="00C11123">
        <w:rPr>
          <w:rFonts w:cs="Arial"/>
          <w:sz w:val="22"/>
          <w:szCs w:val="22"/>
        </w:rPr>
        <w:t xml:space="preserve"> its</w:t>
      </w:r>
      <w:r w:rsidRPr="00C11123">
        <w:rPr>
          <w:rFonts w:cs="Arial"/>
          <w:sz w:val="22"/>
          <w:szCs w:val="22"/>
        </w:rPr>
        <w:t xml:space="preserve"> affiliated practices</w:t>
      </w:r>
      <w:r w:rsidR="00ED1D12" w:rsidRPr="00C11123">
        <w:rPr>
          <w:rFonts w:cs="Arial"/>
          <w:sz w:val="22"/>
          <w:szCs w:val="22"/>
        </w:rPr>
        <w:t>, including the Applicant,</w:t>
      </w:r>
      <w:r w:rsidRPr="00C11123">
        <w:rPr>
          <w:rFonts w:cs="Arial"/>
          <w:sz w:val="22"/>
          <w:szCs w:val="22"/>
        </w:rPr>
        <w:t xml:space="preserve"> with sophisticated management and operational capabilities, including data analytics, technology infrastructure, </w:t>
      </w:r>
      <w:r w:rsidR="00ED1D12" w:rsidRPr="00C11123">
        <w:rPr>
          <w:rFonts w:cs="Arial"/>
          <w:sz w:val="22"/>
          <w:szCs w:val="22"/>
        </w:rPr>
        <w:t>and other administrative support</w:t>
      </w:r>
      <w:r w:rsidRPr="00C11123">
        <w:rPr>
          <w:rFonts w:cs="Arial"/>
          <w:sz w:val="22"/>
          <w:szCs w:val="22"/>
        </w:rPr>
        <w:t xml:space="preserve">, all of which </w:t>
      </w:r>
      <w:r w:rsidR="00ED1D12" w:rsidRPr="00C11123">
        <w:rPr>
          <w:rFonts w:cs="Arial"/>
          <w:sz w:val="22"/>
          <w:szCs w:val="22"/>
        </w:rPr>
        <w:t>contribute to</w:t>
      </w:r>
      <w:r w:rsidRPr="00C11123">
        <w:rPr>
          <w:rFonts w:cs="Arial"/>
          <w:sz w:val="22"/>
          <w:szCs w:val="22"/>
        </w:rPr>
        <w:t xml:space="preserve"> improved patient outcomes and greater access to high</w:t>
      </w:r>
      <w:r w:rsidRPr="00C11123">
        <w:rPr>
          <w:rFonts w:cs="Arial"/>
          <w:sz w:val="22"/>
          <w:szCs w:val="22"/>
        </w:rPr>
        <w:noBreakHyphen/>
        <w:t>quality care.</w:t>
      </w:r>
      <w:r w:rsidR="002A6313" w:rsidRPr="00C11123">
        <w:rPr>
          <w:rFonts w:cs="Arial"/>
          <w:sz w:val="22"/>
          <w:szCs w:val="22"/>
        </w:rPr>
        <w:t xml:space="preserve"> </w:t>
      </w:r>
      <w:r w:rsidRPr="00C11123">
        <w:rPr>
          <w:rFonts w:cs="Arial"/>
          <w:sz w:val="22"/>
          <w:szCs w:val="22"/>
        </w:rPr>
        <w:t>USUP’s deep urology</w:t>
      </w:r>
      <w:r w:rsidRPr="00C11123">
        <w:rPr>
          <w:rFonts w:cs="Arial"/>
          <w:sz w:val="22"/>
          <w:szCs w:val="22"/>
        </w:rPr>
        <w:noBreakHyphen/>
        <w:t>specific operational expertise in practice management, ancillary services, and multi</w:t>
      </w:r>
      <w:r w:rsidRPr="00C11123">
        <w:rPr>
          <w:rFonts w:cs="Arial"/>
          <w:sz w:val="22"/>
          <w:szCs w:val="22"/>
        </w:rPr>
        <w:noBreakHyphen/>
        <w:t xml:space="preserve">site clinical </w:t>
      </w:r>
      <w:r w:rsidR="004376D1" w:rsidRPr="00C11123">
        <w:rPr>
          <w:rFonts w:cs="Arial"/>
          <w:sz w:val="22"/>
          <w:szCs w:val="22"/>
        </w:rPr>
        <w:t xml:space="preserve">services </w:t>
      </w:r>
      <w:r w:rsidR="002A6313" w:rsidRPr="00C11123">
        <w:rPr>
          <w:rFonts w:cs="Arial"/>
          <w:sz w:val="22"/>
          <w:szCs w:val="22"/>
        </w:rPr>
        <w:t xml:space="preserve">reduces </w:t>
      </w:r>
      <w:r w:rsidRPr="00C11123">
        <w:rPr>
          <w:rFonts w:cs="Arial"/>
          <w:sz w:val="22"/>
          <w:szCs w:val="22"/>
        </w:rPr>
        <w:t xml:space="preserve">administrative burdens and </w:t>
      </w:r>
      <w:r w:rsidR="002A6313" w:rsidRPr="00C11123">
        <w:rPr>
          <w:rFonts w:cs="Arial"/>
          <w:sz w:val="22"/>
          <w:szCs w:val="22"/>
        </w:rPr>
        <w:t>enables</w:t>
      </w:r>
      <w:r w:rsidRPr="00C11123">
        <w:rPr>
          <w:rFonts w:cs="Arial"/>
          <w:sz w:val="22"/>
          <w:szCs w:val="22"/>
        </w:rPr>
        <w:t xml:space="preserve"> physician leadership to </w:t>
      </w:r>
      <w:r w:rsidR="002A6313" w:rsidRPr="00C11123">
        <w:rPr>
          <w:rFonts w:cs="Arial"/>
          <w:sz w:val="22"/>
          <w:szCs w:val="22"/>
        </w:rPr>
        <w:t xml:space="preserve">focus on and </w:t>
      </w:r>
      <w:r w:rsidRPr="00C11123">
        <w:rPr>
          <w:rFonts w:cs="Arial"/>
          <w:sz w:val="22"/>
          <w:szCs w:val="22"/>
        </w:rPr>
        <w:t>drive clinical decision</w:t>
      </w:r>
      <w:r w:rsidRPr="00C11123">
        <w:rPr>
          <w:rFonts w:cs="Arial"/>
          <w:sz w:val="22"/>
          <w:szCs w:val="22"/>
        </w:rPr>
        <w:noBreakHyphen/>
        <w:t xml:space="preserve">making. </w:t>
      </w:r>
      <w:r w:rsidR="002A6313" w:rsidRPr="00C11123">
        <w:rPr>
          <w:rFonts w:cs="Arial"/>
          <w:sz w:val="22"/>
          <w:szCs w:val="22"/>
        </w:rPr>
        <w:t xml:space="preserve">Consequently, the working relationship between the Applicant and USUP will help ensure that the </w:t>
      </w:r>
      <w:r w:rsidR="000B2DE2" w:rsidRPr="00C11123">
        <w:rPr>
          <w:rFonts w:cs="Arial"/>
          <w:sz w:val="22"/>
          <w:szCs w:val="22"/>
        </w:rPr>
        <w:t xml:space="preserve">PSMA </w:t>
      </w:r>
      <w:r w:rsidR="002A6313" w:rsidRPr="00C11123">
        <w:rPr>
          <w:rFonts w:cs="Arial"/>
          <w:sz w:val="22"/>
          <w:szCs w:val="22"/>
        </w:rPr>
        <w:t>PET/CT services are implemented efficiently and enhance patient outcomes, reduce disparities in access to advanced imaging services, and strengthen operational and clinical coordination across the Applicant’s Patient Panel.</w:t>
      </w:r>
    </w:p>
    <w:p w14:paraId="7DC505A2" w14:textId="77777777" w:rsidR="00AC16F7" w:rsidRPr="00C11123" w:rsidRDefault="00AC16F7" w:rsidP="00CC6024">
      <w:pPr>
        <w:spacing w:after="0" w:line="240" w:lineRule="auto"/>
        <w:jc w:val="both"/>
        <w:rPr>
          <w:rFonts w:cs="Arial"/>
          <w:b/>
          <w:bCs/>
          <w:sz w:val="22"/>
          <w:szCs w:val="22"/>
        </w:rPr>
      </w:pPr>
    </w:p>
    <w:p w14:paraId="5E32BE48" w14:textId="77777777" w:rsidR="000B076F" w:rsidRPr="00C11123" w:rsidRDefault="00000000" w:rsidP="00324984">
      <w:pPr>
        <w:pStyle w:val="Heading2"/>
      </w:pPr>
      <w:r w:rsidRPr="00C11123">
        <w:t xml:space="preserve">F1.c. </w:t>
      </w:r>
      <w:r w:rsidRPr="00C11123">
        <w:tab/>
        <w:t xml:space="preserve">Provide evidence that the Proposed Project will operate efficiently and effectively by furthering and improving continuity and coordination of care for the Applicant's Patient Panel, </w:t>
      </w:r>
      <w:proofErr w:type="gramStart"/>
      <w:r w:rsidRPr="00C11123">
        <w:t>including,</w:t>
      </w:r>
      <w:proofErr w:type="gramEnd"/>
      <w:r w:rsidRPr="00C11123">
        <w:t xml:space="preserve"> how the Proposed Project will create or ensure appropriate linkages to patients' primary care services.</w:t>
      </w:r>
    </w:p>
    <w:p w14:paraId="5BBAB54F" w14:textId="77777777" w:rsidR="000B076F" w:rsidRPr="00C11123" w:rsidRDefault="000B076F" w:rsidP="00CC6024">
      <w:pPr>
        <w:spacing w:after="0" w:line="240" w:lineRule="auto"/>
        <w:ind w:left="1440" w:hanging="1440"/>
        <w:jc w:val="both"/>
        <w:rPr>
          <w:rFonts w:cs="Arial"/>
          <w:sz w:val="22"/>
          <w:szCs w:val="22"/>
        </w:rPr>
      </w:pPr>
    </w:p>
    <w:p w14:paraId="3A285747" w14:textId="0BEE8A79" w:rsidR="00182B47" w:rsidRPr="00080A71" w:rsidRDefault="00000000" w:rsidP="00080A71">
      <w:pPr>
        <w:pStyle w:val="Heading3"/>
        <w:numPr>
          <w:ilvl w:val="0"/>
          <w:numId w:val="42"/>
        </w:numPr>
        <w:rPr>
          <w:u w:val="single"/>
        </w:rPr>
      </w:pPr>
      <w:r w:rsidRPr="00080A71">
        <w:rPr>
          <w:u w:val="single"/>
        </w:rPr>
        <w:t>Coordination and Linkages to Primary Care</w:t>
      </w:r>
    </w:p>
    <w:p w14:paraId="6611D7A6" w14:textId="77777777" w:rsidR="00182B47" w:rsidRPr="00C11123" w:rsidRDefault="00182B47" w:rsidP="00CC6024">
      <w:pPr>
        <w:pStyle w:val="ListParagraph"/>
        <w:spacing w:after="0" w:line="240" w:lineRule="auto"/>
        <w:jc w:val="both"/>
        <w:rPr>
          <w:rFonts w:cs="Arial"/>
          <w:sz w:val="22"/>
          <w:szCs w:val="22"/>
        </w:rPr>
      </w:pPr>
    </w:p>
    <w:p w14:paraId="24CA79C8" w14:textId="7E542EF9" w:rsidR="000B076F" w:rsidRPr="00C11123" w:rsidRDefault="00000000" w:rsidP="00CC6024">
      <w:pPr>
        <w:spacing w:after="0" w:line="240" w:lineRule="auto"/>
        <w:jc w:val="both"/>
        <w:rPr>
          <w:rFonts w:cs="Arial"/>
          <w:sz w:val="22"/>
          <w:szCs w:val="22"/>
        </w:rPr>
      </w:pPr>
      <w:r w:rsidRPr="00C11123">
        <w:rPr>
          <w:rFonts w:cs="Arial"/>
          <w:sz w:val="22"/>
          <w:szCs w:val="22"/>
        </w:rPr>
        <w:t xml:space="preserve">The </w:t>
      </w:r>
      <w:r w:rsidR="002938B2" w:rsidRPr="00C11123">
        <w:rPr>
          <w:rFonts w:cs="Arial"/>
          <w:sz w:val="22"/>
          <w:szCs w:val="22"/>
        </w:rPr>
        <w:t xml:space="preserve">Applicant recognizes the importance of care coordination between its urology specialists and its patients’ primary care providers (PCPs). The Applicant has internal procedures that assign responsibility to designated staff for care coordination activities, confirming report delivery, and ensuring follow-up communication with PCPs. These procedures are reinforced through staff training and quality assurance reviews to ensure adherence to professional standards. </w:t>
      </w:r>
    </w:p>
    <w:p w14:paraId="51EC9D50" w14:textId="77777777" w:rsidR="00F24E42" w:rsidRPr="00C11123" w:rsidRDefault="00F24E42" w:rsidP="00D70747">
      <w:pPr>
        <w:spacing w:after="0" w:line="240" w:lineRule="auto"/>
        <w:jc w:val="both"/>
        <w:rPr>
          <w:rFonts w:cs="Arial"/>
          <w:sz w:val="22"/>
          <w:szCs w:val="22"/>
        </w:rPr>
      </w:pPr>
    </w:p>
    <w:p w14:paraId="06AEBE95" w14:textId="25DE0967" w:rsidR="000B076F" w:rsidRPr="00C11123" w:rsidRDefault="00000000" w:rsidP="00CC6024">
      <w:pPr>
        <w:spacing w:after="0" w:line="240" w:lineRule="auto"/>
        <w:jc w:val="both"/>
        <w:rPr>
          <w:rFonts w:cs="Arial"/>
          <w:sz w:val="22"/>
          <w:szCs w:val="22"/>
        </w:rPr>
      </w:pPr>
      <w:r w:rsidRPr="00C11123">
        <w:rPr>
          <w:rFonts w:cs="Arial"/>
          <w:sz w:val="22"/>
          <w:szCs w:val="22"/>
        </w:rPr>
        <w:t xml:space="preserve">The Applicant also has procedures for secure information sharing with PCPs, including diagnostic test results. </w:t>
      </w:r>
      <w:r w:rsidR="00C02FD1" w:rsidRPr="00C11123">
        <w:rPr>
          <w:rFonts w:cs="Arial"/>
          <w:sz w:val="22"/>
          <w:szCs w:val="22"/>
        </w:rPr>
        <w:t>PET/CT imaging results are</w:t>
      </w:r>
      <w:r w:rsidRPr="00C11123">
        <w:rPr>
          <w:rFonts w:cs="Arial"/>
          <w:sz w:val="22"/>
          <w:szCs w:val="22"/>
        </w:rPr>
        <w:t xml:space="preserve"> vital information that </w:t>
      </w:r>
      <w:proofErr w:type="gramStart"/>
      <w:r w:rsidRPr="00C11123">
        <w:rPr>
          <w:rFonts w:cs="Arial"/>
          <w:sz w:val="22"/>
          <w:szCs w:val="22"/>
        </w:rPr>
        <w:t>bear</w:t>
      </w:r>
      <w:proofErr w:type="gramEnd"/>
      <w:r w:rsidRPr="00C11123">
        <w:rPr>
          <w:rFonts w:cs="Arial"/>
          <w:sz w:val="22"/>
          <w:szCs w:val="22"/>
        </w:rPr>
        <w:t xml:space="preserve"> on clinical decision-making not only for the ordering clinicians or specialists, but for all other treating clinicians across a patient’s </w:t>
      </w:r>
      <w:r w:rsidRPr="00C11123">
        <w:rPr>
          <w:rFonts w:cs="Arial"/>
          <w:sz w:val="22"/>
          <w:szCs w:val="22"/>
        </w:rPr>
        <w:lastRenderedPageBreak/>
        <w:t xml:space="preserve">care continuum. When specialists and PCPs have </w:t>
      </w:r>
      <w:r w:rsidR="00F24E42" w:rsidRPr="00C11123">
        <w:rPr>
          <w:rFonts w:cs="Arial"/>
          <w:sz w:val="22"/>
          <w:szCs w:val="22"/>
        </w:rPr>
        <w:t xml:space="preserve">coordinated </w:t>
      </w:r>
      <w:r w:rsidRPr="00C11123">
        <w:rPr>
          <w:rFonts w:cs="Arial"/>
          <w:sz w:val="22"/>
          <w:szCs w:val="22"/>
        </w:rPr>
        <w:t xml:space="preserve">access to medically significant diagnostic testing </w:t>
      </w:r>
      <w:r w:rsidR="00C02FD1" w:rsidRPr="00C11123">
        <w:rPr>
          <w:rFonts w:cs="Arial"/>
          <w:sz w:val="22"/>
          <w:szCs w:val="22"/>
        </w:rPr>
        <w:t>data</w:t>
      </w:r>
      <w:r w:rsidRPr="00C11123">
        <w:rPr>
          <w:rFonts w:cs="Arial"/>
          <w:sz w:val="22"/>
          <w:szCs w:val="22"/>
        </w:rPr>
        <w:t>, they are able to formulate care plans with greater efficiency and clinical coherence, ensuring that treatment decisions reflect a comprehensive understanding of the patient’s overall health status.</w:t>
      </w:r>
      <w:r w:rsidRPr="00C11123">
        <w:rPr>
          <w:rFonts w:cs="Arial"/>
          <w:b/>
          <w:bCs/>
          <w:sz w:val="22"/>
          <w:szCs w:val="22"/>
        </w:rPr>
        <w:t xml:space="preserve"> </w:t>
      </w:r>
      <w:r w:rsidRPr="00C11123">
        <w:rPr>
          <w:rFonts w:cs="Arial"/>
          <w:sz w:val="22"/>
          <w:szCs w:val="22"/>
        </w:rPr>
        <w:t xml:space="preserve">Such care coordination is essential in the diagnosis and treatment of prostate cancer </w:t>
      </w:r>
      <w:r w:rsidR="00245957" w:rsidRPr="00C11123">
        <w:rPr>
          <w:rFonts w:cs="Arial"/>
          <w:sz w:val="22"/>
          <w:szCs w:val="22"/>
        </w:rPr>
        <w:t xml:space="preserve">because </w:t>
      </w:r>
      <w:r w:rsidRPr="00C11123">
        <w:rPr>
          <w:rFonts w:cs="Arial"/>
          <w:sz w:val="22"/>
          <w:szCs w:val="22"/>
        </w:rPr>
        <w:t xml:space="preserve">urologists lead the management of cancer-specific </w:t>
      </w:r>
      <w:r w:rsidR="00245957" w:rsidRPr="00C11123">
        <w:rPr>
          <w:rFonts w:cs="Arial"/>
          <w:sz w:val="22"/>
          <w:szCs w:val="22"/>
        </w:rPr>
        <w:t>c</w:t>
      </w:r>
      <w:r w:rsidRPr="00C11123">
        <w:rPr>
          <w:rFonts w:cs="Arial"/>
          <w:sz w:val="22"/>
          <w:szCs w:val="22"/>
        </w:rPr>
        <w:t>are, while PCPs manage overall health, comorbidities, and preventative and derivative care around the diagnosis, including management of patient treatment preferences.</w:t>
      </w:r>
      <w:r>
        <w:rPr>
          <w:rStyle w:val="FootnoteReference"/>
          <w:rFonts w:cs="Arial"/>
          <w:sz w:val="22"/>
          <w:szCs w:val="22"/>
        </w:rPr>
        <w:footnoteReference w:id="127"/>
      </w:r>
    </w:p>
    <w:p w14:paraId="1BB9A96A" w14:textId="77777777" w:rsidR="00F24E42" w:rsidRPr="00C11123" w:rsidRDefault="00F24E42" w:rsidP="00D70747">
      <w:pPr>
        <w:spacing w:after="0" w:line="240" w:lineRule="auto"/>
        <w:jc w:val="both"/>
        <w:rPr>
          <w:rFonts w:cs="Arial"/>
          <w:sz w:val="22"/>
          <w:szCs w:val="22"/>
        </w:rPr>
      </w:pPr>
    </w:p>
    <w:p w14:paraId="78D21432" w14:textId="574914CD" w:rsidR="000B076F" w:rsidRPr="00C11123" w:rsidRDefault="00000000" w:rsidP="00CC6024">
      <w:pPr>
        <w:spacing w:after="0" w:line="240" w:lineRule="auto"/>
        <w:jc w:val="both"/>
        <w:rPr>
          <w:rFonts w:cs="Arial"/>
          <w:sz w:val="22"/>
          <w:szCs w:val="22"/>
        </w:rPr>
      </w:pPr>
      <w:r w:rsidRPr="00C11123">
        <w:rPr>
          <w:rFonts w:cs="Arial"/>
          <w:sz w:val="22"/>
          <w:szCs w:val="22"/>
        </w:rPr>
        <w:t xml:space="preserve">The Proposed Project will further enhance this collaborative framework by improving access to advanced diagnostic imaging that can be seamlessly incorporated into shared care planning, thereby improving clinical outcomes and continuity of care for patients. In developing the Proposed Project, the Applicant assessed the needs of its Patient Panel to ensure that its existing clinical services combined with the proposed </w:t>
      </w:r>
      <w:r w:rsidR="007845C8" w:rsidRPr="00C11123">
        <w:rPr>
          <w:rFonts w:cs="Arial"/>
          <w:sz w:val="22"/>
          <w:szCs w:val="22"/>
        </w:rPr>
        <w:t xml:space="preserve">PSMA </w:t>
      </w:r>
      <w:r w:rsidRPr="00C11123">
        <w:rPr>
          <w:rFonts w:cs="Arial"/>
          <w:sz w:val="22"/>
          <w:szCs w:val="22"/>
        </w:rPr>
        <w:t xml:space="preserve">PET/CT imaging capabilities will be aligned with the healthcare services of its patients’ PCPs. The Applicant determined that by </w:t>
      </w:r>
      <w:r w:rsidR="00FC12FD" w:rsidRPr="00C11123">
        <w:rPr>
          <w:rFonts w:cs="Arial"/>
          <w:sz w:val="22"/>
          <w:szCs w:val="22"/>
        </w:rPr>
        <w:t xml:space="preserve">directly </w:t>
      </w:r>
      <w:r w:rsidR="00245957" w:rsidRPr="00C11123">
        <w:rPr>
          <w:rFonts w:cs="Arial"/>
          <w:sz w:val="22"/>
          <w:szCs w:val="22"/>
        </w:rPr>
        <w:t>providing</w:t>
      </w:r>
      <w:r w:rsidR="00FC12FD" w:rsidRPr="00C11123">
        <w:rPr>
          <w:rFonts w:cs="Arial"/>
          <w:sz w:val="22"/>
          <w:szCs w:val="22"/>
        </w:rPr>
        <w:t xml:space="preserve"> its Patient </w:t>
      </w:r>
      <w:r w:rsidRPr="00C11123">
        <w:rPr>
          <w:rFonts w:cs="Arial"/>
          <w:sz w:val="22"/>
          <w:szCs w:val="22"/>
        </w:rPr>
        <w:t xml:space="preserve">high-quality, cost-effective </w:t>
      </w:r>
      <w:r w:rsidR="007845C8" w:rsidRPr="00C11123">
        <w:rPr>
          <w:rFonts w:cs="Arial"/>
          <w:sz w:val="22"/>
          <w:szCs w:val="22"/>
        </w:rPr>
        <w:t xml:space="preserve">PSMA </w:t>
      </w:r>
      <w:r w:rsidRPr="00C11123">
        <w:rPr>
          <w:rFonts w:cs="Arial"/>
          <w:sz w:val="22"/>
          <w:szCs w:val="22"/>
        </w:rPr>
        <w:t>PET/CT imaging, the Proposed Project will strengthen diagnostic workflows important to both effective urology specialty care and corresponding primary care in a manner that is tailored to individual patient needs</w:t>
      </w:r>
      <w:r w:rsidR="00FC12FD" w:rsidRPr="00C11123">
        <w:rPr>
          <w:rFonts w:cs="Arial"/>
          <w:sz w:val="22"/>
          <w:szCs w:val="22"/>
        </w:rPr>
        <w:t xml:space="preserve"> with evidence-based interventions</w:t>
      </w:r>
      <w:r w:rsidR="000224F5" w:rsidRPr="00C11123">
        <w:rPr>
          <w:rFonts w:cs="Arial"/>
          <w:sz w:val="22"/>
          <w:szCs w:val="22"/>
        </w:rPr>
        <w:t xml:space="preserve">. </w:t>
      </w:r>
      <w:r w:rsidRPr="00C11123">
        <w:rPr>
          <w:rFonts w:cs="Arial"/>
          <w:sz w:val="22"/>
          <w:szCs w:val="22"/>
        </w:rPr>
        <w:t>In doing so, the Proposed Project will</w:t>
      </w:r>
      <w:r w:rsidR="000224F5" w:rsidRPr="00C11123">
        <w:rPr>
          <w:rFonts w:cs="Arial"/>
          <w:sz w:val="22"/>
          <w:szCs w:val="22"/>
        </w:rPr>
        <w:t xml:space="preserve"> </w:t>
      </w:r>
      <w:r w:rsidRPr="00C11123">
        <w:rPr>
          <w:rFonts w:cs="Arial"/>
          <w:sz w:val="22"/>
          <w:szCs w:val="22"/>
        </w:rPr>
        <w:t xml:space="preserve">facilitate interdisciplinary cooperation between healthcare providers in obtaining and managing diagnostic results essential to specific and ongoing patient care planning in both urology and primary care </w:t>
      </w:r>
      <w:proofErr w:type="gramStart"/>
      <w:r w:rsidRPr="00C11123">
        <w:rPr>
          <w:rFonts w:cs="Arial"/>
          <w:sz w:val="22"/>
          <w:szCs w:val="22"/>
        </w:rPr>
        <w:t>contexts, and</w:t>
      </w:r>
      <w:proofErr w:type="gramEnd"/>
      <w:r w:rsidRPr="00C11123">
        <w:rPr>
          <w:rFonts w:cs="Arial"/>
          <w:sz w:val="22"/>
          <w:szCs w:val="22"/>
        </w:rPr>
        <w:t xml:space="preserve"> so advance the Commonwealth’s objectives related to quality and cost</w:t>
      </w:r>
      <w:r w:rsidRPr="00C11123">
        <w:rPr>
          <w:rFonts w:cs="Arial"/>
          <w:sz w:val="22"/>
          <w:szCs w:val="22"/>
        </w:rPr>
        <w:noBreakHyphen/>
        <w:t>containment through integrated and coordinated service delivery.</w:t>
      </w:r>
    </w:p>
    <w:p w14:paraId="4288906C" w14:textId="77777777" w:rsidR="00F24E42" w:rsidRPr="00C11123" w:rsidRDefault="00F24E42" w:rsidP="00D70747">
      <w:pPr>
        <w:spacing w:after="0" w:line="240" w:lineRule="auto"/>
        <w:jc w:val="both"/>
        <w:rPr>
          <w:rFonts w:cs="Arial"/>
          <w:sz w:val="22"/>
          <w:szCs w:val="22"/>
        </w:rPr>
      </w:pPr>
    </w:p>
    <w:p w14:paraId="08B33425" w14:textId="2BEE3C9C" w:rsidR="00182B47" w:rsidRPr="00080A71" w:rsidRDefault="00000000" w:rsidP="00080A71">
      <w:pPr>
        <w:pStyle w:val="Heading3"/>
        <w:numPr>
          <w:ilvl w:val="0"/>
          <w:numId w:val="42"/>
        </w:numPr>
        <w:rPr>
          <w:u w:val="single"/>
        </w:rPr>
      </w:pPr>
      <w:r w:rsidRPr="00080A71">
        <w:rPr>
          <w:u w:val="single"/>
        </w:rPr>
        <w:t>Role of the Nurse Navigator</w:t>
      </w:r>
    </w:p>
    <w:p w14:paraId="089436D9" w14:textId="77777777" w:rsidR="00F24E42" w:rsidRPr="00C11123" w:rsidRDefault="00F24E42" w:rsidP="00D70747">
      <w:pPr>
        <w:pStyle w:val="ListParagraph"/>
        <w:spacing w:after="0" w:line="240" w:lineRule="auto"/>
        <w:jc w:val="both"/>
        <w:rPr>
          <w:rFonts w:cs="Arial"/>
          <w:sz w:val="22"/>
          <w:szCs w:val="22"/>
          <w:u w:val="single"/>
        </w:rPr>
      </w:pPr>
    </w:p>
    <w:p w14:paraId="1B14EC6D" w14:textId="3D5DA045" w:rsidR="006F226C" w:rsidRPr="00C11123" w:rsidRDefault="00000000" w:rsidP="00CC6024">
      <w:pPr>
        <w:spacing w:after="0" w:line="240" w:lineRule="auto"/>
        <w:jc w:val="both"/>
        <w:rPr>
          <w:rFonts w:cs="Arial"/>
          <w:sz w:val="22"/>
          <w:szCs w:val="22"/>
        </w:rPr>
      </w:pPr>
      <w:r w:rsidRPr="00C11123">
        <w:rPr>
          <w:rFonts w:cs="Arial"/>
          <w:sz w:val="22"/>
          <w:szCs w:val="22"/>
        </w:rPr>
        <w:t xml:space="preserve">To ensure these goals are met, the Applicant’s clinical and administrative workflow will include </w:t>
      </w:r>
      <w:r w:rsidR="00C31DF2" w:rsidRPr="00C11123">
        <w:rPr>
          <w:rFonts w:cs="Arial"/>
          <w:sz w:val="22"/>
          <w:szCs w:val="22"/>
        </w:rPr>
        <w:t>its Nurse Navigator</w:t>
      </w:r>
      <w:r w:rsidRPr="00C11123">
        <w:rPr>
          <w:rFonts w:cs="Arial"/>
          <w:sz w:val="22"/>
          <w:szCs w:val="22"/>
        </w:rPr>
        <w:t>.  The Nurse Navigator plays a central and essential role in the Applicant’s prostate cancer program, serving as the primary point of contact for patients and their families from diagnosis through treatment and ongoing surveillance. This role is designed to ensure timely, coordinated, and patient-centered care while minimizing barriers and enhancing the overall patient experience. From the time a patient is diagnosed with prostate cancer, the Nurse Navigator provides direct clinical support and comprehensive care coordination. The Nurse Navigator assists patients in understanding their diagnosis, staging, and treatment options, reinforcing physician recommendations</w:t>
      </w:r>
      <w:r w:rsidR="00E6780A" w:rsidRPr="00C11123">
        <w:rPr>
          <w:rFonts w:cs="Arial"/>
          <w:sz w:val="22"/>
          <w:szCs w:val="22"/>
        </w:rPr>
        <w:t>,</w:t>
      </w:r>
      <w:r w:rsidRPr="00C11123">
        <w:rPr>
          <w:rFonts w:cs="Arial"/>
          <w:sz w:val="22"/>
          <w:szCs w:val="22"/>
        </w:rPr>
        <w:t xml:space="preserve"> and ensuring patients feel informed and supported during what is often a complex and stressful period. This includes education related to imaging, pathology, treatment pathways, potential side effects, and available resources. A core responsibility of the Nurse Navigator is to </w:t>
      </w:r>
      <w:proofErr w:type="gramStart"/>
      <w:r w:rsidRPr="00C11123">
        <w:rPr>
          <w:rFonts w:cs="Arial"/>
          <w:sz w:val="22"/>
          <w:szCs w:val="22"/>
        </w:rPr>
        <w:t>implement</w:t>
      </w:r>
      <w:proofErr w:type="gramEnd"/>
      <w:r w:rsidRPr="00C11123">
        <w:rPr>
          <w:rFonts w:cs="Arial"/>
          <w:sz w:val="22"/>
          <w:szCs w:val="22"/>
        </w:rPr>
        <w:t xml:space="preserve"> and support established prostate cancer protocols while collaborating closely with physicians and advanced prostate cancer specialists to continuously improve care pathways. The Nurse Navigator </w:t>
      </w:r>
      <w:r w:rsidR="00E6780A" w:rsidRPr="00C11123">
        <w:rPr>
          <w:rFonts w:cs="Arial"/>
          <w:sz w:val="22"/>
          <w:szCs w:val="22"/>
        </w:rPr>
        <w:t xml:space="preserve">helps </w:t>
      </w:r>
      <w:r w:rsidRPr="00C11123">
        <w:rPr>
          <w:rFonts w:cs="Arial"/>
          <w:sz w:val="22"/>
          <w:szCs w:val="22"/>
        </w:rPr>
        <w:t xml:space="preserve">ensure that appropriate imaging </w:t>
      </w:r>
      <w:r w:rsidR="00E6780A" w:rsidRPr="00C11123">
        <w:rPr>
          <w:rFonts w:cs="Arial"/>
          <w:sz w:val="22"/>
          <w:szCs w:val="22"/>
        </w:rPr>
        <w:t xml:space="preserve">is </w:t>
      </w:r>
      <w:proofErr w:type="gramStart"/>
      <w:r w:rsidR="00E6780A" w:rsidRPr="00C11123">
        <w:rPr>
          <w:rFonts w:cs="Arial"/>
          <w:sz w:val="22"/>
          <w:szCs w:val="22"/>
        </w:rPr>
        <w:t>timely obtained</w:t>
      </w:r>
      <w:proofErr w:type="gramEnd"/>
      <w:r w:rsidRPr="00C11123">
        <w:rPr>
          <w:rFonts w:cs="Arial"/>
          <w:sz w:val="22"/>
          <w:szCs w:val="22"/>
        </w:rPr>
        <w:t xml:space="preserve"> to support clinical decision-making, including advanced diagnostic tools </w:t>
      </w:r>
      <w:r w:rsidR="00A54946" w:rsidRPr="00C11123">
        <w:rPr>
          <w:rFonts w:cs="Arial"/>
          <w:sz w:val="22"/>
          <w:szCs w:val="22"/>
        </w:rPr>
        <w:t>like</w:t>
      </w:r>
      <w:r w:rsidRPr="00C11123">
        <w:rPr>
          <w:rFonts w:cs="Arial"/>
          <w:sz w:val="22"/>
          <w:szCs w:val="22"/>
        </w:rPr>
        <w:t xml:space="preserve"> PSMA PET/CT scans when clinically indicated. By coordinating imaging orders, scheduling, insurance authorization, and patient preparation, the Nurse Navigator helps streamline access and avoid delays in care.</w:t>
      </w:r>
    </w:p>
    <w:p w14:paraId="65FDD3B9" w14:textId="77777777" w:rsidR="00A54946" w:rsidRPr="00C11123" w:rsidRDefault="00A54946" w:rsidP="00D70747">
      <w:pPr>
        <w:spacing w:after="0" w:line="240" w:lineRule="auto"/>
        <w:jc w:val="both"/>
        <w:rPr>
          <w:rFonts w:cs="Arial"/>
          <w:sz w:val="22"/>
          <w:szCs w:val="22"/>
        </w:rPr>
      </w:pPr>
    </w:p>
    <w:p w14:paraId="540CAA93" w14:textId="0E44EDA3" w:rsidR="006F226C" w:rsidRPr="00C11123" w:rsidRDefault="00000000" w:rsidP="00CC6024">
      <w:pPr>
        <w:spacing w:after="0" w:line="240" w:lineRule="auto"/>
        <w:jc w:val="both"/>
        <w:rPr>
          <w:rFonts w:cs="Arial"/>
          <w:sz w:val="22"/>
          <w:szCs w:val="22"/>
        </w:rPr>
      </w:pPr>
      <w:r w:rsidRPr="00C11123">
        <w:rPr>
          <w:rFonts w:cs="Arial"/>
          <w:sz w:val="22"/>
          <w:szCs w:val="22"/>
        </w:rPr>
        <w:t>The Nurse Navigator also functions as the essential link between the patient and the broader care team. This includes facilitating referrals and appointments with primary care physicians, medical oncology, radiation oncology, imaging services, infusion therapy, nutrition, physical therapy, and other support services as needed. For patients undergoing complex therapies or advanced disease management, the Nurse Navigator ensures continuity, follow-through, and clear communication across all providers involved</w:t>
      </w:r>
      <w:r w:rsidR="00980A30" w:rsidRPr="00C11123">
        <w:rPr>
          <w:rFonts w:cs="Arial"/>
          <w:sz w:val="22"/>
          <w:szCs w:val="22"/>
        </w:rPr>
        <w:t>, such as communicating test results and care updates promptly to patients and providers</w:t>
      </w:r>
      <w:r w:rsidR="00A54946" w:rsidRPr="00C11123">
        <w:rPr>
          <w:rFonts w:cs="Arial"/>
          <w:sz w:val="22"/>
          <w:szCs w:val="22"/>
        </w:rPr>
        <w:t>.</w:t>
      </w:r>
      <w:r w:rsidR="00980A30" w:rsidRPr="00C11123">
        <w:rPr>
          <w:rFonts w:cs="Arial"/>
          <w:sz w:val="22"/>
          <w:szCs w:val="22"/>
        </w:rPr>
        <w:t xml:space="preserve"> </w:t>
      </w:r>
      <w:r w:rsidRPr="00C11123">
        <w:rPr>
          <w:rFonts w:cs="Arial"/>
          <w:sz w:val="22"/>
          <w:szCs w:val="22"/>
        </w:rPr>
        <w:t xml:space="preserve">In addition, the Nurse Navigator actively tracks prostate cancer patients throughout their care journey to ensure they are receiving appropriate imaging, laboratory testing, medications, and follow-up. The role includes identifying patients who may be at higher risk for care gaps or delays and intervening early to address barriers such as scheduling challenges, insurance issues, or </w:t>
      </w:r>
      <w:proofErr w:type="spellStart"/>
      <w:r w:rsidRPr="00C11123">
        <w:rPr>
          <w:rFonts w:cs="Arial"/>
          <w:sz w:val="22"/>
          <w:szCs w:val="22"/>
        </w:rPr>
        <w:t>SDoH</w:t>
      </w:r>
      <w:proofErr w:type="spellEnd"/>
      <w:r w:rsidRPr="00C11123">
        <w:rPr>
          <w:rFonts w:cs="Arial"/>
          <w:sz w:val="22"/>
          <w:szCs w:val="22"/>
        </w:rPr>
        <w:t xml:space="preserve">. </w:t>
      </w:r>
    </w:p>
    <w:p w14:paraId="790C5AE6" w14:textId="77777777" w:rsidR="00BA157C" w:rsidRPr="00C11123" w:rsidRDefault="00BA157C" w:rsidP="00D70747">
      <w:pPr>
        <w:spacing w:after="0" w:line="240" w:lineRule="auto"/>
        <w:jc w:val="both"/>
        <w:rPr>
          <w:rFonts w:cs="Arial"/>
          <w:sz w:val="22"/>
          <w:szCs w:val="22"/>
        </w:rPr>
      </w:pPr>
    </w:p>
    <w:p w14:paraId="694E071E" w14:textId="055D5006" w:rsidR="00182B47" w:rsidRPr="00C11123" w:rsidRDefault="00000000" w:rsidP="00CC6024">
      <w:pPr>
        <w:spacing w:after="0" w:line="240" w:lineRule="auto"/>
        <w:jc w:val="both"/>
        <w:rPr>
          <w:rFonts w:cs="Arial"/>
          <w:sz w:val="22"/>
          <w:szCs w:val="22"/>
        </w:rPr>
      </w:pPr>
      <w:r w:rsidRPr="00C11123">
        <w:rPr>
          <w:rFonts w:cs="Arial"/>
          <w:sz w:val="22"/>
          <w:szCs w:val="22"/>
        </w:rPr>
        <w:t>T</w:t>
      </w:r>
      <w:r w:rsidR="002938B2" w:rsidRPr="00C11123">
        <w:rPr>
          <w:rFonts w:cs="Arial"/>
          <w:sz w:val="22"/>
          <w:szCs w:val="22"/>
        </w:rPr>
        <w:t>he Nurse Navigator</w:t>
      </w:r>
      <w:r w:rsidRPr="00C11123">
        <w:rPr>
          <w:rFonts w:cs="Arial"/>
          <w:sz w:val="22"/>
          <w:szCs w:val="22"/>
        </w:rPr>
        <w:t xml:space="preserve"> also</w:t>
      </w:r>
      <w:r w:rsidR="002938B2" w:rsidRPr="00C11123">
        <w:rPr>
          <w:rFonts w:cs="Arial"/>
          <w:sz w:val="22"/>
          <w:szCs w:val="22"/>
        </w:rPr>
        <w:t xml:space="preserve"> provides emotional support and guidance to patients and families during critical decision-making periods. By serving as a consistent and trusted clinical resource, the Nurse Navigator helps patients navigate complex choices with confidence and ensures they remain engaged in their care over time. </w:t>
      </w:r>
    </w:p>
    <w:p w14:paraId="6AE957D3" w14:textId="77777777" w:rsidR="00BA157C" w:rsidRPr="00C11123" w:rsidRDefault="00BA157C" w:rsidP="00D70747">
      <w:pPr>
        <w:spacing w:after="0" w:line="240" w:lineRule="auto"/>
        <w:jc w:val="both"/>
        <w:rPr>
          <w:rFonts w:cs="Arial"/>
          <w:sz w:val="22"/>
          <w:szCs w:val="22"/>
        </w:rPr>
      </w:pPr>
    </w:p>
    <w:p w14:paraId="2E707425" w14:textId="2A26E34F" w:rsidR="006F226C" w:rsidRPr="00C11123" w:rsidRDefault="00000000" w:rsidP="00CC6024">
      <w:pPr>
        <w:spacing w:after="0" w:line="240" w:lineRule="auto"/>
        <w:jc w:val="both"/>
        <w:rPr>
          <w:rFonts w:cs="Arial"/>
          <w:sz w:val="22"/>
          <w:szCs w:val="22"/>
        </w:rPr>
      </w:pPr>
      <w:r w:rsidRPr="00C11123">
        <w:rPr>
          <w:rFonts w:cs="Arial"/>
          <w:sz w:val="22"/>
          <w:szCs w:val="22"/>
        </w:rPr>
        <w:t>By coordinating care, supporting advanced imaging such as PSMA PET/CT, and maintaining close communication between patients, providers, and ancillary services, this role ensures high-quality, efficient, and patient-centered prostate cancer care across the Applicant’s practice</w:t>
      </w:r>
      <w:r w:rsidR="00182B47" w:rsidRPr="00C11123">
        <w:rPr>
          <w:rFonts w:cs="Arial"/>
          <w:sz w:val="22"/>
          <w:szCs w:val="22"/>
        </w:rPr>
        <w:t xml:space="preserve"> that reduces transactional costs, both financial and operational.</w:t>
      </w:r>
    </w:p>
    <w:p w14:paraId="7F7B4B8A" w14:textId="77777777" w:rsidR="00980A30" w:rsidRPr="00C11123" w:rsidRDefault="00980A30" w:rsidP="00D70747">
      <w:pPr>
        <w:spacing w:after="0" w:line="240" w:lineRule="auto"/>
        <w:jc w:val="both"/>
        <w:rPr>
          <w:rFonts w:cs="Arial"/>
          <w:sz w:val="22"/>
          <w:szCs w:val="22"/>
        </w:rPr>
      </w:pPr>
    </w:p>
    <w:p w14:paraId="314A2894" w14:textId="588E47F6" w:rsidR="00182B47" w:rsidRPr="001B2BD5" w:rsidRDefault="00000000" w:rsidP="001B2BD5">
      <w:pPr>
        <w:pStyle w:val="Heading3"/>
        <w:numPr>
          <w:ilvl w:val="0"/>
          <w:numId w:val="42"/>
        </w:numPr>
        <w:rPr>
          <w:u w:val="single"/>
        </w:rPr>
      </w:pPr>
      <w:r w:rsidRPr="001B2BD5">
        <w:rPr>
          <w:u w:val="single"/>
        </w:rPr>
        <w:t>Additional Protocols</w:t>
      </w:r>
    </w:p>
    <w:p w14:paraId="4319DE7B" w14:textId="77777777" w:rsidR="00F24E42" w:rsidRPr="00C11123" w:rsidRDefault="00F24E42" w:rsidP="00D70747">
      <w:pPr>
        <w:pStyle w:val="ListParagraph"/>
        <w:spacing w:after="0" w:line="240" w:lineRule="auto"/>
        <w:jc w:val="both"/>
        <w:rPr>
          <w:rFonts w:cs="Arial"/>
          <w:sz w:val="22"/>
          <w:szCs w:val="22"/>
          <w:u w:val="single"/>
        </w:rPr>
      </w:pPr>
    </w:p>
    <w:p w14:paraId="797AF99F" w14:textId="75891C11" w:rsidR="000B076F" w:rsidRPr="00C11123" w:rsidRDefault="00000000" w:rsidP="00CC6024">
      <w:pPr>
        <w:spacing w:after="0" w:line="240" w:lineRule="auto"/>
        <w:jc w:val="both"/>
        <w:rPr>
          <w:rFonts w:cs="Arial"/>
          <w:sz w:val="22"/>
          <w:szCs w:val="22"/>
        </w:rPr>
      </w:pPr>
      <w:r w:rsidRPr="00C11123">
        <w:rPr>
          <w:rFonts w:cs="Arial"/>
          <w:sz w:val="22"/>
          <w:szCs w:val="22"/>
        </w:rPr>
        <w:t>The Applicant will also support the availability of</w:t>
      </w:r>
      <w:r w:rsidR="007845C8" w:rsidRPr="00C11123">
        <w:rPr>
          <w:rFonts w:cs="Arial"/>
          <w:sz w:val="22"/>
          <w:szCs w:val="22"/>
        </w:rPr>
        <w:t xml:space="preserve"> PSMA</w:t>
      </w:r>
      <w:r w:rsidRPr="00C11123">
        <w:rPr>
          <w:rFonts w:cs="Arial"/>
          <w:sz w:val="22"/>
          <w:szCs w:val="22"/>
        </w:rPr>
        <w:t xml:space="preserve"> PET/CT test results in its patient portal. This feature will empower patients to more proactively participate in their care planning with their urologists and clinicians at other facilities, including PCPs, and ensure that patients timely receive test results, </w:t>
      </w:r>
      <w:proofErr w:type="gramStart"/>
      <w:r w:rsidRPr="00C11123">
        <w:rPr>
          <w:rFonts w:cs="Arial"/>
          <w:sz w:val="22"/>
          <w:szCs w:val="22"/>
        </w:rPr>
        <w:t>have the opportunity to</w:t>
      </w:r>
      <w:proofErr w:type="gramEnd"/>
      <w:r w:rsidRPr="00C11123">
        <w:rPr>
          <w:rFonts w:cs="Arial"/>
          <w:sz w:val="22"/>
          <w:szCs w:val="22"/>
        </w:rPr>
        <w:t xml:space="preserve"> ask questions, and make follow-up appointments to continue care.</w:t>
      </w:r>
    </w:p>
    <w:p w14:paraId="6D329605" w14:textId="77777777" w:rsidR="00BA157C" w:rsidRPr="00C11123" w:rsidRDefault="00BA157C" w:rsidP="00D70747">
      <w:pPr>
        <w:spacing w:after="0" w:line="240" w:lineRule="auto"/>
        <w:jc w:val="both"/>
        <w:rPr>
          <w:rFonts w:cs="Arial"/>
          <w:sz w:val="22"/>
          <w:szCs w:val="22"/>
        </w:rPr>
      </w:pPr>
    </w:p>
    <w:p w14:paraId="3ED09736" w14:textId="7E0FDEF5" w:rsidR="00CC6024" w:rsidRPr="00C11123" w:rsidRDefault="00000000" w:rsidP="00D70747">
      <w:pPr>
        <w:spacing w:after="0" w:line="240" w:lineRule="auto"/>
        <w:jc w:val="both"/>
        <w:rPr>
          <w:rFonts w:cs="Arial"/>
          <w:sz w:val="22"/>
          <w:szCs w:val="22"/>
        </w:rPr>
      </w:pPr>
      <w:r w:rsidRPr="00C11123">
        <w:rPr>
          <w:rFonts w:cs="Arial"/>
          <w:sz w:val="22"/>
          <w:szCs w:val="22"/>
        </w:rPr>
        <w:t xml:space="preserve">The Applicant will also have patient-friendly standardized protocols and procedures to ensure the efficient operation of its </w:t>
      </w:r>
      <w:r w:rsidR="007845C8" w:rsidRPr="00C11123">
        <w:rPr>
          <w:rFonts w:cs="Arial"/>
          <w:sz w:val="22"/>
          <w:szCs w:val="22"/>
        </w:rPr>
        <w:t xml:space="preserve">PSMA </w:t>
      </w:r>
      <w:r w:rsidRPr="00C11123">
        <w:rPr>
          <w:rFonts w:cs="Arial"/>
          <w:sz w:val="22"/>
          <w:szCs w:val="22"/>
        </w:rPr>
        <w:t>PET/CT imaging services and that patients are comfortable with the imaging process. The imaging services will be provided within a mobile trailer unit specifically designed for the transport, housing, and performance of the imaging. The mobile trailer will visit each of the</w:t>
      </w:r>
      <w:r w:rsidR="00595AC7" w:rsidRPr="00C11123">
        <w:rPr>
          <w:rFonts w:cs="Arial"/>
          <w:sz w:val="22"/>
          <w:szCs w:val="22"/>
        </w:rPr>
        <w:t xml:space="preserve"> </w:t>
      </w:r>
      <w:proofErr w:type="gramStart"/>
      <w:r w:rsidR="00595AC7" w:rsidRPr="00C11123">
        <w:rPr>
          <w:rFonts w:cs="Arial"/>
          <w:sz w:val="22"/>
          <w:szCs w:val="22"/>
        </w:rPr>
        <w:t>three</w:t>
      </w:r>
      <w:r w:rsidRPr="00C11123">
        <w:rPr>
          <w:rFonts w:cs="Arial"/>
          <w:sz w:val="22"/>
          <w:szCs w:val="22"/>
        </w:rPr>
        <w:t xml:space="preserve">  practice</w:t>
      </w:r>
      <w:proofErr w:type="gramEnd"/>
      <w:r w:rsidRPr="00C11123">
        <w:rPr>
          <w:rFonts w:cs="Arial"/>
          <w:sz w:val="22"/>
          <w:szCs w:val="22"/>
        </w:rPr>
        <w:t xml:space="preserve"> locations </w:t>
      </w:r>
      <w:r w:rsidR="00595AC7" w:rsidRPr="00C11123">
        <w:rPr>
          <w:rFonts w:cs="Arial"/>
          <w:sz w:val="22"/>
          <w:szCs w:val="22"/>
        </w:rPr>
        <w:t>on a weekly rotational schedule to meet</w:t>
      </w:r>
      <w:r w:rsidRPr="00C11123">
        <w:rPr>
          <w:rFonts w:cs="Arial"/>
          <w:sz w:val="22"/>
          <w:szCs w:val="22"/>
        </w:rPr>
        <w:t xml:space="preserve"> patient needs. The trailer itself will be stationed on an appropriate trailer pad </w:t>
      </w:r>
      <w:r w:rsidR="00595AC7" w:rsidRPr="00C11123">
        <w:rPr>
          <w:rFonts w:cs="Arial"/>
          <w:sz w:val="22"/>
          <w:szCs w:val="22"/>
        </w:rPr>
        <w:t>in the</w:t>
      </w:r>
      <w:r w:rsidRPr="00C11123">
        <w:rPr>
          <w:rFonts w:cs="Arial"/>
          <w:sz w:val="22"/>
          <w:szCs w:val="22"/>
        </w:rPr>
        <w:t xml:space="preserve"> parking lot and proximate to the Applicant’s medical office building. Patients scheduled for imaging will be directed to the trailer and safely assisted in entering and exiting the trailer. The Applicant will also ensure that the stationing of the trailer as well as ingress and egress are ADA-compliant. </w:t>
      </w:r>
    </w:p>
    <w:p w14:paraId="1AB2CF61" w14:textId="622A1355" w:rsidR="00152913" w:rsidRPr="00C11123" w:rsidRDefault="00152913" w:rsidP="00D70747">
      <w:pPr>
        <w:spacing w:after="0" w:line="240" w:lineRule="auto"/>
        <w:jc w:val="both"/>
        <w:rPr>
          <w:rFonts w:cs="Arial"/>
          <w:b/>
          <w:bCs/>
          <w:sz w:val="22"/>
          <w:szCs w:val="22"/>
        </w:rPr>
      </w:pPr>
    </w:p>
    <w:p w14:paraId="6A2985C5" w14:textId="42618200" w:rsidR="00152913" w:rsidRPr="00C11123" w:rsidRDefault="00000000" w:rsidP="001B2BD5">
      <w:pPr>
        <w:pStyle w:val="Heading2"/>
      </w:pPr>
      <w:r w:rsidRPr="00C11123">
        <w:t xml:space="preserve">F1.d. </w:t>
      </w:r>
      <w:r w:rsidRPr="00C11123">
        <w:tab/>
        <w:t>Provide evidence of consultation, both prior to and after the Filing Date, with all Government Agencies with relevant licensure, certification, or other regulatory oversight of the Applicant or the Proposed Project.</w:t>
      </w:r>
    </w:p>
    <w:p w14:paraId="5D341E12" w14:textId="77777777" w:rsidR="00ED1F5D" w:rsidRPr="00C11123" w:rsidRDefault="00ED1F5D" w:rsidP="00CC6024">
      <w:pPr>
        <w:spacing w:after="0" w:line="240" w:lineRule="auto"/>
        <w:ind w:left="1440" w:hanging="1440"/>
        <w:jc w:val="both"/>
        <w:rPr>
          <w:rFonts w:cs="Arial"/>
          <w:b/>
          <w:bCs/>
          <w:sz w:val="22"/>
          <w:szCs w:val="22"/>
        </w:rPr>
      </w:pPr>
    </w:p>
    <w:p w14:paraId="141AAA3E" w14:textId="3FD2A5CC" w:rsidR="0036747B" w:rsidRPr="00C11123" w:rsidRDefault="00000000" w:rsidP="00CC6024">
      <w:pPr>
        <w:spacing w:after="0" w:line="240" w:lineRule="auto"/>
        <w:jc w:val="both"/>
        <w:rPr>
          <w:rFonts w:cs="Arial"/>
          <w:sz w:val="22"/>
          <w:szCs w:val="22"/>
        </w:rPr>
      </w:pPr>
      <w:r w:rsidRPr="00C11123">
        <w:rPr>
          <w:rFonts w:cs="Arial"/>
          <w:sz w:val="22"/>
          <w:szCs w:val="22"/>
        </w:rPr>
        <w:t>A consultative process with individuals at regulatory agencies with relevant licensure, certification</w:t>
      </w:r>
      <w:r w:rsidR="00E05F2F" w:rsidRPr="00C11123">
        <w:rPr>
          <w:rFonts w:cs="Arial"/>
          <w:sz w:val="22"/>
          <w:szCs w:val="22"/>
        </w:rPr>
        <w:t>,</w:t>
      </w:r>
      <w:r w:rsidRPr="00C11123">
        <w:rPr>
          <w:rFonts w:cs="Arial"/>
          <w:sz w:val="22"/>
          <w:szCs w:val="22"/>
        </w:rPr>
        <w:t xml:space="preserve"> or other regulatory oversight of the Applicant and the Project was conducted. Specifically, the following agencies and individuals were consulted with respect to the Project:</w:t>
      </w:r>
    </w:p>
    <w:p w14:paraId="5E01BF40" w14:textId="77777777" w:rsidR="0036747B" w:rsidRPr="00C11123" w:rsidRDefault="0036747B" w:rsidP="00CC6024">
      <w:pPr>
        <w:spacing w:after="0" w:line="240" w:lineRule="auto"/>
        <w:ind w:left="720"/>
        <w:jc w:val="both"/>
        <w:rPr>
          <w:rFonts w:cs="Arial"/>
          <w:sz w:val="22"/>
          <w:szCs w:val="22"/>
        </w:rPr>
      </w:pPr>
    </w:p>
    <w:p w14:paraId="613429F7" w14:textId="41E96B38" w:rsidR="0036747B" w:rsidRPr="00C11123"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lastRenderedPageBreak/>
        <w:t>Analyst, Determination of Need Program, Department of Public Health</w:t>
      </w:r>
    </w:p>
    <w:p w14:paraId="293AD993" w14:textId="77777777" w:rsidR="0036747B" w:rsidRPr="00C11123"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t>Katelyn Teague, Division of Community Health Planning and Engagement, Department of Public Health</w:t>
      </w:r>
    </w:p>
    <w:p w14:paraId="51B9A502" w14:textId="77777777" w:rsidR="0036747B" w:rsidRPr="00C11123"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t>Hilary Ward, Plan Review Unit Supervisor, Division of Health Care Facility Licensure and Certification, Department of Public Health</w:t>
      </w:r>
    </w:p>
    <w:p w14:paraId="59FC17F0" w14:textId="77777777" w:rsidR="0036747B" w:rsidRPr="00C11123"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t>Judy Bernice, Licensure Unit Manager, Division of Health Care Facility Licensure and Certification, Department of Public Health</w:t>
      </w:r>
    </w:p>
    <w:p w14:paraId="6944DB45" w14:textId="26D3DE31" w:rsidR="000C024D" w:rsidRPr="00C11123"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t>Walter Mackie, Licensure Unit Manager, Division of Health Care Facility Licensure and Certification, Department of Public Health</w:t>
      </w:r>
    </w:p>
    <w:p w14:paraId="372F46B4" w14:textId="77777777" w:rsidR="0036747B" w:rsidRPr="00C11123"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t>Kerri Brennan, Supervisor &amp; Inspector of Healing Arts, Division of Radiation Control, Bureau of Climate and Environmental Health, Department of Public Health</w:t>
      </w:r>
    </w:p>
    <w:p w14:paraId="2BB82C2D" w14:textId="77777777" w:rsidR="0036747B" w:rsidRDefault="00000000" w:rsidP="00CC6024">
      <w:pPr>
        <w:pStyle w:val="ListParagraph"/>
        <w:numPr>
          <w:ilvl w:val="0"/>
          <w:numId w:val="5"/>
        </w:numPr>
        <w:spacing w:after="0" w:line="240" w:lineRule="auto"/>
        <w:jc w:val="both"/>
        <w:rPr>
          <w:rFonts w:cs="Arial"/>
          <w:sz w:val="22"/>
          <w:szCs w:val="22"/>
        </w:rPr>
      </w:pPr>
      <w:r w:rsidRPr="00C11123">
        <w:rPr>
          <w:rFonts w:cs="Arial"/>
          <w:sz w:val="22"/>
          <w:szCs w:val="22"/>
        </w:rPr>
        <w:t>Szymon Mudrewicz, Radiation Control Officer &amp; Interim Licensing Coordinator, Radioactive Materials Unit, Bureau of Climate and Environmental Health, Department of Public Health</w:t>
      </w:r>
    </w:p>
    <w:p w14:paraId="7CA1D137" w14:textId="117A4D4B" w:rsidR="003013C5" w:rsidRPr="00046CF3" w:rsidRDefault="00000000" w:rsidP="003013C5">
      <w:pPr>
        <w:pStyle w:val="ListParagraph"/>
        <w:numPr>
          <w:ilvl w:val="0"/>
          <w:numId w:val="5"/>
        </w:numPr>
        <w:rPr>
          <w:rFonts w:cs="Times New Roman"/>
          <w:sz w:val="22"/>
          <w:szCs w:val="22"/>
          <w14:ligatures w14:val="none"/>
        </w:rPr>
      </w:pPr>
      <w:r w:rsidRPr="00046CF3">
        <w:rPr>
          <w:rFonts w:cs="Times New Roman"/>
          <w:sz w:val="22"/>
          <w:szCs w:val="22"/>
          <w14:ligatures w14:val="none"/>
        </w:rPr>
        <w:t>Traci Westgate, Director</w:t>
      </w:r>
      <w:r w:rsidRPr="00046CF3">
        <w:rPr>
          <w:sz w:val="22"/>
          <w:szCs w:val="22"/>
          <w14:ligatures w14:val="none"/>
        </w:rPr>
        <w:t xml:space="preserve">, </w:t>
      </w:r>
      <w:r w:rsidRPr="00046CF3">
        <w:rPr>
          <w:rFonts w:cs="Times New Roman"/>
          <w:sz w:val="22"/>
          <w:szCs w:val="22"/>
          <w14:ligatures w14:val="none"/>
        </w:rPr>
        <w:t xml:space="preserve">Massachusetts Controlled Substance Registration Program </w:t>
      </w:r>
    </w:p>
    <w:p w14:paraId="0E0B81E6" w14:textId="77777777" w:rsidR="00280C95" w:rsidRPr="00C11123" w:rsidRDefault="00280C95" w:rsidP="00CC6024">
      <w:pPr>
        <w:spacing w:after="0" w:line="240" w:lineRule="auto"/>
        <w:jc w:val="both"/>
        <w:rPr>
          <w:rFonts w:cs="Arial"/>
          <w:b/>
          <w:bCs/>
          <w:sz w:val="22"/>
          <w:szCs w:val="22"/>
        </w:rPr>
      </w:pPr>
    </w:p>
    <w:p w14:paraId="253DCD2E" w14:textId="1F924FC9" w:rsidR="0021707C" w:rsidRPr="00C11123" w:rsidRDefault="00000000" w:rsidP="001B2BD5">
      <w:pPr>
        <w:pStyle w:val="Heading2"/>
      </w:pPr>
      <w:r w:rsidRPr="00C11123">
        <w:t>F</w:t>
      </w:r>
      <w:proofErr w:type="gramStart"/>
      <w:r w:rsidRPr="00C11123">
        <w:t>1.e.i.</w:t>
      </w:r>
      <w:proofErr w:type="gramEnd"/>
      <w:r w:rsidRPr="00C11123">
        <w:t xml:space="preserve"> </w:t>
      </w:r>
      <w:r w:rsidRPr="00C11123">
        <w:tab/>
        <w:t>Process for Determining Need/Evidence of Community Engagement: For assistance in responding to this portion of the Application, Applicant is encouraged to review Community Engagement Standards for Community Health Planning Guideline.</w:t>
      </w:r>
      <w:r w:rsidR="00B83239" w:rsidRPr="00C11123">
        <w:t xml:space="preserve">  </w:t>
      </w:r>
      <w:r w:rsidRPr="00C11123">
        <w:t>With respect to the existing Patient Panel, please describe the process through which Applicant determined the need for the Proposed Project.</w:t>
      </w:r>
    </w:p>
    <w:p w14:paraId="206A6DC6" w14:textId="77777777" w:rsidR="00DF7C65" w:rsidRPr="00C11123" w:rsidRDefault="00DF7C65" w:rsidP="00CC6024">
      <w:pPr>
        <w:spacing w:after="0" w:line="240" w:lineRule="auto"/>
        <w:jc w:val="both"/>
        <w:rPr>
          <w:rFonts w:cs="Arial"/>
          <w:b/>
          <w:bCs/>
          <w:sz w:val="22"/>
          <w:szCs w:val="22"/>
        </w:rPr>
      </w:pPr>
    </w:p>
    <w:p w14:paraId="10778501" w14:textId="1780610E" w:rsidR="00DB7370" w:rsidRPr="00C11123" w:rsidRDefault="00000000" w:rsidP="00CC6024">
      <w:pPr>
        <w:spacing w:after="0" w:line="240" w:lineRule="auto"/>
        <w:jc w:val="both"/>
        <w:rPr>
          <w:rFonts w:cs="Arial"/>
          <w:sz w:val="22"/>
          <w:szCs w:val="22"/>
        </w:rPr>
      </w:pPr>
      <w:r w:rsidRPr="00C11123">
        <w:rPr>
          <w:rFonts w:cs="Arial"/>
          <w:sz w:val="22"/>
          <w:szCs w:val="22"/>
        </w:rPr>
        <w:t xml:space="preserve">The Applicant determined the </w:t>
      </w:r>
      <w:proofErr w:type="gramStart"/>
      <w:r w:rsidRPr="00C11123">
        <w:rPr>
          <w:rFonts w:cs="Arial"/>
          <w:sz w:val="22"/>
          <w:szCs w:val="22"/>
        </w:rPr>
        <w:t>need and importance of</w:t>
      </w:r>
      <w:proofErr w:type="gramEnd"/>
      <w:r w:rsidRPr="00C11123">
        <w:rPr>
          <w:rFonts w:cs="Arial"/>
          <w:sz w:val="22"/>
          <w:szCs w:val="22"/>
        </w:rPr>
        <w:t xml:space="preserve"> offering </w:t>
      </w:r>
      <w:r w:rsidR="00CC6024" w:rsidRPr="00C11123">
        <w:rPr>
          <w:rFonts w:cs="Arial"/>
          <w:sz w:val="22"/>
          <w:szCs w:val="22"/>
        </w:rPr>
        <w:t xml:space="preserve">PSMA </w:t>
      </w:r>
      <w:r w:rsidRPr="00C11123">
        <w:rPr>
          <w:rFonts w:cs="Arial"/>
          <w:sz w:val="22"/>
          <w:szCs w:val="22"/>
        </w:rPr>
        <w:t xml:space="preserve">PET/CT imaging services for cancer patients and at-risk patients by evaluating data concerning prostate cancer diagnoses nationally and with respect to its Patient Panel, associated treatment provided to its </w:t>
      </w:r>
      <w:r w:rsidR="00CC6024" w:rsidRPr="00C11123">
        <w:rPr>
          <w:rFonts w:cs="Arial"/>
          <w:sz w:val="22"/>
          <w:szCs w:val="22"/>
        </w:rPr>
        <w:t>Patient Panel</w:t>
      </w:r>
      <w:r w:rsidRPr="00C11123">
        <w:rPr>
          <w:rFonts w:cs="Arial"/>
          <w:sz w:val="22"/>
          <w:szCs w:val="22"/>
        </w:rPr>
        <w:t>, and the substantial clinical benefits offered by this technology.  The average age at diagnosis for prostate cancer is approximately sixty-seven (67) years.</w:t>
      </w:r>
      <w:r>
        <w:rPr>
          <w:rStyle w:val="FootnoteReference"/>
          <w:rFonts w:cs="Arial"/>
          <w:sz w:val="22"/>
          <w:szCs w:val="22"/>
        </w:rPr>
        <w:footnoteReference w:id="128"/>
      </w:r>
      <w:r w:rsidRPr="00C11123">
        <w:rPr>
          <w:rFonts w:cs="Arial"/>
          <w:sz w:val="22"/>
          <w:szCs w:val="22"/>
        </w:rPr>
        <w:t xml:space="preserve">  Consistent with this clinical profile, a significant portion of the Applicant’s patient panel consists of older men age sixty</w:t>
      </w:r>
      <w:r w:rsidR="00250078" w:rsidRPr="00C11123">
        <w:rPr>
          <w:rFonts w:cs="Arial"/>
          <w:sz w:val="22"/>
          <w:szCs w:val="22"/>
        </w:rPr>
        <w:t xml:space="preserve">-five </w:t>
      </w:r>
      <w:r w:rsidRPr="00C11123">
        <w:rPr>
          <w:rFonts w:cs="Arial"/>
          <w:sz w:val="22"/>
          <w:szCs w:val="22"/>
        </w:rPr>
        <w:t>(6</w:t>
      </w:r>
      <w:r w:rsidR="00250078" w:rsidRPr="00C11123">
        <w:rPr>
          <w:rFonts w:cs="Arial"/>
          <w:sz w:val="22"/>
          <w:szCs w:val="22"/>
        </w:rPr>
        <w:t>5</w:t>
      </w:r>
      <w:r w:rsidRPr="00C11123">
        <w:rPr>
          <w:rFonts w:cs="Arial"/>
          <w:sz w:val="22"/>
          <w:szCs w:val="22"/>
        </w:rPr>
        <w:t xml:space="preserve">) and above. The Applicant expects that this trend will continue </w:t>
      </w:r>
      <w:proofErr w:type="gramStart"/>
      <w:r w:rsidRPr="00C11123">
        <w:rPr>
          <w:rFonts w:cs="Arial"/>
          <w:sz w:val="22"/>
          <w:szCs w:val="22"/>
        </w:rPr>
        <w:t>in light of</w:t>
      </w:r>
      <w:proofErr w:type="gramEnd"/>
      <w:r w:rsidRPr="00C11123">
        <w:rPr>
          <w:rFonts w:cs="Arial"/>
          <w:sz w:val="22"/>
          <w:szCs w:val="22"/>
        </w:rPr>
        <w:t xml:space="preserve"> these clinical statistics underlying prostate cancer onset and rising population age. Accordingly, the Applicant engaged with its patient panel to offer education about prostate cancer, including its significance, current screening options and their limitations, and the ways that PSMA PET/CT scans provide valuable patient benefits – for example, detection, treatment strategies, continuity of care, </w:t>
      </w:r>
      <w:proofErr w:type="gramStart"/>
      <w:r w:rsidRPr="00C11123">
        <w:rPr>
          <w:rFonts w:cs="Arial"/>
          <w:sz w:val="22"/>
          <w:szCs w:val="22"/>
        </w:rPr>
        <w:t>and also</w:t>
      </w:r>
      <w:proofErr w:type="gramEnd"/>
      <w:r w:rsidRPr="00C11123">
        <w:rPr>
          <w:rFonts w:cs="Arial"/>
          <w:sz w:val="22"/>
          <w:szCs w:val="22"/>
        </w:rPr>
        <w:t xml:space="preserve"> cost-effectiveness.  </w:t>
      </w:r>
    </w:p>
    <w:p w14:paraId="05684BEE" w14:textId="77777777" w:rsidR="00416C53" w:rsidRPr="00C11123" w:rsidRDefault="00416C53" w:rsidP="00CC6024">
      <w:pPr>
        <w:spacing w:after="0" w:line="240" w:lineRule="auto"/>
        <w:ind w:left="1440" w:hanging="1440"/>
        <w:jc w:val="both"/>
        <w:rPr>
          <w:rFonts w:cs="Arial"/>
          <w:sz w:val="22"/>
          <w:szCs w:val="22"/>
        </w:rPr>
      </w:pPr>
    </w:p>
    <w:p w14:paraId="0D3597D8" w14:textId="426BF036" w:rsidR="00416C53" w:rsidRPr="00C11123" w:rsidRDefault="00000000" w:rsidP="00CC6024">
      <w:pPr>
        <w:spacing w:after="0" w:line="240" w:lineRule="auto"/>
        <w:jc w:val="both"/>
        <w:rPr>
          <w:rFonts w:cs="Arial"/>
          <w:color w:val="000000" w:themeColor="text1"/>
          <w:sz w:val="22"/>
          <w:szCs w:val="22"/>
        </w:rPr>
      </w:pPr>
      <w:r w:rsidRPr="00C11123">
        <w:rPr>
          <w:rFonts w:cs="Arial"/>
          <w:color w:val="000000" w:themeColor="text1"/>
          <w:sz w:val="22"/>
          <w:szCs w:val="22"/>
        </w:rPr>
        <w:t xml:space="preserve">The Applicant held a webinar presentation that was open to its entire patient panel on October 15, 2025. A copy of the webinar presentation is provided as Attachment </w:t>
      </w:r>
      <w:proofErr w:type="gramStart"/>
      <w:r w:rsidR="00C11123">
        <w:rPr>
          <w:rFonts w:cs="Arial"/>
          <w:color w:val="000000" w:themeColor="text1"/>
          <w:sz w:val="22"/>
          <w:szCs w:val="22"/>
        </w:rPr>
        <w:t>B(</w:t>
      </w:r>
      <w:proofErr w:type="gramEnd"/>
      <w:r w:rsidR="00EB3C32" w:rsidRPr="00C11123">
        <w:rPr>
          <w:rFonts w:cs="Arial"/>
          <w:color w:val="000000" w:themeColor="text1"/>
          <w:sz w:val="22"/>
          <w:szCs w:val="22"/>
        </w:rPr>
        <w:t>10</w:t>
      </w:r>
      <w:r w:rsidR="00C11123">
        <w:rPr>
          <w:rFonts w:cs="Arial"/>
          <w:color w:val="000000" w:themeColor="text1"/>
          <w:sz w:val="22"/>
          <w:szCs w:val="22"/>
        </w:rPr>
        <w:t>)</w:t>
      </w:r>
      <w:r w:rsidRPr="00C11123">
        <w:rPr>
          <w:rFonts w:cs="Arial"/>
          <w:color w:val="000000" w:themeColor="text1"/>
          <w:sz w:val="22"/>
          <w:szCs w:val="22"/>
        </w:rPr>
        <w:t xml:space="preserve">. The presentation was led by Michael A. </w:t>
      </w:r>
      <w:proofErr w:type="spellStart"/>
      <w:r w:rsidRPr="00C11123">
        <w:rPr>
          <w:rFonts w:cs="Arial"/>
          <w:color w:val="000000" w:themeColor="text1"/>
          <w:sz w:val="22"/>
          <w:szCs w:val="22"/>
        </w:rPr>
        <w:t>Geffin</w:t>
      </w:r>
      <w:proofErr w:type="spellEnd"/>
      <w:r w:rsidRPr="00C11123">
        <w:rPr>
          <w:rFonts w:cs="Arial"/>
          <w:color w:val="000000" w:themeColor="text1"/>
          <w:sz w:val="22"/>
          <w:szCs w:val="22"/>
        </w:rPr>
        <w:t>, M.D., who is the Applicant’s Director of Advanced Prostate Cancer Care</w:t>
      </w:r>
      <w:r w:rsidRPr="00C11123">
        <w:rPr>
          <w:rFonts w:cs="Arial"/>
          <w:color w:val="215E99" w:themeColor="text2" w:themeTint="BF"/>
          <w:sz w:val="22"/>
          <w:szCs w:val="22"/>
        </w:rPr>
        <w:t xml:space="preserve">. </w:t>
      </w:r>
      <w:r w:rsidRPr="00C11123">
        <w:rPr>
          <w:rFonts w:cs="Arial"/>
          <w:color w:val="000000" w:themeColor="text1"/>
          <w:sz w:val="22"/>
          <w:szCs w:val="22"/>
        </w:rPr>
        <w:t>The presentation began by highlighting the prevalence and seriousness of prostate cancer in the United States, explaining that it is among the most commonly diagnosed cancers in men, with 1 in 8 being diagnosed.</w:t>
      </w:r>
      <w:r>
        <w:rPr>
          <w:rStyle w:val="FootnoteReference"/>
          <w:rFonts w:cs="Arial"/>
          <w:color w:val="000000" w:themeColor="text1"/>
          <w:sz w:val="22"/>
          <w:szCs w:val="22"/>
        </w:rPr>
        <w:footnoteReference w:id="129"/>
      </w:r>
      <w:r w:rsidRPr="00C11123">
        <w:rPr>
          <w:rFonts w:cs="Arial"/>
          <w:color w:val="000000" w:themeColor="text1"/>
          <w:sz w:val="22"/>
          <w:szCs w:val="22"/>
        </w:rPr>
        <w:t xml:space="preserve">  The presentation addressed the benefits of early detection to reduce mortality, explaining that screening can significantly improve survival rates by identifying cancer before symptoms arise and the disease spreads.  The benefits of early detection versus the cost of failed or </w:t>
      </w:r>
      <w:r w:rsidRPr="00C11123">
        <w:rPr>
          <w:rFonts w:cs="Arial"/>
          <w:color w:val="000000" w:themeColor="text1"/>
          <w:sz w:val="22"/>
          <w:szCs w:val="22"/>
        </w:rPr>
        <w:lastRenderedPageBreak/>
        <w:t xml:space="preserve">no detection are clear, with a five (5) year survival rate of metastatic disease (distant spread) of approximately 38% and </w:t>
      </w:r>
      <w:r w:rsidR="00C64A6C">
        <w:rPr>
          <w:rFonts w:cs="Arial"/>
          <w:color w:val="000000" w:themeColor="text1"/>
          <w:sz w:val="22"/>
          <w:szCs w:val="22"/>
        </w:rPr>
        <w:t>99</w:t>
      </w:r>
      <w:r w:rsidRPr="00C11123">
        <w:rPr>
          <w:rFonts w:cs="Arial"/>
          <w:color w:val="000000" w:themeColor="text1"/>
          <w:sz w:val="22"/>
          <w:szCs w:val="22"/>
        </w:rPr>
        <w:t>% for localized disease.</w:t>
      </w:r>
      <w:r>
        <w:rPr>
          <w:rStyle w:val="FootnoteReference"/>
          <w:rFonts w:cs="Arial"/>
          <w:color w:val="000000" w:themeColor="text1"/>
          <w:sz w:val="22"/>
          <w:szCs w:val="22"/>
        </w:rPr>
        <w:footnoteReference w:id="130"/>
      </w:r>
      <w:r w:rsidRPr="00C11123">
        <w:rPr>
          <w:rFonts w:cs="Arial"/>
          <w:color w:val="000000" w:themeColor="text1"/>
          <w:sz w:val="22"/>
          <w:szCs w:val="22"/>
        </w:rPr>
        <w:t xml:space="preserve">  </w:t>
      </w:r>
    </w:p>
    <w:p w14:paraId="5C0EFDA7" w14:textId="77777777" w:rsidR="00416C53" w:rsidRPr="00C11123" w:rsidRDefault="00416C53" w:rsidP="00CC6024">
      <w:pPr>
        <w:spacing w:after="0" w:line="240" w:lineRule="auto"/>
        <w:ind w:left="1440"/>
        <w:jc w:val="both"/>
        <w:rPr>
          <w:rFonts w:cs="Arial"/>
          <w:color w:val="215E99" w:themeColor="text2" w:themeTint="BF"/>
          <w:sz w:val="22"/>
          <w:szCs w:val="22"/>
        </w:rPr>
      </w:pPr>
    </w:p>
    <w:p w14:paraId="4625D4BF" w14:textId="2F3DE324" w:rsidR="00416C53" w:rsidRPr="00C11123" w:rsidRDefault="00000000" w:rsidP="00CC6024">
      <w:pPr>
        <w:spacing w:after="0" w:line="240" w:lineRule="auto"/>
        <w:jc w:val="both"/>
        <w:rPr>
          <w:rFonts w:cs="Arial"/>
          <w:color w:val="000000" w:themeColor="text1"/>
          <w:sz w:val="22"/>
          <w:szCs w:val="22"/>
        </w:rPr>
      </w:pPr>
      <w:r w:rsidRPr="00C11123">
        <w:rPr>
          <w:rFonts w:cs="Arial"/>
          <w:color w:val="000000" w:themeColor="text1"/>
          <w:sz w:val="22"/>
          <w:szCs w:val="22"/>
        </w:rPr>
        <w:t xml:space="preserve">The presentation educated patients about common screening tests, their advantages and disadvantages, and how they may be used in conjunction with modern imaging techniques. The presenters stressed the need for informed and shared decision-making between patients and healthcare providers, </w:t>
      </w:r>
      <w:proofErr w:type="gramStart"/>
      <w:r w:rsidRPr="00C11123">
        <w:rPr>
          <w:rFonts w:cs="Arial"/>
          <w:color w:val="000000" w:themeColor="text1"/>
          <w:sz w:val="22"/>
          <w:szCs w:val="22"/>
        </w:rPr>
        <w:t>taking into account</w:t>
      </w:r>
      <w:proofErr w:type="gramEnd"/>
      <w:r w:rsidRPr="00C11123">
        <w:rPr>
          <w:rFonts w:cs="Arial"/>
          <w:color w:val="000000" w:themeColor="text1"/>
          <w:sz w:val="22"/>
          <w:szCs w:val="22"/>
        </w:rPr>
        <w:t xml:space="preserve"> individual risk factors such as age, family history and ethnicity, particularly for </w:t>
      </w:r>
      <w:r w:rsidR="001D1D3F" w:rsidRPr="00C11123">
        <w:rPr>
          <w:rFonts w:cs="Arial"/>
          <w:color w:val="000000" w:themeColor="text1"/>
          <w:sz w:val="22"/>
          <w:szCs w:val="22"/>
        </w:rPr>
        <w:t>Black Males</w:t>
      </w:r>
      <w:r w:rsidRPr="00C11123">
        <w:rPr>
          <w:rFonts w:cs="Arial"/>
          <w:color w:val="000000" w:themeColor="text1"/>
          <w:sz w:val="22"/>
          <w:szCs w:val="22"/>
        </w:rPr>
        <w:t xml:space="preserve"> who are a higher-risk demographic. The presentation also addressed the role of confirmatory testing and metastatic work up and staging in prostate cancer. Patients were educated about biopsies, as well as PSMA PET/CT imaging as a significant advancement that offers high sensitivity and specificity for prostate cancer cells that improves the staging accuracy, especially in cases of recurrence after surgery or radiation. The presentation explored the Applicant’s proposal to offer PSMA PET/CT imaging directly to its patients at three (3) of its locations (Dedham, Framingham, and Plymouth) to increase access for the patient population in and around those communities, as well as to improve access for its broader patient panel. The presenters explained that the Proposed Project will help patients by centralizing their prostate cancer detection, diagnosis, and care within the Applicant’s practice and with providers with whom they are familiar, bring advanced imaging directly to community settings for urology patients, expand access for rural and underserved populations, reduce disparities, and streamline the diagnostic process. As a result, patients will benefit from decreased waiting times for </w:t>
      </w:r>
      <w:r w:rsidR="007845C8" w:rsidRPr="00C11123">
        <w:rPr>
          <w:rFonts w:cs="Arial"/>
          <w:color w:val="000000" w:themeColor="text1"/>
          <w:sz w:val="22"/>
          <w:szCs w:val="22"/>
        </w:rPr>
        <w:t xml:space="preserve">PSMA </w:t>
      </w:r>
      <w:r w:rsidRPr="00C11123">
        <w:rPr>
          <w:rFonts w:cs="Arial"/>
          <w:color w:val="000000" w:themeColor="text1"/>
          <w:sz w:val="22"/>
          <w:szCs w:val="22"/>
        </w:rPr>
        <w:t xml:space="preserve">PET/CT scans and results without having travel to and contend with other providers, allowing patients to begin therapy sooner in a familiar setting and with reduced anxiety, while the healthcare system gains cost efficiencies by keeping the PSMA PET/CT scans in a cost-effective physician practice setting outside of higher cost imaging centers, such as hospitals. </w:t>
      </w:r>
    </w:p>
    <w:p w14:paraId="7CC5958F" w14:textId="77777777" w:rsidR="00CC6024" w:rsidRPr="00C11123" w:rsidRDefault="00CC6024" w:rsidP="00D70747">
      <w:pPr>
        <w:spacing w:after="0" w:line="240" w:lineRule="auto"/>
        <w:jc w:val="both"/>
        <w:rPr>
          <w:rFonts w:cs="Arial"/>
          <w:color w:val="215E99" w:themeColor="text2" w:themeTint="BF"/>
          <w:sz w:val="22"/>
          <w:szCs w:val="22"/>
        </w:rPr>
      </w:pPr>
    </w:p>
    <w:p w14:paraId="345F7E80" w14:textId="77777777" w:rsidR="00416C53" w:rsidRPr="00C11123" w:rsidRDefault="00000000" w:rsidP="00CC6024">
      <w:pPr>
        <w:spacing w:after="0" w:line="240" w:lineRule="auto"/>
        <w:jc w:val="both"/>
        <w:rPr>
          <w:rFonts w:cs="Arial"/>
          <w:sz w:val="22"/>
          <w:szCs w:val="22"/>
        </w:rPr>
      </w:pPr>
      <w:r w:rsidRPr="00C11123">
        <w:rPr>
          <w:rFonts w:cs="Arial"/>
          <w:sz w:val="22"/>
          <w:szCs w:val="22"/>
        </w:rPr>
        <w:t xml:space="preserve">Patients received the presentation well and did not offer or indicate concerns or objections. Rather, patients expressed positivity and enthusiasm about the ability to obtain diagnostic imaging within the Applicant’s practice and in close coordination with their trusted urologists without having to separately seek scans from another provider. </w:t>
      </w:r>
    </w:p>
    <w:p w14:paraId="43D193C7" w14:textId="77777777" w:rsidR="005D272A" w:rsidRPr="00C11123" w:rsidRDefault="005D272A" w:rsidP="00CC6024">
      <w:pPr>
        <w:spacing w:after="0" w:line="240" w:lineRule="auto"/>
        <w:jc w:val="both"/>
        <w:rPr>
          <w:rFonts w:cs="Arial"/>
          <w:b/>
          <w:bCs/>
          <w:sz w:val="22"/>
          <w:szCs w:val="22"/>
        </w:rPr>
      </w:pPr>
    </w:p>
    <w:p w14:paraId="73C3A151" w14:textId="4820C253" w:rsidR="005D272A" w:rsidRPr="00C11123" w:rsidRDefault="00000000" w:rsidP="000214E6">
      <w:pPr>
        <w:pStyle w:val="Heading2"/>
      </w:pPr>
      <w:r w:rsidRPr="00C11123">
        <w:t>F1.</w:t>
      </w:r>
      <w:proofErr w:type="gramStart"/>
      <w:r w:rsidRPr="00C11123">
        <w:t>e.ii.</w:t>
      </w:r>
      <w:proofErr w:type="gramEnd"/>
      <w:r w:rsidRPr="00C11123">
        <w:t xml:space="preserve"> </w:t>
      </w:r>
      <w:r w:rsidRPr="00C11123">
        <w:tab/>
        <w:t xml:space="preserve">Please provide evidence of sound Community Engagement and consultation throughout the development of the Proposed Project. A successful Applicant will, at a minimum, describe the process whereby the “Public Health Value” of the Project was considered, and will describe the Community Engagement process as it occurred and is occurring currently in, at least, the following contexts: Identification of Patient Panel Need; Design/selection of </w:t>
      </w:r>
      <w:proofErr w:type="spellStart"/>
      <w:r w:rsidRPr="00C11123">
        <w:t>DoN</w:t>
      </w:r>
      <w:proofErr w:type="spellEnd"/>
      <w:r w:rsidRPr="00C11123">
        <w:t xml:space="preserve"> Project in response to “Patient Panel” need; and Linking the Proposed Project to “Public Health Value.</w:t>
      </w:r>
    </w:p>
    <w:p w14:paraId="676D193D" w14:textId="77777777" w:rsidR="00BF5D77" w:rsidRPr="00C11123" w:rsidRDefault="00BF5D77" w:rsidP="00CC6024">
      <w:pPr>
        <w:spacing w:after="0" w:line="240" w:lineRule="auto"/>
        <w:jc w:val="both"/>
        <w:rPr>
          <w:rFonts w:cs="Arial"/>
          <w:b/>
          <w:bCs/>
          <w:sz w:val="22"/>
          <w:szCs w:val="22"/>
        </w:rPr>
      </w:pPr>
    </w:p>
    <w:p w14:paraId="59C891B9" w14:textId="77777777" w:rsidR="00416C53" w:rsidRPr="00C11123" w:rsidRDefault="00000000" w:rsidP="00CC6024">
      <w:pPr>
        <w:spacing w:after="0" w:line="240" w:lineRule="auto"/>
        <w:jc w:val="both"/>
        <w:rPr>
          <w:rFonts w:cs="Arial"/>
          <w:sz w:val="22"/>
          <w:szCs w:val="22"/>
        </w:rPr>
      </w:pPr>
      <w:r w:rsidRPr="00C11123">
        <w:rPr>
          <w:rFonts w:cs="Arial"/>
          <w:sz w:val="22"/>
          <w:szCs w:val="22"/>
        </w:rPr>
        <w:t xml:space="preserve">The Applicant took the following actions during the development of the Proposed Project </w:t>
      </w:r>
      <w:proofErr w:type="gramStart"/>
      <w:r w:rsidRPr="00C11123">
        <w:rPr>
          <w:rFonts w:cs="Arial"/>
          <w:sz w:val="22"/>
          <w:szCs w:val="22"/>
        </w:rPr>
        <w:t>in order to</w:t>
      </w:r>
      <w:proofErr w:type="gramEnd"/>
      <w:r w:rsidRPr="00C11123">
        <w:rPr>
          <w:rFonts w:cs="Arial"/>
          <w:sz w:val="22"/>
          <w:szCs w:val="22"/>
        </w:rPr>
        <w:t xml:space="preserve"> ensure sound community engagement:</w:t>
      </w:r>
    </w:p>
    <w:p w14:paraId="7E8B413E" w14:textId="77777777" w:rsidR="00416C53" w:rsidRPr="00C11123" w:rsidRDefault="00416C53" w:rsidP="00CC6024">
      <w:pPr>
        <w:spacing w:after="0" w:line="240" w:lineRule="auto"/>
        <w:ind w:left="1440"/>
        <w:jc w:val="both"/>
        <w:rPr>
          <w:rFonts w:cs="Arial"/>
          <w:sz w:val="22"/>
          <w:szCs w:val="22"/>
        </w:rPr>
      </w:pPr>
    </w:p>
    <w:p w14:paraId="3F52DBF6" w14:textId="2E514AB2" w:rsidR="00416C53" w:rsidRPr="00C11123" w:rsidRDefault="00000000" w:rsidP="00CC6024">
      <w:pPr>
        <w:pStyle w:val="ListParagraph"/>
        <w:numPr>
          <w:ilvl w:val="0"/>
          <w:numId w:val="11"/>
        </w:numPr>
        <w:spacing w:after="0" w:line="240" w:lineRule="auto"/>
        <w:ind w:left="360"/>
        <w:jc w:val="both"/>
        <w:rPr>
          <w:rFonts w:cs="Arial"/>
          <w:sz w:val="22"/>
          <w:szCs w:val="22"/>
        </w:rPr>
      </w:pPr>
      <w:r w:rsidRPr="00C11123">
        <w:rPr>
          <w:rFonts w:cs="Arial"/>
          <w:sz w:val="22"/>
          <w:szCs w:val="22"/>
        </w:rPr>
        <w:t xml:space="preserve">The Applicant’s Patient Panel is substantially composed of </w:t>
      </w:r>
      <w:r w:rsidR="008A55DE" w:rsidRPr="00C11123">
        <w:rPr>
          <w:rFonts w:cs="Arial"/>
          <w:sz w:val="22"/>
          <w:szCs w:val="22"/>
        </w:rPr>
        <w:t xml:space="preserve">males </w:t>
      </w:r>
      <w:r w:rsidRPr="00C11123">
        <w:rPr>
          <w:rFonts w:cs="Arial"/>
          <w:sz w:val="22"/>
          <w:szCs w:val="22"/>
        </w:rPr>
        <w:t xml:space="preserve">above the age of 65, </w:t>
      </w:r>
      <w:r w:rsidR="00DB7370" w:rsidRPr="00C11123">
        <w:rPr>
          <w:rFonts w:cs="Arial"/>
          <w:sz w:val="22"/>
          <w:szCs w:val="22"/>
        </w:rPr>
        <w:t>when</w:t>
      </w:r>
      <w:r w:rsidRPr="00C11123">
        <w:rPr>
          <w:rFonts w:cs="Arial"/>
          <w:sz w:val="22"/>
          <w:szCs w:val="22"/>
        </w:rPr>
        <w:t xml:space="preserve"> prostate cancer diagnosis is most common. However, the Applicant strongly believes in the public health value of PSMA PET/CT for this population </w:t>
      </w:r>
      <w:proofErr w:type="gramStart"/>
      <w:r w:rsidRPr="00C11123">
        <w:rPr>
          <w:rFonts w:cs="Arial"/>
          <w:sz w:val="22"/>
          <w:szCs w:val="22"/>
        </w:rPr>
        <w:t>and also</w:t>
      </w:r>
      <w:proofErr w:type="gramEnd"/>
      <w:r w:rsidRPr="00C11123">
        <w:rPr>
          <w:rFonts w:cs="Arial"/>
          <w:sz w:val="22"/>
          <w:szCs w:val="22"/>
        </w:rPr>
        <w:t xml:space="preserve"> for individuals </w:t>
      </w:r>
      <w:r w:rsidR="001D6BD9" w:rsidRPr="00C11123">
        <w:rPr>
          <w:rFonts w:cs="Arial"/>
          <w:sz w:val="22"/>
          <w:szCs w:val="22"/>
        </w:rPr>
        <w:t xml:space="preserve">who will be approaching this age category </w:t>
      </w:r>
      <w:proofErr w:type="gramStart"/>
      <w:r w:rsidR="001D6BD9" w:rsidRPr="00C11123">
        <w:rPr>
          <w:rFonts w:cs="Arial"/>
          <w:sz w:val="22"/>
          <w:szCs w:val="22"/>
        </w:rPr>
        <w:t>in the near future</w:t>
      </w:r>
      <w:proofErr w:type="gramEnd"/>
      <w:r w:rsidRPr="00C11123">
        <w:rPr>
          <w:rFonts w:cs="Arial"/>
          <w:sz w:val="22"/>
          <w:szCs w:val="22"/>
        </w:rPr>
        <w:t xml:space="preserve">.  To ensure education and awareness of the </w:t>
      </w:r>
      <w:r w:rsidRPr="00C11123">
        <w:rPr>
          <w:rFonts w:cs="Arial"/>
          <w:sz w:val="22"/>
          <w:szCs w:val="22"/>
        </w:rPr>
        <w:lastRenderedPageBreak/>
        <w:t xml:space="preserve">efficacy of PSMA PET/CT in early cancer detection, disease staging, and in facilitating more precise and patient-tailored clinical decision-making, the Applicant invited its entire patient panel across all of its locations, age groups, and genders to a webinar presentation on prostate cancer screening and the role of PSMA PET/CT scans. See Attachment </w:t>
      </w:r>
      <w:proofErr w:type="gramStart"/>
      <w:r w:rsidR="00C11123">
        <w:rPr>
          <w:rFonts w:cs="Arial"/>
          <w:sz w:val="22"/>
          <w:szCs w:val="22"/>
        </w:rPr>
        <w:t>B(</w:t>
      </w:r>
      <w:proofErr w:type="gramEnd"/>
      <w:r w:rsidR="00EB3C32" w:rsidRPr="00C11123">
        <w:rPr>
          <w:rFonts w:cs="Arial"/>
          <w:sz w:val="22"/>
          <w:szCs w:val="22"/>
        </w:rPr>
        <w:t>10</w:t>
      </w:r>
      <w:r w:rsidR="00C11123">
        <w:rPr>
          <w:rFonts w:cs="Arial"/>
          <w:sz w:val="22"/>
          <w:szCs w:val="22"/>
        </w:rPr>
        <w:t>)</w:t>
      </w:r>
      <w:r w:rsidRPr="00C11123">
        <w:rPr>
          <w:rFonts w:cs="Arial"/>
          <w:sz w:val="22"/>
          <w:szCs w:val="22"/>
        </w:rPr>
        <w:t>.</w:t>
      </w:r>
    </w:p>
    <w:p w14:paraId="68CD50B2" w14:textId="77777777" w:rsidR="00416C53" w:rsidRPr="00C11123" w:rsidRDefault="00416C53" w:rsidP="00CC6024">
      <w:pPr>
        <w:pStyle w:val="ListParagraph"/>
        <w:spacing w:after="0" w:line="240" w:lineRule="auto"/>
        <w:ind w:left="1800"/>
        <w:jc w:val="both"/>
        <w:rPr>
          <w:rFonts w:cs="Arial"/>
          <w:sz w:val="22"/>
          <w:szCs w:val="22"/>
        </w:rPr>
      </w:pPr>
    </w:p>
    <w:p w14:paraId="6873DF05" w14:textId="4EA51FBF" w:rsidR="00416C53" w:rsidRPr="00C11123" w:rsidRDefault="00000000" w:rsidP="009841E3">
      <w:pPr>
        <w:pStyle w:val="ListParagraph"/>
        <w:spacing w:after="0" w:line="240" w:lineRule="auto"/>
        <w:ind w:left="360"/>
        <w:jc w:val="both"/>
        <w:rPr>
          <w:sz w:val="22"/>
          <w:szCs w:val="22"/>
        </w:rPr>
      </w:pPr>
      <w:r w:rsidRPr="00C11123">
        <w:rPr>
          <w:rFonts w:cs="Arial"/>
          <w:sz w:val="22"/>
          <w:szCs w:val="22"/>
        </w:rPr>
        <w:t xml:space="preserve">All patients received invitations from the Applicant by email, as well as email reminders to ensure that patients had notice, information about the event, and opportunity to attend. </w:t>
      </w:r>
      <w:r w:rsidRPr="00C11123">
        <w:rPr>
          <w:sz w:val="22"/>
          <w:szCs w:val="22"/>
        </w:rPr>
        <w:t xml:space="preserve">The Applicant also prominently posted fliers about the presentation at </w:t>
      </w:r>
      <w:proofErr w:type="gramStart"/>
      <w:r w:rsidRPr="00C11123">
        <w:rPr>
          <w:sz w:val="22"/>
          <w:szCs w:val="22"/>
        </w:rPr>
        <w:t>all of</w:t>
      </w:r>
      <w:proofErr w:type="gramEnd"/>
      <w:r w:rsidRPr="00C11123">
        <w:rPr>
          <w:sz w:val="22"/>
          <w:szCs w:val="22"/>
        </w:rPr>
        <w:t xml:space="preserve"> its locations.</w:t>
      </w:r>
    </w:p>
    <w:p w14:paraId="403FBAA1" w14:textId="77777777" w:rsidR="00416C53" w:rsidRPr="00C11123" w:rsidRDefault="00416C53" w:rsidP="00CC6024">
      <w:pPr>
        <w:pStyle w:val="ListParagraph"/>
        <w:spacing w:after="0" w:line="240" w:lineRule="auto"/>
        <w:ind w:left="1800"/>
        <w:jc w:val="both"/>
        <w:rPr>
          <w:rFonts w:cs="Arial"/>
          <w:sz w:val="22"/>
          <w:szCs w:val="22"/>
        </w:rPr>
      </w:pPr>
    </w:p>
    <w:p w14:paraId="67E776F8" w14:textId="77777777" w:rsidR="00416C53" w:rsidRPr="00C11123" w:rsidRDefault="00000000" w:rsidP="00CC6024">
      <w:pPr>
        <w:pStyle w:val="ListParagraph"/>
        <w:numPr>
          <w:ilvl w:val="0"/>
          <w:numId w:val="11"/>
        </w:numPr>
        <w:spacing w:after="0" w:line="240" w:lineRule="auto"/>
        <w:ind w:left="360"/>
        <w:jc w:val="both"/>
        <w:rPr>
          <w:rFonts w:cs="Arial"/>
          <w:sz w:val="22"/>
          <w:szCs w:val="22"/>
        </w:rPr>
      </w:pPr>
      <w:r w:rsidRPr="00C11123">
        <w:rPr>
          <w:rFonts w:cs="Arial"/>
          <w:sz w:val="22"/>
          <w:szCs w:val="22"/>
        </w:rPr>
        <w:t xml:space="preserve">The Applicant held the webinar presentation on October 15, </w:t>
      </w:r>
      <w:proofErr w:type="gramStart"/>
      <w:r w:rsidRPr="00C11123">
        <w:rPr>
          <w:rFonts w:cs="Arial"/>
          <w:sz w:val="22"/>
          <w:szCs w:val="22"/>
        </w:rPr>
        <w:t>2025</w:t>
      </w:r>
      <w:proofErr w:type="gramEnd"/>
      <w:r w:rsidRPr="00C11123">
        <w:rPr>
          <w:rFonts w:cs="Arial"/>
          <w:sz w:val="22"/>
          <w:szCs w:val="22"/>
        </w:rPr>
        <w:t xml:space="preserve"> and allowed patients the opportunity to provide comments/feedback and ask questions.</w:t>
      </w:r>
    </w:p>
    <w:p w14:paraId="35CC090C" w14:textId="77777777" w:rsidR="00416C53" w:rsidRPr="00C11123" w:rsidRDefault="00416C53" w:rsidP="00CC6024">
      <w:pPr>
        <w:pStyle w:val="ListParagraph"/>
        <w:spacing w:after="0" w:line="240" w:lineRule="auto"/>
        <w:ind w:left="360"/>
        <w:jc w:val="both"/>
        <w:rPr>
          <w:rFonts w:cs="Arial"/>
          <w:sz w:val="22"/>
          <w:szCs w:val="22"/>
        </w:rPr>
      </w:pPr>
    </w:p>
    <w:p w14:paraId="6F83DBFC" w14:textId="77777777" w:rsidR="00416C53" w:rsidRPr="00C11123" w:rsidRDefault="00000000" w:rsidP="00CC6024">
      <w:pPr>
        <w:pStyle w:val="ListParagraph"/>
        <w:numPr>
          <w:ilvl w:val="0"/>
          <w:numId w:val="11"/>
        </w:numPr>
        <w:spacing w:after="0" w:line="240" w:lineRule="auto"/>
        <w:ind w:left="360"/>
        <w:jc w:val="both"/>
        <w:rPr>
          <w:rFonts w:cs="Arial"/>
          <w:sz w:val="22"/>
          <w:szCs w:val="22"/>
        </w:rPr>
      </w:pPr>
      <w:r w:rsidRPr="00C11123">
        <w:rPr>
          <w:rFonts w:cs="Arial"/>
          <w:sz w:val="22"/>
          <w:szCs w:val="22"/>
        </w:rPr>
        <w:t>The Applicant continues to make information about PSMA PET/CT services available to its whole Patient Panel.</w:t>
      </w:r>
    </w:p>
    <w:p w14:paraId="309B4F74" w14:textId="77777777" w:rsidR="00416C53" w:rsidRPr="00C11123" w:rsidRDefault="00416C53" w:rsidP="00D70747">
      <w:pPr>
        <w:pStyle w:val="ListParagraph"/>
        <w:spacing w:after="0" w:line="240" w:lineRule="auto"/>
        <w:rPr>
          <w:rFonts w:cs="Arial"/>
          <w:sz w:val="22"/>
          <w:szCs w:val="22"/>
        </w:rPr>
      </w:pPr>
    </w:p>
    <w:p w14:paraId="62AE397E" w14:textId="1D52D2FF" w:rsidR="00BF5D77" w:rsidRPr="00C11123" w:rsidRDefault="00000000" w:rsidP="00CC6024">
      <w:pPr>
        <w:pStyle w:val="ListParagraph"/>
        <w:numPr>
          <w:ilvl w:val="0"/>
          <w:numId w:val="11"/>
        </w:numPr>
        <w:spacing w:after="0" w:line="240" w:lineRule="auto"/>
        <w:ind w:left="360"/>
        <w:jc w:val="both"/>
        <w:rPr>
          <w:rFonts w:cs="Arial"/>
          <w:sz w:val="22"/>
          <w:szCs w:val="22"/>
        </w:rPr>
      </w:pPr>
      <w:r w:rsidRPr="00C11123">
        <w:rPr>
          <w:rFonts w:cs="Arial"/>
          <w:sz w:val="22"/>
          <w:szCs w:val="22"/>
        </w:rPr>
        <w:t>The Application will also continue to update patients on this Project following submission of this Determination of Need application and during the review process.</w:t>
      </w:r>
    </w:p>
    <w:p w14:paraId="18EA3FDD" w14:textId="77777777" w:rsidR="00EE1100" w:rsidRPr="00C11123" w:rsidRDefault="00EE1100" w:rsidP="00CC6024">
      <w:pPr>
        <w:spacing w:after="0" w:line="240" w:lineRule="auto"/>
        <w:jc w:val="both"/>
        <w:rPr>
          <w:rFonts w:cs="Arial"/>
          <w:sz w:val="22"/>
          <w:szCs w:val="22"/>
        </w:rPr>
      </w:pPr>
    </w:p>
    <w:p w14:paraId="639168C4" w14:textId="77777777" w:rsidR="00EE1100" w:rsidRPr="00C11123" w:rsidRDefault="00000000" w:rsidP="000214E6">
      <w:pPr>
        <w:pStyle w:val="Heading2"/>
      </w:pPr>
      <w:r w:rsidRPr="00C11123">
        <w:t>Factor 2</w:t>
      </w:r>
      <w:proofErr w:type="gramStart"/>
      <w:r w:rsidRPr="00C11123">
        <w:t xml:space="preserve">: </w:t>
      </w:r>
      <w:r w:rsidRPr="00C11123">
        <w:tab/>
        <w:t>Health</w:t>
      </w:r>
      <w:proofErr w:type="gramEnd"/>
      <w:r w:rsidRPr="00C11123">
        <w:t xml:space="preserve"> Priorities: </w:t>
      </w:r>
    </w:p>
    <w:p w14:paraId="5C6D035D" w14:textId="175081B4" w:rsidR="00EE1100" w:rsidRPr="00C11123" w:rsidRDefault="00000000" w:rsidP="00CC6024">
      <w:pPr>
        <w:spacing w:after="0" w:line="240" w:lineRule="auto"/>
        <w:ind w:left="1440"/>
        <w:jc w:val="both"/>
        <w:rPr>
          <w:rFonts w:cs="Arial"/>
          <w:b/>
          <w:bCs/>
          <w:sz w:val="22"/>
          <w:szCs w:val="22"/>
        </w:rPr>
      </w:pPr>
      <w:r w:rsidRPr="00C11123">
        <w:rPr>
          <w:rFonts w:cs="Arial"/>
          <w:b/>
          <w:bCs/>
          <w:sz w:val="22"/>
          <w:szCs w:val="22"/>
        </w:rPr>
        <w:t xml:space="preserve">Address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 </w:t>
      </w:r>
    </w:p>
    <w:p w14:paraId="39EB501F" w14:textId="77777777" w:rsidR="00EE1100" w:rsidRPr="00C11123" w:rsidRDefault="00EE1100" w:rsidP="00CC6024">
      <w:pPr>
        <w:spacing w:after="0" w:line="240" w:lineRule="auto"/>
        <w:jc w:val="both"/>
        <w:rPr>
          <w:rFonts w:cs="Arial"/>
          <w:b/>
          <w:bCs/>
          <w:sz w:val="22"/>
          <w:szCs w:val="22"/>
        </w:rPr>
      </w:pPr>
    </w:p>
    <w:p w14:paraId="136D8F1B" w14:textId="77777777" w:rsidR="00EE1100" w:rsidRPr="00C11123" w:rsidRDefault="00000000" w:rsidP="000214E6">
      <w:pPr>
        <w:pStyle w:val="Heading2"/>
      </w:pPr>
      <w:r w:rsidRPr="00C11123">
        <w:t xml:space="preserve">F2.a. </w:t>
      </w:r>
      <w:r w:rsidRPr="00C11123">
        <w:tab/>
      </w:r>
      <w:r w:rsidRPr="000214E6">
        <w:rPr>
          <w:u w:val="single"/>
        </w:rPr>
        <w:t xml:space="preserve">Cost Containment: </w:t>
      </w:r>
    </w:p>
    <w:p w14:paraId="6D17AA1D" w14:textId="77777777" w:rsidR="00EE1100" w:rsidRPr="00C11123" w:rsidRDefault="00000000" w:rsidP="00CC6024">
      <w:pPr>
        <w:spacing w:after="0" w:line="240" w:lineRule="auto"/>
        <w:ind w:left="1440"/>
        <w:jc w:val="both"/>
        <w:rPr>
          <w:rFonts w:cs="Arial"/>
          <w:b/>
          <w:bCs/>
          <w:sz w:val="22"/>
          <w:szCs w:val="22"/>
        </w:rPr>
      </w:pPr>
      <w:bookmarkStart w:id="8" w:name="_Hlk219723281"/>
      <w:r w:rsidRPr="00C11123">
        <w:rPr>
          <w:rFonts w:cs="Arial"/>
          <w:b/>
          <w:bCs/>
          <w:sz w:val="22"/>
          <w:szCs w:val="22"/>
        </w:rPr>
        <w:t>Using objective data, please describe, for each new or expanded service, how the Proposed Project will meaningfully contribute to the Commonwealth's goals for cost containment.</w:t>
      </w:r>
    </w:p>
    <w:bookmarkEnd w:id="8"/>
    <w:p w14:paraId="78FE31B7" w14:textId="77777777" w:rsidR="008F4F37" w:rsidRPr="00C11123" w:rsidRDefault="008F4F37" w:rsidP="00CC6024">
      <w:pPr>
        <w:spacing w:after="0" w:line="240" w:lineRule="auto"/>
        <w:jc w:val="both"/>
        <w:rPr>
          <w:rFonts w:cs="Arial"/>
          <w:b/>
          <w:bCs/>
          <w:sz w:val="22"/>
          <w:szCs w:val="22"/>
        </w:rPr>
      </w:pPr>
    </w:p>
    <w:p w14:paraId="3A69206F" w14:textId="6948D2E1" w:rsidR="00A24C29" w:rsidRPr="00C11123" w:rsidRDefault="00000000" w:rsidP="00CC6024">
      <w:pPr>
        <w:spacing w:after="0" w:line="240" w:lineRule="auto"/>
        <w:jc w:val="both"/>
        <w:rPr>
          <w:rFonts w:cs="Arial"/>
          <w:sz w:val="22"/>
          <w:szCs w:val="22"/>
        </w:rPr>
      </w:pPr>
      <w:r w:rsidRPr="00C11123">
        <w:rPr>
          <w:rFonts w:cs="Arial"/>
          <w:sz w:val="22"/>
          <w:szCs w:val="22"/>
        </w:rPr>
        <w:t>The Proposed Project will meaningfully advance the Commonwealth’s cost</w:t>
      </w:r>
      <w:r w:rsidRPr="00C11123">
        <w:rPr>
          <w:rFonts w:cs="Arial"/>
          <w:sz w:val="22"/>
          <w:szCs w:val="22"/>
        </w:rPr>
        <w:noBreakHyphen/>
        <w:t>containment goals by providing the Applicant’s Patient Panel with a diagnostic imaging pathway that is both cost</w:t>
      </w:r>
      <w:r w:rsidRPr="00C11123">
        <w:rPr>
          <w:rFonts w:cs="Arial"/>
          <w:sz w:val="22"/>
          <w:szCs w:val="22"/>
        </w:rPr>
        <w:noBreakHyphen/>
        <w:t xml:space="preserve">efficient and clinically essential under modern urology practice. As described throughout this </w:t>
      </w:r>
      <w:r w:rsidR="00355C3F" w:rsidRPr="00C11123">
        <w:rPr>
          <w:rFonts w:cs="Arial"/>
          <w:sz w:val="22"/>
          <w:szCs w:val="22"/>
        </w:rPr>
        <w:t>A</w:t>
      </w:r>
      <w:r w:rsidRPr="00C11123">
        <w:rPr>
          <w:rFonts w:cs="Arial"/>
          <w:sz w:val="22"/>
          <w:szCs w:val="22"/>
        </w:rPr>
        <w:t xml:space="preserve">pplication, offering PSMA PET/CT imaging within the Applicant’s practice setting generates cost savings across the entire episode of </w:t>
      </w:r>
      <w:r w:rsidR="00D54CF2" w:rsidRPr="00C11123">
        <w:rPr>
          <w:rFonts w:cs="Arial"/>
          <w:sz w:val="22"/>
          <w:szCs w:val="22"/>
        </w:rPr>
        <w:t xml:space="preserve">prostate cancer </w:t>
      </w:r>
      <w:r w:rsidRPr="00C11123">
        <w:rPr>
          <w:rFonts w:cs="Arial"/>
          <w:sz w:val="22"/>
          <w:szCs w:val="22"/>
        </w:rPr>
        <w:t>care while improving the accuracy, timeliness, and coordination of prostate cancer management.</w:t>
      </w:r>
    </w:p>
    <w:p w14:paraId="345BCBF7" w14:textId="77777777" w:rsidR="00A24C29" w:rsidRPr="00C11123" w:rsidRDefault="00A24C29" w:rsidP="00CC6024">
      <w:pPr>
        <w:spacing w:after="0" w:line="240" w:lineRule="auto"/>
        <w:jc w:val="both"/>
        <w:rPr>
          <w:rFonts w:cs="Arial"/>
          <w:sz w:val="22"/>
          <w:szCs w:val="22"/>
        </w:rPr>
      </w:pPr>
    </w:p>
    <w:p w14:paraId="5A4102B9" w14:textId="29CEEBEA" w:rsidR="00CE164C" w:rsidRPr="00C11123" w:rsidRDefault="00000000" w:rsidP="00CC6024">
      <w:pPr>
        <w:spacing w:after="0" w:line="240" w:lineRule="auto"/>
        <w:jc w:val="both"/>
        <w:rPr>
          <w:rFonts w:cs="Arial"/>
          <w:sz w:val="22"/>
          <w:szCs w:val="22"/>
        </w:rPr>
      </w:pPr>
      <w:r w:rsidRPr="00C11123">
        <w:rPr>
          <w:rFonts w:cs="Arial"/>
          <w:sz w:val="22"/>
          <w:szCs w:val="22"/>
        </w:rPr>
        <w:t xml:space="preserve">First, because the Applicant is a physician practice rather than a hospital-based outpatient department, its </w:t>
      </w:r>
      <w:r w:rsidR="007845C8" w:rsidRPr="00C11123">
        <w:rPr>
          <w:rFonts w:cs="Arial"/>
          <w:sz w:val="22"/>
          <w:szCs w:val="22"/>
        </w:rPr>
        <w:t xml:space="preserve">PSMA </w:t>
      </w:r>
      <w:r w:rsidRPr="00C11123">
        <w:rPr>
          <w:rFonts w:cs="Arial"/>
          <w:sz w:val="22"/>
          <w:szCs w:val="22"/>
        </w:rPr>
        <w:t>PET/CT services can be delivered without the higher overhead costs and facility fees that typically accompany hospital settings.</w:t>
      </w:r>
      <w:r>
        <w:rPr>
          <w:rStyle w:val="FootnoteReference"/>
          <w:rFonts w:cs="Arial"/>
          <w:sz w:val="22"/>
          <w:szCs w:val="22"/>
        </w:rPr>
        <w:footnoteReference w:id="131"/>
      </w:r>
      <w:r w:rsidRPr="00C11123">
        <w:rPr>
          <w:rFonts w:cs="Arial"/>
          <w:sz w:val="22"/>
          <w:szCs w:val="22"/>
        </w:rPr>
        <w:t xml:space="preserve"> This distinction alone yields immediate, direct savings both for patients and for the </w:t>
      </w:r>
      <w:r w:rsidR="00D54CF2" w:rsidRPr="00C11123">
        <w:rPr>
          <w:rFonts w:cs="Arial"/>
          <w:sz w:val="22"/>
          <w:szCs w:val="22"/>
        </w:rPr>
        <w:t xml:space="preserve">Massachusetts </w:t>
      </w:r>
      <w:r w:rsidRPr="00C11123">
        <w:rPr>
          <w:rFonts w:cs="Arial"/>
          <w:sz w:val="22"/>
          <w:szCs w:val="22"/>
        </w:rPr>
        <w:t xml:space="preserve">healthcare </w:t>
      </w:r>
      <w:r w:rsidR="00D54CF2" w:rsidRPr="00C11123">
        <w:rPr>
          <w:rFonts w:cs="Arial"/>
          <w:sz w:val="22"/>
          <w:szCs w:val="22"/>
        </w:rPr>
        <w:t>sector</w:t>
      </w:r>
      <w:r w:rsidRPr="00C11123">
        <w:rPr>
          <w:rFonts w:cs="Arial"/>
          <w:sz w:val="22"/>
          <w:szCs w:val="22"/>
        </w:rPr>
        <w:t xml:space="preserve">, as patients </w:t>
      </w:r>
      <w:r w:rsidR="005F5E62" w:rsidRPr="00C11123">
        <w:rPr>
          <w:rFonts w:cs="Arial"/>
          <w:sz w:val="22"/>
          <w:szCs w:val="22"/>
        </w:rPr>
        <w:t xml:space="preserve">can </w:t>
      </w:r>
      <w:r w:rsidRPr="00C11123">
        <w:rPr>
          <w:rFonts w:cs="Arial"/>
          <w:sz w:val="22"/>
          <w:szCs w:val="22"/>
        </w:rPr>
        <w:t xml:space="preserve">avoid the </w:t>
      </w:r>
      <w:r w:rsidR="00945964" w:rsidRPr="00C11123">
        <w:rPr>
          <w:rFonts w:cs="Arial"/>
          <w:sz w:val="22"/>
          <w:szCs w:val="22"/>
        </w:rPr>
        <w:t>higher</w:t>
      </w:r>
      <w:r w:rsidRPr="00C11123">
        <w:rPr>
          <w:rFonts w:cs="Arial"/>
          <w:sz w:val="22"/>
          <w:szCs w:val="22"/>
        </w:rPr>
        <w:t xml:space="preserve"> charges associated with hospital-based imaging departments.</w:t>
      </w:r>
      <w:r w:rsidR="00D54CF2" w:rsidRPr="00C11123">
        <w:rPr>
          <w:rFonts w:cs="Arial"/>
          <w:sz w:val="22"/>
          <w:szCs w:val="22"/>
        </w:rPr>
        <w:t xml:space="preserve"> </w:t>
      </w:r>
      <w:r w:rsidR="005465BB" w:rsidRPr="00C11123">
        <w:rPr>
          <w:rFonts w:cs="Arial"/>
          <w:sz w:val="22"/>
          <w:szCs w:val="22"/>
        </w:rPr>
        <w:t xml:space="preserve">The Applicant’s organizational and operational structures will allow it to deliver the same high-quality imaging services as can be provided at a hospital or other imaging center, but without being a cost driver. </w:t>
      </w:r>
      <w:r w:rsidRPr="00C11123">
        <w:rPr>
          <w:rFonts w:cs="Arial"/>
          <w:sz w:val="22"/>
          <w:szCs w:val="22"/>
        </w:rPr>
        <w:t xml:space="preserve">The </w:t>
      </w:r>
      <w:r w:rsidR="0028219D" w:rsidRPr="00C11123">
        <w:rPr>
          <w:rFonts w:cs="Arial"/>
          <w:sz w:val="22"/>
          <w:szCs w:val="22"/>
        </w:rPr>
        <w:t xml:space="preserve">economic benefits </w:t>
      </w:r>
      <w:r w:rsidR="0038798A" w:rsidRPr="00C11123">
        <w:rPr>
          <w:rFonts w:cs="Arial"/>
          <w:sz w:val="22"/>
          <w:szCs w:val="22"/>
        </w:rPr>
        <w:t xml:space="preserve">offered </w:t>
      </w:r>
      <w:r w:rsidR="0028219D" w:rsidRPr="00C11123">
        <w:rPr>
          <w:rFonts w:cs="Arial"/>
          <w:sz w:val="22"/>
          <w:szCs w:val="22"/>
        </w:rPr>
        <w:t xml:space="preserve">by the </w:t>
      </w:r>
      <w:r w:rsidRPr="00C11123">
        <w:rPr>
          <w:rFonts w:cs="Arial"/>
          <w:sz w:val="22"/>
          <w:szCs w:val="22"/>
        </w:rPr>
        <w:t xml:space="preserve">Proposed Project </w:t>
      </w:r>
      <w:r w:rsidR="0028219D" w:rsidRPr="00C11123">
        <w:rPr>
          <w:rFonts w:cs="Arial"/>
          <w:sz w:val="22"/>
          <w:szCs w:val="22"/>
        </w:rPr>
        <w:t>are</w:t>
      </w:r>
      <w:r w:rsidRPr="00C11123">
        <w:rPr>
          <w:rFonts w:cs="Arial"/>
          <w:sz w:val="22"/>
          <w:szCs w:val="22"/>
        </w:rPr>
        <w:t xml:space="preserve"> also consistent with trends in the diagnostic industry more broadly</w:t>
      </w:r>
      <w:r w:rsidR="005465BB" w:rsidRPr="00C11123">
        <w:rPr>
          <w:rFonts w:cs="Arial"/>
          <w:sz w:val="22"/>
          <w:szCs w:val="22"/>
        </w:rPr>
        <w:t xml:space="preserve"> in which there is a</w:t>
      </w:r>
      <w:r w:rsidRPr="00C11123">
        <w:rPr>
          <w:rFonts w:cs="Arial"/>
          <w:sz w:val="22"/>
          <w:szCs w:val="22"/>
        </w:rPr>
        <w:t xml:space="preserve"> shift away from hospitals to lower cost providers</w:t>
      </w:r>
      <w:r w:rsidR="0028219D" w:rsidRPr="00C11123">
        <w:rPr>
          <w:rFonts w:cs="Arial"/>
          <w:sz w:val="22"/>
          <w:szCs w:val="22"/>
        </w:rPr>
        <w:t xml:space="preserve"> because </w:t>
      </w:r>
      <w:r w:rsidR="0028219D" w:rsidRPr="00C11123">
        <w:rPr>
          <w:rFonts w:cs="Arial"/>
          <w:sz w:val="22"/>
          <w:szCs w:val="22"/>
        </w:rPr>
        <w:lastRenderedPageBreak/>
        <w:t>patient demand for radiologic imaging is highly sensitive to price differences, particularly with respect to those patients with higher deductibles.</w:t>
      </w:r>
      <w:r>
        <w:rPr>
          <w:rStyle w:val="FootnoteReference"/>
          <w:rFonts w:cs="Arial"/>
          <w:sz w:val="22"/>
          <w:szCs w:val="22"/>
        </w:rPr>
        <w:footnoteReference w:id="132"/>
      </w:r>
      <w:r w:rsidR="0038798A" w:rsidRPr="00C11123">
        <w:rPr>
          <w:rFonts w:cs="Arial"/>
          <w:sz w:val="22"/>
          <w:szCs w:val="22"/>
        </w:rPr>
        <w:t xml:space="preserve"> </w:t>
      </w:r>
      <w:r w:rsidR="00416CFD" w:rsidRPr="00C11123">
        <w:rPr>
          <w:rFonts w:cs="Arial"/>
          <w:sz w:val="22"/>
          <w:szCs w:val="22"/>
        </w:rPr>
        <w:t xml:space="preserve">High deductible health plans are becoming more common throughout the country, increasing from about 30% </w:t>
      </w:r>
      <w:r w:rsidR="009841E3" w:rsidRPr="00C11123">
        <w:rPr>
          <w:rFonts w:cs="Arial"/>
          <w:sz w:val="22"/>
          <w:szCs w:val="22"/>
        </w:rPr>
        <w:t xml:space="preserve">in 2013 </w:t>
      </w:r>
      <w:r w:rsidR="00416CFD" w:rsidRPr="00C11123">
        <w:rPr>
          <w:rFonts w:cs="Arial"/>
          <w:sz w:val="22"/>
          <w:szCs w:val="22"/>
        </w:rPr>
        <w:t xml:space="preserve">to over 50% </w:t>
      </w:r>
      <w:r w:rsidR="009841E3" w:rsidRPr="00C11123">
        <w:rPr>
          <w:rFonts w:cs="Arial"/>
          <w:sz w:val="22"/>
          <w:szCs w:val="22"/>
        </w:rPr>
        <w:t>as of 2022</w:t>
      </w:r>
      <w:r w:rsidR="00416CFD" w:rsidRPr="00C11123">
        <w:rPr>
          <w:rFonts w:cs="Arial"/>
          <w:sz w:val="22"/>
          <w:szCs w:val="22"/>
        </w:rPr>
        <w:t>.</w:t>
      </w:r>
      <w:r>
        <w:rPr>
          <w:rStyle w:val="FootnoteReference"/>
          <w:rFonts w:cs="Arial"/>
          <w:sz w:val="22"/>
          <w:szCs w:val="22"/>
        </w:rPr>
        <w:footnoteReference w:id="133"/>
      </w:r>
      <w:r w:rsidR="00416CFD" w:rsidRPr="00C11123">
        <w:rPr>
          <w:rFonts w:cs="Arial"/>
          <w:sz w:val="22"/>
          <w:szCs w:val="22"/>
        </w:rPr>
        <w:t xml:space="preserve"> </w:t>
      </w:r>
      <w:r w:rsidR="00DB5FFE" w:rsidRPr="00C11123">
        <w:rPr>
          <w:rFonts w:cs="Arial"/>
          <w:sz w:val="22"/>
          <w:szCs w:val="22"/>
        </w:rPr>
        <w:t>Therefore, the Proposed Project represents an important intersection between</w:t>
      </w:r>
      <w:r w:rsidR="00DD0734" w:rsidRPr="00C11123">
        <w:rPr>
          <w:rFonts w:cs="Arial"/>
          <w:sz w:val="22"/>
          <w:szCs w:val="22"/>
        </w:rPr>
        <w:t xml:space="preserve"> </w:t>
      </w:r>
      <w:r w:rsidR="00850FE8" w:rsidRPr="00C11123">
        <w:rPr>
          <w:rFonts w:cs="Arial"/>
          <w:sz w:val="22"/>
          <w:szCs w:val="22"/>
        </w:rPr>
        <w:t>the</w:t>
      </w:r>
      <w:r w:rsidR="00416CFD" w:rsidRPr="00C11123">
        <w:rPr>
          <w:rFonts w:cs="Arial"/>
          <w:sz w:val="22"/>
          <w:szCs w:val="22"/>
        </w:rPr>
        <w:t xml:space="preserve"> Applicant’s</w:t>
      </w:r>
      <w:r w:rsidR="00DD0734" w:rsidRPr="00C11123">
        <w:rPr>
          <w:rFonts w:cs="Arial"/>
          <w:sz w:val="22"/>
          <w:szCs w:val="22"/>
        </w:rPr>
        <w:t xml:space="preserve"> ability to</w:t>
      </w:r>
      <w:r w:rsidR="00DB5FFE" w:rsidRPr="00C11123">
        <w:rPr>
          <w:rFonts w:cs="Arial"/>
          <w:sz w:val="22"/>
          <w:szCs w:val="22"/>
        </w:rPr>
        <w:t xml:space="preserve"> deliver</w:t>
      </w:r>
      <w:r w:rsidR="00DD0734" w:rsidRPr="00C11123">
        <w:rPr>
          <w:rFonts w:cs="Arial"/>
          <w:sz w:val="22"/>
          <w:szCs w:val="22"/>
        </w:rPr>
        <w:t xml:space="preserve"> advanced</w:t>
      </w:r>
      <w:r w:rsidR="007845C8" w:rsidRPr="00C11123">
        <w:rPr>
          <w:rFonts w:cs="Arial"/>
          <w:sz w:val="22"/>
          <w:szCs w:val="22"/>
        </w:rPr>
        <w:t xml:space="preserve"> PSMA</w:t>
      </w:r>
      <w:r w:rsidR="00DB5FFE" w:rsidRPr="00C11123">
        <w:rPr>
          <w:rFonts w:cs="Arial"/>
          <w:sz w:val="22"/>
          <w:szCs w:val="22"/>
        </w:rPr>
        <w:t xml:space="preserve"> </w:t>
      </w:r>
      <w:r w:rsidR="00DD0734" w:rsidRPr="00C11123">
        <w:rPr>
          <w:rFonts w:cs="Arial"/>
          <w:sz w:val="22"/>
          <w:szCs w:val="22"/>
        </w:rPr>
        <w:t xml:space="preserve">PET/CT </w:t>
      </w:r>
      <w:r w:rsidR="00DB5FFE" w:rsidRPr="00C11123">
        <w:rPr>
          <w:rFonts w:cs="Arial"/>
          <w:sz w:val="22"/>
          <w:szCs w:val="22"/>
        </w:rPr>
        <w:t xml:space="preserve">imaging without </w:t>
      </w:r>
      <w:r w:rsidR="00DD0734" w:rsidRPr="00C11123">
        <w:rPr>
          <w:rFonts w:cs="Arial"/>
          <w:sz w:val="22"/>
          <w:szCs w:val="22"/>
        </w:rPr>
        <w:t>higher</w:t>
      </w:r>
      <w:r w:rsidR="00DB5FFE" w:rsidRPr="00C11123">
        <w:rPr>
          <w:rFonts w:cs="Arial"/>
          <w:sz w:val="22"/>
          <w:szCs w:val="22"/>
        </w:rPr>
        <w:t xml:space="preserve"> cost burden</w:t>
      </w:r>
      <w:r w:rsidR="00850FE8" w:rsidRPr="00C11123">
        <w:rPr>
          <w:rFonts w:cs="Arial"/>
          <w:sz w:val="22"/>
          <w:szCs w:val="22"/>
        </w:rPr>
        <w:t>s</w:t>
      </w:r>
      <w:r w:rsidR="00DD0734" w:rsidRPr="00C11123">
        <w:rPr>
          <w:rFonts w:cs="Arial"/>
          <w:sz w:val="22"/>
          <w:szCs w:val="22"/>
        </w:rPr>
        <w:t xml:space="preserve"> and price sensitivity </w:t>
      </w:r>
      <w:r w:rsidR="00416CFD" w:rsidRPr="00C11123">
        <w:rPr>
          <w:rFonts w:cs="Arial"/>
          <w:sz w:val="22"/>
          <w:szCs w:val="22"/>
        </w:rPr>
        <w:t xml:space="preserve">factors </w:t>
      </w:r>
      <w:r w:rsidR="00850FE8" w:rsidRPr="00C11123">
        <w:rPr>
          <w:rFonts w:cs="Arial"/>
          <w:sz w:val="22"/>
          <w:szCs w:val="22"/>
        </w:rPr>
        <w:t xml:space="preserve">among patients </w:t>
      </w:r>
      <w:r w:rsidR="00DD0734" w:rsidRPr="00C11123">
        <w:rPr>
          <w:rFonts w:cs="Arial"/>
          <w:sz w:val="22"/>
          <w:szCs w:val="22"/>
        </w:rPr>
        <w:t xml:space="preserve">that facilitate choice toward </w:t>
      </w:r>
      <w:r w:rsidR="004F7553" w:rsidRPr="00C11123">
        <w:rPr>
          <w:rFonts w:cs="Arial"/>
          <w:sz w:val="22"/>
          <w:szCs w:val="22"/>
        </w:rPr>
        <w:t xml:space="preserve">more convenient, </w:t>
      </w:r>
      <w:r w:rsidR="00850FE8" w:rsidRPr="00C11123">
        <w:rPr>
          <w:rFonts w:cs="Arial"/>
          <w:sz w:val="22"/>
          <w:szCs w:val="22"/>
        </w:rPr>
        <w:t xml:space="preserve">lower cost settings for equivalent </w:t>
      </w:r>
      <w:r w:rsidR="00416CFD" w:rsidRPr="00C11123">
        <w:rPr>
          <w:rFonts w:cs="Arial"/>
          <w:sz w:val="22"/>
          <w:szCs w:val="22"/>
        </w:rPr>
        <w:t xml:space="preserve">imaging </w:t>
      </w:r>
      <w:r w:rsidR="00850FE8" w:rsidRPr="00C11123">
        <w:rPr>
          <w:rFonts w:cs="Arial"/>
          <w:sz w:val="22"/>
          <w:szCs w:val="22"/>
        </w:rPr>
        <w:t>services.</w:t>
      </w:r>
      <w:r>
        <w:rPr>
          <w:rStyle w:val="FootnoteReference"/>
          <w:rFonts w:cs="Arial"/>
          <w:sz w:val="22"/>
          <w:szCs w:val="22"/>
        </w:rPr>
        <w:footnoteReference w:id="134"/>
      </w:r>
    </w:p>
    <w:p w14:paraId="6D29259F" w14:textId="77777777" w:rsidR="00A24C29" w:rsidRPr="00C11123" w:rsidRDefault="00A24C29" w:rsidP="00CC6024">
      <w:pPr>
        <w:spacing w:after="0" w:line="240" w:lineRule="auto"/>
        <w:jc w:val="both"/>
        <w:rPr>
          <w:rFonts w:cs="Arial"/>
          <w:sz w:val="22"/>
          <w:szCs w:val="22"/>
        </w:rPr>
      </w:pPr>
    </w:p>
    <w:p w14:paraId="2B8F8922" w14:textId="3B2E877E" w:rsidR="00A24C29" w:rsidRPr="00C11123" w:rsidRDefault="00000000" w:rsidP="00CC6024">
      <w:pPr>
        <w:spacing w:after="0" w:line="240" w:lineRule="auto"/>
        <w:jc w:val="both"/>
        <w:rPr>
          <w:rFonts w:cs="Arial"/>
          <w:b/>
          <w:bCs/>
          <w:sz w:val="22"/>
          <w:szCs w:val="22"/>
        </w:rPr>
      </w:pPr>
      <w:r w:rsidRPr="00C11123">
        <w:rPr>
          <w:rFonts w:cs="Arial"/>
          <w:sz w:val="22"/>
          <w:szCs w:val="22"/>
        </w:rPr>
        <w:t>Second, PSMA PET/CT represents a superior diagnostic technology in contemporary prostate cancer care. Compared to conventional imaging, PSMA PET more accurately detects metastatic disease, reduces the likelihood of false negatives, and minimizes the need for duplicative or staged scans.</w:t>
      </w:r>
      <w:r w:rsidR="00A3690B" w:rsidRPr="00C11123">
        <w:rPr>
          <w:rFonts w:cs="Arial"/>
          <w:sz w:val="22"/>
          <w:szCs w:val="22"/>
        </w:rPr>
        <w:t xml:space="preserve"> In addition, CT remains an important imaging modality</w:t>
      </w:r>
      <w:r w:rsidR="0019068A" w:rsidRPr="00C11123">
        <w:rPr>
          <w:rFonts w:cs="Arial"/>
          <w:sz w:val="22"/>
          <w:szCs w:val="22"/>
        </w:rPr>
        <w:t xml:space="preserve"> with </w:t>
      </w:r>
      <w:proofErr w:type="gramStart"/>
      <w:r w:rsidR="0019068A" w:rsidRPr="00C11123">
        <w:rPr>
          <w:rFonts w:cs="Arial"/>
          <w:sz w:val="22"/>
          <w:szCs w:val="22"/>
        </w:rPr>
        <w:t>different and</w:t>
      </w:r>
      <w:proofErr w:type="gramEnd"/>
      <w:r w:rsidR="0019068A" w:rsidRPr="00C11123">
        <w:rPr>
          <w:rFonts w:cs="Arial"/>
          <w:sz w:val="22"/>
          <w:szCs w:val="22"/>
        </w:rPr>
        <w:t xml:space="preserve"> capabilities than PET. W</w:t>
      </w:r>
      <w:r w:rsidR="00A3690B" w:rsidRPr="00C11123">
        <w:rPr>
          <w:rFonts w:cs="Arial"/>
          <w:sz w:val="22"/>
          <w:szCs w:val="22"/>
        </w:rPr>
        <w:t xml:space="preserve">hen combined as the Applicant proposes, </w:t>
      </w:r>
      <w:r w:rsidR="0019068A" w:rsidRPr="00C11123">
        <w:rPr>
          <w:rFonts w:cs="Arial"/>
          <w:sz w:val="22"/>
          <w:szCs w:val="22"/>
        </w:rPr>
        <w:t xml:space="preserve">the benefits of both technologies </w:t>
      </w:r>
      <w:r w:rsidR="00355C3F" w:rsidRPr="00C11123">
        <w:rPr>
          <w:rFonts w:cs="Arial"/>
          <w:sz w:val="22"/>
          <w:szCs w:val="22"/>
        </w:rPr>
        <w:t xml:space="preserve">(PET/CT) </w:t>
      </w:r>
      <w:r w:rsidR="0019068A" w:rsidRPr="00C11123">
        <w:rPr>
          <w:rFonts w:cs="Arial"/>
          <w:sz w:val="22"/>
          <w:szCs w:val="22"/>
        </w:rPr>
        <w:t>can be leveraged simultaneously and, therefore, avoid the need for patients to undergo time-consuming, costly, and duplicative scans.</w:t>
      </w:r>
      <w:r>
        <w:rPr>
          <w:rStyle w:val="FootnoteReference"/>
          <w:rFonts w:cs="Arial"/>
          <w:sz w:val="22"/>
          <w:szCs w:val="22"/>
        </w:rPr>
        <w:footnoteReference w:id="135"/>
      </w:r>
      <w:r w:rsidR="002F4CCA" w:rsidRPr="00C11123">
        <w:rPr>
          <w:rFonts w:cs="Arial"/>
          <w:sz w:val="22"/>
          <w:szCs w:val="22"/>
        </w:rPr>
        <w:t xml:space="preserve"> Researchers have observed that “[i]f patients undergo both examinations in one session, in addition to having more accurate results, costs will be lower.”</w:t>
      </w:r>
      <w:r>
        <w:rPr>
          <w:rStyle w:val="FootnoteReference"/>
          <w:rFonts w:cs="Arial"/>
          <w:sz w:val="22"/>
          <w:szCs w:val="22"/>
        </w:rPr>
        <w:footnoteReference w:id="136"/>
      </w:r>
      <w:r w:rsidR="00260180" w:rsidRPr="00C11123">
        <w:rPr>
          <w:rFonts w:cs="Arial"/>
          <w:sz w:val="22"/>
          <w:szCs w:val="22"/>
        </w:rPr>
        <w:t xml:space="preserve">  </w:t>
      </w:r>
      <w:r w:rsidRPr="00C11123">
        <w:rPr>
          <w:rFonts w:cs="Arial"/>
          <w:sz w:val="22"/>
          <w:szCs w:val="22"/>
        </w:rPr>
        <w:t xml:space="preserve">By helping </w:t>
      </w:r>
      <w:r w:rsidR="0071743C" w:rsidRPr="00C11123">
        <w:rPr>
          <w:rFonts w:cs="Arial"/>
          <w:sz w:val="22"/>
          <w:szCs w:val="22"/>
        </w:rPr>
        <w:t>the Applicant’s clinicians</w:t>
      </w:r>
      <w:r w:rsidRPr="00C11123">
        <w:rPr>
          <w:rFonts w:cs="Arial"/>
          <w:sz w:val="22"/>
          <w:szCs w:val="22"/>
        </w:rPr>
        <w:t xml:space="preserve"> correctly </w:t>
      </w:r>
      <w:r w:rsidR="0071743C" w:rsidRPr="00C11123">
        <w:rPr>
          <w:rFonts w:cs="Arial"/>
          <w:sz w:val="22"/>
          <w:szCs w:val="22"/>
        </w:rPr>
        <w:t xml:space="preserve">detect and </w:t>
      </w:r>
      <w:r w:rsidRPr="00C11123">
        <w:rPr>
          <w:rFonts w:cs="Arial"/>
          <w:sz w:val="22"/>
          <w:szCs w:val="22"/>
        </w:rPr>
        <w:t xml:space="preserve">stage disease </w:t>
      </w:r>
      <w:r w:rsidR="0071743C" w:rsidRPr="00C11123">
        <w:rPr>
          <w:rFonts w:cs="Arial"/>
          <w:sz w:val="22"/>
          <w:szCs w:val="22"/>
        </w:rPr>
        <w:t>earlier</w:t>
      </w:r>
      <w:r w:rsidRPr="00C11123">
        <w:rPr>
          <w:rFonts w:cs="Arial"/>
          <w:sz w:val="22"/>
          <w:szCs w:val="22"/>
        </w:rPr>
        <w:t xml:space="preserve"> and develop more precise treatment plans, the </w:t>
      </w:r>
      <w:r w:rsidR="0019068A" w:rsidRPr="00C11123">
        <w:rPr>
          <w:rFonts w:cs="Arial"/>
          <w:sz w:val="22"/>
          <w:szCs w:val="22"/>
        </w:rPr>
        <w:t>Proposed Project</w:t>
      </w:r>
      <w:r w:rsidRPr="00C11123">
        <w:rPr>
          <w:rFonts w:cs="Arial"/>
          <w:sz w:val="22"/>
          <w:szCs w:val="22"/>
        </w:rPr>
        <w:t xml:space="preserve"> avoids downstream costs linked to delayed diagnosis, repeat imaging, ineffective therapies, and preventable disease progression.</w:t>
      </w:r>
      <w:r w:rsidR="00260180" w:rsidRPr="00C11123">
        <w:rPr>
          <w:rFonts w:cs="Arial"/>
          <w:b/>
          <w:bCs/>
          <w:sz w:val="22"/>
          <w:szCs w:val="22"/>
        </w:rPr>
        <w:t xml:space="preserve"> </w:t>
      </w:r>
    </w:p>
    <w:p w14:paraId="4FBF5CBB" w14:textId="77777777" w:rsidR="00A24C29" w:rsidRPr="00C11123" w:rsidRDefault="00A24C29" w:rsidP="00CC6024">
      <w:pPr>
        <w:spacing w:after="0" w:line="240" w:lineRule="auto"/>
        <w:jc w:val="both"/>
        <w:rPr>
          <w:rFonts w:cs="Arial"/>
          <w:sz w:val="22"/>
          <w:szCs w:val="22"/>
        </w:rPr>
      </w:pPr>
    </w:p>
    <w:p w14:paraId="3C8CAD27" w14:textId="023D3240" w:rsidR="00A24C29" w:rsidRPr="00C11123" w:rsidRDefault="00000000" w:rsidP="00CC6024">
      <w:pPr>
        <w:spacing w:after="0" w:line="240" w:lineRule="auto"/>
        <w:jc w:val="both"/>
        <w:rPr>
          <w:rFonts w:cs="Arial"/>
          <w:sz w:val="22"/>
          <w:szCs w:val="22"/>
        </w:rPr>
      </w:pPr>
      <w:r w:rsidRPr="00C11123">
        <w:rPr>
          <w:rFonts w:cs="Arial"/>
          <w:sz w:val="22"/>
          <w:szCs w:val="22"/>
        </w:rPr>
        <w:t>Third, placing the PET/CT unit within the Applicant’s practice</w:t>
      </w:r>
      <w:r w:rsidR="00355C3F" w:rsidRPr="00C11123">
        <w:rPr>
          <w:rFonts w:cs="Arial"/>
          <w:sz w:val="22"/>
          <w:szCs w:val="22"/>
        </w:rPr>
        <w:t xml:space="preserve"> sites on a rotating basis</w:t>
      </w:r>
      <w:r w:rsidR="002A4695" w:rsidRPr="00C11123">
        <w:rPr>
          <w:rFonts w:cs="Arial"/>
          <w:sz w:val="22"/>
          <w:szCs w:val="22"/>
        </w:rPr>
        <w:t xml:space="preserve"> in the Proposed Project</w:t>
      </w:r>
      <w:r w:rsidRPr="00C11123">
        <w:rPr>
          <w:rFonts w:cs="Arial"/>
          <w:sz w:val="22"/>
          <w:szCs w:val="22"/>
        </w:rPr>
        <w:t xml:space="preserve"> creates an integrated care model that further reinforces cost efficiency. Patients</w:t>
      </w:r>
      <w:r w:rsidR="007E1212" w:rsidRPr="00C11123">
        <w:rPr>
          <w:rFonts w:cs="Arial"/>
          <w:sz w:val="22"/>
          <w:szCs w:val="22"/>
        </w:rPr>
        <w:t xml:space="preserve"> can</w:t>
      </w:r>
      <w:r w:rsidRPr="00C11123">
        <w:rPr>
          <w:rFonts w:cs="Arial"/>
          <w:sz w:val="22"/>
          <w:szCs w:val="22"/>
        </w:rPr>
        <w:t xml:space="preserve"> receive imaging and follow-up care within a single clinical environment</w:t>
      </w:r>
      <w:r w:rsidR="007E1212" w:rsidRPr="00C11123">
        <w:rPr>
          <w:rFonts w:cs="Arial"/>
          <w:sz w:val="22"/>
          <w:szCs w:val="22"/>
        </w:rPr>
        <w:t xml:space="preserve"> in a </w:t>
      </w:r>
      <w:r w:rsidR="002A4695" w:rsidRPr="00C11123">
        <w:rPr>
          <w:rFonts w:cs="Arial"/>
          <w:sz w:val="22"/>
          <w:szCs w:val="22"/>
        </w:rPr>
        <w:t xml:space="preserve">geographically convenient and local </w:t>
      </w:r>
      <w:r w:rsidR="007E1212" w:rsidRPr="00C11123">
        <w:rPr>
          <w:rFonts w:cs="Arial"/>
          <w:sz w:val="22"/>
          <w:szCs w:val="22"/>
        </w:rPr>
        <w:t>community setting without need for visiting a busy or unfamiliar hospital</w:t>
      </w:r>
      <w:r w:rsidRPr="00C11123">
        <w:rPr>
          <w:rFonts w:cs="Arial"/>
          <w:sz w:val="22"/>
          <w:szCs w:val="22"/>
        </w:rPr>
        <w:t>, eliminating the delays, administrative redundancies, and care fragmentation that occur when outside imaging providers are involved. The Applicant’s Nurse Navigator further supports efficiency by coordinating imaging, reviewing results, and arranging timely follow-up—reducing the cycle time between diagnosis and treatment initiation, decreasing no-show rates, and limiting unnecessary utilization.</w:t>
      </w:r>
    </w:p>
    <w:p w14:paraId="435EBA75" w14:textId="77777777" w:rsidR="00A24C29" w:rsidRPr="00C11123" w:rsidRDefault="00A24C29" w:rsidP="00CC6024">
      <w:pPr>
        <w:spacing w:after="0" w:line="240" w:lineRule="auto"/>
        <w:jc w:val="both"/>
        <w:rPr>
          <w:rFonts w:cs="Arial"/>
          <w:sz w:val="22"/>
          <w:szCs w:val="22"/>
        </w:rPr>
      </w:pPr>
    </w:p>
    <w:p w14:paraId="7BDB75CD" w14:textId="7B85656A" w:rsidR="00A24C29" w:rsidRPr="00C11123" w:rsidRDefault="00000000" w:rsidP="00CC6024">
      <w:pPr>
        <w:spacing w:after="0" w:line="240" w:lineRule="auto"/>
        <w:jc w:val="both"/>
        <w:rPr>
          <w:rFonts w:cs="Arial"/>
          <w:sz w:val="22"/>
          <w:szCs w:val="22"/>
        </w:rPr>
      </w:pPr>
      <w:r w:rsidRPr="00C11123">
        <w:rPr>
          <w:rFonts w:cs="Arial"/>
          <w:sz w:val="22"/>
          <w:szCs w:val="22"/>
        </w:rPr>
        <w:t xml:space="preserve">Fourth, maintaining imaging services within the Applicant’s practice not only keeps its Patient Panel out of higher-cost hospital-based centers, but also eases pressure on </w:t>
      </w:r>
      <w:r w:rsidR="0071743C" w:rsidRPr="00C11123">
        <w:rPr>
          <w:rFonts w:cs="Arial"/>
          <w:sz w:val="22"/>
          <w:szCs w:val="22"/>
        </w:rPr>
        <w:t xml:space="preserve">both hospitals and </w:t>
      </w:r>
      <w:r w:rsidRPr="00C11123">
        <w:rPr>
          <w:rFonts w:cs="Arial"/>
          <w:sz w:val="22"/>
          <w:szCs w:val="22"/>
        </w:rPr>
        <w:t>independent diagnostic testing facilities (IDTFs) that must serve a broad</w:t>
      </w:r>
      <w:r w:rsidR="0071743C" w:rsidRPr="00C11123">
        <w:rPr>
          <w:rFonts w:cs="Arial"/>
          <w:sz w:val="22"/>
          <w:szCs w:val="22"/>
        </w:rPr>
        <w:t>er</w:t>
      </w:r>
      <w:r w:rsidRPr="00C11123">
        <w:rPr>
          <w:rFonts w:cs="Arial"/>
          <w:sz w:val="22"/>
          <w:szCs w:val="22"/>
        </w:rPr>
        <w:t xml:space="preserve"> population with </w:t>
      </w:r>
      <w:r w:rsidR="0071743C" w:rsidRPr="00C11123">
        <w:rPr>
          <w:rFonts w:cs="Arial"/>
          <w:sz w:val="22"/>
          <w:szCs w:val="22"/>
        </w:rPr>
        <w:t xml:space="preserve">a </w:t>
      </w:r>
      <w:r w:rsidRPr="00C11123">
        <w:rPr>
          <w:rFonts w:cs="Arial"/>
          <w:sz w:val="22"/>
          <w:szCs w:val="22"/>
        </w:rPr>
        <w:t>range of medical needs</w:t>
      </w:r>
      <w:r w:rsidR="0071743C" w:rsidRPr="00C11123">
        <w:rPr>
          <w:rFonts w:cs="Arial"/>
          <w:sz w:val="22"/>
          <w:szCs w:val="22"/>
        </w:rPr>
        <w:t xml:space="preserve"> that are not limited to</w:t>
      </w:r>
      <w:r w:rsidR="002A4695" w:rsidRPr="00C11123">
        <w:rPr>
          <w:rFonts w:cs="Arial"/>
          <w:sz w:val="22"/>
          <w:szCs w:val="22"/>
        </w:rPr>
        <w:t xml:space="preserve"> prostate cancer or</w:t>
      </w:r>
      <w:r w:rsidR="0071743C" w:rsidRPr="00C11123">
        <w:rPr>
          <w:rFonts w:cs="Arial"/>
          <w:sz w:val="22"/>
          <w:szCs w:val="22"/>
        </w:rPr>
        <w:t xml:space="preserve"> urology</w:t>
      </w:r>
      <w:r w:rsidRPr="00C11123">
        <w:rPr>
          <w:rFonts w:cs="Arial"/>
          <w:sz w:val="22"/>
          <w:szCs w:val="22"/>
        </w:rPr>
        <w:t>. By managing its own high-volume urology population</w:t>
      </w:r>
      <w:r w:rsidR="00A03FEE" w:rsidRPr="00C11123">
        <w:rPr>
          <w:rFonts w:cs="Arial"/>
          <w:sz w:val="22"/>
          <w:szCs w:val="22"/>
        </w:rPr>
        <w:t xml:space="preserve"> for</w:t>
      </w:r>
      <w:r w:rsidR="007845C8" w:rsidRPr="00C11123">
        <w:rPr>
          <w:rFonts w:cs="Arial"/>
          <w:sz w:val="22"/>
          <w:szCs w:val="22"/>
        </w:rPr>
        <w:t xml:space="preserve"> PSMA</w:t>
      </w:r>
      <w:r w:rsidR="00A03FEE" w:rsidRPr="00C11123">
        <w:rPr>
          <w:rFonts w:cs="Arial"/>
          <w:sz w:val="22"/>
          <w:szCs w:val="22"/>
        </w:rPr>
        <w:t xml:space="preserve"> PET/CT imaging</w:t>
      </w:r>
      <w:r w:rsidRPr="00C11123">
        <w:rPr>
          <w:rFonts w:cs="Arial"/>
          <w:sz w:val="22"/>
          <w:szCs w:val="22"/>
        </w:rPr>
        <w:t xml:space="preserve">, the </w:t>
      </w:r>
      <w:r w:rsidR="0016321E" w:rsidRPr="00C11123">
        <w:rPr>
          <w:rFonts w:cs="Arial"/>
          <w:sz w:val="22"/>
          <w:szCs w:val="22"/>
        </w:rPr>
        <w:t>Proposed Project will</w:t>
      </w:r>
      <w:r w:rsidRPr="00C11123">
        <w:rPr>
          <w:rFonts w:cs="Arial"/>
          <w:sz w:val="22"/>
          <w:szCs w:val="22"/>
        </w:rPr>
        <w:t xml:space="preserve"> reduce system-wide queuing, improve appointment availability for other patients who rely on </w:t>
      </w:r>
      <w:r w:rsidR="00006ABB" w:rsidRPr="00C11123">
        <w:rPr>
          <w:rFonts w:cs="Arial"/>
          <w:sz w:val="22"/>
          <w:szCs w:val="22"/>
        </w:rPr>
        <w:t xml:space="preserve">hospitals and </w:t>
      </w:r>
      <w:r w:rsidRPr="00C11123">
        <w:rPr>
          <w:rFonts w:cs="Arial"/>
          <w:sz w:val="22"/>
          <w:szCs w:val="22"/>
        </w:rPr>
        <w:t>IDTFs</w:t>
      </w:r>
      <w:r w:rsidR="006C2AAF" w:rsidRPr="00C11123">
        <w:rPr>
          <w:rFonts w:cs="Arial"/>
          <w:sz w:val="22"/>
          <w:szCs w:val="22"/>
        </w:rPr>
        <w:t xml:space="preserve"> outside of urology needs</w:t>
      </w:r>
      <w:r w:rsidRPr="00C11123">
        <w:rPr>
          <w:rFonts w:cs="Arial"/>
          <w:sz w:val="22"/>
          <w:szCs w:val="22"/>
        </w:rPr>
        <w:t>, and support faster access to necessary diagnostics across the Commonwealth.</w:t>
      </w:r>
    </w:p>
    <w:p w14:paraId="7DE2C7BE" w14:textId="77777777" w:rsidR="00A24C29" w:rsidRPr="00C11123" w:rsidRDefault="00A24C29" w:rsidP="00CC6024">
      <w:pPr>
        <w:spacing w:after="0" w:line="240" w:lineRule="auto"/>
        <w:jc w:val="both"/>
        <w:rPr>
          <w:rFonts w:cs="Arial"/>
          <w:sz w:val="22"/>
          <w:szCs w:val="22"/>
        </w:rPr>
      </w:pPr>
    </w:p>
    <w:p w14:paraId="2D432200" w14:textId="18DE2B51" w:rsidR="00A24C29" w:rsidRPr="00C11123" w:rsidRDefault="00000000" w:rsidP="00CC6024">
      <w:pPr>
        <w:spacing w:after="0" w:line="240" w:lineRule="auto"/>
        <w:jc w:val="both"/>
        <w:rPr>
          <w:rFonts w:cs="Arial"/>
          <w:sz w:val="22"/>
          <w:szCs w:val="22"/>
        </w:rPr>
      </w:pPr>
      <w:r w:rsidRPr="00C11123">
        <w:rPr>
          <w:rFonts w:cs="Arial"/>
          <w:sz w:val="22"/>
          <w:szCs w:val="22"/>
        </w:rPr>
        <w:t xml:space="preserve">Taken together, these efficiencies—lower-cost site of service, avoidance of duplicative or ineffective imaging, integrated care coordination, and reduced burden on regional imaging resources—demonstrate that the Proposed Project will materially contribute to the Commonwealth’s goals for cost containment and system-wide healthcare that </w:t>
      </w:r>
      <w:r w:rsidR="00D3791D" w:rsidRPr="00C11123">
        <w:rPr>
          <w:rFonts w:cs="Arial"/>
          <w:sz w:val="22"/>
          <w:szCs w:val="22"/>
        </w:rPr>
        <w:t>promotes</w:t>
      </w:r>
      <w:r w:rsidRPr="00C11123">
        <w:rPr>
          <w:rFonts w:cs="Arial"/>
          <w:sz w:val="22"/>
          <w:szCs w:val="22"/>
        </w:rPr>
        <w:t xml:space="preserve"> value</w:t>
      </w:r>
      <w:r w:rsidR="00D3791D" w:rsidRPr="00C11123">
        <w:rPr>
          <w:rFonts w:cs="Arial"/>
          <w:sz w:val="22"/>
          <w:szCs w:val="22"/>
        </w:rPr>
        <w:t xml:space="preserve"> for patients</w:t>
      </w:r>
      <w:r w:rsidRPr="00C11123">
        <w:rPr>
          <w:rFonts w:cs="Arial"/>
          <w:sz w:val="22"/>
          <w:szCs w:val="22"/>
        </w:rPr>
        <w:t>.</w:t>
      </w:r>
    </w:p>
    <w:p w14:paraId="719C78CB" w14:textId="77777777" w:rsidR="00EE1100" w:rsidRPr="00C11123" w:rsidRDefault="00EE1100" w:rsidP="00CC6024">
      <w:pPr>
        <w:spacing w:after="0" w:line="240" w:lineRule="auto"/>
        <w:jc w:val="both"/>
        <w:rPr>
          <w:rFonts w:cs="Arial"/>
          <w:b/>
          <w:bCs/>
          <w:sz w:val="22"/>
          <w:szCs w:val="22"/>
        </w:rPr>
      </w:pPr>
    </w:p>
    <w:p w14:paraId="1AD2F1F8" w14:textId="014E6DB0" w:rsidR="00EE1100" w:rsidRPr="00C11123" w:rsidRDefault="00000000" w:rsidP="006352D7">
      <w:pPr>
        <w:pStyle w:val="Heading2"/>
      </w:pPr>
      <w:r w:rsidRPr="00C11123">
        <w:lastRenderedPageBreak/>
        <w:t>F2.b.</w:t>
      </w:r>
      <w:r w:rsidRPr="00C11123">
        <w:tab/>
      </w:r>
      <w:r w:rsidRPr="006352D7">
        <w:rPr>
          <w:u w:val="single"/>
        </w:rPr>
        <w:t>Public Health Outcomes:</w:t>
      </w:r>
    </w:p>
    <w:p w14:paraId="32DB1C06" w14:textId="5E3412CC" w:rsidR="008F4F37" w:rsidRPr="00C11123" w:rsidRDefault="00000000" w:rsidP="00CC6024">
      <w:pPr>
        <w:spacing w:after="0" w:line="240" w:lineRule="auto"/>
        <w:ind w:left="1440"/>
        <w:jc w:val="both"/>
        <w:rPr>
          <w:rFonts w:cs="Arial"/>
          <w:b/>
          <w:bCs/>
          <w:sz w:val="22"/>
          <w:szCs w:val="22"/>
        </w:rPr>
      </w:pPr>
      <w:r w:rsidRPr="00C11123">
        <w:rPr>
          <w:rFonts w:cs="Arial"/>
          <w:b/>
          <w:bCs/>
          <w:sz w:val="22"/>
          <w:szCs w:val="22"/>
        </w:rPr>
        <w:t>Describe, as relevant, for each new or expanded service, how the Proposed Project will improve public health outcomes.</w:t>
      </w:r>
    </w:p>
    <w:p w14:paraId="0B0D8A57" w14:textId="659D40FB" w:rsidR="00F92295" w:rsidRPr="00C11123" w:rsidRDefault="00F92295" w:rsidP="00CC6024">
      <w:pPr>
        <w:spacing w:after="0" w:line="240" w:lineRule="auto"/>
        <w:jc w:val="both"/>
        <w:rPr>
          <w:rFonts w:cs="Arial"/>
          <w:b/>
          <w:bCs/>
          <w:sz w:val="22"/>
          <w:szCs w:val="22"/>
        </w:rPr>
      </w:pPr>
    </w:p>
    <w:p w14:paraId="5AFF0275" w14:textId="6DDAD3C5" w:rsidR="00294D85" w:rsidRPr="00C11123" w:rsidRDefault="00000000" w:rsidP="00CC6024">
      <w:pPr>
        <w:spacing w:after="0" w:line="240" w:lineRule="auto"/>
        <w:jc w:val="both"/>
        <w:rPr>
          <w:rFonts w:cs="Arial"/>
          <w:sz w:val="22"/>
          <w:szCs w:val="22"/>
        </w:rPr>
      </w:pPr>
      <w:r w:rsidRPr="00C11123">
        <w:rPr>
          <w:rFonts w:cs="Arial"/>
          <w:sz w:val="22"/>
          <w:szCs w:val="22"/>
        </w:rPr>
        <w:t xml:space="preserve">The Proposed Project will improve public health outcomes by promoting equity, enabling early diagnosis, and fostering patient trust in treatment plans. The Proposed Project will bring imaging services closer to patients who need them and help them avoid the administrative and transportation issues which follow from a splintered imaging and care programs which, in turn, will help patients develop trust in their provider and treatment plan. </w:t>
      </w:r>
    </w:p>
    <w:p w14:paraId="4B828E0C" w14:textId="77777777" w:rsidR="0098213E" w:rsidRPr="00C11123" w:rsidRDefault="0098213E" w:rsidP="00CC6024">
      <w:pPr>
        <w:spacing w:after="0" w:line="240" w:lineRule="auto"/>
        <w:jc w:val="both"/>
        <w:rPr>
          <w:rFonts w:cs="Arial"/>
          <w:sz w:val="22"/>
          <w:szCs w:val="22"/>
        </w:rPr>
      </w:pPr>
    </w:p>
    <w:p w14:paraId="2D7D7C6C" w14:textId="7CBB71B1" w:rsidR="0098213E" w:rsidRPr="00C11123" w:rsidRDefault="00000000" w:rsidP="00CC6024">
      <w:pPr>
        <w:spacing w:after="0" w:line="240" w:lineRule="auto"/>
        <w:jc w:val="both"/>
        <w:rPr>
          <w:rFonts w:cs="Arial"/>
          <w:sz w:val="22"/>
          <w:szCs w:val="22"/>
        </w:rPr>
      </w:pPr>
      <w:r w:rsidRPr="00C11123">
        <w:rPr>
          <w:rFonts w:cs="Arial"/>
          <w:sz w:val="22"/>
          <w:szCs w:val="22"/>
        </w:rPr>
        <w:t>PSMA</w:t>
      </w:r>
      <w:r w:rsidR="000C3DD7" w:rsidRPr="00C11123">
        <w:rPr>
          <w:rFonts w:cs="Arial"/>
          <w:sz w:val="22"/>
          <w:szCs w:val="22"/>
        </w:rPr>
        <w:t xml:space="preserve"> PET</w:t>
      </w:r>
      <w:r w:rsidRPr="00C11123">
        <w:rPr>
          <w:rFonts w:cs="Arial"/>
          <w:sz w:val="22"/>
          <w:szCs w:val="22"/>
        </w:rPr>
        <w:t xml:space="preserve">/CT scans, as discussed in this </w:t>
      </w:r>
      <w:r w:rsidR="000C3DD7" w:rsidRPr="00C11123">
        <w:rPr>
          <w:rFonts w:cs="Arial"/>
          <w:sz w:val="22"/>
          <w:szCs w:val="22"/>
        </w:rPr>
        <w:t>Applicant</w:t>
      </w:r>
      <w:r w:rsidRPr="00C11123">
        <w:rPr>
          <w:rFonts w:cs="Arial"/>
          <w:sz w:val="22"/>
          <w:szCs w:val="22"/>
        </w:rPr>
        <w:t xml:space="preserve">, are the gold-standard of scanning and facilitate early diagnosis, giving many patients vastly improved outcomes and easier treatment plans. Patients whose cancers may not have been detected on traditional scanning technologies will learn of their diagnosis early enough to take advantage of a broad array of treatment options, some of which may not be available later in the disease progression. </w:t>
      </w:r>
    </w:p>
    <w:p w14:paraId="43FB821E" w14:textId="77777777" w:rsidR="00294D85" w:rsidRPr="00C11123" w:rsidRDefault="00294D85" w:rsidP="00CC6024">
      <w:pPr>
        <w:spacing w:after="0" w:line="240" w:lineRule="auto"/>
        <w:jc w:val="both"/>
        <w:rPr>
          <w:rFonts w:cs="Arial"/>
          <w:sz w:val="22"/>
          <w:szCs w:val="22"/>
        </w:rPr>
      </w:pPr>
    </w:p>
    <w:p w14:paraId="31433D62" w14:textId="3E059BF7" w:rsidR="00294D85" w:rsidRPr="00C11123" w:rsidRDefault="00000000" w:rsidP="00CC6024">
      <w:pPr>
        <w:spacing w:after="0" w:line="240" w:lineRule="auto"/>
        <w:jc w:val="both"/>
        <w:rPr>
          <w:rFonts w:cs="Arial"/>
          <w:sz w:val="22"/>
          <w:szCs w:val="22"/>
        </w:rPr>
      </w:pPr>
      <w:r w:rsidRPr="00C11123">
        <w:rPr>
          <w:rFonts w:cs="Arial"/>
          <w:sz w:val="22"/>
          <w:szCs w:val="22"/>
        </w:rPr>
        <w:t xml:space="preserve">The Applicant views the Proposed Project as an important step in providing wrap-around care to its patients, building on the trust the Applicant fosters in its patient relationships every day. As discussed earlier in this </w:t>
      </w:r>
      <w:r w:rsidR="000C3DD7" w:rsidRPr="00C11123">
        <w:rPr>
          <w:rFonts w:cs="Arial"/>
          <w:sz w:val="22"/>
          <w:szCs w:val="22"/>
        </w:rPr>
        <w:t>Applicant</w:t>
      </w:r>
      <w:r w:rsidRPr="00C11123">
        <w:rPr>
          <w:rFonts w:cs="Arial"/>
          <w:sz w:val="22"/>
          <w:szCs w:val="22"/>
        </w:rPr>
        <w:t xml:space="preserve">, </w:t>
      </w:r>
      <w:r w:rsidR="000C3DD7" w:rsidRPr="00C11123">
        <w:rPr>
          <w:rFonts w:cs="Arial"/>
          <w:sz w:val="22"/>
          <w:szCs w:val="22"/>
        </w:rPr>
        <w:t xml:space="preserve">the </w:t>
      </w:r>
      <w:r w:rsidRPr="00C11123">
        <w:rPr>
          <w:rFonts w:cs="Arial"/>
          <w:sz w:val="22"/>
          <w:szCs w:val="22"/>
        </w:rPr>
        <w:t xml:space="preserve">Applicant plans to make the PET/CT unit available to all </w:t>
      </w:r>
      <w:r w:rsidR="00511F02" w:rsidRPr="00C11123">
        <w:rPr>
          <w:rFonts w:cs="Arial"/>
          <w:sz w:val="22"/>
          <w:szCs w:val="22"/>
        </w:rPr>
        <w:t xml:space="preserve">prostate cancer </w:t>
      </w:r>
      <w:r w:rsidRPr="00C11123">
        <w:rPr>
          <w:rFonts w:cs="Arial"/>
          <w:sz w:val="22"/>
          <w:szCs w:val="22"/>
        </w:rPr>
        <w:t xml:space="preserve">patients and to regularly move it between three locations, to better facilitate scheduling and simplify patient transportation. It is anticipated that this will result in faster scan times, helping patients begin their treatment plans earlier. </w:t>
      </w:r>
    </w:p>
    <w:p w14:paraId="6AB3E7AD" w14:textId="77777777" w:rsidR="0098213E" w:rsidRPr="00C11123" w:rsidRDefault="0098213E" w:rsidP="00CC6024">
      <w:pPr>
        <w:spacing w:after="0" w:line="240" w:lineRule="auto"/>
        <w:jc w:val="both"/>
        <w:rPr>
          <w:rFonts w:cs="Arial"/>
          <w:sz w:val="22"/>
          <w:szCs w:val="22"/>
        </w:rPr>
      </w:pPr>
    </w:p>
    <w:p w14:paraId="7F5CE7CD" w14:textId="5CD57ADE" w:rsidR="00294D85" w:rsidRPr="00C11123" w:rsidRDefault="00000000" w:rsidP="00CC6024">
      <w:pPr>
        <w:spacing w:after="0" w:line="240" w:lineRule="auto"/>
        <w:jc w:val="both"/>
        <w:rPr>
          <w:rFonts w:cs="Arial"/>
          <w:sz w:val="22"/>
          <w:szCs w:val="22"/>
        </w:rPr>
      </w:pPr>
      <w:r w:rsidRPr="00C11123">
        <w:rPr>
          <w:rFonts w:cs="Arial"/>
          <w:sz w:val="22"/>
          <w:szCs w:val="22"/>
        </w:rPr>
        <w:t>By providing the</w:t>
      </w:r>
      <w:r w:rsidR="007845C8" w:rsidRPr="00C11123">
        <w:rPr>
          <w:rFonts w:cs="Arial"/>
          <w:sz w:val="22"/>
          <w:szCs w:val="22"/>
        </w:rPr>
        <w:t xml:space="preserve"> PSMA</w:t>
      </w:r>
      <w:r w:rsidRPr="00C11123">
        <w:rPr>
          <w:rFonts w:cs="Arial"/>
          <w:sz w:val="22"/>
          <w:szCs w:val="22"/>
        </w:rPr>
        <w:t xml:space="preserve"> PET/CT scans in an office where patients already have a level of trust, the Applicant also hopes to promote patient trust in their treatment plan, which is an important indicator of treatment success.</w:t>
      </w:r>
      <w:r>
        <w:rPr>
          <w:rStyle w:val="FootnoteReference"/>
          <w:rFonts w:cs="Arial"/>
          <w:sz w:val="22"/>
          <w:szCs w:val="22"/>
        </w:rPr>
        <w:footnoteReference w:id="137"/>
      </w:r>
      <w:r w:rsidR="00F87E76" w:rsidRPr="00C11123">
        <w:rPr>
          <w:rFonts w:cs="Arial"/>
          <w:sz w:val="22"/>
          <w:szCs w:val="22"/>
        </w:rPr>
        <w:t xml:space="preserve"> Applicant also anticipates that its Nurse Navigators, whose roles are outlined elsewhere in this </w:t>
      </w:r>
      <w:r w:rsidR="00511F02" w:rsidRPr="00C11123">
        <w:rPr>
          <w:rFonts w:cs="Arial"/>
          <w:sz w:val="22"/>
          <w:szCs w:val="22"/>
        </w:rPr>
        <w:t>Application</w:t>
      </w:r>
      <w:r w:rsidR="00F87E76" w:rsidRPr="00C11123">
        <w:rPr>
          <w:rFonts w:cs="Arial"/>
          <w:sz w:val="22"/>
          <w:szCs w:val="22"/>
        </w:rPr>
        <w:t>, will promote this level of trust by bridging the gap between the clinicians referring to imaging and the radiologists</w:t>
      </w:r>
      <w:r w:rsidR="00BF3248" w:rsidRPr="00C11123">
        <w:rPr>
          <w:rFonts w:cs="Arial"/>
          <w:sz w:val="22"/>
          <w:szCs w:val="22"/>
        </w:rPr>
        <w:t xml:space="preserve"> s</w:t>
      </w:r>
      <w:r w:rsidR="00B97C8B" w:rsidRPr="00C11123">
        <w:rPr>
          <w:rFonts w:cs="Arial"/>
          <w:sz w:val="22"/>
          <w:szCs w:val="22"/>
        </w:rPr>
        <w:t>upporting diagnoses</w:t>
      </w:r>
      <w:r w:rsidR="00F87E76" w:rsidRPr="00C11123">
        <w:rPr>
          <w:rFonts w:cs="Arial"/>
          <w:sz w:val="22"/>
          <w:szCs w:val="22"/>
        </w:rPr>
        <w:t>.</w:t>
      </w:r>
    </w:p>
    <w:p w14:paraId="147971C4" w14:textId="77777777" w:rsidR="00F92295" w:rsidRPr="00C11123" w:rsidRDefault="00F92295" w:rsidP="00CC6024">
      <w:pPr>
        <w:spacing w:after="0" w:line="240" w:lineRule="auto"/>
        <w:ind w:left="1440" w:hanging="1440"/>
        <w:jc w:val="both"/>
        <w:rPr>
          <w:rFonts w:cs="Arial"/>
          <w:b/>
          <w:bCs/>
          <w:sz w:val="22"/>
          <w:szCs w:val="22"/>
        </w:rPr>
      </w:pPr>
    </w:p>
    <w:p w14:paraId="29997210" w14:textId="11C02C8A" w:rsidR="00EE1100" w:rsidRPr="00C11123" w:rsidRDefault="00000000" w:rsidP="006352D7">
      <w:pPr>
        <w:pStyle w:val="Heading2"/>
      </w:pPr>
      <w:r w:rsidRPr="00C11123">
        <w:t xml:space="preserve">F2.c. </w:t>
      </w:r>
      <w:r w:rsidRPr="00C11123">
        <w:tab/>
      </w:r>
      <w:r w:rsidRPr="006352D7">
        <w:rPr>
          <w:u w:val="single"/>
        </w:rPr>
        <w:t xml:space="preserve">Delivery System Transformation: </w:t>
      </w:r>
    </w:p>
    <w:p w14:paraId="7EB9A7C6" w14:textId="77777777" w:rsidR="00EE1100" w:rsidRPr="00C11123" w:rsidRDefault="00000000" w:rsidP="00CC6024">
      <w:pPr>
        <w:spacing w:after="0" w:line="240" w:lineRule="auto"/>
        <w:ind w:left="1440"/>
        <w:jc w:val="both"/>
        <w:rPr>
          <w:rFonts w:cs="Arial"/>
          <w:b/>
          <w:bCs/>
          <w:sz w:val="22"/>
          <w:szCs w:val="22"/>
        </w:rPr>
      </w:pPr>
      <w:r w:rsidRPr="00C11123">
        <w:rPr>
          <w:rFonts w:cs="Arial"/>
          <w:b/>
          <w:bCs/>
          <w:sz w:val="22"/>
          <w:szCs w:val="2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33666093" w14:textId="77777777" w:rsidR="00EE1100" w:rsidRPr="00C11123" w:rsidRDefault="00EE1100" w:rsidP="00CC6024">
      <w:pPr>
        <w:spacing w:after="0" w:line="240" w:lineRule="auto"/>
        <w:rPr>
          <w:rFonts w:cs="Arial"/>
          <w:sz w:val="22"/>
          <w:szCs w:val="22"/>
        </w:rPr>
      </w:pPr>
    </w:p>
    <w:p w14:paraId="1338967F" w14:textId="04D773CA" w:rsidR="00B13B09" w:rsidRPr="00C11123" w:rsidRDefault="00000000" w:rsidP="00CC6024">
      <w:pPr>
        <w:spacing w:after="0" w:line="240" w:lineRule="auto"/>
        <w:jc w:val="both"/>
        <w:rPr>
          <w:rFonts w:cs="Arial"/>
          <w:sz w:val="22"/>
          <w:szCs w:val="22"/>
        </w:rPr>
      </w:pPr>
      <w:r w:rsidRPr="00C11123">
        <w:rPr>
          <w:rFonts w:cs="Arial"/>
          <w:sz w:val="22"/>
          <w:szCs w:val="22"/>
        </w:rPr>
        <w:t xml:space="preserve">The Proposed Project to bring </w:t>
      </w:r>
      <w:r w:rsidR="006669AF" w:rsidRPr="00C11123">
        <w:rPr>
          <w:rFonts w:cs="Arial"/>
          <w:sz w:val="22"/>
          <w:szCs w:val="22"/>
        </w:rPr>
        <w:t xml:space="preserve">PSMA </w:t>
      </w:r>
      <w:r w:rsidRPr="00C11123">
        <w:rPr>
          <w:rFonts w:cs="Arial"/>
          <w:sz w:val="22"/>
          <w:szCs w:val="22"/>
        </w:rPr>
        <w:t xml:space="preserve">PET/CT </w:t>
      </w:r>
      <w:r w:rsidR="005C76C6" w:rsidRPr="00C11123">
        <w:rPr>
          <w:rFonts w:cs="Arial"/>
          <w:sz w:val="22"/>
          <w:szCs w:val="22"/>
        </w:rPr>
        <w:t>diagnostics</w:t>
      </w:r>
      <w:r w:rsidRPr="00C11123">
        <w:rPr>
          <w:rFonts w:cs="Arial"/>
          <w:sz w:val="22"/>
          <w:szCs w:val="22"/>
        </w:rPr>
        <w:t xml:space="preserve"> into </w:t>
      </w:r>
      <w:r w:rsidR="00CB4D1D" w:rsidRPr="00C11123">
        <w:rPr>
          <w:rFonts w:cs="Arial"/>
          <w:sz w:val="22"/>
          <w:szCs w:val="22"/>
        </w:rPr>
        <w:t>the Applicant’s</w:t>
      </w:r>
      <w:r w:rsidRPr="00C11123">
        <w:rPr>
          <w:rFonts w:cs="Arial"/>
          <w:sz w:val="22"/>
          <w:szCs w:val="22"/>
        </w:rPr>
        <w:t xml:space="preserve"> physician practice </w:t>
      </w:r>
      <w:proofErr w:type="gramStart"/>
      <w:r w:rsidR="009059AE" w:rsidRPr="00C11123">
        <w:rPr>
          <w:rFonts w:cs="Arial"/>
          <w:sz w:val="22"/>
          <w:szCs w:val="22"/>
        </w:rPr>
        <w:t>in order to</w:t>
      </w:r>
      <w:proofErr w:type="gramEnd"/>
      <w:r w:rsidR="009059AE" w:rsidRPr="00C11123">
        <w:rPr>
          <w:rFonts w:cs="Arial"/>
          <w:sz w:val="22"/>
          <w:szCs w:val="22"/>
        </w:rPr>
        <w:t xml:space="preserve"> </w:t>
      </w:r>
      <w:r w:rsidR="005C76C6" w:rsidRPr="00C11123">
        <w:rPr>
          <w:rFonts w:cs="Arial"/>
          <w:sz w:val="22"/>
          <w:szCs w:val="22"/>
        </w:rPr>
        <w:t>augment</w:t>
      </w:r>
      <w:r w:rsidRPr="00C11123">
        <w:rPr>
          <w:rFonts w:cs="Arial"/>
          <w:sz w:val="22"/>
          <w:szCs w:val="22"/>
        </w:rPr>
        <w:t xml:space="preserve"> urological</w:t>
      </w:r>
      <w:r w:rsidR="009059AE" w:rsidRPr="00C11123">
        <w:rPr>
          <w:rFonts w:cs="Arial"/>
          <w:sz w:val="22"/>
          <w:szCs w:val="22"/>
        </w:rPr>
        <w:t xml:space="preserve"> care</w:t>
      </w:r>
      <w:r w:rsidR="005C76C6" w:rsidRPr="00C11123">
        <w:rPr>
          <w:rFonts w:cs="Arial"/>
          <w:sz w:val="22"/>
          <w:szCs w:val="22"/>
        </w:rPr>
        <w:t>, represents an important and innovative</w:t>
      </w:r>
      <w:r w:rsidR="001058A5" w:rsidRPr="00C11123">
        <w:rPr>
          <w:rFonts w:cs="Arial"/>
          <w:sz w:val="22"/>
          <w:szCs w:val="22"/>
        </w:rPr>
        <w:t xml:space="preserve"> step in healthcare</w:t>
      </w:r>
      <w:r w:rsidR="005C76C6" w:rsidRPr="00C11123">
        <w:rPr>
          <w:rFonts w:cs="Arial"/>
          <w:sz w:val="22"/>
          <w:szCs w:val="22"/>
        </w:rPr>
        <w:t xml:space="preserve"> delivery system transformation. </w:t>
      </w:r>
      <w:r w:rsidRPr="00C11123">
        <w:rPr>
          <w:rFonts w:cs="Arial"/>
          <w:sz w:val="22"/>
          <w:szCs w:val="22"/>
        </w:rPr>
        <w:t>Unlike the traditional referral model where patients are sent to external providers for scan</w:t>
      </w:r>
      <w:r w:rsidR="004A7096" w:rsidRPr="00C11123">
        <w:rPr>
          <w:rFonts w:cs="Arial"/>
          <w:sz w:val="22"/>
          <w:szCs w:val="22"/>
        </w:rPr>
        <w:t>s</w:t>
      </w:r>
      <w:r w:rsidRPr="00C11123">
        <w:rPr>
          <w:rFonts w:cs="Arial"/>
          <w:sz w:val="22"/>
          <w:szCs w:val="22"/>
        </w:rPr>
        <w:t>, such as hospital</w:t>
      </w:r>
      <w:r w:rsidR="004A7096" w:rsidRPr="00C11123">
        <w:rPr>
          <w:rFonts w:cs="Arial"/>
          <w:sz w:val="22"/>
          <w:szCs w:val="22"/>
        </w:rPr>
        <w:t xml:space="preserve">s or IDTFs, the Proposed Project brings imaging directly </w:t>
      </w:r>
      <w:r w:rsidR="009059AE" w:rsidRPr="00C11123">
        <w:rPr>
          <w:rFonts w:cs="Arial"/>
          <w:sz w:val="22"/>
          <w:szCs w:val="22"/>
        </w:rPr>
        <w:t>in</w:t>
      </w:r>
      <w:r w:rsidR="004A7096" w:rsidRPr="00C11123">
        <w:rPr>
          <w:rFonts w:cs="Arial"/>
          <w:sz w:val="22"/>
          <w:szCs w:val="22"/>
        </w:rPr>
        <w:t xml:space="preserve">to the patient’s trusted provider setting. </w:t>
      </w:r>
      <w:r w:rsidR="001058A5" w:rsidRPr="00C11123">
        <w:rPr>
          <w:rFonts w:cs="Arial"/>
          <w:sz w:val="22"/>
          <w:szCs w:val="22"/>
        </w:rPr>
        <w:t xml:space="preserve">The Applicant </w:t>
      </w:r>
      <w:proofErr w:type="gramStart"/>
      <w:r w:rsidR="001058A5" w:rsidRPr="00C11123">
        <w:rPr>
          <w:rFonts w:cs="Arial"/>
          <w:sz w:val="22"/>
          <w:szCs w:val="22"/>
        </w:rPr>
        <w:t>staffs</w:t>
      </w:r>
      <w:proofErr w:type="gramEnd"/>
      <w:r w:rsidR="001058A5" w:rsidRPr="00C11123">
        <w:rPr>
          <w:rFonts w:cs="Arial"/>
          <w:sz w:val="22"/>
          <w:szCs w:val="22"/>
        </w:rPr>
        <w:t xml:space="preserve"> </w:t>
      </w:r>
      <w:proofErr w:type="gramStart"/>
      <w:r w:rsidR="001058A5" w:rsidRPr="00C11123">
        <w:rPr>
          <w:rFonts w:cs="Arial"/>
          <w:sz w:val="22"/>
          <w:szCs w:val="22"/>
        </w:rPr>
        <w:t>expert</w:t>
      </w:r>
      <w:proofErr w:type="gramEnd"/>
      <w:r w:rsidR="001058A5" w:rsidRPr="00C11123">
        <w:rPr>
          <w:rFonts w:cs="Arial"/>
          <w:sz w:val="22"/>
          <w:szCs w:val="22"/>
        </w:rPr>
        <w:t xml:space="preserve"> physicians who practice at the forefront of urology and prostate cancer care in multiple communit</w:t>
      </w:r>
      <w:r w:rsidR="009059AE" w:rsidRPr="00C11123">
        <w:rPr>
          <w:rFonts w:cs="Arial"/>
          <w:sz w:val="22"/>
          <w:szCs w:val="22"/>
        </w:rPr>
        <w:t>ies</w:t>
      </w:r>
      <w:r w:rsidR="001058A5" w:rsidRPr="00C11123">
        <w:rPr>
          <w:rFonts w:cs="Arial"/>
          <w:sz w:val="22"/>
          <w:szCs w:val="22"/>
        </w:rPr>
        <w:t xml:space="preserve"> that span a wide geographical area of the Commonwealth. The Proposed Project will enable these physicians and associated clinicians to integrate the latest cancer diagnostic technolog</w:t>
      </w:r>
      <w:r w:rsidRPr="00C11123">
        <w:rPr>
          <w:rFonts w:cs="Arial"/>
          <w:sz w:val="22"/>
          <w:szCs w:val="22"/>
        </w:rPr>
        <w:t>y</w:t>
      </w:r>
      <w:r w:rsidR="001058A5" w:rsidRPr="00C11123">
        <w:rPr>
          <w:rFonts w:cs="Arial"/>
          <w:sz w:val="22"/>
          <w:szCs w:val="22"/>
        </w:rPr>
        <w:t xml:space="preserve"> directly into its practice, thereby allowing its Patient Panel to</w:t>
      </w:r>
      <w:r w:rsidRPr="00C11123">
        <w:rPr>
          <w:rFonts w:cs="Arial"/>
          <w:sz w:val="22"/>
          <w:szCs w:val="22"/>
        </w:rPr>
        <w:t xml:space="preserve"> benefit from</w:t>
      </w:r>
      <w:r w:rsidR="00A920E6" w:rsidRPr="00C11123">
        <w:rPr>
          <w:rFonts w:cs="Arial"/>
          <w:sz w:val="22"/>
          <w:szCs w:val="22"/>
        </w:rPr>
        <w:t xml:space="preserve"> these critical imaging resources</w:t>
      </w:r>
      <w:r w:rsidRPr="00C11123">
        <w:rPr>
          <w:rFonts w:cs="Arial"/>
          <w:sz w:val="22"/>
          <w:szCs w:val="22"/>
        </w:rPr>
        <w:t xml:space="preserve"> in a timely and cost-effective manner within their local community</w:t>
      </w:r>
      <w:r w:rsidR="004A7096" w:rsidRPr="00C11123">
        <w:rPr>
          <w:rFonts w:cs="Arial"/>
          <w:sz w:val="22"/>
          <w:szCs w:val="22"/>
        </w:rPr>
        <w:t xml:space="preserve"> and within their physician office</w:t>
      </w:r>
      <w:r w:rsidR="009059AE" w:rsidRPr="00C11123">
        <w:rPr>
          <w:rFonts w:cs="Arial"/>
          <w:sz w:val="22"/>
          <w:szCs w:val="22"/>
        </w:rPr>
        <w:t xml:space="preserve">. </w:t>
      </w:r>
      <w:r w:rsidR="008F268F" w:rsidRPr="00C11123">
        <w:rPr>
          <w:rFonts w:cs="Arial"/>
          <w:sz w:val="22"/>
          <w:szCs w:val="22"/>
        </w:rPr>
        <w:t xml:space="preserve"> </w:t>
      </w:r>
      <w:r w:rsidR="009059AE" w:rsidRPr="00C11123">
        <w:rPr>
          <w:rFonts w:cs="Arial"/>
          <w:sz w:val="22"/>
          <w:szCs w:val="22"/>
        </w:rPr>
        <w:t>Accordingly, the Proposed Pr</w:t>
      </w:r>
      <w:r w:rsidR="00E763B3" w:rsidRPr="00C11123">
        <w:rPr>
          <w:rFonts w:cs="Arial"/>
          <w:sz w:val="22"/>
          <w:szCs w:val="22"/>
        </w:rPr>
        <w:t>o</w:t>
      </w:r>
      <w:r w:rsidR="009059AE" w:rsidRPr="00C11123">
        <w:rPr>
          <w:rFonts w:cs="Arial"/>
          <w:sz w:val="22"/>
          <w:szCs w:val="22"/>
        </w:rPr>
        <w:t>ject will</w:t>
      </w:r>
      <w:r w:rsidRPr="00C11123">
        <w:rPr>
          <w:rFonts w:cs="Arial"/>
          <w:sz w:val="22"/>
          <w:szCs w:val="22"/>
        </w:rPr>
        <w:t xml:space="preserve"> reduc</w:t>
      </w:r>
      <w:r w:rsidR="009059AE" w:rsidRPr="00C11123">
        <w:rPr>
          <w:rFonts w:cs="Arial"/>
          <w:sz w:val="22"/>
          <w:szCs w:val="22"/>
        </w:rPr>
        <w:t>e</w:t>
      </w:r>
      <w:r w:rsidRPr="00C11123">
        <w:rPr>
          <w:rFonts w:cs="Arial"/>
          <w:sz w:val="22"/>
          <w:szCs w:val="22"/>
        </w:rPr>
        <w:t xml:space="preserve"> barriers to access and delays in </w:t>
      </w:r>
      <w:proofErr w:type="gramStart"/>
      <w:r w:rsidRPr="00C11123">
        <w:rPr>
          <w:rFonts w:cs="Arial"/>
          <w:sz w:val="22"/>
          <w:szCs w:val="22"/>
        </w:rPr>
        <w:t>care, and</w:t>
      </w:r>
      <w:proofErr w:type="gramEnd"/>
      <w:r w:rsidRPr="00C11123">
        <w:rPr>
          <w:rFonts w:cs="Arial"/>
          <w:sz w:val="22"/>
          <w:szCs w:val="22"/>
        </w:rPr>
        <w:t xml:space="preserve"> improv</w:t>
      </w:r>
      <w:r w:rsidR="009059AE" w:rsidRPr="00C11123">
        <w:rPr>
          <w:rFonts w:cs="Arial"/>
          <w:sz w:val="22"/>
          <w:szCs w:val="22"/>
        </w:rPr>
        <w:t>e</w:t>
      </w:r>
      <w:r w:rsidRPr="00C11123">
        <w:rPr>
          <w:rFonts w:cs="Arial"/>
          <w:sz w:val="22"/>
          <w:szCs w:val="22"/>
        </w:rPr>
        <w:t xml:space="preserve"> </w:t>
      </w:r>
      <w:r w:rsidR="004A7096" w:rsidRPr="00C11123">
        <w:rPr>
          <w:rFonts w:cs="Arial"/>
          <w:sz w:val="22"/>
          <w:szCs w:val="22"/>
        </w:rPr>
        <w:t xml:space="preserve">care planning and </w:t>
      </w:r>
      <w:r w:rsidRPr="00C11123">
        <w:rPr>
          <w:rFonts w:cs="Arial"/>
          <w:sz w:val="22"/>
          <w:szCs w:val="22"/>
        </w:rPr>
        <w:t xml:space="preserve">health outcomes. </w:t>
      </w:r>
    </w:p>
    <w:p w14:paraId="2EDDA405" w14:textId="77777777" w:rsidR="00B13B09" w:rsidRPr="00C11123" w:rsidRDefault="00B13B09" w:rsidP="00CC6024">
      <w:pPr>
        <w:spacing w:after="0" w:line="240" w:lineRule="auto"/>
        <w:rPr>
          <w:rFonts w:cs="Arial"/>
          <w:sz w:val="22"/>
          <w:szCs w:val="22"/>
        </w:rPr>
      </w:pPr>
    </w:p>
    <w:p w14:paraId="0B52621B" w14:textId="27244ACF" w:rsidR="00E46A31" w:rsidRPr="00C11123" w:rsidRDefault="00000000" w:rsidP="00CC6024">
      <w:pPr>
        <w:spacing w:after="0" w:line="240" w:lineRule="auto"/>
        <w:jc w:val="both"/>
        <w:rPr>
          <w:rFonts w:cs="Arial"/>
          <w:sz w:val="22"/>
          <w:szCs w:val="22"/>
        </w:rPr>
      </w:pPr>
      <w:r w:rsidRPr="00C11123">
        <w:rPr>
          <w:rFonts w:cs="Arial"/>
          <w:sz w:val="22"/>
          <w:szCs w:val="22"/>
        </w:rPr>
        <w:t xml:space="preserve">The </w:t>
      </w:r>
      <w:r w:rsidR="00057DB3" w:rsidRPr="00C11123">
        <w:rPr>
          <w:rFonts w:cs="Arial"/>
          <w:sz w:val="22"/>
          <w:szCs w:val="22"/>
        </w:rPr>
        <w:t xml:space="preserve">Commonwealth’s Determination of Need framework is tasked with promoting population health, increased public health value, and ensuring health resources are distributed equitably.  </w:t>
      </w:r>
      <w:r w:rsidR="009059AE" w:rsidRPr="00C11123">
        <w:rPr>
          <w:rFonts w:cs="Arial"/>
          <w:sz w:val="22"/>
          <w:szCs w:val="22"/>
        </w:rPr>
        <w:t>The</w:t>
      </w:r>
      <w:r w:rsidR="009F666D" w:rsidRPr="00C11123">
        <w:rPr>
          <w:rFonts w:cs="Arial"/>
          <w:sz w:val="22"/>
          <w:szCs w:val="22"/>
        </w:rPr>
        <w:t xml:space="preserve"> </w:t>
      </w:r>
      <w:r w:rsidR="00057DB3" w:rsidRPr="00C11123">
        <w:rPr>
          <w:rFonts w:cs="Arial"/>
          <w:sz w:val="22"/>
          <w:szCs w:val="22"/>
        </w:rPr>
        <w:t>Proposed Project</w:t>
      </w:r>
      <w:r w:rsidR="009F666D" w:rsidRPr="00C11123">
        <w:rPr>
          <w:rFonts w:cs="Arial"/>
          <w:sz w:val="22"/>
          <w:szCs w:val="22"/>
        </w:rPr>
        <w:t xml:space="preserve"> </w:t>
      </w:r>
      <w:r w:rsidRPr="00C11123">
        <w:rPr>
          <w:rFonts w:cs="Arial"/>
          <w:sz w:val="22"/>
          <w:szCs w:val="22"/>
        </w:rPr>
        <w:t>will</w:t>
      </w:r>
      <w:r w:rsidR="009F666D" w:rsidRPr="00C11123">
        <w:rPr>
          <w:rFonts w:cs="Arial"/>
          <w:sz w:val="22"/>
          <w:szCs w:val="22"/>
        </w:rPr>
        <w:t xml:space="preserve"> advance clinical care while</w:t>
      </w:r>
      <w:r w:rsidRPr="00C11123">
        <w:rPr>
          <w:rFonts w:cs="Arial"/>
          <w:sz w:val="22"/>
          <w:szCs w:val="22"/>
        </w:rPr>
        <w:t xml:space="preserve"> also</w:t>
      </w:r>
      <w:r w:rsidR="009F666D" w:rsidRPr="00C11123">
        <w:rPr>
          <w:rFonts w:cs="Arial"/>
          <w:sz w:val="22"/>
          <w:szCs w:val="22"/>
        </w:rPr>
        <w:t xml:space="preserve"> addressing the broader social and community needs of the </w:t>
      </w:r>
      <w:r w:rsidR="00B70BD9" w:rsidRPr="00C11123">
        <w:rPr>
          <w:rFonts w:cs="Arial"/>
          <w:sz w:val="22"/>
          <w:szCs w:val="22"/>
        </w:rPr>
        <w:t>Applicant’s P</w:t>
      </w:r>
      <w:r w:rsidR="009F666D" w:rsidRPr="00C11123">
        <w:rPr>
          <w:rFonts w:cs="Arial"/>
          <w:sz w:val="22"/>
          <w:szCs w:val="22"/>
        </w:rPr>
        <w:t xml:space="preserve">atient </w:t>
      </w:r>
      <w:r w:rsidR="00B70BD9" w:rsidRPr="00C11123">
        <w:rPr>
          <w:rFonts w:cs="Arial"/>
          <w:sz w:val="22"/>
          <w:szCs w:val="22"/>
        </w:rPr>
        <w:t>P</w:t>
      </w:r>
      <w:r w:rsidR="009F666D" w:rsidRPr="00C11123">
        <w:rPr>
          <w:rFonts w:cs="Arial"/>
          <w:sz w:val="22"/>
          <w:szCs w:val="22"/>
        </w:rPr>
        <w:t xml:space="preserve">anel. </w:t>
      </w:r>
      <w:r w:rsidR="00057DB3" w:rsidRPr="00C11123">
        <w:rPr>
          <w:rFonts w:cs="Arial"/>
          <w:sz w:val="22"/>
          <w:szCs w:val="22"/>
        </w:rPr>
        <w:t xml:space="preserve"> </w:t>
      </w:r>
      <w:r w:rsidR="009F666D" w:rsidRPr="00C11123">
        <w:rPr>
          <w:rFonts w:cs="Arial"/>
          <w:sz w:val="22"/>
          <w:szCs w:val="22"/>
        </w:rPr>
        <w:t xml:space="preserve">The </w:t>
      </w:r>
      <w:r w:rsidR="00B70BD9" w:rsidRPr="00C11123">
        <w:rPr>
          <w:rFonts w:cs="Arial"/>
          <w:sz w:val="22"/>
          <w:szCs w:val="22"/>
        </w:rPr>
        <w:t>Applicant</w:t>
      </w:r>
      <w:r w:rsidR="009F666D" w:rsidRPr="00C11123">
        <w:rPr>
          <w:rFonts w:cs="Arial"/>
          <w:sz w:val="22"/>
          <w:szCs w:val="22"/>
        </w:rPr>
        <w:t xml:space="preserve"> serves individuals diagnosed with or at risk </w:t>
      </w:r>
      <w:proofErr w:type="gramStart"/>
      <w:r w:rsidR="009F666D" w:rsidRPr="00C11123">
        <w:rPr>
          <w:rFonts w:cs="Arial"/>
          <w:sz w:val="22"/>
          <w:szCs w:val="22"/>
        </w:rPr>
        <w:t>for</w:t>
      </w:r>
      <w:proofErr w:type="gramEnd"/>
      <w:r w:rsidR="009F666D" w:rsidRPr="00C11123">
        <w:rPr>
          <w:rFonts w:cs="Arial"/>
          <w:sz w:val="22"/>
          <w:szCs w:val="22"/>
        </w:rPr>
        <w:t xml:space="preserve"> prostate cancer</w:t>
      </w:r>
      <w:r w:rsidR="00B70BD9" w:rsidRPr="00C11123">
        <w:rPr>
          <w:rFonts w:cs="Arial"/>
          <w:sz w:val="22"/>
          <w:szCs w:val="22"/>
        </w:rPr>
        <w:t xml:space="preserve"> who stand to greatly benefit from PSMA PET/CT imaging, but who may also</w:t>
      </w:r>
      <w:r w:rsidR="009F666D" w:rsidRPr="00C11123">
        <w:rPr>
          <w:rFonts w:cs="Arial"/>
          <w:sz w:val="22"/>
          <w:szCs w:val="22"/>
        </w:rPr>
        <w:t xml:space="preserve"> face </w:t>
      </w:r>
      <w:r w:rsidR="006A71A1" w:rsidRPr="00C11123">
        <w:rPr>
          <w:rFonts w:cs="Arial"/>
          <w:sz w:val="22"/>
          <w:szCs w:val="22"/>
        </w:rPr>
        <w:t xml:space="preserve">certain life circumstances that </w:t>
      </w:r>
      <w:r w:rsidR="00057DB3" w:rsidRPr="00C11123">
        <w:rPr>
          <w:rFonts w:cs="Arial"/>
          <w:sz w:val="22"/>
          <w:szCs w:val="22"/>
        </w:rPr>
        <w:t>can adversely</w:t>
      </w:r>
      <w:r w:rsidR="006A71A1" w:rsidRPr="00C11123">
        <w:rPr>
          <w:rFonts w:cs="Arial"/>
          <w:sz w:val="22"/>
          <w:szCs w:val="22"/>
        </w:rPr>
        <w:t xml:space="preserve"> influence their health</w:t>
      </w:r>
      <w:r w:rsidR="009F666D" w:rsidRPr="00C11123">
        <w:rPr>
          <w:rFonts w:cs="Arial"/>
          <w:sz w:val="22"/>
          <w:szCs w:val="22"/>
        </w:rPr>
        <w:t>.</w:t>
      </w:r>
      <w:r>
        <w:rPr>
          <w:rStyle w:val="FootnoteReference"/>
          <w:rFonts w:cs="Arial"/>
          <w:sz w:val="22"/>
          <w:szCs w:val="22"/>
        </w:rPr>
        <w:footnoteReference w:id="138"/>
      </w:r>
      <w:r w:rsidR="009F666D" w:rsidRPr="00C11123">
        <w:rPr>
          <w:rFonts w:cs="Arial"/>
          <w:sz w:val="22"/>
          <w:szCs w:val="22"/>
        </w:rPr>
        <w:t xml:space="preserve"> </w:t>
      </w:r>
      <w:r w:rsidRPr="00C11123">
        <w:rPr>
          <w:rFonts w:cs="Arial"/>
          <w:sz w:val="22"/>
          <w:szCs w:val="22"/>
        </w:rPr>
        <w:t xml:space="preserve"> </w:t>
      </w:r>
    </w:p>
    <w:p w14:paraId="5B51EE8B" w14:textId="77777777" w:rsidR="00E46A31" w:rsidRPr="00C11123" w:rsidRDefault="00E46A31" w:rsidP="00CC6024">
      <w:pPr>
        <w:spacing w:after="0" w:line="240" w:lineRule="auto"/>
        <w:jc w:val="both"/>
        <w:rPr>
          <w:rFonts w:cs="Arial"/>
          <w:sz w:val="22"/>
          <w:szCs w:val="22"/>
        </w:rPr>
      </w:pPr>
    </w:p>
    <w:p w14:paraId="3CA2AB96" w14:textId="4DA643F2" w:rsidR="009F666D" w:rsidRPr="00C11123" w:rsidRDefault="00000000" w:rsidP="00CC6024">
      <w:pPr>
        <w:spacing w:after="0" w:line="240" w:lineRule="auto"/>
        <w:jc w:val="both"/>
        <w:rPr>
          <w:rFonts w:cs="Arial"/>
          <w:sz w:val="22"/>
          <w:szCs w:val="22"/>
        </w:rPr>
      </w:pPr>
      <w:r w:rsidRPr="00C11123">
        <w:rPr>
          <w:rFonts w:cs="Arial"/>
          <w:sz w:val="22"/>
          <w:szCs w:val="22"/>
        </w:rPr>
        <w:t xml:space="preserve">The Applicant understands that </w:t>
      </w:r>
      <w:proofErr w:type="spellStart"/>
      <w:r w:rsidR="00C31DF2" w:rsidRPr="00C11123">
        <w:rPr>
          <w:rFonts w:cs="Arial"/>
          <w:sz w:val="22"/>
          <w:szCs w:val="22"/>
        </w:rPr>
        <w:t>SDoH</w:t>
      </w:r>
      <w:proofErr w:type="spellEnd"/>
      <w:r w:rsidRPr="00C11123">
        <w:rPr>
          <w:rFonts w:cs="Arial"/>
          <w:sz w:val="22"/>
          <w:szCs w:val="22"/>
        </w:rPr>
        <w:t xml:space="preserve"> recognized by the Department of Public Health</w:t>
      </w:r>
      <w:r w:rsidR="000B5B17" w:rsidRPr="00C11123">
        <w:rPr>
          <w:rFonts w:cs="Arial"/>
          <w:sz w:val="22"/>
          <w:szCs w:val="22"/>
        </w:rPr>
        <w:t>, such as housing, geography, healthcare access, education, and employment,</w:t>
      </w:r>
      <w:r>
        <w:rPr>
          <w:rStyle w:val="FootnoteReference"/>
          <w:rFonts w:cs="Arial"/>
          <w:sz w:val="22"/>
          <w:szCs w:val="22"/>
        </w:rPr>
        <w:footnoteReference w:id="139"/>
      </w:r>
      <w:r w:rsidRPr="00C11123">
        <w:rPr>
          <w:rFonts w:cs="Arial"/>
          <w:sz w:val="22"/>
          <w:szCs w:val="22"/>
        </w:rPr>
        <w:t xml:space="preserve"> are significant factors</w:t>
      </w:r>
      <w:r w:rsidR="000B5B17" w:rsidRPr="00C11123">
        <w:rPr>
          <w:rFonts w:cs="Arial"/>
          <w:sz w:val="22"/>
          <w:szCs w:val="22"/>
        </w:rPr>
        <w:t xml:space="preserve"> </w:t>
      </w:r>
      <w:r w:rsidRPr="00C11123">
        <w:rPr>
          <w:rFonts w:cs="Arial"/>
          <w:sz w:val="22"/>
          <w:szCs w:val="22"/>
        </w:rPr>
        <w:t>in healthcare delivery in Massachusetts, as physicians across the Commonwealth routinely encounter their pervasive influence on patient health and outcomes.</w:t>
      </w:r>
      <w:r>
        <w:rPr>
          <w:rStyle w:val="FootnoteReference"/>
          <w:rFonts w:cs="Arial"/>
          <w:sz w:val="22"/>
          <w:szCs w:val="22"/>
        </w:rPr>
        <w:footnoteReference w:id="140"/>
      </w:r>
      <w:r w:rsidRPr="00C11123">
        <w:rPr>
          <w:rFonts w:cs="Arial"/>
          <w:sz w:val="22"/>
          <w:szCs w:val="22"/>
        </w:rPr>
        <w:t xml:space="preserve"> Consequently, it is of critical importance to bring advanced </w:t>
      </w:r>
      <w:r w:rsidR="006669AF" w:rsidRPr="00C11123">
        <w:rPr>
          <w:rFonts w:cs="Arial"/>
          <w:sz w:val="22"/>
          <w:szCs w:val="22"/>
        </w:rPr>
        <w:t xml:space="preserve">PSMA </w:t>
      </w:r>
      <w:r w:rsidRPr="00C11123">
        <w:rPr>
          <w:rFonts w:cs="Arial"/>
          <w:sz w:val="22"/>
          <w:szCs w:val="22"/>
        </w:rPr>
        <w:t xml:space="preserve">PET/CT imaging into local community settings—placing these vital diagnostic tools as close to patients as possible and in the most convenient manner—to reduce the adverse effects stemming from </w:t>
      </w:r>
      <w:proofErr w:type="spellStart"/>
      <w:r w:rsidRPr="00C11123">
        <w:rPr>
          <w:rFonts w:cs="Arial"/>
          <w:sz w:val="22"/>
          <w:szCs w:val="22"/>
        </w:rPr>
        <w:t>SD</w:t>
      </w:r>
      <w:r w:rsidR="000B5B17" w:rsidRPr="00C11123">
        <w:rPr>
          <w:rFonts w:cs="Arial"/>
          <w:sz w:val="22"/>
          <w:szCs w:val="22"/>
        </w:rPr>
        <w:t>o</w:t>
      </w:r>
      <w:r w:rsidRPr="00C11123">
        <w:rPr>
          <w:rFonts w:cs="Arial"/>
          <w:sz w:val="22"/>
          <w:szCs w:val="22"/>
        </w:rPr>
        <w:t>H</w:t>
      </w:r>
      <w:proofErr w:type="spellEnd"/>
      <w:r w:rsidRPr="00C11123">
        <w:rPr>
          <w:rFonts w:cs="Arial"/>
          <w:sz w:val="22"/>
          <w:szCs w:val="22"/>
        </w:rPr>
        <w:t xml:space="preserve"> and ensure equitable care. Therefore, the Applicant sees the Proposed Project as essential and not optional for equalizing healthcare access to potentially life-saving</w:t>
      </w:r>
      <w:r w:rsidR="007845C8" w:rsidRPr="00C11123">
        <w:rPr>
          <w:rFonts w:cs="Arial"/>
          <w:sz w:val="22"/>
          <w:szCs w:val="22"/>
        </w:rPr>
        <w:t xml:space="preserve"> PSMA</w:t>
      </w:r>
      <w:r w:rsidRPr="00C11123">
        <w:rPr>
          <w:rFonts w:cs="Arial"/>
          <w:sz w:val="22"/>
          <w:szCs w:val="22"/>
        </w:rPr>
        <w:t xml:space="preserve"> PET/CT and better clinical outcomes in cancer care.</w:t>
      </w:r>
      <w:r w:rsidR="000B5B17" w:rsidRPr="00C11123">
        <w:rPr>
          <w:rFonts w:cs="Arial"/>
          <w:sz w:val="22"/>
          <w:szCs w:val="22"/>
        </w:rPr>
        <w:t xml:space="preserve">  </w:t>
      </w:r>
      <w:r w:rsidRPr="00C11123">
        <w:rPr>
          <w:rFonts w:cs="Arial"/>
          <w:sz w:val="22"/>
          <w:szCs w:val="22"/>
        </w:rPr>
        <w:t xml:space="preserve">To ensure </w:t>
      </w:r>
      <w:r w:rsidR="00F54403" w:rsidRPr="00C11123">
        <w:rPr>
          <w:rFonts w:cs="Arial"/>
          <w:sz w:val="22"/>
          <w:szCs w:val="22"/>
        </w:rPr>
        <w:t>that</w:t>
      </w:r>
      <w:r w:rsidR="000216A8" w:rsidRPr="00C11123">
        <w:rPr>
          <w:rFonts w:cs="Arial"/>
          <w:sz w:val="22"/>
          <w:szCs w:val="22"/>
        </w:rPr>
        <w:t xml:space="preserve"> </w:t>
      </w:r>
      <w:r w:rsidR="00F54403" w:rsidRPr="00C11123">
        <w:rPr>
          <w:rFonts w:cs="Arial"/>
          <w:sz w:val="22"/>
          <w:szCs w:val="22"/>
        </w:rPr>
        <w:t xml:space="preserve">such patients’ circumstances and needs </w:t>
      </w:r>
      <w:r w:rsidRPr="00C11123">
        <w:rPr>
          <w:rFonts w:cs="Arial"/>
          <w:sz w:val="22"/>
          <w:szCs w:val="22"/>
        </w:rPr>
        <w:t xml:space="preserve">are understood and addressed, the </w:t>
      </w:r>
      <w:r w:rsidR="00B70BD9" w:rsidRPr="00C11123">
        <w:rPr>
          <w:rFonts w:cs="Arial"/>
          <w:sz w:val="22"/>
          <w:szCs w:val="22"/>
        </w:rPr>
        <w:t xml:space="preserve">Applicant </w:t>
      </w:r>
      <w:r w:rsidR="00C27BD6" w:rsidRPr="00C11123">
        <w:rPr>
          <w:rFonts w:cs="Arial"/>
          <w:sz w:val="22"/>
          <w:szCs w:val="22"/>
        </w:rPr>
        <w:t xml:space="preserve">will </w:t>
      </w:r>
      <w:r w:rsidRPr="00C11123">
        <w:rPr>
          <w:rFonts w:cs="Arial"/>
          <w:sz w:val="22"/>
          <w:szCs w:val="22"/>
        </w:rPr>
        <w:t xml:space="preserve">conduct comprehensive screenings that incorporate </w:t>
      </w:r>
      <w:proofErr w:type="spellStart"/>
      <w:r w:rsidR="000B5B17" w:rsidRPr="00C11123">
        <w:rPr>
          <w:rFonts w:cs="Arial"/>
          <w:sz w:val="22"/>
          <w:szCs w:val="22"/>
        </w:rPr>
        <w:t>SDoH</w:t>
      </w:r>
      <w:proofErr w:type="spellEnd"/>
      <w:r w:rsidR="000B5B17" w:rsidRPr="00C11123">
        <w:rPr>
          <w:rFonts w:cs="Arial"/>
          <w:sz w:val="22"/>
          <w:szCs w:val="22"/>
        </w:rPr>
        <w:t xml:space="preserve">.  </w:t>
      </w:r>
      <w:r w:rsidR="00224914" w:rsidRPr="00C11123">
        <w:rPr>
          <w:rFonts w:cs="Arial"/>
          <w:sz w:val="22"/>
          <w:szCs w:val="22"/>
        </w:rPr>
        <w:t xml:space="preserve">These assessments will be integrated into care planning, enabling the Applicant to identify patients who require additional support beyond clinical treatment and related </w:t>
      </w:r>
      <w:r w:rsidR="007845C8" w:rsidRPr="00C11123">
        <w:rPr>
          <w:rFonts w:cs="Arial"/>
          <w:sz w:val="22"/>
          <w:szCs w:val="22"/>
        </w:rPr>
        <w:t xml:space="preserve">PSMA </w:t>
      </w:r>
      <w:r w:rsidR="000E3A8C" w:rsidRPr="00C11123">
        <w:rPr>
          <w:rFonts w:cs="Arial"/>
          <w:sz w:val="22"/>
          <w:szCs w:val="22"/>
        </w:rPr>
        <w:t>PET/CT imaging</w:t>
      </w:r>
      <w:r w:rsidR="00224914" w:rsidRPr="00C11123">
        <w:rPr>
          <w:rFonts w:cs="Arial"/>
          <w:sz w:val="22"/>
          <w:szCs w:val="22"/>
        </w:rPr>
        <w:t xml:space="preserve">. </w:t>
      </w:r>
    </w:p>
    <w:p w14:paraId="37D4F186" w14:textId="77777777" w:rsidR="00224914" w:rsidRPr="00C11123" w:rsidRDefault="00224914" w:rsidP="00CC6024">
      <w:pPr>
        <w:spacing w:after="0" w:line="240" w:lineRule="auto"/>
        <w:jc w:val="both"/>
        <w:rPr>
          <w:rFonts w:cs="Arial"/>
          <w:sz w:val="22"/>
          <w:szCs w:val="22"/>
        </w:rPr>
      </w:pPr>
    </w:p>
    <w:p w14:paraId="479D6B9D" w14:textId="096FC029" w:rsidR="009F666D" w:rsidRPr="00C11123" w:rsidRDefault="00000000" w:rsidP="00CC6024">
      <w:pPr>
        <w:spacing w:after="0" w:line="240" w:lineRule="auto"/>
        <w:jc w:val="both"/>
        <w:rPr>
          <w:rFonts w:cs="Arial"/>
          <w:sz w:val="22"/>
          <w:szCs w:val="22"/>
        </w:rPr>
      </w:pPr>
      <w:r w:rsidRPr="00C11123">
        <w:rPr>
          <w:rFonts w:cs="Arial"/>
          <w:sz w:val="22"/>
          <w:szCs w:val="22"/>
        </w:rPr>
        <w:t xml:space="preserve">As earlier discussed in this Application, an important component of the Proposed Project and successful integration of </w:t>
      </w:r>
      <w:r w:rsidR="007845C8" w:rsidRPr="00C11123">
        <w:rPr>
          <w:rFonts w:cs="Arial"/>
          <w:sz w:val="22"/>
          <w:szCs w:val="22"/>
        </w:rPr>
        <w:t xml:space="preserve">PSMA </w:t>
      </w:r>
      <w:r w:rsidRPr="00C11123">
        <w:rPr>
          <w:rFonts w:cs="Arial"/>
          <w:sz w:val="22"/>
          <w:szCs w:val="22"/>
        </w:rPr>
        <w:t>PET/CT imaging is the Applicant’s Nurse Navigator.</w:t>
      </w:r>
      <w:r w:rsidR="00486B60" w:rsidRPr="00C11123">
        <w:rPr>
          <w:rFonts w:cs="Arial"/>
          <w:sz w:val="22"/>
          <w:szCs w:val="22"/>
        </w:rPr>
        <w:t xml:space="preserve">  </w:t>
      </w:r>
      <w:r w:rsidR="00CA7A12" w:rsidRPr="00C11123">
        <w:rPr>
          <w:rFonts w:cs="Arial"/>
          <w:sz w:val="22"/>
          <w:szCs w:val="22"/>
        </w:rPr>
        <w:t>T</w:t>
      </w:r>
      <w:r w:rsidRPr="00C11123">
        <w:rPr>
          <w:rFonts w:cs="Arial"/>
          <w:sz w:val="22"/>
          <w:szCs w:val="22"/>
        </w:rPr>
        <w:t>he Nurse Navigator serves as</w:t>
      </w:r>
      <w:r w:rsidR="00CA7A12" w:rsidRPr="00C11123">
        <w:rPr>
          <w:rFonts w:cs="Arial"/>
          <w:sz w:val="22"/>
          <w:szCs w:val="22"/>
        </w:rPr>
        <w:t xml:space="preserve"> a </w:t>
      </w:r>
      <w:r w:rsidRPr="00C11123">
        <w:rPr>
          <w:rFonts w:cs="Arial"/>
          <w:sz w:val="22"/>
          <w:szCs w:val="22"/>
        </w:rPr>
        <w:t>primary point of contact for patients and families</w:t>
      </w:r>
      <w:r w:rsidR="00CA7A12" w:rsidRPr="00C11123">
        <w:rPr>
          <w:rFonts w:cs="Arial"/>
          <w:sz w:val="22"/>
          <w:szCs w:val="22"/>
        </w:rPr>
        <w:t xml:space="preserve"> to facilitate </w:t>
      </w:r>
      <w:r w:rsidRPr="00C11123">
        <w:rPr>
          <w:rFonts w:cs="Arial"/>
          <w:sz w:val="22"/>
          <w:szCs w:val="22"/>
        </w:rPr>
        <w:t xml:space="preserve">timely, coordinated, and patient-centered care. </w:t>
      </w:r>
    </w:p>
    <w:p w14:paraId="7C1F074B" w14:textId="77777777" w:rsidR="00E612AE" w:rsidRPr="00C11123" w:rsidRDefault="00E612AE" w:rsidP="00CC6024">
      <w:pPr>
        <w:spacing w:after="0" w:line="240" w:lineRule="auto"/>
        <w:jc w:val="both"/>
        <w:rPr>
          <w:rFonts w:cs="Arial"/>
          <w:sz w:val="22"/>
          <w:szCs w:val="22"/>
          <w:highlight w:val="cyan"/>
        </w:rPr>
      </w:pPr>
    </w:p>
    <w:p w14:paraId="7D3642DE" w14:textId="4B900686" w:rsidR="009F666D" w:rsidRPr="00C11123" w:rsidRDefault="00000000" w:rsidP="00CC6024">
      <w:pPr>
        <w:spacing w:after="0" w:line="240" w:lineRule="auto"/>
        <w:jc w:val="both"/>
        <w:rPr>
          <w:rFonts w:cs="Arial"/>
          <w:sz w:val="22"/>
          <w:szCs w:val="22"/>
          <w:highlight w:val="cyan"/>
        </w:rPr>
      </w:pPr>
      <w:r w:rsidRPr="00C11123">
        <w:rPr>
          <w:rFonts w:cs="Arial"/>
          <w:sz w:val="22"/>
          <w:szCs w:val="22"/>
        </w:rPr>
        <w:t xml:space="preserve">In addition to clinical coordination, the Nurse Navigator actively addresses </w:t>
      </w:r>
      <w:proofErr w:type="spellStart"/>
      <w:r w:rsidR="000216A8" w:rsidRPr="00C11123">
        <w:rPr>
          <w:rFonts w:cs="Arial"/>
          <w:sz w:val="22"/>
          <w:szCs w:val="22"/>
        </w:rPr>
        <w:t>SD</w:t>
      </w:r>
      <w:r w:rsidRPr="00C11123">
        <w:rPr>
          <w:rFonts w:cs="Arial"/>
          <w:sz w:val="22"/>
          <w:szCs w:val="22"/>
        </w:rPr>
        <w:t>oH</w:t>
      </w:r>
      <w:proofErr w:type="spellEnd"/>
      <w:r w:rsidRPr="00C11123">
        <w:rPr>
          <w:rFonts w:cs="Arial"/>
          <w:sz w:val="22"/>
          <w:szCs w:val="22"/>
        </w:rPr>
        <w:t xml:space="preserve"> by identifying patients at risk for care gaps and intervening early to resolve healthcare barriers. The Nurse Navigator facilitates connections with community-based organizations and social service agencies, including programs assisting with transportation, insurance, financial counseling, and patient advocacy. </w:t>
      </w:r>
      <w:r w:rsidR="00766062" w:rsidRPr="00C11123">
        <w:rPr>
          <w:rFonts w:cs="Arial"/>
          <w:sz w:val="22"/>
          <w:szCs w:val="22"/>
        </w:rPr>
        <w:t>The Nurse Navigator’s work in social service and care planning helps</w:t>
      </w:r>
      <w:r w:rsidRPr="00C11123">
        <w:rPr>
          <w:rFonts w:cs="Arial"/>
          <w:sz w:val="22"/>
          <w:szCs w:val="22"/>
        </w:rPr>
        <w:t xml:space="preserve"> patients receive holistic support, improving health equity and reducing disparities in access urology care and, with the Proposed Project, advanced and life-saving</w:t>
      </w:r>
      <w:r w:rsidR="007845C8" w:rsidRPr="00C11123">
        <w:rPr>
          <w:rFonts w:cs="Arial"/>
          <w:sz w:val="22"/>
          <w:szCs w:val="22"/>
        </w:rPr>
        <w:t xml:space="preserve"> PSMA</w:t>
      </w:r>
      <w:r w:rsidRPr="00C11123">
        <w:rPr>
          <w:rFonts w:cs="Arial"/>
          <w:sz w:val="22"/>
          <w:szCs w:val="22"/>
        </w:rPr>
        <w:t xml:space="preserve"> PET/CT imaging.</w:t>
      </w:r>
    </w:p>
    <w:p w14:paraId="2F10DBB4" w14:textId="77777777" w:rsidR="009F666D" w:rsidRPr="00C11123" w:rsidRDefault="009F666D" w:rsidP="00CC6024">
      <w:pPr>
        <w:spacing w:after="0" w:line="240" w:lineRule="auto"/>
        <w:jc w:val="both"/>
        <w:rPr>
          <w:rFonts w:cs="Arial"/>
          <w:sz w:val="22"/>
          <w:szCs w:val="22"/>
          <w:highlight w:val="cyan"/>
        </w:rPr>
      </w:pPr>
    </w:p>
    <w:p w14:paraId="25B040E0" w14:textId="6B670237" w:rsidR="009F666D" w:rsidRPr="00C11123" w:rsidRDefault="00000000" w:rsidP="00CC6024">
      <w:pPr>
        <w:spacing w:after="0" w:line="240" w:lineRule="auto"/>
        <w:jc w:val="both"/>
        <w:rPr>
          <w:rFonts w:cs="Arial"/>
          <w:sz w:val="22"/>
          <w:szCs w:val="22"/>
        </w:rPr>
      </w:pPr>
      <w:r w:rsidRPr="00C11123">
        <w:rPr>
          <w:rFonts w:cs="Arial"/>
          <w:sz w:val="22"/>
          <w:szCs w:val="22"/>
        </w:rPr>
        <w:t xml:space="preserve">By </w:t>
      </w:r>
      <w:r w:rsidR="00CA7A12" w:rsidRPr="00C11123">
        <w:rPr>
          <w:rFonts w:cs="Arial"/>
          <w:sz w:val="22"/>
          <w:szCs w:val="22"/>
        </w:rPr>
        <w:t>including the</w:t>
      </w:r>
      <w:r w:rsidRPr="00C11123">
        <w:rPr>
          <w:rFonts w:cs="Arial"/>
          <w:sz w:val="22"/>
          <w:szCs w:val="22"/>
        </w:rPr>
        <w:t xml:space="preserve"> Nurse Navigator</w:t>
      </w:r>
      <w:r w:rsidR="00CA7A12" w:rsidRPr="00C11123">
        <w:rPr>
          <w:rFonts w:cs="Arial"/>
          <w:sz w:val="22"/>
          <w:szCs w:val="22"/>
        </w:rPr>
        <w:t xml:space="preserve"> in goals of the Proposed Project for cancer</w:t>
      </w:r>
      <w:r w:rsidR="00766062" w:rsidRPr="00C11123">
        <w:rPr>
          <w:rFonts w:cs="Arial"/>
          <w:sz w:val="22"/>
          <w:szCs w:val="22"/>
        </w:rPr>
        <w:t xml:space="preserve"> care</w:t>
      </w:r>
      <w:r w:rsidR="00C0001C" w:rsidRPr="00C11123">
        <w:rPr>
          <w:rFonts w:cs="Arial"/>
          <w:sz w:val="22"/>
          <w:szCs w:val="22"/>
        </w:rPr>
        <w:t xml:space="preserve"> and imaging</w:t>
      </w:r>
      <w:r w:rsidRPr="00C11123">
        <w:rPr>
          <w:rFonts w:cs="Arial"/>
          <w:sz w:val="22"/>
          <w:szCs w:val="22"/>
        </w:rPr>
        <w:t xml:space="preserve">, the </w:t>
      </w:r>
      <w:r w:rsidR="00C0001C" w:rsidRPr="00C11123">
        <w:rPr>
          <w:rFonts w:cs="Arial"/>
          <w:sz w:val="22"/>
          <w:szCs w:val="22"/>
        </w:rPr>
        <w:t>Applicant will be able</w:t>
      </w:r>
      <w:r w:rsidRPr="00C11123">
        <w:rPr>
          <w:rFonts w:cs="Arial"/>
          <w:sz w:val="22"/>
          <w:szCs w:val="22"/>
        </w:rPr>
        <w:t xml:space="preserve"> </w:t>
      </w:r>
      <w:r w:rsidR="00C0001C" w:rsidRPr="00C11123">
        <w:rPr>
          <w:rFonts w:cs="Arial"/>
          <w:sz w:val="22"/>
          <w:szCs w:val="22"/>
        </w:rPr>
        <w:t xml:space="preserve">to offer </w:t>
      </w:r>
      <w:r w:rsidRPr="00C11123">
        <w:rPr>
          <w:rFonts w:cs="Arial"/>
          <w:sz w:val="22"/>
          <w:szCs w:val="22"/>
        </w:rPr>
        <w:t xml:space="preserve">a model of care where medical and social needs are addressed in tandem. This approach aligns with the </w:t>
      </w:r>
      <w:r w:rsidR="00D234C9" w:rsidRPr="00C11123">
        <w:rPr>
          <w:rFonts w:cs="Arial"/>
          <w:sz w:val="22"/>
          <w:szCs w:val="22"/>
        </w:rPr>
        <w:t xml:space="preserve">Commonwealth’s </w:t>
      </w:r>
      <w:r w:rsidRPr="00C11123">
        <w:rPr>
          <w:rFonts w:cs="Arial"/>
          <w:sz w:val="22"/>
          <w:szCs w:val="22"/>
        </w:rPr>
        <w:t>goals for delivery system transformation by promoting innovation, improving efficiency, and enhancing patient outcomes while reducing unnecessary costs.</w:t>
      </w:r>
    </w:p>
    <w:p w14:paraId="1617196E" w14:textId="77777777" w:rsidR="005A466A" w:rsidRDefault="005A466A" w:rsidP="00CC6024">
      <w:pPr>
        <w:spacing w:after="0" w:line="240" w:lineRule="auto"/>
        <w:jc w:val="both"/>
        <w:rPr>
          <w:rFonts w:cs="Arial"/>
          <w:sz w:val="22"/>
          <w:szCs w:val="22"/>
        </w:rPr>
      </w:pPr>
    </w:p>
    <w:p w14:paraId="65B5568D" w14:textId="77777777" w:rsidR="005A466A" w:rsidRPr="00C11123" w:rsidRDefault="005A466A" w:rsidP="00CC6024">
      <w:pPr>
        <w:spacing w:after="0" w:line="240" w:lineRule="auto"/>
        <w:jc w:val="both"/>
        <w:rPr>
          <w:rFonts w:cs="Arial"/>
          <w:sz w:val="22"/>
          <w:szCs w:val="22"/>
        </w:rPr>
      </w:pPr>
    </w:p>
    <w:p w14:paraId="5D551B1F" w14:textId="5340122E" w:rsidR="00EE1100" w:rsidRPr="00C11123" w:rsidRDefault="00000000" w:rsidP="006352D7">
      <w:pPr>
        <w:pStyle w:val="Heading2"/>
      </w:pPr>
      <w:r w:rsidRPr="00C11123">
        <w:t>Factor 5</w:t>
      </w:r>
      <w:r w:rsidR="009B42EA" w:rsidRPr="00C11123">
        <w:t>:</w:t>
      </w:r>
      <w:r w:rsidR="009B42EA" w:rsidRPr="00C11123">
        <w:tab/>
      </w:r>
      <w:r w:rsidR="009B42EA" w:rsidRPr="006352D7">
        <w:rPr>
          <w:u w:val="single"/>
        </w:rPr>
        <w:t>Relative Merit</w:t>
      </w:r>
    </w:p>
    <w:p w14:paraId="482CAA81" w14:textId="77777777" w:rsidR="00EE1100" w:rsidRPr="00C11123" w:rsidRDefault="00EE1100" w:rsidP="00CC6024">
      <w:pPr>
        <w:spacing w:after="0" w:line="240" w:lineRule="auto"/>
        <w:jc w:val="both"/>
        <w:rPr>
          <w:rFonts w:cs="Arial"/>
          <w:b/>
          <w:bCs/>
          <w:sz w:val="22"/>
          <w:szCs w:val="22"/>
          <w:u w:val="single"/>
        </w:rPr>
      </w:pPr>
    </w:p>
    <w:p w14:paraId="4B49EF2C" w14:textId="5881B764" w:rsidR="008E017B" w:rsidRPr="00C11123" w:rsidRDefault="00000000" w:rsidP="006352D7">
      <w:pPr>
        <w:pStyle w:val="Heading2"/>
        <w:rPr>
          <w:u w:val="single"/>
        </w:rPr>
      </w:pPr>
      <w:r w:rsidRPr="00C11123">
        <w:t xml:space="preserve">F5.a.i </w:t>
      </w:r>
      <w:r w:rsidRPr="00C11123">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C11123">
        <w:t>take into account</w:t>
      </w:r>
      <w:proofErr w:type="gramEnd"/>
      <w:r w:rsidRPr="00C11123">
        <w:t>, at a minimum, the quality, efficiency, and capital and operating costs of the Proposed Project relative to potential alternatives or substitutes, including alternative evidence-based strategies and public health interventions.</w:t>
      </w:r>
    </w:p>
    <w:p w14:paraId="4424BD85" w14:textId="77777777" w:rsidR="00BF3248" w:rsidRPr="00C11123" w:rsidRDefault="00BF3248">
      <w:pPr>
        <w:spacing w:after="0" w:line="240" w:lineRule="auto"/>
        <w:jc w:val="both"/>
        <w:rPr>
          <w:rFonts w:cs="Arial"/>
          <w:b/>
          <w:bCs/>
          <w:sz w:val="22"/>
          <w:szCs w:val="22"/>
          <w:u w:val="single"/>
        </w:rPr>
      </w:pPr>
    </w:p>
    <w:p w14:paraId="6E693F93" w14:textId="4AF8C184" w:rsidR="008E017B" w:rsidRPr="00CA5454" w:rsidRDefault="00000000" w:rsidP="00CA5454">
      <w:pPr>
        <w:pStyle w:val="Heading2"/>
        <w:rPr>
          <w:u w:val="single"/>
        </w:rPr>
      </w:pPr>
      <w:r w:rsidRPr="00CA5454">
        <w:rPr>
          <w:u w:val="single"/>
        </w:rPr>
        <w:t>Current Project</w:t>
      </w:r>
    </w:p>
    <w:p w14:paraId="251DAFA2" w14:textId="77777777" w:rsidR="00BF3248" w:rsidRPr="00C11123" w:rsidRDefault="00BF3248" w:rsidP="00D70747">
      <w:pPr>
        <w:spacing w:after="0" w:line="240" w:lineRule="auto"/>
        <w:jc w:val="both"/>
        <w:rPr>
          <w:rFonts w:cs="Arial"/>
          <w:b/>
          <w:bCs/>
          <w:sz w:val="22"/>
          <w:szCs w:val="22"/>
          <w:u w:val="single"/>
        </w:rPr>
      </w:pPr>
    </w:p>
    <w:p w14:paraId="56B8ED60" w14:textId="77777777" w:rsidR="008E017B" w:rsidRPr="00CA5454" w:rsidRDefault="00000000" w:rsidP="00CA5454">
      <w:pPr>
        <w:pStyle w:val="Heading3"/>
        <w:numPr>
          <w:ilvl w:val="0"/>
          <w:numId w:val="43"/>
        </w:numPr>
        <w:ind w:left="360"/>
        <w:rPr>
          <w:b/>
          <w:bCs/>
        </w:rPr>
      </w:pPr>
      <w:r w:rsidRPr="00CA5454">
        <w:rPr>
          <w:b/>
          <w:bCs/>
        </w:rPr>
        <w:t>Proposal</w:t>
      </w:r>
    </w:p>
    <w:p w14:paraId="0F776933" w14:textId="658A7304" w:rsidR="008E017B" w:rsidRPr="00C11123" w:rsidRDefault="00000000">
      <w:pPr>
        <w:pStyle w:val="ListParagraph"/>
        <w:spacing w:after="0" w:line="240" w:lineRule="auto"/>
        <w:ind w:left="360"/>
        <w:jc w:val="both"/>
        <w:rPr>
          <w:rFonts w:cs="Arial"/>
          <w:bCs/>
          <w:kern w:val="0"/>
          <w:sz w:val="22"/>
          <w:szCs w:val="22"/>
          <w14:ligatures w14:val="none"/>
        </w:rPr>
      </w:pPr>
      <w:r w:rsidRPr="00C11123">
        <w:rPr>
          <w:rFonts w:cs="Arial"/>
          <w:bCs/>
          <w:kern w:val="0"/>
          <w:sz w:val="22"/>
          <w:szCs w:val="22"/>
          <w14:ligatures w14:val="none"/>
        </w:rPr>
        <w:t xml:space="preserve">The Applicant seeks to offer </w:t>
      </w:r>
      <w:r w:rsidR="002670C6" w:rsidRPr="00C11123">
        <w:rPr>
          <w:rFonts w:cs="Arial"/>
          <w:bCs/>
          <w:kern w:val="0"/>
          <w:sz w:val="22"/>
          <w:szCs w:val="22"/>
          <w14:ligatures w14:val="none"/>
        </w:rPr>
        <w:t xml:space="preserve">PSMA </w:t>
      </w:r>
      <w:r w:rsidRPr="00C11123">
        <w:rPr>
          <w:rFonts w:cs="Arial"/>
          <w:bCs/>
          <w:kern w:val="0"/>
          <w:sz w:val="22"/>
          <w:szCs w:val="22"/>
          <w14:ligatures w14:val="none"/>
        </w:rPr>
        <w:t xml:space="preserve">PET/CT diagnostic imaging within its urology physician practice for the detection, staging, treatment, and care planning of prostate cancer.  The Proposed Project involves a mobile PET/CT unit that will provide the imaging at three (3) of the Applicant’s physician office locations in Massachusetts – Framingham, Dedham, and Plymouth.  </w:t>
      </w:r>
      <w:r w:rsidR="002670C6" w:rsidRPr="00C11123">
        <w:rPr>
          <w:rFonts w:cs="Arial"/>
          <w:bCs/>
          <w:kern w:val="0"/>
          <w:sz w:val="22"/>
          <w:szCs w:val="22"/>
          <w14:ligatures w14:val="none"/>
        </w:rPr>
        <w:t>As set forth throughout this application, p</w:t>
      </w:r>
      <w:r w:rsidRPr="00C11123">
        <w:rPr>
          <w:rFonts w:cs="Arial"/>
          <w:bCs/>
          <w:kern w:val="0"/>
          <w:sz w:val="22"/>
          <w:szCs w:val="22"/>
          <w14:ligatures w14:val="none"/>
        </w:rPr>
        <w:t xml:space="preserve">rostate cancer is one of the most prevalent cancers in the United States and a </w:t>
      </w:r>
      <w:r w:rsidR="002670C6" w:rsidRPr="00C11123">
        <w:rPr>
          <w:rFonts w:cs="Arial"/>
          <w:bCs/>
          <w:kern w:val="0"/>
          <w:sz w:val="22"/>
          <w:szCs w:val="22"/>
          <w14:ligatures w14:val="none"/>
        </w:rPr>
        <w:t xml:space="preserve">substantial </w:t>
      </w:r>
      <w:r w:rsidRPr="00C11123">
        <w:rPr>
          <w:rFonts w:cs="Arial"/>
          <w:bCs/>
          <w:kern w:val="0"/>
          <w:sz w:val="22"/>
          <w:szCs w:val="22"/>
          <w14:ligatures w14:val="none"/>
        </w:rPr>
        <w:t xml:space="preserve">proportion of the Applicant’s Patient Panel comprises individuals with prostate cancer risk factors or </w:t>
      </w:r>
      <w:r w:rsidR="002670C6" w:rsidRPr="00C11123">
        <w:rPr>
          <w:rFonts w:cs="Arial"/>
          <w:bCs/>
          <w:kern w:val="0"/>
          <w:sz w:val="22"/>
          <w:szCs w:val="22"/>
          <w14:ligatures w14:val="none"/>
        </w:rPr>
        <w:t>diagnoses</w:t>
      </w:r>
      <w:r w:rsidRPr="00C11123">
        <w:rPr>
          <w:rFonts w:cs="Arial"/>
          <w:bCs/>
          <w:kern w:val="0"/>
          <w:sz w:val="22"/>
          <w:szCs w:val="22"/>
          <w14:ligatures w14:val="none"/>
        </w:rPr>
        <w:t xml:space="preserve">. Accordingly, the Proposed Project would address the need for access to this advanced </w:t>
      </w:r>
      <w:r w:rsidR="007845C8" w:rsidRPr="00C11123">
        <w:rPr>
          <w:rFonts w:cs="Arial"/>
          <w:bCs/>
          <w:kern w:val="0"/>
          <w:sz w:val="22"/>
          <w:szCs w:val="22"/>
          <w14:ligatures w14:val="none"/>
        </w:rPr>
        <w:t xml:space="preserve">PSMA </w:t>
      </w:r>
      <w:r w:rsidRPr="00C11123">
        <w:rPr>
          <w:rFonts w:cs="Arial"/>
          <w:bCs/>
          <w:kern w:val="0"/>
          <w:sz w:val="22"/>
          <w:szCs w:val="22"/>
          <w14:ligatures w14:val="none"/>
        </w:rPr>
        <w:t>PET/CT diagnostic imaging modality and facilitate this imaging in a more accessible and cost</w:t>
      </w:r>
      <w:r w:rsidRPr="00C11123">
        <w:rPr>
          <w:rFonts w:cs="Arial"/>
          <w:bCs/>
          <w:kern w:val="0"/>
          <w:sz w:val="22"/>
          <w:szCs w:val="22"/>
          <w14:ligatures w14:val="none"/>
        </w:rPr>
        <w:noBreakHyphen/>
        <w:t xml:space="preserve">effective setting. Providing </w:t>
      </w:r>
      <w:r w:rsidR="002670C6" w:rsidRPr="00C11123">
        <w:rPr>
          <w:rFonts w:cs="Arial"/>
          <w:bCs/>
          <w:kern w:val="0"/>
          <w:sz w:val="22"/>
          <w:szCs w:val="22"/>
          <w14:ligatures w14:val="none"/>
        </w:rPr>
        <w:t xml:space="preserve">PSMA </w:t>
      </w:r>
      <w:r w:rsidRPr="00C11123">
        <w:rPr>
          <w:rFonts w:cs="Arial"/>
          <w:bCs/>
          <w:kern w:val="0"/>
          <w:sz w:val="22"/>
          <w:szCs w:val="22"/>
          <w14:ligatures w14:val="none"/>
        </w:rPr>
        <w:t xml:space="preserve">PET/CT services within the Applicant’s physician practice </w:t>
      </w:r>
      <w:r w:rsidR="00614E29" w:rsidRPr="00C11123">
        <w:rPr>
          <w:rFonts w:cs="Arial"/>
          <w:bCs/>
          <w:kern w:val="0"/>
          <w:sz w:val="22"/>
          <w:szCs w:val="22"/>
          <w14:ligatures w14:val="none"/>
        </w:rPr>
        <w:t>offers patients a</w:t>
      </w:r>
      <w:r w:rsidRPr="00C11123">
        <w:rPr>
          <w:rFonts w:cs="Arial"/>
          <w:bCs/>
          <w:kern w:val="0"/>
          <w:sz w:val="22"/>
          <w:szCs w:val="22"/>
          <w14:ligatures w14:val="none"/>
        </w:rPr>
        <w:t xml:space="preserve"> substantially lower</w:t>
      </w:r>
      <w:r w:rsidRPr="00C11123">
        <w:rPr>
          <w:rFonts w:cs="Arial"/>
          <w:bCs/>
          <w:kern w:val="0"/>
          <w:sz w:val="22"/>
          <w:szCs w:val="22"/>
          <w14:ligatures w14:val="none"/>
        </w:rPr>
        <w:noBreakHyphen/>
        <w:t>cost site of service compared to other providers, such as hospital</w:t>
      </w:r>
      <w:r w:rsidRPr="00C11123">
        <w:rPr>
          <w:rFonts w:cs="Arial"/>
          <w:bCs/>
          <w:kern w:val="0"/>
          <w:sz w:val="22"/>
          <w:szCs w:val="22"/>
          <w14:ligatures w14:val="none"/>
        </w:rPr>
        <w:noBreakHyphen/>
        <w:t>based radiology and imaging departments, which typically have higher facility overhead and reimbursement rates. By offering the imaging service directly within its physician practice, the Applicant can help reduce overall imaging costs for patients while maintaining high clinical quality, thereby promoting the Commonwealth’s goals of cost containment, access to care, and health equity.</w:t>
      </w:r>
    </w:p>
    <w:p w14:paraId="6981286C" w14:textId="77777777" w:rsidR="00E762B4" w:rsidRPr="00C11123" w:rsidRDefault="00E762B4" w:rsidP="00D70747">
      <w:pPr>
        <w:pStyle w:val="ListParagraph"/>
        <w:spacing w:after="0" w:line="240" w:lineRule="auto"/>
        <w:ind w:left="360"/>
        <w:jc w:val="both"/>
        <w:rPr>
          <w:rFonts w:cs="Arial"/>
          <w:bCs/>
          <w:kern w:val="0"/>
          <w:sz w:val="22"/>
          <w:szCs w:val="22"/>
          <w14:ligatures w14:val="none"/>
        </w:rPr>
      </w:pPr>
    </w:p>
    <w:p w14:paraId="730B7D86" w14:textId="77777777" w:rsidR="008E017B" w:rsidRPr="00CA5454" w:rsidRDefault="00000000" w:rsidP="00CA5454">
      <w:pPr>
        <w:pStyle w:val="Heading3"/>
        <w:numPr>
          <w:ilvl w:val="0"/>
          <w:numId w:val="43"/>
        </w:numPr>
        <w:ind w:left="360"/>
        <w:rPr>
          <w:b/>
          <w:bCs/>
        </w:rPr>
      </w:pPr>
      <w:r w:rsidRPr="00CA5454">
        <w:rPr>
          <w:b/>
          <w:bCs/>
        </w:rPr>
        <w:t>Quality</w:t>
      </w:r>
    </w:p>
    <w:p w14:paraId="1ADB8022" w14:textId="77777777" w:rsidR="008E017B" w:rsidRPr="00C11123" w:rsidRDefault="008E017B" w:rsidP="00D70747">
      <w:pPr>
        <w:spacing w:after="0" w:line="240" w:lineRule="auto"/>
        <w:contextualSpacing/>
        <w:rPr>
          <w:rFonts w:cs="Arial"/>
          <w:b/>
          <w:kern w:val="0"/>
          <w:sz w:val="22"/>
          <w:szCs w:val="22"/>
          <w14:ligatures w14:val="none"/>
        </w:rPr>
      </w:pPr>
    </w:p>
    <w:p w14:paraId="71CF54F7" w14:textId="76A1F14A" w:rsidR="008E017B" w:rsidRPr="00C11123" w:rsidRDefault="00000000" w:rsidP="00D70747">
      <w:pPr>
        <w:spacing w:after="0" w:line="240" w:lineRule="auto"/>
        <w:ind w:left="360"/>
        <w:contextualSpacing/>
        <w:jc w:val="both"/>
        <w:rPr>
          <w:rFonts w:cs="Arial"/>
          <w:bCs/>
          <w:kern w:val="0"/>
          <w:sz w:val="22"/>
          <w:szCs w:val="22"/>
          <w14:ligatures w14:val="none"/>
        </w:rPr>
      </w:pPr>
      <w:r w:rsidRPr="00C11123">
        <w:rPr>
          <w:rFonts w:cs="Arial"/>
          <w:bCs/>
          <w:kern w:val="0"/>
          <w:sz w:val="22"/>
          <w:szCs w:val="22"/>
          <w14:ligatures w14:val="none"/>
        </w:rPr>
        <w:t xml:space="preserve">The Proposed Project will lead to materially better quality of care by enabling urologists and other clinicians to integrate critical diagnostic testing directly into the patient’s </w:t>
      </w:r>
      <w:r w:rsidR="005E59E1" w:rsidRPr="00C11123">
        <w:rPr>
          <w:rFonts w:cs="Arial"/>
          <w:bCs/>
          <w:kern w:val="0"/>
          <w:sz w:val="22"/>
          <w:szCs w:val="22"/>
          <w14:ligatures w14:val="none"/>
        </w:rPr>
        <w:t>course of care</w:t>
      </w:r>
      <w:r w:rsidR="009C2992" w:rsidRPr="00C11123">
        <w:rPr>
          <w:rFonts w:cs="Arial"/>
          <w:bCs/>
          <w:kern w:val="0"/>
          <w:sz w:val="22"/>
          <w:szCs w:val="22"/>
          <w14:ligatures w14:val="none"/>
        </w:rPr>
        <w:t xml:space="preserve"> within the Applicant’s physician practice</w:t>
      </w:r>
      <w:r w:rsidRPr="00C11123">
        <w:rPr>
          <w:rFonts w:cs="Arial"/>
          <w:bCs/>
          <w:kern w:val="0"/>
          <w:sz w:val="22"/>
          <w:szCs w:val="22"/>
          <w14:ligatures w14:val="none"/>
        </w:rPr>
        <w:t xml:space="preserve">. </w:t>
      </w:r>
      <w:r w:rsidR="009C2992" w:rsidRPr="00C11123">
        <w:rPr>
          <w:rFonts w:cs="Arial"/>
          <w:bCs/>
          <w:kern w:val="0"/>
          <w:sz w:val="22"/>
          <w:szCs w:val="22"/>
          <w14:ligatures w14:val="none"/>
        </w:rPr>
        <w:t>Such i</w:t>
      </w:r>
      <w:r w:rsidRPr="00C11123">
        <w:rPr>
          <w:rFonts w:cs="Arial"/>
          <w:bCs/>
          <w:kern w:val="0"/>
          <w:sz w:val="22"/>
          <w:szCs w:val="22"/>
          <w14:ligatures w14:val="none"/>
        </w:rPr>
        <w:t>n</w:t>
      </w:r>
      <w:r w:rsidRPr="00C11123">
        <w:rPr>
          <w:rFonts w:cs="Arial"/>
          <w:bCs/>
          <w:kern w:val="0"/>
          <w:sz w:val="22"/>
          <w:szCs w:val="22"/>
          <w14:ligatures w14:val="none"/>
        </w:rPr>
        <w:noBreakHyphen/>
      </w:r>
      <w:r w:rsidR="00E75AF2" w:rsidRPr="00C11123">
        <w:rPr>
          <w:rFonts w:cs="Arial"/>
          <w:bCs/>
          <w:kern w:val="0"/>
          <w:sz w:val="22"/>
          <w:szCs w:val="22"/>
          <w14:ligatures w14:val="none"/>
        </w:rPr>
        <w:t xml:space="preserve">office </w:t>
      </w:r>
      <w:r w:rsidRPr="00C11123">
        <w:rPr>
          <w:rFonts w:cs="Arial"/>
          <w:bCs/>
          <w:kern w:val="0"/>
          <w:sz w:val="22"/>
          <w:szCs w:val="22"/>
          <w14:ligatures w14:val="none"/>
        </w:rPr>
        <w:t>imaging will give the Applicant’s urologists immediate access to high</w:t>
      </w:r>
      <w:r w:rsidRPr="00C11123">
        <w:rPr>
          <w:rFonts w:cs="Arial"/>
          <w:bCs/>
          <w:kern w:val="0"/>
          <w:sz w:val="22"/>
          <w:szCs w:val="22"/>
          <w14:ligatures w14:val="none"/>
        </w:rPr>
        <w:noBreakHyphen/>
        <w:t xml:space="preserve">quality diagnostic information, allowing them to oversee the timing, protocol selection, and clinical context of each scan with technologists and radiologists. This will reduce delays, communication gaps, and variability that can arise when patients are referred to external imaging providers. For prostate cancer patients—where accurate staging and timely treatment adjustments are essential to survival and quality of life—such direct control over imaging will ensure that urologists receive the information they need at the precise moment it is required for clinical </w:t>
      </w:r>
      <w:r w:rsidR="00117A44" w:rsidRPr="00C11123">
        <w:rPr>
          <w:rFonts w:cs="Arial"/>
          <w:bCs/>
          <w:kern w:val="0"/>
          <w:sz w:val="22"/>
          <w:szCs w:val="22"/>
          <w14:ligatures w14:val="none"/>
        </w:rPr>
        <w:t xml:space="preserve">and critical </w:t>
      </w:r>
      <w:r w:rsidRPr="00C11123">
        <w:rPr>
          <w:rFonts w:cs="Arial"/>
          <w:bCs/>
          <w:kern w:val="0"/>
          <w:sz w:val="22"/>
          <w:szCs w:val="22"/>
          <w14:ligatures w14:val="none"/>
        </w:rPr>
        <w:t>decision</w:t>
      </w:r>
      <w:r w:rsidRPr="00C11123">
        <w:rPr>
          <w:rFonts w:cs="Arial"/>
          <w:bCs/>
          <w:kern w:val="0"/>
          <w:sz w:val="22"/>
          <w:szCs w:val="22"/>
          <w14:ligatures w14:val="none"/>
        </w:rPr>
        <w:noBreakHyphen/>
        <w:t>making.</w:t>
      </w:r>
      <w:r>
        <w:rPr>
          <w:rStyle w:val="FootnoteReference"/>
          <w:rFonts w:cs="Arial"/>
          <w:bCs/>
          <w:kern w:val="0"/>
          <w:sz w:val="22"/>
          <w:szCs w:val="22"/>
          <w14:ligatures w14:val="none"/>
        </w:rPr>
        <w:footnoteReference w:id="141"/>
      </w:r>
    </w:p>
    <w:p w14:paraId="39FB85E9" w14:textId="77777777" w:rsidR="008E017B" w:rsidRPr="00C11123" w:rsidRDefault="008E017B" w:rsidP="00D70747">
      <w:pPr>
        <w:spacing w:after="0" w:line="240" w:lineRule="auto"/>
        <w:contextualSpacing/>
        <w:rPr>
          <w:rFonts w:cs="Arial"/>
          <w:b/>
          <w:kern w:val="0"/>
          <w:sz w:val="22"/>
          <w:szCs w:val="22"/>
          <w14:ligatures w14:val="none"/>
        </w:rPr>
      </w:pPr>
    </w:p>
    <w:p w14:paraId="014D10FE" w14:textId="1D9B364E" w:rsidR="008E017B" w:rsidRPr="00C11123" w:rsidRDefault="00000000" w:rsidP="00D70747">
      <w:pPr>
        <w:spacing w:after="0" w:line="240" w:lineRule="auto"/>
        <w:ind w:left="360"/>
        <w:contextualSpacing/>
        <w:jc w:val="both"/>
        <w:rPr>
          <w:rFonts w:cs="Arial"/>
          <w:b/>
          <w:kern w:val="0"/>
          <w:sz w:val="22"/>
          <w:szCs w:val="22"/>
          <w14:ligatures w14:val="none"/>
        </w:rPr>
      </w:pPr>
      <w:r w:rsidRPr="00C11123">
        <w:rPr>
          <w:rFonts w:cs="Arial"/>
          <w:bCs/>
          <w:kern w:val="0"/>
          <w:sz w:val="22"/>
          <w:szCs w:val="22"/>
          <w14:ligatures w14:val="none"/>
        </w:rPr>
        <w:lastRenderedPageBreak/>
        <w:t>The nature of the PSMA PET/CT technology itself further elevates the quality advantages offered by the Proposed Project.</w:t>
      </w:r>
      <w:r w:rsidRPr="00C11123">
        <w:rPr>
          <w:rFonts w:cs="Arial"/>
          <w:b/>
          <w:kern w:val="0"/>
          <w:sz w:val="22"/>
          <w:szCs w:val="22"/>
          <w14:ligatures w14:val="none"/>
        </w:rPr>
        <w:t xml:space="preserve">  </w:t>
      </w:r>
      <w:r w:rsidRPr="00C11123">
        <w:rPr>
          <w:rFonts w:cs="Arial"/>
          <w:bCs/>
          <w:kern w:val="0"/>
          <w:sz w:val="22"/>
          <w:szCs w:val="22"/>
          <w14:ligatures w14:val="none"/>
        </w:rPr>
        <w:t>As one of the most sensitive and specific imaging modalities for prostate cancer, it has “become the benchmark imaging tool in the management of prostate cancer, due to its unparalleled precision in sta</w:t>
      </w:r>
      <w:r w:rsidR="003430A2" w:rsidRPr="00C11123">
        <w:rPr>
          <w:rFonts w:cs="Arial"/>
          <w:bCs/>
          <w:kern w:val="0"/>
          <w:sz w:val="22"/>
          <w:szCs w:val="22"/>
          <w14:ligatures w14:val="none"/>
        </w:rPr>
        <w:t>g</w:t>
      </w:r>
      <w:r w:rsidRPr="00C11123">
        <w:rPr>
          <w:rFonts w:cs="Arial"/>
          <w:bCs/>
          <w:kern w:val="0"/>
          <w:sz w:val="22"/>
          <w:szCs w:val="22"/>
          <w14:ligatures w14:val="none"/>
        </w:rPr>
        <w:t>ing, restating and assessing of treatment response.”</w:t>
      </w:r>
      <w:r>
        <w:rPr>
          <w:rStyle w:val="FootnoteReference"/>
          <w:rFonts w:cs="Arial"/>
          <w:bCs/>
          <w:kern w:val="0"/>
          <w:sz w:val="22"/>
          <w:szCs w:val="22"/>
          <w14:ligatures w14:val="none"/>
        </w:rPr>
        <w:footnoteReference w:id="142"/>
      </w:r>
      <w:r w:rsidRPr="00C11123">
        <w:rPr>
          <w:rFonts w:cs="Arial"/>
          <w:b/>
          <w:kern w:val="0"/>
          <w:sz w:val="22"/>
          <w:szCs w:val="22"/>
          <w14:ligatures w14:val="none"/>
        </w:rPr>
        <w:t xml:space="preserve"> </w:t>
      </w:r>
      <w:r w:rsidRPr="00C11123">
        <w:rPr>
          <w:rFonts w:cs="Arial"/>
          <w:bCs/>
          <w:kern w:val="0"/>
          <w:sz w:val="22"/>
          <w:szCs w:val="22"/>
          <w14:ligatures w14:val="none"/>
        </w:rPr>
        <w:t>Where traditional imaging methods, like CT, MRI, and bone scans fall short in detecting disease and metastatic spread, PET/CT paired with radiotracers, such as for PSMA detection, is able to identify disease at earlier and more clinically meaningful stages.</w:t>
      </w:r>
      <w:r>
        <w:rPr>
          <w:rStyle w:val="FootnoteReference"/>
          <w:rFonts w:cs="Arial"/>
          <w:bCs/>
          <w:kern w:val="0"/>
          <w:sz w:val="22"/>
          <w:szCs w:val="22"/>
          <w14:ligatures w14:val="none"/>
        </w:rPr>
        <w:footnoteReference w:id="143"/>
      </w:r>
      <w:r w:rsidRPr="00C11123">
        <w:rPr>
          <w:rFonts w:cs="Arial"/>
          <w:b/>
          <w:kern w:val="0"/>
          <w:sz w:val="22"/>
          <w:szCs w:val="22"/>
          <w14:ligatures w14:val="none"/>
        </w:rPr>
        <w:t xml:space="preserve"> </w:t>
      </w:r>
      <w:r w:rsidRPr="00C11123">
        <w:rPr>
          <w:rFonts w:cs="Arial"/>
          <w:bCs/>
          <w:kern w:val="0"/>
          <w:sz w:val="22"/>
          <w:szCs w:val="22"/>
          <w14:ligatures w14:val="none"/>
        </w:rPr>
        <w:t>By visualizing prostate cancer cells with greater precision, PSMA PET/CT supports greater clinical accuracy and more tailored treatment planning. Accordingly, deploying this technology within the Applicant’s urology practice will ensur</w:t>
      </w:r>
      <w:r w:rsidR="002E563F" w:rsidRPr="00C11123">
        <w:rPr>
          <w:rFonts w:cs="Arial"/>
          <w:bCs/>
          <w:kern w:val="0"/>
          <w:sz w:val="22"/>
          <w:szCs w:val="22"/>
          <w14:ligatures w14:val="none"/>
        </w:rPr>
        <w:t>e</w:t>
      </w:r>
      <w:r w:rsidRPr="00C11123">
        <w:rPr>
          <w:rFonts w:cs="Arial"/>
          <w:bCs/>
          <w:kern w:val="0"/>
          <w:sz w:val="22"/>
          <w:szCs w:val="22"/>
          <w14:ligatures w14:val="none"/>
        </w:rPr>
        <w:t xml:space="preserve"> that </w:t>
      </w:r>
      <w:r w:rsidR="002E563F" w:rsidRPr="00C11123">
        <w:rPr>
          <w:rFonts w:cs="Arial"/>
          <w:bCs/>
          <w:kern w:val="0"/>
          <w:sz w:val="22"/>
          <w:szCs w:val="22"/>
          <w14:ligatures w14:val="none"/>
        </w:rPr>
        <w:t>patients receive</w:t>
      </w:r>
      <w:r w:rsidRPr="00C11123">
        <w:rPr>
          <w:rFonts w:cs="Arial"/>
          <w:bCs/>
          <w:kern w:val="0"/>
          <w:sz w:val="22"/>
          <w:szCs w:val="22"/>
          <w14:ligatures w14:val="none"/>
        </w:rPr>
        <w:t xml:space="preserve"> faster, better</w:t>
      </w:r>
      <w:r w:rsidRPr="00C11123">
        <w:rPr>
          <w:rFonts w:cs="Arial"/>
          <w:bCs/>
          <w:kern w:val="0"/>
          <w:sz w:val="22"/>
          <w:szCs w:val="22"/>
          <w14:ligatures w14:val="none"/>
        </w:rPr>
        <w:noBreakHyphen/>
        <w:t xml:space="preserve">coordinated, more personalized and, therefore, higher quality therapeutic </w:t>
      </w:r>
      <w:r w:rsidR="002E563F" w:rsidRPr="00C11123">
        <w:rPr>
          <w:rFonts w:cs="Arial"/>
          <w:bCs/>
          <w:kern w:val="0"/>
          <w:sz w:val="22"/>
          <w:szCs w:val="22"/>
          <w14:ligatures w14:val="none"/>
        </w:rPr>
        <w:t>care from their urologists</w:t>
      </w:r>
      <w:r w:rsidRPr="00C11123">
        <w:rPr>
          <w:rFonts w:cs="Arial"/>
          <w:bCs/>
          <w:kern w:val="0"/>
          <w:sz w:val="22"/>
          <w:szCs w:val="22"/>
          <w14:ligatures w14:val="none"/>
        </w:rPr>
        <w:t>.</w:t>
      </w:r>
    </w:p>
    <w:p w14:paraId="04918F7B" w14:textId="77777777" w:rsidR="008E017B" w:rsidRPr="00C11123" w:rsidRDefault="008E017B" w:rsidP="00D70747">
      <w:pPr>
        <w:spacing w:after="0" w:line="240" w:lineRule="auto"/>
        <w:contextualSpacing/>
        <w:jc w:val="both"/>
        <w:rPr>
          <w:rFonts w:cs="Arial"/>
          <w:b/>
          <w:kern w:val="0"/>
          <w:sz w:val="22"/>
          <w:szCs w:val="22"/>
          <w14:ligatures w14:val="none"/>
        </w:rPr>
      </w:pPr>
    </w:p>
    <w:p w14:paraId="5F3A25CB" w14:textId="551B6511" w:rsidR="008E017B" w:rsidRPr="00C11123" w:rsidRDefault="00000000" w:rsidP="00D70747">
      <w:pPr>
        <w:spacing w:after="0" w:line="240" w:lineRule="auto"/>
        <w:ind w:left="360"/>
        <w:contextualSpacing/>
        <w:jc w:val="both"/>
        <w:rPr>
          <w:rFonts w:cs="Arial"/>
          <w:bCs/>
          <w:kern w:val="0"/>
          <w:sz w:val="22"/>
          <w:szCs w:val="22"/>
          <w14:ligatures w14:val="none"/>
        </w:rPr>
      </w:pPr>
      <w:r w:rsidRPr="00C11123">
        <w:rPr>
          <w:rFonts w:cs="Arial"/>
          <w:bCs/>
          <w:kern w:val="0"/>
          <w:sz w:val="22"/>
          <w:szCs w:val="22"/>
          <w14:ligatures w14:val="none"/>
        </w:rPr>
        <w:t xml:space="preserve">Additionally, the Proposed Project will strengthen the Applicant’s multidisciplinary coordination and improve continuity of care.  By </w:t>
      </w:r>
      <w:proofErr w:type="gramStart"/>
      <w:r w:rsidRPr="00C11123">
        <w:rPr>
          <w:rFonts w:cs="Arial"/>
          <w:bCs/>
          <w:kern w:val="0"/>
          <w:sz w:val="22"/>
          <w:szCs w:val="22"/>
          <w14:ligatures w14:val="none"/>
        </w:rPr>
        <w:t>enabling treating</w:t>
      </w:r>
      <w:proofErr w:type="gramEnd"/>
      <w:r w:rsidRPr="00C11123">
        <w:rPr>
          <w:rFonts w:cs="Arial"/>
          <w:bCs/>
          <w:kern w:val="0"/>
          <w:sz w:val="22"/>
          <w:szCs w:val="22"/>
          <w14:ligatures w14:val="none"/>
        </w:rPr>
        <w:t xml:space="preserve"> urologists to work with their own imaging equipment and imaging specialists within a shared clinical workflow, the Applicant and its team members can confer in real time on diagnostic questions, protocol adjustments, and image interpretation. Such direct clinical dialogue will enhance staging accuracy, reduce miscommunication, and support more responsive, individualized care strategies. Integrating PSMA PET/CT within the Applicant’s urology physician practice will ensure that the imaging functions as a coordinated component of the overall treatment plan, rather than an external service that is subject to or limited by separate processes,</w:t>
      </w:r>
      <w:r w:rsidRPr="00C11123">
        <w:rPr>
          <w:rFonts w:cs="Arial"/>
          <w:b/>
          <w:kern w:val="0"/>
          <w:sz w:val="22"/>
          <w:szCs w:val="22"/>
          <w14:ligatures w14:val="none"/>
        </w:rPr>
        <w:t xml:space="preserve"> </w:t>
      </w:r>
      <w:r w:rsidRPr="00C11123">
        <w:rPr>
          <w:rFonts w:cs="Arial"/>
          <w:bCs/>
          <w:kern w:val="0"/>
          <w:sz w:val="22"/>
          <w:szCs w:val="22"/>
          <w14:ligatures w14:val="none"/>
        </w:rPr>
        <w:t xml:space="preserve">priorities, workflows, and constraints of </w:t>
      </w:r>
      <w:r w:rsidR="00CF075C" w:rsidRPr="00C11123">
        <w:rPr>
          <w:rFonts w:cs="Arial"/>
          <w:bCs/>
          <w:kern w:val="0"/>
          <w:sz w:val="22"/>
          <w:szCs w:val="22"/>
          <w14:ligatures w14:val="none"/>
        </w:rPr>
        <w:t xml:space="preserve">an outside </w:t>
      </w:r>
      <w:r w:rsidRPr="00C11123">
        <w:rPr>
          <w:rFonts w:cs="Arial"/>
          <w:bCs/>
          <w:kern w:val="0"/>
          <w:sz w:val="22"/>
          <w:szCs w:val="22"/>
          <w14:ligatures w14:val="none"/>
        </w:rPr>
        <w:t xml:space="preserve">provider. The result will be a more seamless, predictable, and patient-centered approach to </w:t>
      </w:r>
      <w:r w:rsidR="00401B08" w:rsidRPr="00C11123">
        <w:rPr>
          <w:rFonts w:cs="Arial"/>
          <w:bCs/>
          <w:kern w:val="0"/>
          <w:sz w:val="22"/>
          <w:szCs w:val="22"/>
          <w14:ligatures w14:val="none"/>
        </w:rPr>
        <w:t xml:space="preserve">prostate cancer </w:t>
      </w:r>
      <w:r w:rsidRPr="00C11123">
        <w:rPr>
          <w:rFonts w:cs="Arial"/>
          <w:bCs/>
          <w:kern w:val="0"/>
          <w:sz w:val="22"/>
          <w:szCs w:val="22"/>
          <w14:ligatures w14:val="none"/>
        </w:rPr>
        <w:t>management</w:t>
      </w:r>
      <w:r w:rsidR="00401B08" w:rsidRPr="00C11123">
        <w:rPr>
          <w:rFonts w:cs="Arial"/>
          <w:bCs/>
          <w:kern w:val="0"/>
          <w:sz w:val="22"/>
          <w:szCs w:val="22"/>
          <w14:ligatures w14:val="none"/>
        </w:rPr>
        <w:t>.</w:t>
      </w:r>
    </w:p>
    <w:p w14:paraId="54C8C65A" w14:textId="77777777" w:rsidR="008E017B" w:rsidRPr="00C11123" w:rsidRDefault="008E017B" w:rsidP="00D70747">
      <w:pPr>
        <w:spacing w:after="0" w:line="240" w:lineRule="auto"/>
        <w:contextualSpacing/>
        <w:rPr>
          <w:rFonts w:cs="Arial"/>
          <w:b/>
          <w:kern w:val="0"/>
          <w:sz w:val="22"/>
          <w:szCs w:val="22"/>
          <w14:ligatures w14:val="none"/>
        </w:rPr>
      </w:pPr>
    </w:p>
    <w:p w14:paraId="356E50F9" w14:textId="77777777" w:rsidR="008E017B" w:rsidRPr="00CA5454" w:rsidRDefault="00000000" w:rsidP="00CA5454">
      <w:pPr>
        <w:pStyle w:val="Heading3"/>
        <w:numPr>
          <w:ilvl w:val="0"/>
          <w:numId w:val="43"/>
        </w:numPr>
        <w:ind w:left="360"/>
        <w:rPr>
          <w:b/>
          <w:bCs/>
        </w:rPr>
      </w:pPr>
      <w:r w:rsidRPr="00CA5454">
        <w:rPr>
          <w:b/>
          <w:bCs/>
        </w:rPr>
        <w:t>Efficiency</w:t>
      </w:r>
    </w:p>
    <w:p w14:paraId="642537F9" w14:textId="77777777" w:rsidR="008E017B" w:rsidRPr="00C11123" w:rsidRDefault="008E017B" w:rsidP="00D70747">
      <w:pPr>
        <w:spacing w:after="0" w:line="240" w:lineRule="auto"/>
        <w:ind w:left="360"/>
        <w:contextualSpacing/>
        <w:rPr>
          <w:rFonts w:cs="Arial"/>
          <w:b/>
          <w:kern w:val="0"/>
          <w:sz w:val="22"/>
          <w:szCs w:val="22"/>
          <w14:ligatures w14:val="none"/>
        </w:rPr>
      </w:pPr>
    </w:p>
    <w:p w14:paraId="02E12B4B" w14:textId="17012840" w:rsidR="008E017B" w:rsidRPr="00C11123" w:rsidRDefault="00000000" w:rsidP="00D70747">
      <w:pPr>
        <w:spacing w:after="0" w:line="240" w:lineRule="auto"/>
        <w:ind w:left="360"/>
        <w:contextualSpacing/>
        <w:jc w:val="both"/>
        <w:rPr>
          <w:rFonts w:cs="Arial"/>
          <w:b/>
          <w:kern w:val="0"/>
          <w:sz w:val="22"/>
          <w:szCs w:val="22"/>
          <w14:ligatures w14:val="none"/>
        </w:rPr>
      </w:pPr>
      <w:r w:rsidRPr="00C11123">
        <w:rPr>
          <w:rFonts w:eastAsia="Times New Roman" w:cs="Arial"/>
          <w:kern w:val="0"/>
          <w:sz w:val="22"/>
          <w:szCs w:val="22"/>
          <w14:ligatures w14:val="none"/>
        </w:rPr>
        <w:t>By undertaking the Proposed Project and establishing in</w:t>
      </w:r>
      <w:r w:rsidRPr="00C11123">
        <w:rPr>
          <w:rFonts w:eastAsia="Times New Roman" w:cs="Arial"/>
          <w:kern w:val="0"/>
          <w:sz w:val="22"/>
          <w:szCs w:val="22"/>
          <w14:ligatures w14:val="none"/>
        </w:rPr>
        <w:noBreakHyphen/>
        <w:t xml:space="preserve">practice </w:t>
      </w:r>
      <w:r w:rsidR="00401B08" w:rsidRPr="00C11123">
        <w:rPr>
          <w:rFonts w:eastAsia="Times New Roman" w:cs="Arial"/>
          <w:kern w:val="0"/>
          <w:sz w:val="22"/>
          <w:szCs w:val="22"/>
          <w14:ligatures w14:val="none"/>
        </w:rPr>
        <w:t xml:space="preserve">PSMA </w:t>
      </w:r>
      <w:r w:rsidRPr="00C11123">
        <w:rPr>
          <w:rFonts w:eastAsia="Times New Roman" w:cs="Arial"/>
          <w:kern w:val="0"/>
          <w:sz w:val="22"/>
          <w:szCs w:val="22"/>
          <w14:ligatures w14:val="none"/>
        </w:rPr>
        <w:t xml:space="preserve">PET/CT capabilities, the Applicant will be able to deliver a more integrated and coordinated continuum of care for its </w:t>
      </w:r>
      <w:r w:rsidR="00401B08" w:rsidRPr="00C11123">
        <w:rPr>
          <w:rFonts w:eastAsia="Times New Roman" w:cs="Arial"/>
          <w:kern w:val="0"/>
          <w:sz w:val="22"/>
          <w:szCs w:val="22"/>
          <w14:ligatures w14:val="none"/>
        </w:rPr>
        <w:t xml:space="preserve">prostate cancer </w:t>
      </w:r>
      <w:r w:rsidRPr="00C11123">
        <w:rPr>
          <w:rFonts w:eastAsia="Times New Roman" w:cs="Arial"/>
          <w:kern w:val="0"/>
          <w:sz w:val="22"/>
          <w:szCs w:val="22"/>
          <w14:ligatures w14:val="none"/>
        </w:rPr>
        <w:t>patients.  The Applicant’s clinicians will be better able to link evaluation, diagnosis, and treatment planning because of a unified clinical framework that brings medicine and imaging together under one provider.  This integration will support timely clinical decision</w:t>
      </w:r>
      <w:r w:rsidRPr="00C11123">
        <w:rPr>
          <w:rFonts w:eastAsia="Times New Roman" w:cs="Arial"/>
          <w:kern w:val="0"/>
          <w:sz w:val="22"/>
          <w:szCs w:val="22"/>
          <w14:ligatures w14:val="none"/>
        </w:rPr>
        <w:noBreakHyphen/>
        <w:t>making, reduce fragmentation associated with referrals to external imaging providers, and strengthen continuity of care for patients managing complex or sensitive urologic conditions. The Applicant’s ability to provide cutting-edge imaging techniques and medical follow</w:t>
      </w:r>
      <w:r w:rsidRPr="00C11123">
        <w:rPr>
          <w:rFonts w:eastAsia="Times New Roman" w:cs="Arial"/>
          <w:kern w:val="0"/>
          <w:sz w:val="22"/>
          <w:szCs w:val="22"/>
          <w14:ligatures w14:val="none"/>
        </w:rPr>
        <w:noBreakHyphen/>
        <w:t>up within a single practice represents a meaningful enhancement to the quality, coordination, and efficiency of care available to the Patient Panel and the surrounding communities.</w:t>
      </w:r>
    </w:p>
    <w:p w14:paraId="13469BF0" w14:textId="77777777" w:rsidR="008E017B" w:rsidRPr="00C11123" w:rsidRDefault="008E017B" w:rsidP="00CC6024">
      <w:pPr>
        <w:autoSpaceDE w:val="0"/>
        <w:autoSpaceDN w:val="0"/>
        <w:adjustRightInd w:val="0"/>
        <w:spacing w:after="0" w:line="240" w:lineRule="auto"/>
        <w:jc w:val="both"/>
        <w:rPr>
          <w:rFonts w:cs="Arial"/>
          <w:kern w:val="0"/>
          <w:sz w:val="22"/>
          <w:szCs w:val="22"/>
          <w14:ligatures w14:val="none"/>
        </w:rPr>
      </w:pPr>
    </w:p>
    <w:p w14:paraId="16D908CE" w14:textId="77777777" w:rsidR="008E017B" w:rsidRPr="00CA5454" w:rsidRDefault="00000000" w:rsidP="00CA5454">
      <w:pPr>
        <w:pStyle w:val="Heading3"/>
        <w:numPr>
          <w:ilvl w:val="0"/>
          <w:numId w:val="43"/>
        </w:numPr>
        <w:ind w:left="360"/>
        <w:rPr>
          <w:b/>
          <w:bCs/>
        </w:rPr>
      </w:pPr>
      <w:r w:rsidRPr="00CA5454">
        <w:rPr>
          <w:b/>
          <w:bCs/>
        </w:rPr>
        <w:t>Capital Expense</w:t>
      </w:r>
    </w:p>
    <w:p w14:paraId="1F337D50" w14:textId="77777777" w:rsidR="008E017B" w:rsidRPr="00C11123" w:rsidRDefault="008E017B" w:rsidP="00CC6024">
      <w:pPr>
        <w:autoSpaceDE w:val="0"/>
        <w:autoSpaceDN w:val="0"/>
        <w:adjustRightInd w:val="0"/>
        <w:spacing w:after="0" w:line="240" w:lineRule="auto"/>
        <w:jc w:val="both"/>
        <w:rPr>
          <w:rFonts w:cs="Arial"/>
          <w:kern w:val="0"/>
          <w:sz w:val="22"/>
          <w:szCs w:val="22"/>
          <w14:ligatures w14:val="none"/>
        </w:rPr>
      </w:pPr>
    </w:p>
    <w:p w14:paraId="155B1B90" w14:textId="4209DD51" w:rsidR="008E017B" w:rsidRPr="00C11123" w:rsidRDefault="00000000" w:rsidP="00CC6024">
      <w:pPr>
        <w:autoSpaceDE w:val="0"/>
        <w:autoSpaceDN w:val="0"/>
        <w:adjustRightInd w:val="0"/>
        <w:spacing w:after="0" w:line="240" w:lineRule="auto"/>
        <w:ind w:left="360"/>
        <w:jc w:val="both"/>
        <w:rPr>
          <w:rFonts w:cs="Arial"/>
          <w:kern w:val="0"/>
          <w:sz w:val="22"/>
          <w:szCs w:val="22"/>
          <w14:ligatures w14:val="none"/>
        </w:rPr>
      </w:pPr>
      <w:r w:rsidRPr="00C11123">
        <w:rPr>
          <w:rFonts w:cs="Arial"/>
          <w:kern w:val="0"/>
          <w:sz w:val="22"/>
          <w:szCs w:val="22"/>
          <w14:ligatures w14:val="none"/>
        </w:rPr>
        <w:t xml:space="preserve">The Proposed Project will entail certain upfront expenses, including, without limitation, leasing the mobile PET/CT unit, </w:t>
      </w:r>
      <w:r w:rsidR="003911EF" w:rsidRPr="00C11123">
        <w:rPr>
          <w:rFonts w:cs="Arial"/>
          <w:kern w:val="0"/>
          <w:sz w:val="22"/>
          <w:szCs w:val="22"/>
          <w14:ligatures w14:val="none"/>
        </w:rPr>
        <w:t xml:space="preserve">obtaining </w:t>
      </w:r>
      <w:r w:rsidRPr="00C11123">
        <w:rPr>
          <w:rFonts w:cs="Arial"/>
          <w:kern w:val="0"/>
          <w:sz w:val="22"/>
          <w:szCs w:val="22"/>
          <w14:ligatures w14:val="none"/>
        </w:rPr>
        <w:t>qualified technologist staffing, and preparing existing practice sites with the necessary</w:t>
      </w:r>
      <w:r w:rsidR="00A439DB" w:rsidRPr="00C11123">
        <w:rPr>
          <w:rFonts w:cs="Arial"/>
          <w:kern w:val="0"/>
          <w:sz w:val="22"/>
          <w:szCs w:val="22"/>
          <w14:ligatures w14:val="none"/>
        </w:rPr>
        <w:t xml:space="preserve"> parking</w:t>
      </w:r>
      <w:r w:rsidRPr="00C11123">
        <w:rPr>
          <w:rFonts w:cs="Arial"/>
          <w:kern w:val="0"/>
          <w:sz w:val="22"/>
          <w:szCs w:val="22"/>
          <w14:ligatures w14:val="none"/>
        </w:rPr>
        <w:t xml:space="preserve"> pads and utilities for the mobile trailer. These investments, however, are financially reasonable </w:t>
      </w:r>
      <w:r w:rsidR="00401B08" w:rsidRPr="00C11123">
        <w:rPr>
          <w:rFonts w:cs="Arial"/>
          <w:kern w:val="0"/>
          <w:sz w:val="22"/>
          <w:szCs w:val="22"/>
          <w14:ligatures w14:val="none"/>
        </w:rPr>
        <w:t xml:space="preserve">and </w:t>
      </w:r>
      <w:r w:rsidRPr="00C11123">
        <w:rPr>
          <w:rFonts w:cs="Arial"/>
          <w:kern w:val="0"/>
          <w:sz w:val="22"/>
          <w:szCs w:val="22"/>
          <w14:ligatures w14:val="none"/>
        </w:rPr>
        <w:t>designed to mitigate against the far more significant capital and operational burdens associated with purchasing PET/CT equipment outright or constructing new imaging facilities.</w:t>
      </w:r>
    </w:p>
    <w:p w14:paraId="633D3150" w14:textId="77777777" w:rsidR="008E017B" w:rsidRPr="00C11123" w:rsidRDefault="008E017B" w:rsidP="00CC6024">
      <w:pPr>
        <w:autoSpaceDE w:val="0"/>
        <w:autoSpaceDN w:val="0"/>
        <w:adjustRightInd w:val="0"/>
        <w:spacing w:after="0" w:line="240" w:lineRule="auto"/>
        <w:ind w:left="360"/>
        <w:jc w:val="both"/>
        <w:rPr>
          <w:rFonts w:cs="Arial"/>
          <w:kern w:val="0"/>
          <w:sz w:val="22"/>
          <w:szCs w:val="22"/>
          <w14:ligatures w14:val="none"/>
        </w:rPr>
      </w:pPr>
    </w:p>
    <w:p w14:paraId="3D99A746" w14:textId="0F7C33D6" w:rsidR="008E017B" w:rsidRPr="00C11123" w:rsidRDefault="00000000" w:rsidP="00CC6024">
      <w:pPr>
        <w:autoSpaceDE w:val="0"/>
        <w:autoSpaceDN w:val="0"/>
        <w:adjustRightInd w:val="0"/>
        <w:spacing w:after="0" w:line="240" w:lineRule="auto"/>
        <w:ind w:left="360"/>
        <w:jc w:val="both"/>
        <w:rPr>
          <w:rFonts w:cs="Arial"/>
          <w:kern w:val="0"/>
          <w:sz w:val="22"/>
          <w:szCs w:val="22"/>
          <w14:ligatures w14:val="none"/>
        </w:rPr>
      </w:pPr>
      <w:r w:rsidRPr="00C11123">
        <w:rPr>
          <w:rFonts w:cs="Arial"/>
          <w:kern w:val="0"/>
          <w:sz w:val="22"/>
          <w:szCs w:val="22"/>
          <w14:ligatures w14:val="none"/>
        </w:rPr>
        <w:t xml:space="preserve">By undertaking a lease arrangement with an established </w:t>
      </w:r>
      <w:r w:rsidR="00F81F02" w:rsidRPr="00C11123">
        <w:rPr>
          <w:rFonts w:cs="Arial"/>
          <w:kern w:val="0"/>
          <w:sz w:val="22"/>
          <w:szCs w:val="22"/>
          <w14:ligatures w14:val="none"/>
        </w:rPr>
        <w:t xml:space="preserve">imaging </w:t>
      </w:r>
      <w:r w:rsidR="000A0DD9" w:rsidRPr="00C11123">
        <w:rPr>
          <w:rFonts w:cs="Arial"/>
          <w:kern w:val="0"/>
          <w:sz w:val="22"/>
          <w:szCs w:val="22"/>
          <w14:ligatures w14:val="none"/>
        </w:rPr>
        <w:t xml:space="preserve">equipment </w:t>
      </w:r>
      <w:r w:rsidR="00F81F02" w:rsidRPr="00C11123">
        <w:rPr>
          <w:rFonts w:cs="Arial"/>
          <w:kern w:val="0"/>
          <w:sz w:val="22"/>
          <w:szCs w:val="22"/>
          <w14:ligatures w14:val="none"/>
        </w:rPr>
        <w:t>company</w:t>
      </w:r>
      <w:r w:rsidRPr="00C11123">
        <w:rPr>
          <w:rFonts w:cs="Arial"/>
          <w:kern w:val="0"/>
          <w:sz w:val="22"/>
          <w:szCs w:val="22"/>
          <w14:ligatures w14:val="none"/>
        </w:rPr>
        <w:t>, the Applicant will have the opportunity to control and reduce the financial exposure, administrative complexity, and potential long</w:t>
      </w:r>
      <w:r w:rsidRPr="00C11123">
        <w:rPr>
          <w:rFonts w:cs="Arial"/>
          <w:kern w:val="0"/>
          <w:sz w:val="22"/>
          <w:szCs w:val="22"/>
          <w14:ligatures w14:val="none"/>
        </w:rPr>
        <w:noBreakHyphen/>
        <w:t xml:space="preserve">term depreciation risks associated with </w:t>
      </w:r>
      <w:r w:rsidR="00607BF8" w:rsidRPr="00C11123">
        <w:rPr>
          <w:rFonts w:cs="Arial"/>
          <w:kern w:val="0"/>
          <w:sz w:val="22"/>
          <w:szCs w:val="22"/>
          <w14:ligatures w14:val="none"/>
        </w:rPr>
        <w:t xml:space="preserve">such </w:t>
      </w:r>
      <w:r w:rsidRPr="00C11123">
        <w:rPr>
          <w:rFonts w:cs="Arial"/>
          <w:kern w:val="0"/>
          <w:sz w:val="22"/>
          <w:szCs w:val="22"/>
          <w14:ligatures w14:val="none"/>
        </w:rPr>
        <w:t>high</w:t>
      </w:r>
      <w:r w:rsidRPr="00C11123">
        <w:rPr>
          <w:rFonts w:cs="Arial"/>
          <w:kern w:val="0"/>
          <w:sz w:val="22"/>
          <w:szCs w:val="22"/>
          <w14:ligatures w14:val="none"/>
        </w:rPr>
        <w:noBreakHyphen/>
        <w:t>cost imaging assets. Likewise, utilizing existing practice locations for trailer placement eliminates the need for new real estate acquisition or construction, ensuring that capital dollars remain focused and efficient</w:t>
      </w:r>
      <w:r w:rsidR="00516AA3" w:rsidRPr="00C11123">
        <w:rPr>
          <w:rFonts w:cs="Arial"/>
          <w:kern w:val="0"/>
          <w:sz w:val="22"/>
          <w:szCs w:val="22"/>
          <w14:ligatures w14:val="none"/>
        </w:rPr>
        <w:t xml:space="preserve"> </w:t>
      </w:r>
      <w:r w:rsidR="00237CBE" w:rsidRPr="00C11123">
        <w:rPr>
          <w:rFonts w:cs="Arial"/>
          <w:kern w:val="0"/>
          <w:sz w:val="22"/>
          <w:szCs w:val="22"/>
          <w14:ligatures w14:val="none"/>
        </w:rPr>
        <w:t>for</w:t>
      </w:r>
      <w:r w:rsidR="00516AA3" w:rsidRPr="00C11123">
        <w:rPr>
          <w:rFonts w:cs="Arial"/>
          <w:kern w:val="0"/>
          <w:sz w:val="22"/>
          <w:szCs w:val="22"/>
          <w14:ligatures w14:val="none"/>
        </w:rPr>
        <w:t xml:space="preserve"> patient care</w:t>
      </w:r>
      <w:r w:rsidRPr="00C11123">
        <w:rPr>
          <w:rFonts w:cs="Arial"/>
          <w:kern w:val="0"/>
          <w:sz w:val="22"/>
          <w:szCs w:val="22"/>
          <w14:ligatures w14:val="none"/>
        </w:rPr>
        <w:t>.</w:t>
      </w:r>
    </w:p>
    <w:p w14:paraId="4AB300C5" w14:textId="77777777" w:rsidR="008E017B" w:rsidRPr="00C11123" w:rsidRDefault="008E017B" w:rsidP="00CC6024">
      <w:pPr>
        <w:autoSpaceDE w:val="0"/>
        <w:autoSpaceDN w:val="0"/>
        <w:adjustRightInd w:val="0"/>
        <w:spacing w:after="0" w:line="240" w:lineRule="auto"/>
        <w:jc w:val="both"/>
        <w:rPr>
          <w:rFonts w:cs="Arial"/>
          <w:kern w:val="0"/>
          <w:sz w:val="22"/>
          <w:szCs w:val="22"/>
          <w14:ligatures w14:val="none"/>
        </w:rPr>
      </w:pPr>
    </w:p>
    <w:p w14:paraId="50316553" w14:textId="77777777" w:rsidR="008E017B" w:rsidRPr="00CA5454" w:rsidRDefault="00000000" w:rsidP="00CA5454">
      <w:pPr>
        <w:pStyle w:val="Heading3"/>
        <w:numPr>
          <w:ilvl w:val="0"/>
          <w:numId w:val="43"/>
        </w:numPr>
        <w:ind w:left="360"/>
        <w:rPr>
          <w:b/>
          <w:bCs/>
        </w:rPr>
      </w:pPr>
      <w:r w:rsidRPr="00CA5454">
        <w:rPr>
          <w:b/>
          <w:bCs/>
        </w:rPr>
        <w:t>Operating Costs</w:t>
      </w:r>
    </w:p>
    <w:p w14:paraId="1209003D" w14:textId="77777777" w:rsidR="008E017B" w:rsidRPr="00C11123" w:rsidRDefault="008E017B" w:rsidP="00D70747">
      <w:pPr>
        <w:spacing w:after="0" w:line="240" w:lineRule="auto"/>
        <w:contextualSpacing/>
        <w:jc w:val="both"/>
        <w:rPr>
          <w:rFonts w:cs="Arial"/>
          <w:kern w:val="0"/>
          <w:sz w:val="22"/>
          <w:szCs w:val="22"/>
          <w14:ligatures w14:val="none"/>
        </w:rPr>
      </w:pPr>
    </w:p>
    <w:p w14:paraId="36C6E7C3" w14:textId="4A573DF0" w:rsidR="0020540A" w:rsidRPr="00C11123" w:rsidRDefault="00000000" w:rsidP="0020540A">
      <w:pPr>
        <w:spacing w:after="0" w:line="240" w:lineRule="auto"/>
        <w:ind w:left="360"/>
        <w:contextualSpacing/>
        <w:jc w:val="both"/>
        <w:rPr>
          <w:rFonts w:cs="Arial"/>
          <w:kern w:val="0"/>
          <w:sz w:val="22"/>
          <w:szCs w:val="22"/>
          <w14:ligatures w14:val="none"/>
        </w:rPr>
      </w:pPr>
      <w:r w:rsidRPr="00C11123">
        <w:rPr>
          <w:rFonts w:cs="Arial"/>
          <w:kern w:val="0"/>
          <w:sz w:val="22"/>
          <w:szCs w:val="22"/>
          <w14:ligatures w14:val="none"/>
        </w:rPr>
        <w:t xml:space="preserve">As described above, the Proposed Project does not involve the purchase of the mobile PET/CT </w:t>
      </w:r>
      <w:proofErr w:type="gramStart"/>
      <w:r w:rsidRPr="00C11123">
        <w:rPr>
          <w:rFonts w:cs="Arial"/>
          <w:kern w:val="0"/>
          <w:sz w:val="22"/>
          <w:szCs w:val="22"/>
          <w14:ligatures w14:val="none"/>
        </w:rPr>
        <w:t>unit, but</w:t>
      </w:r>
      <w:proofErr w:type="gramEnd"/>
      <w:r w:rsidRPr="00C11123">
        <w:rPr>
          <w:rFonts w:cs="Arial"/>
          <w:kern w:val="0"/>
          <w:sz w:val="22"/>
          <w:szCs w:val="22"/>
          <w14:ligatures w14:val="none"/>
        </w:rPr>
        <w:t xml:space="preserve"> rather is a lease. The Proposed Project also does not involve a significant renovation to the physical plant of </w:t>
      </w:r>
      <w:proofErr w:type="gramStart"/>
      <w:r w:rsidRPr="00C11123">
        <w:rPr>
          <w:rFonts w:cs="Arial"/>
          <w:kern w:val="0"/>
          <w:sz w:val="22"/>
          <w:szCs w:val="22"/>
          <w14:ligatures w14:val="none"/>
        </w:rPr>
        <w:t>any</w:t>
      </w:r>
      <w:proofErr w:type="gramEnd"/>
      <w:r w:rsidRPr="00C11123">
        <w:rPr>
          <w:rFonts w:cs="Arial"/>
          <w:kern w:val="0"/>
          <w:sz w:val="22"/>
          <w:szCs w:val="22"/>
          <w14:ligatures w14:val="none"/>
        </w:rPr>
        <w:t xml:space="preserve"> its practice locations to accommodate the trailer</w:t>
      </w:r>
      <w:r w:rsidR="00A439DB" w:rsidRPr="00C11123">
        <w:rPr>
          <w:rFonts w:cs="Arial"/>
          <w:kern w:val="0"/>
          <w:sz w:val="22"/>
          <w:szCs w:val="22"/>
          <w14:ligatures w14:val="none"/>
        </w:rPr>
        <w:t xml:space="preserve">. </w:t>
      </w:r>
      <w:r w:rsidR="00251B63" w:rsidRPr="00C11123">
        <w:rPr>
          <w:rFonts w:cs="Arial"/>
          <w:kern w:val="0"/>
          <w:sz w:val="22"/>
          <w:szCs w:val="22"/>
          <w14:ligatures w14:val="none"/>
        </w:rPr>
        <w:t xml:space="preserve">In addition, the Applicant’s independent CPA has provided an analysis </w:t>
      </w:r>
      <w:r w:rsidR="00A162C6" w:rsidRPr="00C11123">
        <w:rPr>
          <w:rFonts w:cs="Arial"/>
          <w:kern w:val="0"/>
          <w:sz w:val="22"/>
          <w:szCs w:val="22"/>
          <w14:ligatures w14:val="none"/>
        </w:rPr>
        <w:t xml:space="preserve">of the Proposed Project and the Applicant’s </w:t>
      </w:r>
      <w:proofErr w:type="gramStart"/>
      <w:r w:rsidR="00A162C6" w:rsidRPr="00C11123">
        <w:rPr>
          <w:rFonts w:cs="Arial"/>
          <w:kern w:val="0"/>
          <w:sz w:val="22"/>
          <w:szCs w:val="22"/>
          <w14:ligatures w14:val="none"/>
        </w:rPr>
        <w:t>operations, and</w:t>
      </w:r>
      <w:proofErr w:type="gramEnd"/>
      <w:r w:rsidR="00A162C6" w:rsidRPr="00C11123">
        <w:rPr>
          <w:rFonts w:cs="Arial"/>
          <w:kern w:val="0"/>
          <w:sz w:val="22"/>
          <w:szCs w:val="22"/>
          <w14:ligatures w14:val="none"/>
        </w:rPr>
        <w:t xml:space="preserve"> determined that </w:t>
      </w:r>
      <w:r w:rsidR="00026E1D" w:rsidRPr="00C11123">
        <w:rPr>
          <w:rFonts w:cs="Arial"/>
          <w:kern w:val="0"/>
          <w:sz w:val="22"/>
          <w:szCs w:val="22"/>
          <w14:ligatures w14:val="none"/>
        </w:rPr>
        <w:t>the Proposed Project is financially reasonable and feasible and not likely to negatively impact the Patient Panel.</w:t>
      </w:r>
      <w:r w:rsidR="00D80DCE" w:rsidRPr="00C11123">
        <w:rPr>
          <w:rFonts w:cs="Arial"/>
          <w:kern w:val="0"/>
          <w:sz w:val="22"/>
          <w:szCs w:val="22"/>
          <w14:ligatures w14:val="none"/>
        </w:rPr>
        <w:t xml:space="preserve"> For example, </w:t>
      </w:r>
      <w:r w:rsidR="00F8349B" w:rsidRPr="00C11123">
        <w:rPr>
          <w:rFonts w:cs="Arial"/>
          <w:kern w:val="0"/>
          <w:sz w:val="22"/>
          <w:szCs w:val="22"/>
          <w14:ligatures w14:val="none"/>
        </w:rPr>
        <w:t>the Applicant’</w:t>
      </w:r>
      <w:r w:rsidR="000908F9" w:rsidRPr="00C11123">
        <w:rPr>
          <w:rFonts w:cs="Arial"/>
          <w:kern w:val="0"/>
          <w:sz w:val="22"/>
          <w:szCs w:val="22"/>
          <w14:ligatures w14:val="none"/>
        </w:rPr>
        <w:t xml:space="preserve">s total operating costs are expected to moderate to less than 3 percent </w:t>
      </w:r>
      <w:r w:rsidR="0004752F" w:rsidRPr="00C11123">
        <w:rPr>
          <w:rFonts w:cs="Arial"/>
          <w:kern w:val="0"/>
          <w:sz w:val="22"/>
          <w:szCs w:val="22"/>
          <w14:ligatures w14:val="none"/>
        </w:rPr>
        <w:t xml:space="preserve">following 2026. See Factor 4 </w:t>
      </w:r>
      <w:r w:rsidR="00E549FD" w:rsidRPr="00C11123">
        <w:rPr>
          <w:rFonts w:cs="Arial"/>
          <w:kern w:val="0"/>
          <w:sz w:val="22"/>
          <w:szCs w:val="22"/>
          <w14:ligatures w14:val="none"/>
        </w:rPr>
        <w:t>CPA</w:t>
      </w:r>
      <w:r w:rsidR="0004752F" w:rsidRPr="00C11123">
        <w:rPr>
          <w:rFonts w:cs="Arial"/>
          <w:kern w:val="0"/>
          <w:sz w:val="22"/>
          <w:szCs w:val="22"/>
          <w14:ligatures w14:val="none"/>
        </w:rPr>
        <w:t xml:space="preserve"> Analysis.</w:t>
      </w:r>
    </w:p>
    <w:p w14:paraId="75632DC3" w14:textId="77777777" w:rsidR="008E017B" w:rsidRPr="00C11123" w:rsidRDefault="008E017B" w:rsidP="00D70747">
      <w:pPr>
        <w:spacing w:after="0" w:line="240" w:lineRule="auto"/>
        <w:contextualSpacing/>
        <w:rPr>
          <w:rFonts w:cs="Arial"/>
          <w:kern w:val="0"/>
          <w:sz w:val="22"/>
          <w:szCs w:val="22"/>
          <w14:ligatures w14:val="none"/>
        </w:rPr>
      </w:pPr>
    </w:p>
    <w:p w14:paraId="78DF9AF5" w14:textId="77777777" w:rsidR="008E017B" w:rsidRPr="00240283" w:rsidRDefault="00000000" w:rsidP="00240283">
      <w:pPr>
        <w:pStyle w:val="Heading2"/>
        <w:rPr>
          <w:u w:val="single"/>
        </w:rPr>
      </w:pPr>
      <w:r w:rsidRPr="00240283">
        <w:rPr>
          <w:u w:val="single"/>
        </w:rPr>
        <w:t>Alternative</w:t>
      </w:r>
    </w:p>
    <w:p w14:paraId="476C0778" w14:textId="77777777" w:rsidR="00D22CF2" w:rsidRPr="00C11123" w:rsidRDefault="00D22CF2" w:rsidP="00D70747">
      <w:pPr>
        <w:spacing w:after="0" w:line="240" w:lineRule="auto"/>
        <w:contextualSpacing/>
        <w:jc w:val="both"/>
        <w:rPr>
          <w:rFonts w:cs="Arial"/>
          <w:b/>
          <w:kern w:val="0"/>
          <w:sz w:val="22"/>
          <w:szCs w:val="22"/>
          <w:u w:val="single"/>
          <w14:ligatures w14:val="none"/>
        </w:rPr>
      </w:pPr>
    </w:p>
    <w:p w14:paraId="3548926E" w14:textId="77777777" w:rsidR="008E017B" w:rsidRPr="00240283" w:rsidRDefault="00000000" w:rsidP="00240283">
      <w:pPr>
        <w:pStyle w:val="Heading3"/>
        <w:numPr>
          <w:ilvl w:val="0"/>
          <w:numId w:val="44"/>
        </w:numPr>
        <w:ind w:left="360"/>
        <w:rPr>
          <w:b/>
          <w:bCs/>
        </w:rPr>
      </w:pPr>
      <w:r w:rsidRPr="00240283">
        <w:rPr>
          <w:b/>
          <w:bCs/>
        </w:rPr>
        <w:t>Alternative Proposal</w:t>
      </w:r>
    </w:p>
    <w:p w14:paraId="3C264F51" w14:textId="77777777" w:rsidR="008E017B" w:rsidRPr="00C11123" w:rsidRDefault="008E017B" w:rsidP="00D70747">
      <w:pPr>
        <w:pStyle w:val="ListParagraph"/>
        <w:spacing w:after="0" w:line="240" w:lineRule="auto"/>
        <w:ind w:left="360"/>
        <w:jc w:val="both"/>
        <w:rPr>
          <w:rFonts w:cs="Arial"/>
          <w:b/>
          <w:kern w:val="0"/>
          <w:sz w:val="22"/>
          <w:szCs w:val="22"/>
          <w14:ligatures w14:val="none"/>
        </w:rPr>
      </w:pPr>
    </w:p>
    <w:p w14:paraId="24BDA999" w14:textId="5C80F0D1" w:rsidR="008E017B" w:rsidRPr="00C11123" w:rsidRDefault="00000000" w:rsidP="00D70747">
      <w:pPr>
        <w:pStyle w:val="ListParagraph"/>
        <w:spacing w:after="0" w:line="240" w:lineRule="auto"/>
        <w:ind w:left="360"/>
        <w:jc w:val="both"/>
        <w:rPr>
          <w:rFonts w:cs="Arial"/>
          <w:bCs/>
          <w:kern w:val="0"/>
          <w:sz w:val="22"/>
          <w:szCs w:val="22"/>
          <w14:ligatures w14:val="none"/>
        </w:rPr>
      </w:pPr>
      <w:r w:rsidRPr="00C11123">
        <w:rPr>
          <w:rFonts w:cs="Arial"/>
          <w:bCs/>
          <w:kern w:val="0"/>
          <w:sz w:val="22"/>
          <w:szCs w:val="22"/>
          <w14:ligatures w14:val="none"/>
        </w:rPr>
        <w:t>The Applicant does not currently provide</w:t>
      </w:r>
      <w:r w:rsidR="007845C8" w:rsidRPr="00C11123">
        <w:rPr>
          <w:rFonts w:cs="Arial"/>
          <w:bCs/>
          <w:kern w:val="0"/>
          <w:sz w:val="22"/>
          <w:szCs w:val="22"/>
          <w14:ligatures w14:val="none"/>
        </w:rPr>
        <w:t xml:space="preserve"> PSMA</w:t>
      </w:r>
      <w:r w:rsidRPr="00C11123">
        <w:rPr>
          <w:rFonts w:cs="Arial"/>
          <w:bCs/>
          <w:kern w:val="0"/>
          <w:sz w:val="22"/>
          <w:szCs w:val="22"/>
          <w14:ligatures w14:val="none"/>
        </w:rPr>
        <w:t xml:space="preserve"> PET/CT diagnostic imaging within its physician practice locations and instead must refer patients to external imaging providers. The Applicant explored the alternative to this Project, which is to continue this referral</w:t>
      </w:r>
      <w:r w:rsidRPr="00C11123">
        <w:rPr>
          <w:rFonts w:cs="Arial"/>
          <w:bCs/>
          <w:kern w:val="0"/>
          <w:sz w:val="22"/>
          <w:szCs w:val="22"/>
          <w14:ligatures w14:val="none"/>
        </w:rPr>
        <w:noBreakHyphen/>
        <w:t xml:space="preserve">based model. However, at best, that option merely preserves the status </w:t>
      </w:r>
      <w:proofErr w:type="gramStart"/>
      <w:r w:rsidRPr="00C11123">
        <w:rPr>
          <w:rFonts w:cs="Arial"/>
          <w:bCs/>
          <w:kern w:val="0"/>
          <w:sz w:val="22"/>
          <w:szCs w:val="22"/>
          <w14:ligatures w14:val="none"/>
        </w:rPr>
        <w:t>quo—a</w:t>
      </w:r>
      <w:proofErr w:type="gramEnd"/>
      <w:r w:rsidRPr="00C11123">
        <w:rPr>
          <w:rFonts w:cs="Arial"/>
          <w:bCs/>
          <w:kern w:val="0"/>
          <w:sz w:val="22"/>
          <w:szCs w:val="22"/>
          <w14:ligatures w14:val="none"/>
        </w:rPr>
        <w:t xml:space="preserve"> model that offers no path to advancing the Commonwealth’s goals of improving access to care, reducing systemwide healthcare costs, or promoting health equity. Maintaining the status quo would prevent the Applicant, its patients, and the broader healthcare system from realizing the benefits of the Proposed Project outlined throughout this Application. </w:t>
      </w:r>
      <w:proofErr w:type="gramStart"/>
      <w:r w:rsidRPr="00C11123">
        <w:rPr>
          <w:rFonts w:cs="Arial"/>
          <w:bCs/>
          <w:kern w:val="0"/>
          <w:sz w:val="22"/>
          <w:szCs w:val="22"/>
          <w14:ligatures w14:val="none"/>
        </w:rPr>
        <w:t>In particular, patients</w:t>
      </w:r>
      <w:proofErr w:type="gramEnd"/>
      <w:r w:rsidRPr="00C11123">
        <w:rPr>
          <w:rFonts w:cs="Arial"/>
          <w:bCs/>
          <w:kern w:val="0"/>
          <w:sz w:val="22"/>
          <w:szCs w:val="22"/>
          <w14:ligatures w14:val="none"/>
        </w:rPr>
        <w:t xml:space="preserve"> would continue to lack </w:t>
      </w:r>
      <w:r w:rsidR="00055073" w:rsidRPr="00C11123">
        <w:rPr>
          <w:rFonts w:cs="Arial"/>
          <w:bCs/>
          <w:kern w:val="0"/>
          <w:sz w:val="22"/>
          <w:szCs w:val="22"/>
          <w14:ligatures w14:val="none"/>
        </w:rPr>
        <w:t xml:space="preserve">the </w:t>
      </w:r>
      <w:proofErr w:type="gramStart"/>
      <w:r w:rsidR="00055073" w:rsidRPr="00C11123">
        <w:rPr>
          <w:rFonts w:cs="Arial"/>
          <w:bCs/>
          <w:kern w:val="0"/>
          <w:sz w:val="22"/>
          <w:szCs w:val="22"/>
          <w14:ligatures w14:val="none"/>
        </w:rPr>
        <w:t xml:space="preserve">most </w:t>
      </w:r>
      <w:r w:rsidRPr="00C11123">
        <w:rPr>
          <w:rFonts w:cs="Arial"/>
          <w:bCs/>
          <w:kern w:val="0"/>
          <w:sz w:val="22"/>
          <w:szCs w:val="22"/>
          <w14:ligatures w14:val="none"/>
        </w:rPr>
        <w:t>timely</w:t>
      </w:r>
      <w:proofErr w:type="gramEnd"/>
      <w:r w:rsidRPr="00C11123">
        <w:rPr>
          <w:rFonts w:cs="Arial"/>
          <w:bCs/>
          <w:kern w:val="0"/>
          <w:sz w:val="22"/>
          <w:szCs w:val="22"/>
          <w14:ligatures w14:val="none"/>
        </w:rPr>
        <w:t xml:space="preserve"> access to PSMA PET/CT imaging in convenient, community</w:t>
      </w:r>
      <w:r w:rsidRPr="00C11123">
        <w:rPr>
          <w:rFonts w:cs="Arial"/>
          <w:bCs/>
          <w:kern w:val="0"/>
          <w:sz w:val="22"/>
          <w:szCs w:val="22"/>
          <w14:ligatures w14:val="none"/>
        </w:rPr>
        <w:noBreakHyphen/>
        <w:t>based settings. Without in</w:t>
      </w:r>
      <w:r w:rsidRPr="00C11123">
        <w:rPr>
          <w:rFonts w:cs="Arial"/>
          <w:bCs/>
          <w:kern w:val="0"/>
          <w:sz w:val="22"/>
          <w:szCs w:val="22"/>
          <w14:ligatures w14:val="none"/>
        </w:rPr>
        <w:noBreakHyphen/>
      </w:r>
      <w:r w:rsidR="003D1204" w:rsidRPr="00C11123">
        <w:rPr>
          <w:rFonts w:cs="Arial"/>
          <w:bCs/>
          <w:kern w:val="0"/>
          <w:sz w:val="22"/>
          <w:szCs w:val="22"/>
          <w14:ligatures w14:val="none"/>
        </w:rPr>
        <w:t xml:space="preserve">office </w:t>
      </w:r>
      <w:r w:rsidRPr="00C11123">
        <w:rPr>
          <w:rFonts w:cs="Arial"/>
          <w:bCs/>
          <w:kern w:val="0"/>
          <w:sz w:val="22"/>
          <w:szCs w:val="22"/>
          <w14:ligatures w14:val="none"/>
        </w:rPr>
        <w:t>imaging, the Applicant’s Patient Panel must seek essential diagnostic services from outside facilities, forcing individuals facing sensitive and potentially life</w:t>
      </w:r>
      <w:r w:rsidRPr="00C11123">
        <w:rPr>
          <w:rFonts w:cs="Arial"/>
          <w:bCs/>
          <w:kern w:val="0"/>
          <w:sz w:val="22"/>
          <w:szCs w:val="22"/>
          <w14:ligatures w14:val="none"/>
        </w:rPr>
        <w:noBreakHyphen/>
        <w:t>altering conditions to obtain critical evaluations from providers other than their trusted, established urologists. Patients would also remain subject to longer wait times as they compete with the broader public for limited scheduling availability within hospital-based imaging departments and other higher</w:t>
      </w:r>
      <w:r w:rsidRPr="00C11123">
        <w:rPr>
          <w:rFonts w:cs="Arial"/>
          <w:bCs/>
          <w:kern w:val="0"/>
          <w:sz w:val="22"/>
          <w:szCs w:val="22"/>
          <w14:ligatures w14:val="none"/>
        </w:rPr>
        <w:noBreakHyphen/>
        <w:t>cost settings.</w:t>
      </w:r>
      <w:r w:rsidR="00313AD5" w:rsidRPr="00C11123">
        <w:rPr>
          <w:rFonts w:cs="Arial"/>
          <w:bCs/>
          <w:kern w:val="0"/>
          <w:sz w:val="22"/>
          <w:szCs w:val="22"/>
          <w14:ligatures w14:val="none"/>
        </w:rPr>
        <w:t xml:space="preserve"> Based on the Applicant’s own research into local imaging providers, hospitals and IDTFs frequently schedule </w:t>
      </w:r>
      <w:proofErr w:type="gramStart"/>
      <w:r w:rsidR="00313AD5" w:rsidRPr="00C11123">
        <w:rPr>
          <w:rFonts w:cs="Arial"/>
          <w:bCs/>
          <w:kern w:val="0"/>
          <w:sz w:val="22"/>
          <w:szCs w:val="22"/>
          <w14:ligatures w14:val="none"/>
        </w:rPr>
        <w:t>patients</w:t>
      </w:r>
      <w:proofErr w:type="gramEnd"/>
      <w:r w:rsidR="00313AD5" w:rsidRPr="00C11123">
        <w:rPr>
          <w:rFonts w:cs="Arial"/>
          <w:bCs/>
          <w:kern w:val="0"/>
          <w:sz w:val="22"/>
          <w:szCs w:val="22"/>
          <w14:ligatures w14:val="none"/>
        </w:rPr>
        <w:t xml:space="preserve"> weeks if not over a month out.</w:t>
      </w:r>
      <w:r w:rsidRPr="00C11123">
        <w:rPr>
          <w:rFonts w:cs="Arial"/>
          <w:bCs/>
          <w:kern w:val="0"/>
          <w:sz w:val="22"/>
          <w:szCs w:val="22"/>
          <w14:ligatures w14:val="none"/>
        </w:rPr>
        <w:t xml:space="preserve"> </w:t>
      </w:r>
      <w:r w:rsidR="00313AD5" w:rsidRPr="00C11123">
        <w:rPr>
          <w:rFonts w:cs="Arial"/>
          <w:bCs/>
          <w:kern w:val="0"/>
          <w:sz w:val="22"/>
          <w:szCs w:val="22"/>
          <w14:ligatures w14:val="none"/>
        </w:rPr>
        <w:t xml:space="preserve">Maintaining the current </w:t>
      </w:r>
      <w:r w:rsidRPr="00C11123">
        <w:rPr>
          <w:rFonts w:cs="Arial"/>
          <w:bCs/>
          <w:kern w:val="0"/>
          <w:sz w:val="22"/>
          <w:szCs w:val="22"/>
          <w14:ligatures w14:val="none"/>
        </w:rPr>
        <w:t xml:space="preserve">approach perpetuates fragmented healthcare that disrupts </w:t>
      </w:r>
      <w:r w:rsidR="00D90D7E" w:rsidRPr="00C11123">
        <w:rPr>
          <w:rFonts w:cs="Arial"/>
          <w:bCs/>
          <w:kern w:val="0"/>
          <w:sz w:val="22"/>
          <w:szCs w:val="22"/>
          <w14:ligatures w14:val="none"/>
        </w:rPr>
        <w:t xml:space="preserve">care </w:t>
      </w:r>
      <w:r w:rsidRPr="00C11123">
        <w:rPr>
          <w:rFonts w:cs="Arial"/>
          <w:bCs/>
          <w:kern w:val="0"/>
          <w:sz w:val="22"/>
          <w:szCs w:val="22"/>
          <w14:ligatures w14:val="none"/>
        </w:rPr>
        <w:t>continuity</w:t>
      </w:r>
      <w:r w:rsidR="00D90D7E" w:rsidRPr="00C11123">
        <w:rPr>
          <w:rFonts w:cs="Arial"/>
          <w:bCs/>
          <w:kern w:val="0"/>
          <w:sz w:val="22"/>
          <w:szCs w:val="22"/>
          <w14:ligatures w14:val="none"/>
        </w:rPr>
        <w:t xml:space="preserve"> and</w:t>
      </w:r>
      <w:r w:rsidRPr="00C11123">
        <w:rPr>
          <w:rFonts w:cs="Arial"/>
          <w:bCs/>
          <w:kern w:val="0"/>
          <w:sz w:val="22"/>
          <w:szCs w:val="22"/>
          <w14:ligatures w14:val="none"/>
        </w:rPr>
        <w:t xml:space="preserve"> delays decision</w:t>
      </w:r>
      <w:r w:rsidRPr="00C11123">
        <w:rPr>
          <w:rFonts w:cs="Arial"/>
          <w:bCs/>
          <w:kern w:val="0"/>
          <w:sz w:val="22"/>
          <w:szCs w:val="22"/>
          <w14:ligatures w14:val="none"/>
        </w:rPr>
        <w:noBreakHyphen/>
        <w:t>making</w:t>
      </w:r>
      <w:r w:rsidR="00D90D7E" w:rsidRPr="00C11123">
        <w:rPr>
          <w:rFonts w:cs="Arial"/>
          <w:bCs/>
          <w:kern w:val="0"/>
          <w:sz w:val="22"/>
          <w:szCs w:val="22"/>
          <w14:ligatures w14:val="none"/>
        </w:rPr>
        <w:t>. It</w:t>
      </w:r>
      <w:r w:rsidR="006B21B6" w:rsidRPr="00C11123">
        <w:rPr>
          <w:rFonts w:cs="Arial"/>
          <w:bCs/>
          <w:kern w:val="0"/>
          <w:sz w:val="22"/>
          <w:szCs w:val="22"/>
          <w14:ligatures w14:val="none"/>
        </w:rPr>
        <w:t xml:space="preserve"> </w:t>
      </w:r>
      <w:r w:rsidR="00D90D7E" w:rsidRPr="00C11123">
        <w:rPr>
          <w:rFonts w:cs="Arial"/>
          <w:bCs/>
          <w:kern w:val="0"/>
          <w:sz w:val="22"/>
          <w:szCs w:val="22"/>
          <w14:ligatures w14:val="none"/>
        </w:rPr>
        <w:t xml:space="preserve">also </w:t>
      </w:r>
      <w:r w:rsidRPr="00C11123">
        <w:rPr>
          <w:rFonts w:cs="Arial"/>
          <w:bCs/>
          <w:kern w:val="0"/>
          <w:sz w:val="22"/>
          <w:szCs w:val="22"/>
          <w14:ligatures w14:val="none"/>
        </w:rPr>
        <w:t>increases costs by relying on more expensive provider sites and burdening patients with higher deductibles, coinsurance responsibilities, and other out-of-pocket expenses.</w:t>
      </w:r>
    </w:p>
    <w:p w14:paraId="1B201DE3" w14:textId="77777777" w:rsidR="008E017B" w:rsidRPr="00C11123" w:rsidRDefault="008E017B" w:rsidP="00D70747">
      <w:pPr>
        <w:pStyle w:val="ListParagraph"/>
        <w:spacing w:after="0" w:line="240" w:lineRule="auto"/>
        <w:ind w:left="360"/>
        <w:jc w:val="both"/>
        <w:rPr>
          <w:rFonts w:cs="Arial"/>
          <w:bCs/>
          <w:kern w:val="0"/>
          <w:sz w:val="22"/>
          <w:szCs w:val="22"/>
          <w14:ligatures w14:val="none"/>
        </w:rPr>
      </w:pPr>
    </w:p>
    <w:p w14:paraId="3A2755FF" w14:textId="77777777" w:rsidR="008E017B" w:rsidRPr="009D0261" w:rsidRDefault="00000000" w:rsidP="009D0261">
      <w:pPr>
        <w:pStyle w:val="Heading3"/>
        <w:numPr>
          <w:ilvl w:val="0"/>
          <w:numId w:val="44"/>
        </w:numPr>
        <w:ind w:left="360"/>
        <w:rPr>
          <w:b/>
          <w:bCs/>
        </w:rPr>
      </w:pPr>
      <w:r w:rsidRPr="009D0261">
        <w:rPr>
          <w:b/>
          <w:bCs/>
        </w:rPr>
        <w:t>Alternative Quality</w:t>
      </w:r>
    </w:p>
    <w:p w14:paraId="121AEAE3" w14:textId="77777777" w:rsidR="008E017B" w:rsidRPr="00C11123" w:rsidRDefault="008E017B" w:rsidP="00D70747">
      <w:pPr>
        <w:pStyle w:val="ListParagraph"/>
        <w:spacing w:after="0" w:line="240" w:lineRule="auto"/>
        <w:ind w:left="360"/>
        <w:jc w:val="both"/>
        <w:rPr>
          <w:rFonts w:eastAsia="Times New Roman" w:cs="Arial"/>
          <w:kern w:val="0"/>
          <w:sz w:val="22"/>
          <w:szCs w:val="22"/>
          <w14:ligatures w14:val="none"/>
        </w:rPr>
      </w:pPr>
    </w:p>
    <w:p w14:paraId="2DB1B260" w14:textId="6E42FA7F" w:rsidR="008E017B" w:rsidRPr="00C11123" w:rsidRDefault="00000000" w:rsidP="00D70747">
      <w:pPr>
        <w:pStyle w:val="ListParagraph"/>
        <w:spacing w:after="0" w:line="240" w:lineRule="auto"/>
        <w:ind w:left="360"/>
        <w:jc w:val="both"/>
        <w:rPr>
          <w:rFonts w:eastAsia="Times New Roman" w:cs="Arial"/>
          <w:kern w:val="0"/>
          <w:sz w:val="22"/>
          <w:szCs w:val="22"/>
          <w14:ligatures w14:val="none"/>
        </w:rPr>
      </w:pPr>
      <w:r w:rsidRPr="00C11123">
        <w:rPr>
          <w:rFonts w:eastAsia="Times New Roman" w:cs="Arial"/>
          <w:kern w:val="0"/>
          <w:sz w:val="22"/>
          <w:szCs w:val="22"/>
          <w14:ligatures w14:val="none"/>
        </w:rPr>
        <w:t xml:space="preserve">The alternative to the Proposed Project – that is, referring patients to external providers for PET/CT imaging – will not meet the Patient Panel’s need for state-of-the-art </w:t>
      </w:r>
      <w:r w:rsidR="00D90D7E" w:rsidRPr="00C11123">
        <w:rPr>
          <w:rFonts w:eastAsia="Times New Roman" w:cs="Arial"/>
          <w:kern w:val="0"/>
          <w:sz w:val="22"/>
          <w:szCs w:val="22"/>
          <w14:ligatures w14:val="none"/>
        </w:rPr>
        <w:t xml:space="preserve">PSMA </w:t>
      </w:r>
      <w:r w:rsidRPr="00C11123">
        <w:rPr>
          <w:rFonts w:eastAsia="Times New Roman" w:cs="Arial"/>
          <w:kern w:val="0"/>
          <w:sz w:val="22"/>
          <w:szCs w:val="22"/>
          <w14:ligatures w14:val="none"/>
        </w:rPr>
        <w:t xml:space="preserve">PET/CT imaging techniques in the most clinically timely manner and in a convenient and affordable </w:t>
      </w:r>
      <w:r w:rsidRPr="00C11123">
        <w:rPr>
          <w:rFonts w:eastAsia="Times New Roman" w:cs="Arial"/>
          <w:kern w:val="0"/>
          <w:sz w:val="22"/>
          <w:szCs w:val="22"/>
          <w14:ligatures w14:val="none"/>
        </w:rPr>
        <w:lastRenderedPageBreak/>
        <w:t>setting.  Failure to undertake the Proposed Project will have meaningful implications for care quality—particularly for cancer patients who rely on timely, accurate diagnostic information. The fact that imaging services can alternatively be outsourced does not mitigate the clinical consequences of delayed or fragmented diagnostic pathways. Evidence shows that PSMA PET/CT provides unparalleled accuracy in detecting prostate cancer lesions, staging disease, and determining appropriate treatment strategies. Without in</w:t>
      </w:r>
      <w:r w:rsidRPr="00C11123">
        <w:rPr>
          <w:rFonts w:eastAsia="Times New Roman" w:cs="Arial"/>
          <w:kern w:val="0"/>
          <w:sz w:val="22"/>
          <w:szCs w:val="22"/>
          <w14:ligatures w14:val="none"/>
        </w:rPr>
        <w:noBreakHyphen/>
      </w:r>
      <w:r w:rsidR="00D90D7E" w:rsidRPr="00C11123">
        <w:rPr>
          <w:rFonts w:eastAsia="Times New Roman" w:cs="Arial"/>
          <w:kern w:val="0"/>
          <w:sz w:val="22"/>
          <w:szCs w:val="22"/>
          <w14:ligatures w14:val="none"/>
        </w:rPr>
        <w:t xml:space="preserve">office </w:t>
      </w:r>
      <w:r w:rsidRPr="00C11123">
        <w:rPr>
          <w:rFonts w:eastAsia="Times New Roman" w:cs="Arial"/>
          <w:kern w:val="0"/>
          <w:sz w:val="22"/>
          <w:szCs w:val="22"/>
          <w14:ligatures w14:val="none"/>
        </w:rPr>
        <w:t>access to these capabilities, the Applicant’s patients will face longer wait times, less coordinated care, and increased risk that cancers will be detected at more advanced stages—outcomes which can diminish survival and complicate treatment.</w:t>
      </w:r>
      <w:r>
        <w:rPr>
          <w:rStyle w:val="FootnoteReference"/>
          <w:rFonts w:eastAsia="Times New Roman" w:cs="Arial"/>
          <w:kern w:val="0"/>
          <w:sz w:val="22"/>
          <w:szCs w:val="22"/>
          <w14:ligatures w14:val="none"/>
        </w:rPr>
        <w:footnoteReference w:id="144"/>
      </w:r>
      <w:r w:rsidRPr="00C11123">
        <w:rPr>
          <w:rFonts w:eastAsia="Times New Roman" w:cs="Arial"/>
          <w:kern w:val="0"/>
          <w:sz w:val="22"/>
          <w:szCs w:val="22"/>
          <w14:ligatures w14:val="none"/>
        </w:rPr>
        <w:t xml:space="preserve"> </w:t>
      </w:r>
    </w:p>
    <w:p w14:paraId="1514D14A" w14:textId="77777777" w:rsidR="008E017B" w:rsidRPr="00C11123" w:rsidRDefault="008E017B" w:rsidP="00D70747">
      <w:pPr>
        <w:pStyle w:val="ListParagraph"/>
        <w:spacing w:after="0" w:line="240" w:lineRule="auto"/>
        <w:ind w:left="360"/>
        <w:jc w:val="both"/>
        <w:rPr>
          <w:rFonts w:eastAsia="Times New Roman" w:cs="Arial"/>
          <w:kern w:val="0"/>
          <w:sz w:val="22"/>
          <w:szCs w:val="22"/>
          <w14:ligatures w14:val="none"/>
        </w:rPr>
      </w:pPr>
    </w:p>
    <w:p w14:paraId="5AADB123" w14:textId="1A90D82B" w:rsidR="008E017B" w:rsidRPr="00C11123" w:rsidRDefault="00000000" w:rsidP="00D70747">
      <w:pPr>
        <w:pStyle w:val="ListParagraph"/>
        <w:spacing w:after="0" w:line="240" w:lineRule="auto"/>
        <w:ind w:left="360"/>
        <w:jc w:val="both"/>
        <w:rPr>
          <w:rFonts w:eastAsia="Times New Roman" w:cs="Arial"/>
          <w:kern w:val="0"/>
          <w:sz w:val="22"/>
          <w:szCs w:val="22"/>
          <w14:ligatures w14:val="none"/>
        </w:rPr>
      </w:pPr>
      <w:r w:rsidRPr="00C11123">
        <w:rPr>
          <w:rFonts w:eastAsia="Times New Roman" w:cs="Arial"/>
          <w:kern w:val="0"/>
          <w:sz w:val="22"/>
          <w:szCs w:val="22"/>
          <w14:ligatures w14:val="none"/>
        </w:rPr>
        <w:t>Moreover, continuing to rely solely on external imaging providers perpetuates a fragmented model of care that undermines the Commonwealth’s interest in promoting high</w:t>
      </w:r>
      <w:r w:rsidRPr="00C11123">
        <w:rPr>
          <w:rFonts w:eastAsia="Times New Roman" w:cs="Arial"/>
          <w:kern w:val="0"/>
          <w:sz w:val="22"/>
          <w:szCs w:val="22"/>
          <w14:ligatures w14:val="none"/>
        </w:rPr>
        <w:noBreakHyphen/>
        <w:t xml:space="preserve">quality, </w:t>
      </w:r>
      <w:proofErr w:type="gramStart"/>
      <w:r w:rsidRPr="00C11123">
        <w:rPr>
          <w:rFonts w:eastAsia="Times New Roman" w:cs="Arial"/>
          <w:kern w:val="0"/>
          <w:sz w:val="22"/>
          <w:szCs w:val="22"/>
          <w14:ligatures w14:val="none"/>
        </w:rPr>
        <w:t>efficient</w:t>
      </w:r>
      <w:proofErr w:type="gramEnd"/>
      <w:r w:rsidRPr="00C11123">
        <w:rPr>
          <w:rFonts w:eastAsia="Times New Roman" w:cs="Arial"/>
          <w:kern w:val="0"/>
          <w:sz w:val="22"/>
          <w:szCs w:val="22"/>
          <w14:ligatures w14:val="none"/>
        </w:rPr>
        <w:t>, and patient</w:t>
      </w:r>
      <w:r w:rsidRPr="00C11123">
        <w:rPr>
          <w:rFonts w:eastAsia="Times New Roman" w:cs="Arial"/>
          <w:kern w:val="0"/>
          <w:sz w:val="22"/>
          <w:szCs w:val="22"/>
          <w14:ligatures w14:val="none"/>
        </w:rPr>
        <w:noBreakHyphen/>
        <w:t xml:space="preserve">centered care. When imaging and clinical evaluation occur in different settings, </w:t>
      </w:r>
      <w:r w:rsidR="00D90D7E" w:rsidRPr="00C11123">
        <w:rPr>
          <w:rFonts w:eastAsia="Times New Roman" w:cs="Arial"/>
          <w:kern w:val="0"/>
          <w:sz w:val="22"/>
          <w:szCs w:val="22"/>
          <w14:ligatures w14:val="none"/>
        </w:rPr>
        <w:t xml:space="preserve">unnecessary </w:t>
      </w:r>
      <w:r w:rsidRPr="00C11123">
        <w:rPr>
          <w:rFonts w:eastAsia="Times New Roman" w:cs="Arial"/>
          <w:kern w:val="0"/>
          <w:sz w:val="22"/>
          <w:szCs w:val="22"/>
          <w14:ligatures w14:val="none"/>
        </w:rPr>
        <w:t>delays in diagnosis and treatment planning are more likely, and patients are required to navigate multi</w:t>
      </w:r>
      <w:r w:rsidRPr="00C11123">
        <w:rPr>
          <w:rFonts w:eastAsia="Times New Roman" w:cs="Arial"/>
          <w:kern w:val="0"/>
          <w:sz w:val="22"/>
          <w:szCs w:val="22"/>
          <w14:ligatures w14:val="none"/>
        </w:rPr>
        <w:noBreakHyphen/>
        <w:t xml:space="preserve">site care that can exacerbate anxiety during already vulnerable periods. By contrast, integrating </w:t>
      </w:r>
      <w:r w:rsidR="00332AE1" w:rsidRPr="00C11123">
        <w:rPr>
          <w:rFonts w:eastAsia="Times New Roman" w:cs="Arial"/>
          <w:kern w:val="0"/>
          <w:sz w:val="22"/>
          <w:szCs w:val="22"/>
          <w14:ligatures w14:val="none"/>
        </w:rPr>
        <w:t xml:space="preserve">PSMA </w:t>
      </w:r>
      <w:r w:rsidRPr="00C11123">
        <w:rPr>
          <w:rFonts w:eastAsia="Times New Roman" w:cs="Arial"/>
          <w:kern w:val="0"/>
          <w:sz w:val="22"/>
          <w:szCs w:val="22"/>
          <w14:ligatures w14:val="none"/>
        </w:rPr>
        <w:t>PET/CT within the Applicant’s practice will support coordinated decision</w:t>
      </w:r>
      <w:r w:rsidRPr="00C11123">
        <w:rPr>
          <w:rFonts w:eastAsia="Times New Roman" w:cs="Arial"/>
          <w:kern w:val="0"/>
          <w:sz w:val="22"/>
          <w:szCs w:val="22"/>
          <w14:ligatures w14:val="none"/>
        </w:rPr>
        <w:noBreakHyphen/>
        <w:t>making, enable clinicians to provide rapid, evidence</w:t>
      </w:r>
      <w:r w:rsidRPr="00C11123">
        <w:rPr>
          <w:rFonts w:eastAsia="Times New Roman" w:cs="Arial"/>
          <w:kern w:val="0"/>
          <w:sz w:val="22"/>
          <w:szCs w:val="22"/>
          <w14:ligatures w14:val="none"/>
        </w:rPr>
        <w:noBreakHyphen/>
        <w:t xml:space="preserve">based treatment recommendations, and enhance precision oncology approaches now </w:t>
      </w:r>
      <w:r w:rsidR="007105E0" w:rsidRPr="00C11123">
        <w:rPr>
          <w:rFonts w:eastAsia="Times New Roman" w:cs="Arial"/>
          <w:kern w:val="0"/>
          <w:sz w:val="22"/>
          <w:szCs w:val="22"/>
          <w14:ligatures w14:val="none"/>
        </w:rPr>
        <w:t>part of the</w:t>
      </w:r>
      <w:r w:rsidRPr="00C11123">
        <w:rPr>
          <w:rFonts w:eastAsia="Times New Roman" w:cs="Arial"/>
          <w:kern w:val="0"/>
          <w:sz w:val="22"/>
          <w:szCs w:val="22"/>
          <w14:ligatures w14:val="none"/>
        </w:rPr>
        <w:t xml:space="preserve"> standard of care.</w:t>
      </w:r>
      <w:r>
        <w:rPr>
          <w:rStyle w:val="FootnoteReference"/>
          <w:rFonts w:eastAsia="Times New Roman" w:cs="Arial"/>
          <w:kern w:val="0"/>
          <w:sz w:val="22"/>
          <w:szCs w:val="22"/>
          <w14:ligatures w14:val="none"/>
        </w:rPr>
        <w:footnoteReference w:id="145"/>
      </w:r>
      <w:r w:rsidRPr="00C11123">
        <w:rPr>
          <w:rFonts w:eastAsia="Times New Roman" w:cs="Arial"/>
          <w:kern w:val="0"/>
          <w:sz w:val="22"/>
          <w:szCs w:val="22"/>
          <w14:ligatures w14:val="none"/>
        </w:rPr>
        <w:t xml:space="preserve"> In this context, declining to implement on</w:t>
      </w:r>
      <w:r w:rsidRPr="00C11123">
        <w:rPr>
          <w:rFonts w:eastAsia="Times New Roman" w:cs="Arial"/>
          <w:kern w:val="0"/>
          <w:sz w:val="22"/>
          <w:szCs w:val="22"/>
          <w14:ligatures w14:val="none"/>
        </w:rPr>
        <w:noBreakHyphen/>
        <w:t>site advanced imaging would risk perpetuating avoidable</w:t>
      </w:r>
      <w:r w:rsidR="003D3D9F" w:rsidRPr="00C11123">
        <w:rPr>
          <w:rFonts w:eastAsia="Times New Roman" w:cs="Arial"/>
          <w:kern w:val="0"/>
          <w:sz w:val="22"/>
          <w:szCs w:val="22"/>
          <w14:ligatures w14:val="none"/>
        </w:rPr>
        <w:t xml:space="preserve"> health outcomes and</w:t>
      </w:r>
      <w:r w:rsidRPr="00C11123">
        <w:rPr>
          <w:rFonts w:eastAsia="Times New Roman" w:cs="Arial"/>
          <w:kern w:val="0"/>
          <w:sz w:val="22"/>
          <w:szCs w:val="22"/>
          <w14:ligatures w14:val="none"/>
        </w:rPr>
        <w:t xml:space="preserve"> disparities, inefficiencies, and health inequities in </w:t>
      </w:r>
      <w:r w:rsidR="00332AE1" w:rsidRPr="00C11123">
        <w:rPr>
          <w:rFonts w:eastAsia="Times New Roman" w:cs="Arial"/>
          <w:kern w:val="0"/>
          <w:sz w:val="22"/>
          <w:szCs w:val="22"/>
          <w14:ligatures w14:val="none"/>
        </w:rPr>
        <w:t xml:space="preserve">prostate </w:t>
      </w:r>
      <w:r w:rsidRPr="00C11123">
        <w:rPr>
          <w:rFonts w:eastAsia="Times New Roman" w:cs="Arial"/>
          <w:kern w:val="0"/>
          <w:sz w:val="22"/>
          <w:szCs w:val="22"/>
          <w14:ligatures w14:val="none"/>
        </w:rPr>
        <w:t>cancer care delivery.</w:t>
      </w:r>
      <w:r>
        <w:rPr>
          <w:rStyle w:val="FootnoteReference"/>
          <w:rFonts w:eastAsia="Times New Roman" w:cs="Arial"/>
          <w:kern w:val="0"/>
          <w:sz w:val="22"/>
          <w:szCs w:val="22"/>
          <w14:ligatures w14:val="none"/>
        </w:rPr>
        <w:footnoteReference w:id="146"/>
      </w:r>
    </w:p>
    <w:p w14:paraId="547180D4" w14:textId="77777777" w:rsidR="008E017B" w:rsidRPr="00C11123" w:rsidRDefault="008E017B" w:rsidP="00D70747">
      <w:pPr>
        <w:pStyle w:val="ListParagraph"/>
        <w:spacing w:after="0" w:line="240" w:lineRule="auto"/>
        <w:ind w:left="360"/>
        <w:jc w:val="both"/>
        <w:rPr>
          <w:rFonts w:eastAsia="Times New Roman" w:cs="Arial"/>
          <w:kern w:val="0"/>
          <w:sz w:val="22"/>
          <w:szCs w:val="22"/>
          <w14:ligatures w14:val="none"/>
        </w:rPr>
      </w:pPr>
    </w:p>
    <w:p w14:paraId="21681B2F" w14:textId="77777777" w:rsidR="008E017B" w:rsidRPr="009D0261" w:rsidRDefault="00000000" w:rsidP="009D0261">
      <w:pPr>
        <w:pStyle w:val="Heading3"/>
        <w:numPr>
          <w:ilvl w:val="0"/>
          <w:numId w:val="44"/>
        </w:numPr>
        <w:ind w:left="360"/>
        <w:rPr>
          <w:b/>
          <w:bCs/>
        </w:rPr>
      </w:pPr>
      <w:r w:rsidRPr="009D0261">
        <w:rPr>
          <w:b/>
          <w:bCs/>
        </w:rPr>
        <w:t>Alternative Efficiency</w:t>
      </w:r>
    </w:p>
    <w:p w14:paraId="3E6DFF0F" w14:textId="77777777" w:rsidR="006B21B6" w:rsidRPr="00C11123" w:rsidRDefault="006B21B6" w:rsidP="00D70747">
      <w:pPr>
        <w:pStyle w:val="ListParagraph"/>
        <w:spacing w:after="0" w:line="240" w:lineRule="auto"/>
        <w:ind w:left="360"/>
        <w:jc w:val="both"/>
        <w:rPr>
          <w:rFonts w:cs="Arial"/>
          <w:b/>
          <w:kern w:val="0"/>
          <w:sz w:val="22"/>
          <w:szCs w:val="22"/>
          <w14:ligatures w14:val="none"/>
        </w:rPr>
      </w:pPr>
    </w:p>
    <w:p w14:paraId="31E7AF92" w14:textId="2D9C1600" w:rsidR="008E017B" w:rsidRPr="00C11123" w:rsidRDefault="00000000">
      <w:pPr>
        <w:spacing w:after="0" w:line="240" w:lineRule="auto"/>
        <w:ind w:left="360"/>
        <w:jc w:val="both"/>
        <w:rPr>
          <w:rFonts w:cs="Arial"/>
          <w:bCs/>
          <w:kern w:val="0"/>
          <w:sz w:val="22"/>
          <w:szCs w:val="22"/>
          <w14:ligatures w14:val="none"/>
        </w:rPr>
      </w:pPr>
      <w:r w:rsidRPr="00C11123">
        <w:rPr>
          <w:rFonts w:cs="Arial"/>
          <w:bCs/>
          <w:kern w:val="0"/>
          <w:sz w:val="22"/>
          <w:szCs w:val="22"/>
          <w14:ligatures w14:val="none"/>
        </w:rPr>
        <w:t xml:space="preserve">If the Applicant does not undertake the Proposed Project, the Applicant’s Patient Panel will remain dependent on external imaging providers, a scenario that neither improves efficiency nor supports timely, coordinated cancer care. The Patient Panel will still require </w:t>
      </w:r>
      <w:r w:rsidR="003D3D9F" w:rsidRPr="00C11123">
        <w:rPr>
          <w:rFonts w:cs="Arial"/>
          <w:bCs/>
          <w:kern w:val="0"/>
          <w:sz w:val="22"/>
          <w:szCs w:val="22"/>
          <w14:ligatures w14:val="none"/>
        </w:rPr>
        <w:t>PS</w:t>
      </w:r>
      <w:r w:rsidR="007845C8" w:rsidRPr="00C11123">
        <w:rPr>
          <w:rFonts w:cs="Arial"/>
          <w:bCs/>
          <w:kern w:val="0"/>
          <w:sz w:val="22"/>
          <w:szCs w:val="22"/>
          <w14:ligatures w14:val="none"/>
        </w:rPr>
        <w:t>MA</w:t>
      </w:r>
      <w:r w:rsidR="003D3D9F" w:rsidRPr="00C11123">
        <w:rPr>
          <w:rFonts w:cs="Arial"/>
          <w:bCs/>
          <w:kern w:val="0"/>
          <w:sz w:val="22"/>
          <w:szCs w:val="22"/>
          <w14:ligatures w14:val="none"/>
        </w:rPr>
        <w:t xml:space="preserve"> </w:t>
      </w:r>
      <w:r w:rsidRPr="00C11123">
        <w:rPr>
          <w:rFonts w:cs="Arial"/>
          <w:bCs/>
          <w:kern w:val="0"/>
          <w:sz w:val="22"/>
          <w:szCs w:val="22"/>
          <w14:ligatures w14:val="none"/>
        </w:rPr>
        <w:t>PET/CT studies, but instead of receiving them within the Applicant’s physician practice with which they have an established relationship, they will face additional wait</w:t>
      </w:r>
      <w:r w:rsidR="00D47A74" w:rsidRPr="00C11123">
        <w:rPr>
          <w:rFonts w:cs="Arial"/>
          <w:bCs/>
          <w:kern w:val="0"/>
          <w:sz w:val="22"/>
          <w:szCs w:val="22"/>
          <w14:ligatures w14:val="none"/>
        </w:rPr>
        <w:t xml:space="preserve"> times </w:t>
      </w:r>
      <w:r w:rsidRPr="00C11123">
        <w:rPr>
          <w:rFonts w:cs="Arial"/>
          <w:bCs/>
          <w:kern w:val="0"/>
          <w:sz w:val="22"/>
          <w:szCs w:val="22"/>
          <w14:ligatures w14:val="none"/>
        </w:rPr>
        <w:t xml:space="preserve">for appointment availability at outside facilities—delays that, in turn, slow the Applicant’s ability to diagnose, initiate treatment, and manage disease progression. This reliance on external capacity would also add to the patient load at existing imaging centers, further constraining access for patients of all needs across the Commonwealth. In contrast, granting approval for the Applicant to provide </w:t>
      </w:r>
      <w:r w:rsidR="00D47A74" w:rsidRPr="00C11123">
        <w:rPr>
          <w:rFonts w:cs="Arial"/>
          <w:bCs/>
          <w:kern w:val="0"/>
          <w:sz w:val="22"/>
          <w:szCs w:val="22"/>
          <w14:ligatures w14:val="none"/>
        </w:rPr>
        <w:t xml:space="preserve">in-office </w:t>
      </w:r>
      <w:r w:rsidR="003D3D9F" w:rsidRPr="00C11123">
        <w:rPr>
          <w:rFonts w:cs="Arial"/>
          <w:bCs/>
          <w:kern w:val="0"/>
          <w:sz w:val="22"/>
          <w:szCs w:val="22"/>
          <w14:ligatures w14:val="none"/>
        </w:rPr>
        <w:t xml:space="preserve">PSMA </w:t>
      </w:r>
      <w:r w:rsidRPr="00C11123">
        <w:rPr>
          <w:rFonts w:cs="Arial"/>
          <w:bCs/>
          <w:kern w:val="0"/>
          <w:sz w:val="22"/>
          <w:szCs w:val="22"/>
          <w14:ligatures w14:val="none"/>
        </w:rPr>
        <w:t>ET/CT services would directly mitigate these systemic delays and better support high</w:t>
      </w:r>
      <w:r w:rsidRPr="00C11123">
        <w:rPr>
          <w:rFonts w:cs="Arial"/>
          <w:bCs/>
          <w:kern w:val="0"/>
          <w:sz w:val="22"/>
          <w:szCs w:val="22"/>
          <w14:ligatures w14:val="none"/>
        </w:rPr>
        <w:noBreakHyphen/>
        <w:t xml:space="preserve">quality, efficient cancer care. </w:t>
      </w:r>
    </w:p>
    <w:p w14:paraId="3C88473D" w14:textId="77777777" w:rsidR="006B21B6" w:rsidRPr="00C11123" w:rsidRDefault="006B21B6" w:rsidP="00D70747">
      <w:pPr>
        <w:spacing w:after="0" w:line="240" w:lineRule="auto"/>
        <w:ind w:left="360"/>
        <w:jc w:val="both"/>
        <w:rPr>
          <w:rFonts w:cs="Arial"/>
          <w:bCs/>
          <w:kern w:val="0"/>
          <w:sz w:val="22"/>
          <w:szCs w:val="22"/>
          <w14:ligatures w14:val="none"/>
        </w:rPr>
      </w:pPr>
    </w:p>
    <w:p w14:paraId="2047312F" w14:textId="77777777" w:rsidR="008E017B" w:rsidRPr="009D0261" w:rsidRDefault="00000000" w:rsidP="009D0261">
      <w:pPr>
        <w:pStyle w:val="Heading3"/>
        <w:numPr>
          <w:ilvl w:val="0"/>
          <w:numId w:val="44"/>
        </w:numPr>
        <w:ind w:left="360"/>
        <w:rPr>
          <w:b/>
          <w:bCs/>
        </w:rPr>
      </w:pPr>
      <w:r w:rsidRPr="009D0261">
        <w:rPr>
          <w:b/>
          <w:bCs/>
        </w:rPr>
        <w:t>Alternative Capital Expense</w:t>
      </w:r>
    </w:p>
    <w:p w14:paraId="663693F1" w14:textId="77777777" w:rsidR="008E017B" w:rsidRPr="00C11123" w:rsidRDefault="008E017B" w:rsidP="00D70747">
      <w:pPr>
        <w:pStyle w:val="ListParagraph"/>
        <w:spacing w:after="0" w:line="240" w:lineRule="auto"/>
        <w:ind w:left="360"/>
        <w:jc w:val="both"/>
        <w:rPr>
          <w:rFonts w:cs="Arial"/>
          <w:b/>
          <w:kern w:val="0"/>
          <w:sz w:val="22"/>
          <w:szCs w:val="22"/>
          <w14:ligatures w14:val="none"/>
        </w:rPr>
      </w:pPr>
    </w:p>
    <w:p w14:paraId="56D66369" w14:textId="4B18B8F4" w:rsidR="008E017B" w:rsidRPr="00C11123" w:rsidRDefault="00000000" w:rsidP="00D70747">
      <w:pPr>
        <w:pStyle w:val="ListParagraph"/>
        <w:spacing w:after="0" w:line="240" w:lineRule="auto"/>
        <w:ind w:left="360"/>
        <w:jc w:val="both"/>
        <w:rPr>
          <w:rFonts w:cs="Arial"/>
          <w:kern w:val="0"/>
          <w:sz w:val="22"/>
          <w:szCs w:val="22"/>
          <w14:ligatures w14:val="none"/>
        </w:rPr>
      </w:pPr>
      <w:r w:rsidRPr="00C11123">
        <w:rPr>
          <w:rFonts w:cs="Arial"/>
          <w:bCs/>
          <w:kern w:val="0"/>
          <w:sz w:val="22"/>
          <w:szCs w:val="22"/>
          <w14:ligatures w14:val="none"/>
        </w:rPr>
        <w:t xml:space="preserve">Although forgoing the Proposed Project would avoid the upfront capital expense of adding </w:t>
      </w:r>
      <w:r w:rsidR="003D3D9F" w:rsidRPr="00C11123">
        <w:rPr>
          <w:rFonts w:cs="Arial"/>
          <w:bCs/>
          <w:kern w:val="0"/>
          <w:sz w:val="22"/>
          <w:szCs w:val="22"/>
          <w14:ligatures w14:val="none"/>
        </w:rPr>
        <w:t xml:space="preserve">PSMA </w:t>
      </w:r>
      <w:r w:rsidRPr="00C11123">
        <w:rPr>
          <w:rFonts w:cs="Arial"/>
          <w:bCs/>
          <w:kern w:val="0"/>
          <w:sz w:val="22"/>
          <w:szCs w:val="22"/>
          <w14:ligatures w14:val="none"/>
        </w:rPr>
        <w:t xml:space="preserve">PET/CT capabilities to its practice, such consideration should not be dispositive – rather, it is </w:t>
      </w:r>
      <w:r w:rsidRPr="00C11123">
        <w:rPr>
          <w:rFonts w:cs="Arial"/>
          <w:bCs/>
          <w:kern w:val="0"/>
          <w:sz w:val="22"/>
          <w:szCs w:val="22"/>
          <w14:ligatures w14:val="none"/>
        </w:rPr>
        <w:lastRenderedPageBreak/>
        <w:t xml:space="preserve">secondary to the more substantive issue of the Patient Panel’s need for PSMA PET/CT imaging which has been demonstrated throughout this Application. In the Proposed Project, the upfront investment required to add and maintain the </w:t>
      </w:r>
      <w:r w:rsidR="007845C8" w:rsidRPr="00C11123">
        <w:rPr>
          <w:rFonts w:cs="Arial"/>
          <w:bCs/>
          <w:kern w:val="0"/>
          <w:sz w:val="22"/>
          <w:szCs w:val="22"/>
          <w14:ligatures w14:val="none"/>
        </w:rPr>
        <w:t xml:space="preserve">PSMA </w:t>
      </w:r>
      <w:r w:rsidRPr="00C11123">
        <w:rPr>
          <w:rFonts w:cs="Arial"/>
          <w:bCs/>
          <w:kern w:val="0"/>
          <w:sz w:val="22"/>
          <w:szCs w:val="22"/>
          <w14:ligatures w14:val="none"/>
        </w:rPr>
        <w:t xml:space="preserve">PET/CT service is mitigated by the following factors: the PET/CT equipment and technologist staff will be leased from an established </w:t>
      </w:r>
      <w:r w:rsidR="00D47A74" w:rsidRPr="00C11123">
        <w:rPr>
          <w:rFonts w:cs="Arial"/>
          <w:bCs/>
          <w:kern w:val="0"/>
          <w:sz w:val="22"/>
          <w:szCs w:val="22"/>
          <w14:ligatures w14:val="none"/>
        </w:rPr>
        <w:t xml:space="preserve">imaging </w:t>
      </w:r>
      <w:r w:rsidRPr="00C11123">
        <w:rPr>
          <w:rFonts w:cs="Arial"/>
          <w:bCs/>
          <w:kern w:val="0"/>
          <w:sz w:val="22"/>
          <w:szCs w:val="22"/>
          <w14:ligatures w14:val="none"/>
        </w:rPr>
        <w:t xml:space="preserve">equipment </w:t>
      </w:r>
      <w:r w:rsidR="00D47A74" w:rsidRPr="00C11123">
        <w:rPr>
          <w:rFonts w:cs="Arial"/>
          <w:bCs/>
          <w:kern w:val="0"/>
          <w:sz w:val="22"/>
          <w:szCs w:val="22"/>
          <w14:ligatures w14:val="none"/>
        </w:rPr>
        <w:t>company</w:t>
      </w:r>
      <w:r w:rsidRPr="00C11123">
        <w:rPr>
          <w:rFonts w:cs="Arial"/>
          <w:bCs/>
          <w:kern w:val="0"/>
          <w:sz w:val="22"/>
          <w:szCs w:val="22"/>
          <w14:ligatures w14:val="none"/>
        </w:rPr>
        <w:t>, thereby reducing the financial and administrative burdens of outright purchasing the equipment and directly hiring the staff; also, no new real estate or facility must be purchased, leased, or constructed to provide the service. The Applicant already has existing sites where the mobile trailer housing the PET/CT unit may be parked to provide the imaging for the Applicant’s patients. Accordingly, the capital investment required to establish in</w:t>
      </w:r>
      <w:r w:rsidRPr="00C11123">
        <w:rPr>
          <w:rFonts w:cs="Arial"/>
          <w:bCs/>
          <w:kern w:val="0"/>
          <w:sz w:val="22"/>
          <w:szCs w:val="22"/>
          <w14:ligatures w14:val="none"/>
        </w:rPr>
        <w:noBreakHyphen/>
      </w:r>
      <w:r w:rsidR="00D47A74" w:rsidRPr="00C11123">
        <w:rPr>
          <w:rFonts w:cs="Arial"/>
          <w:bCs/>
          <w:kern w:val="0"/>
          <w:sz w:val="22"/>
          <w:szCs w:val="22"/>
          <w14:ligatures w14:val="none"/>
        </w:rPr>
        <w:t xml:space="preserve">office </w:t>
      </w:r>
      <w:r w:rsidR="007845C8" w:rsidRPr="00C11123">
        <w:rPr>
          <w:rFonts w:cs="Arial"/>
          <w:bCs/>
          <w:kern w:val="0"/>
          <w:sz w:val="22"/>
          <w:szCs w:val="22"/>
          <w14:ligatures w14:val="none"/>
        </w:rPr>
        <w:t xml:space="preserve">PSMA </w:t>
      </w:r>
      <w:r w:rsidRPr="00C11123">
        <w:rPr>
          <w:rFonts w:cs="Arial"/>
          <w:bCs/>
          <w:kern w:val="0"/>
          <w:sz w:val="22"/>
          <w:szCs w:val="22"/>
          <w14:ligatures w14:val="none"/>
        </w:rPr>
        <w:t xml:space="preserve">PET/CT services is outweighed by the long-term </w:t>
      </w:r>
      <w:r w:rsidR="003D3D9F" w:rsidRPr="00C11123">
        <w:rPr>
          <w:rFonts w:cs="Arial"/>
          <w:bCs/>
          <w:kern w:val="0"/>
          <w:sz w:val="22"/>
          <w:szCs w:val="22"/>
          <w14:ligatures w14:val="none"/>
        </w:rPr>
        <w:t xml:space="preserve">health </w:t>
      </w:r>
      <w:r w:rsidRPr="00C11123">
        <w:rPr>
          <w:rFonts w:cs="Arial"/>
          <w:bCs/>
          <w:kern w:val="0"/>
          <w:sz w:val="22"/>
          <w:szCs w:val="22"/>
          <w14:ligatures w14:val="none"/>
        </w:rPr>
        <w:t xml:space="preserve">benefits that can be realized by patients and the Commonwealth. </w:t>
      </w:r>
      <w:r w:rsidRPr="00C11123">
        <w:rPr>
          <w:rFonts w:cs="Arial"/>
          <w:kern w:val="0"/>
          <w:sz w:val="22"/>
          <w:szCs w:val="22"/>
          <w14:ligatures w14:val="none"/>
        </w:rPr>
        <w:t xml:space="preserve">Delivering </w:t>
      </w:r>
      <w:r w:rsidR="00D47A74" w:rsidRPr="00C11123">
        <w:rPr>
          <w:rFonts w:cs="Arial"/>
          <w:kern w:val="0"/>
          <w:sz w:val="22"/>
          <w:szCs w:val="22"/>
          <w14:ligatures w14:val="none"/>
        </w:rPr>
        <w:t xml:space="preserve">PSMA </w:t>
      </w:r>
      <w:r w:rsidRPr="00C11123">
        <w:rPr>
          <w:rFonts w:cs="Arial"/>
          <w:kern w:val="0"/>
          <w:sz w:val="22"/>
          <w:szCs w:val="22"/>
          <w14:ligatures w14:val="none"/>
        </w:rPr>
        <w:t>PET/CT imaging in a physician</w:t>
      </w:r>
      <w:r w:rsidRPr="00C11123">
        <w:rPr>
          <w:rFonts w:cs="Arial"/>
          <w:kern w:val="0"/>
          <w:sz w:val="22"/>
          <w:szCs w:val="22"/>
          <w14:ligatures w14:val="none"/>
        </w:rPr>
        <w:noBreakHyphen/>
        <w:t>practice setting—rather than a hospital outpatient department—can help facilitate meaningful downward pressure on imaging costs, expand access to essential urologic diagnostics in community settings, and promote health equity and more cost</w:t>
      </w:r>
      <w:r w:rsidRPr="00C11123">
        <w:rPr>
          <w:rFonts w:cs="Arial"/>
          <w:kern w:val="0"/>
          <w:sz w:val="22"/>
          <w:szCs w:val="22"/>
          <w14:ligatures w14:val="none"/>
        </w:rPr>
        <w:noBreakHyphen/>
        <w:t xml:space="preserve">effective, coordinated care. In this context, the limited capital investment in the Proposed Project is not only </w:t>
      </w:r>
      <w:proofErr w:type="gramStart"/>
      <w:r w:rsidRPr="00C11123">
        <w:rPr>
          <w:rFonts w:cs="Arial"/>
          <w:kern w:val="0"/>
          <w:sz w:val="22"/>
          <w:szCs w:val="22"/>
          <w14:ligatures w14:val="none"/>
        </w:rPr>
        <w:t>justified</w:t>
      </w:r>
      <w:r w:rsidR="00E8587D" w:rsidRPr="00C11123">
        <w:rPr>
          <w:rFonts w:cs="Arial"/>
          <w:kern w:val="0"/>
          <w:sz w:val="22"/>
          <w:szCs w:val="22"/>
          <w14:ligatures w14:val="none"/>
        </w:rPr>
        <w:t>,</w:t>
      </w:r>
      <w:r w:rsidRPr="00C11123">
        <w:rPr>
          <w:rFonts w:cs="Arial"/>
          <w:kern w:val="0"/>
          <w:sz w:val="22"/>
          <w:szCs w:val="22"/>
          <w14:ligatures w14:val="none"/>
        </w:rPr>
        <w:t xml:space="preserve"> but</w:t>
      </w:r>
      <w:proofErr w:type="gramEnd"/>
      <w:r w:rsidRPr="00C11123">
        <w:rPr>
          <w:rFonts w:cs="Arial"/>
          <w:kern w:val="0"/>
          <w:sz w:val="22"/>
          <w:szCs w:val="22"/>
          <w14:ligatures w14:val="none"/>
        </w:rPr>
        <w:t xml:space="preserve"> is a prudent and high</w:t>
      </w:r>
      <w:r w:rsidRPr="00C11123">
        <w:rPr>
          <w:rFonts w:cs="Arial"/>
          <w:kern w:val="0"/>
          <w:sz w:val="22"/>
          <w:szCs w:val="22"/>
          <w14:ligatures w14:val="none"/>
        </w:rPr>
        <w:noBreakHyphen/>
        <w:t xml:space="preserve">value strategy for improving affordability and </w:t>
      </w:r>
      <w:r w:rsidR="00D47A74" w:rsidRPr="00C11123">
        <w:rPr>
          <w:rFonts w:cs="Arial"/>
          <w:kern w:val="0"/>
          <w:sz w:val="22"/>
          <w:szCs w:val="22"/>
          <w14:ligatures w14:val="none"/>
        </w:rPr>
        <w:t xml:space="preserve">healthcare </w:t>
      </w:r>
      <w:r w:rsidRPr="00C11123">
        <w:rPr>
          <w:rFonts w:cs="Arial"/>
          <w:kern w:val="0"/>
          <w:sz w:val="22"/>
          <w:szCs w:val="22"/>
          <w14:ligatures w14:val="none"/>
        </w:rPr>
        <w:t>system</w:t>
      </w:r>
      <w:r w:rsidRPr="00C11123">
        <w:rPr>
          <w:rFonts w:cs="Arial"/>
          <w:kern w:val="0"/>
          <w:sz w:val="22"/>
          <w:szCs w:val="22"/>
          <w14:ligatures w14:val="none"/>
        </w:rPr>
        <w:noBreakHyphen/>
        <w:t>wide efficiency.</w:t>
      </w:r>
    </w:p>
    <w:p w14:paraId="79B08B55" w14:textId="77777777" w:rsidR="008E017B" w:rsidRPr="00C11123" w:rsidRDefault="008E017B" w:rsidP="00D70747">
      <w:pPr>
        <w:pStyle w:val="ListParagraph"/>
        <w:spacing w:after="0" w:line="240" w:lineRule="auto"/>
        <w:ind w:left="360"/>
        <w:jc w:val="both"/>
        <w:rPr>
          <w:rFonts w:cs="Arial"/>
          <w:bCs/>
          <w:kern w:val="0"/>
          <w:sz w:val="22"/>
          <w:szCs w:val="22"/>
          <w14:ligatures w14:val="none"/>
        </w:rPr>
      </w:pPr>
    </w:p>
    <w:p w14:paraId="04DE3411" w14:textId="77777777" w:rsidR="008E017B" w:rsidRPr="00851C1F" w:rsidRDefault="00000000" w:rsidP="00851C1F">
      <w:pPr>
        <w:pStyle w:val="Heading3"/>
        <w:numPr>
          <w:ilvl w:val="0"/>
          <w:numId w:val="44"/>
        </w:numPr>
        <w:ind w:left="360"/>
        <w:rPr>
          <w:b/>
          <w:bCs/>
        </w:rPr>
      </w:pPr>
      <w:r w:rsidRPr="00851C1F">
        <w:rPr>
          <w:b/>
          <w:bCs/>
        </w:rPr>
        <w:t>Alternative Operating Cost</w:t>
      </w:r>
    </w:p>
    <w:p w14:paraId="5B803123" w14:textId="77777777" w:rsidR="008E017B" w:rsidRPr="00C11123" w:rsidRDefault="008E017B" w:rsidP="00D70747">
      <w:pPr>
        <w:pStyle w:val="ListParagraph"/>
        <w:spacing w:after="0" w:line="240" w:lineRule="auto"/>
        <w:ind w:left="360"/>
        <w:jc w:val="both"/>
        <w:rPr>
          <w:rFonts w:cs="Arial"/>
          <w:bCs/>
          <w:kern w:val="0"/>
          <w:sz w:val="22"/>
          <w:szCs w:val="22"/>
          <w14:ligatures w14:val="none"/>
        </w:rPr>
      </w:pPr>
    </w:p>
    <w:p w14:paraId="206C3219" w14:textId="0E7C38BE" w:rsidR="007127AF" w:rsidRPr="00C11123" w:rsidRDefault="00000000" w:rsidP="00D70747">
      <w:pPr>
        <w:pStyle w:val="ListParagraph"/>
        <w:spacing w:after="0" w:line="240" w:lineRule="auto"/>
        <w:ind w:left="360"/>
        <w:jc w:val="both"/>
        <w:rPr>
          <w:rFonts w:cs="Arial"/>
          <w:bCs/>
          <w:kern w:val="0"/>
          <w:sz w:val="22"/>
          <w:szCs w:val="22"/>
          <w14:ligatures w14:val="none"/>
        </w:rPr>
      </w:pPr>
      <w:r w:rsidRPr="00C11123">
        <w:rPr>
          <w:rFonts w:cs="Arial"/>
          <w:bCs/>
          <w:kern w:val="0"/>
          <w:sz w:val="22"/>
          <w:szCs w:val="22"/>
          <w14:ligatures w14:val="none"/>
        </w:rPr>
        <w:t xml:space="preserve">The Applicant does not anticipate significant short-term changes to its operating costs if it does not undertake the Proposed Project to add </w:t>
      </w:r>
      <w:r w:rsidR="007845C8" w:rsidRPr="00C11123">
        <w:rPr>
          <w:rFonts w:cs="Arial"/>
          <w:bCs/>
          <w:kern w:val="0"/>
          <w:sz w:val="22"/>
          <w:szCs w:val="22"/>
          <w14:ligatures w14:val="none"/>
        </w:rPr>
        <w:t xml:space="preserve">PSMA </w:t>
      </w:r>
      <w:r w:rsidRPr="00C11123">
        <w:rPr>
          <w:rFonts w:cs="Arial"/>
          <w:bCs/>
          <w:kern w:val="0"/>
          <w:sz w:val="22"/>
          <w:szCs w:val="22"/>
          <w14:ligatures w14:val="none"/>
        </w:rPr>
        <w:t>PET/CT diagnostic imaging services to its practice. Without implementing the Proposed Project, however, the Applicant will lack a critical mechanism for achieving operational efficiencies and cost savings associated with integrating this essential cancer imaging technology into its urology care continuum. Continuing to rely on external imaging providers would perpetuate fragmentation in care delivery that introduces avoidable delays, duplication in imaging and other services, and higher downstream costs systemwide due to inefficiency. In contrast, in</w:t>
      </w:r>
      <w:r w:rsidRPr="00C11123">
        <w:rPr>
          <w:rFonts w:cs="Arial"/>
          <w:bCs/>
          <w:kern w:val="0"/>
          <w:sz w:val="22"/>
          <w:szCs w:val="22"/>
          <w14:ligatures w14:val="none"/>
        </w:rPr>
        <w:noBreakHyphen/>
      </w:r>
      <w:r w:rsidR="00D47A74" w:rsidRPr="00C11123">
        <w:rPr>
          <w:rFonts w:cs="Arial"/>
          <w:bCs/>
          <w:kern w:val="0"/>
          <w:sz w:val="22"/>
          <w:szCs w:val="22"/>
          <w14:ligatures w14:val="none"/>
        </w:rPr>
        <w:t xml:space="preserve">office </w:t>
      </w:r>
      <w:r w:rsidR="007845C8" w:rsidRPr="00C11123">
        <w:rPr>
          <w:rFonts w:cs="Arial"/>
          <w:bCs/>
          <w:kern w:val="0"/>
          <w:sz w:val="22"/>
          <w:szCs w:val="22"/>
          <w14:ligatures w14:val="none"/>
        </w:rPr>
        <w:t xml:space="preserve">PSMA </w:t>
      </w:r>
      <w:r w:rsidRPr="00C11123">
        <w:rPr>
          <w:rFonts w:cs="Arial"/>
          <w:bCs/>
          <w:kern w:val="0"/>
          <w:sz w:val="22"/>
          <w:szCs w:val="22"/>
          <w14:ligatures w14:val="none"/>
        </w:rPr>
        <w:t>PET/CT imaging would allow the Applicant to streamline diagnostic workflows, reduce inefficiencies inherent in referral</w:t>
      </w:r>
      <w:r w:rsidRPr="00C11123">
        <w:rPr>
          <w:rFonts w:cs="Arial"/>
          <w:bCs/>
          <w:kern w:val="0"/>
          <w:sz w:val="22"/>
          <w:szCs w:val="22"/>
          <w14:ligatures w14:val="none"/>
        </w:rPr>
        <w:noBreakHyphen/>
        <w:t>based imaging, and support a higher</w:t>
      </w:r>
      <w:r w:rsidRPr="00C11123">
        <w:rPr>
          <w:rFonts w:cs="Arial"/>
          <w:bCs/>
          <w:kern w:val="0"/>
          <w:sz w:val="22"/>
          <w:szCs w:val="22"/>
          <w14:ligatures w14:val="none"/>
        </w:rPr>
        <w:noBreakHyphen/>
        <w:t>quality, more coordinated care experience for patients in a lower cost center.</w:t>
      </w:r>
    </w:p>
    <w:p w14:paraId="6A430ACF" w14:textId="77777777" w:rsidR="00F94E67" w:rsidRPr="00C11123" w:rsidRDefault="00F94E67" w:rsidP="00CC6024">
      <w:pPr>
        <w:spacing w:after="0" w:line="240" w:lineRule="auto"/>
        <w:ind w:left="1440" w:hanging="1440"/>
        <w:jc w:val="both"/>
        <w:rPr>
          <w:rFonts w:cs="Arial"/>
          <w:b/>
          <w:bCs/>
          <w:sz w:val="22"/>
          <w:szCs w:val="22"/>
        </w:rPr>
      </w:pPr>
    </w:p>
    <w:p w14:paraId="60A1685B" w14:textId="6303D64D" w:rsidR="00F94E67" w:rsidRPr="00C11123" w:rsidRDefault="00000000" w:rsidP="00D83780">
      <w:pPr>
        <w:pStyle w:val="Heading2"/>
      </w:pPr>
      <w:r w:rsidRPr="00C11123">
        <w:t>F</w:t>
      </w:r>
      <w:r w:rsidR="008F0242" w:rsidRPr="00C11123">
        <w:t>actor 6:</w:t>
      </w:r>
      <w:r w:rsidR="008F0242" w:rsidRPr="00C11123">
        <w:tab/>
      </w:r>
      <w:r w:rsidR="008F0242" w:rsidRPr="00D83780">
        <w:rPr>
          <w:u w:val="single"/>
        </w:rPr>
        <w:t>Community-Based Health Initiatives</w:t>
      </w:r>
    </w:p>
    <w:p w14:paraId="51757ACF" w14:textId="77777777" w:rsidR="008F0242" w:rsidRPr="00C11123" w:rsidRDefault="008F0242" w:rsidP="00CC6024">
      <w:pPr>
        <w:spacing w:after="0" w:line="240" w:lineRule="auto"/>
        <w:ind w:left="1440" w:hanging="1440"/>
        <w:jc w:val="both"/>
        <w:rPr>
          <w:rFonts w:cs="Arial"/>
          <w:sz w:val="22"/>
          <w:szCs w:val="22"/>
        </w:rPr>
      </w:pPr>
    </w:p>
    <w:p w14:paraId="32BD85F0" w14:textId="737CC8A9" w:rsidR="008F0242" w:rsidRPr="00C11123" w:rsidRDefault="00000000" w:rsidP="00CC6024">
      <w:pPr>
        <w:spacing w:after="0" w:line="240" w:lineRule="auto"/>
        <w:jc w:val="both"/>
        <w:rPr>
          <w:rFonts w:cs="Arial"/>
          <w:sz w:val="22"/>
          <w:szCs w:val="22"/>
        </w:rPr>
      </w:pPr>
      <w:r w:rsidRPr="00C11123">
        <w:rPr>
          <w:rFonts w:cs="Arial"/>
          <w:sz w:val="22"/>
          <w:szCs w:val="22"/>
        </w:rPr>
        <w:t xml:space="preserve">The Determination of Need Community-Based Health Initiative Planning Guidelines state that </w:t>
      </w:r>
      <w:r w:rsidR="00894A1A" w:rsidRPr="00C11123">
        <w:rPr>
          <w:rFonts w:cs="Arial"/>
          <w:sz w:val="22"/>
          <w:szCs w:val="22"/>
        </w:rPr>
        <w:t>an applicant’s</w:t>
      </w:r>
      <w:r w:rsidRPr="00C11123">
        <w:rPr>
          <w:rFonts w:cs="Arial"/>
          <w:sz w:val="22"/>
          <w:szCs w:val="22"/>
        </w:rPr>
        <w:t xml:space="preserve"> obligation</w:t>
      </w:r>
      <w:r w:rsidR="00894A1A" w:rsidRPr="00C11123">
        <w:rPr>
          <w:rFonts w:cs="Arial"/>
          <w:sz w:val="22"/>
          <w:szCs w:val="22"/>
        </w:rPr>
        <w:t>s</w:t>
      </w:r>
      <w:r w:rsidRPr="00C11123">
        <w:rPr>
          <w:rFonts w:cs="Arial"/>
          <w:sz w:val="22"/>
          <w:szCs w:val="22"/>
        </w:rPr>
        <w:t xml:space="preserve"> to the Community-Based Health Initiative (“CHI") Program for proposed projects that </w:t>
      </w:r>
      <w:r w:rsidR="00C14C53" w:rsidRPr="00C11123">
        <w:rPr>
          <w:rFonts w:cs="Arial"/>
          <w:sz w:val="22"/>
          <w:szCs w:val="22"/>
        </w:rPr>
        <w:t xml:space="preserve">are </w:t>
      </w:r>
      <w:r w:rsidRPr="00C11123">
        <w:rPr>
          <w:rFonts w:cs="Arial"/>
          <w:sz w:val="22"/>
          <w:szCs w:val="22"/>
        </w:rPr>
        <w:t>classif</w:t>
      </w:r>
      <w:r w:rsidR="00C14C53" w:rsidRPr="00C11123">
        <w:rPr>
          <w:rFonts w:cs="Arial"/>
          <w:sz w:val="22"/>
          <w:szCs w:val="22"/>
        </w:rPr>
        <w:t>ied</w:t>
      </w:r>
      <w:r w:rsidRPr="00C11123">
        <w:rPr>
          <w:rFonts w:cs="Arial"/>
          <w:sz w:val="22"/>
          <w:szCs w:val="22"/>
        </w:rPr>
        <w:t xml:space="preserve"> as </w:t>
      </w:r>
      <w:proofErr w:type="spellStart"/>
      <w:r w:rsidRPr="00C11123">
        <w:rPr>
          <w:rFonts w:cs="Arial"/>
          <w:sz w:val="22"/>
          <w:szCs w:val="22"/>
        </w:rPr>
        <w:t>DoN</w:t>
      </w:r>
      <w:proofErr w:type="spellEnd"/>
      <w:r w:rsidRPr="00C11123">
        <w:rPr>
          <w:rFonts w:cs="Arial"/>
          <w:sz w:val="22"/>
          <w:szCs w:val="22"/>
        </w:rPr>
        <w:t xml:space="preserve">-Required Equipment acquired by an entity other than a hospital will fulfill such obligations through a payment to the CHI Statewide Initiative </w:t>
      </w:r>
      <w:r w:rsidR="00894A1A" w:rsidRPr="00C11123">
        <w:rPr>
          <w:rFonts w:cs="Arial"/>
          <w:sz w:val="22"/>
          <w:szCs w:val="22"/>
        </w:rPr>
        <w:t xml:space="preserve">fund </w:t>
      </w:r>
      <w:r w:rsidRPr="00C11123">
        <w:rPr>
          <w:rFonts w:cs="Arial"/>
          <w:sz w:val="22"/>
          <w:szCs w:val="22"/>
        </w:rPr>
        <w:t xml:space="preserve">at such time that the Applicant receives </w:t>
      </w:r>
      <w:proofErr w:type="spellStart"/>
      <w:r w:rsidR="000B650A" w:rsidRPr="00C11123">
        <w:rPr>
          <w:rFonts w:cs="Arial"/>
          <w:sz w:val="22"/>
          <w:szCs w:val="22"/>
        </w:rPr>
        <w:t>DoN</w:t>
      </w:r>
      <w:proofErr w:type="spellEnd"/>
      <w:r w:rsidR="000B650A" w:rsidRPr="00C11123">
        <w:rPr>
          <w:rFonts w:cs="Arial"/>
          <w:sz w:val="22"/>
          <w:szCs w:val="22"/>
        </w:rPr>
        <w:t xml:space="preserve"> approval for the </w:t>
      </w:r>
      <w:r w:rsidRPr="00C11123">
        <w:rPr>
          <w:rFonts w:cs="Arial"/>
          <w:sz w:val="22"/>
          <w:szCs w:val="22"/>
        </w:rPr>
        <w:t xml:space="preserve">project. </w:t>
      </w:r>
      <w:r w:rsidR="00894A1A" w:rsidRPr="00C11123">
        <w:rPr>
          <w:rFonts w:cs="Arial"/>
          <w:sz w:val="22"/>
          <w:szCs w:val="22"/>
        </w:rPr>
        <w:t>Here, t</w:t>
      </w:r>
      <w:r w:rsidRPr="00C11123">
        <w:rPr>
          <w:rFonts w:cs="Arial"/>
          <w:sz w:val="22"/>
          <w:szCs w:val="22"/>
        </w:rPr>
        <w:t>he Applicant</w:t>
      </w:r>
      <w:r w:rsidR="00F73B98" w:rsidRPr="00C11123">
        <w:rPr>
          <w:rFonts w:cs="Arial"/>
          <w:sz w:val="22"/>
          <w:szCs w:val="22"/>
        </w:rPr>
        <w:t xml:space="preserve"> is not a hospital and its</w:t>
      </w:r>
      <w:r w:rsidRPr="00C11123">
        <w:rPr>
          <w:rFonts w:cs="Arial"/>
          <w:sz w:val="22"/>
          <w:szCs w:val="22"/>
        </w:rPr>
        <w:t xml:space="preserve"> </w:t>
      </w:r>
      <w:r w:rsidR="007845C8" w:rsidRPr="00C11123">
        <w:rPr>
          <w:rFonts w:cs="Arial"/>
          <w:sz w:val="22"/>
          <w:szCs w:val="22"/>
        </w:rPr>
        <w:t>Proposed Project</w:t>
      </w:r>
      <w:r w:rsidRPr="00C11123">
        <w:rPr>
          <w:rFonts w:cs="Arial"/>
          <w:sz w:val="22"/>
          <w:szCs w:val="22"/>
        </w:rPr>
        <w:t xml:space="preserve"> falls into the </w:t>
      </w:r>
      <w:r w:rsidR="008B2819" w:rsidRPr="00C11123">
        <w:rPr>
          <w:rFonts w:cs="Arial"/>
          <w:sz w:val="22"/>
          <w:szCs w:val="22"/>
        </w:rPr>
        <w:t xml:space="preserve">specific </w:t>
      </w:r>
      <w:r w:rsidRPr="00C11123">
        <w:rPr>
          <w:rFonts w:cs="Arial"/>
          <w:sz w:val="22"/>
          <w:szCs w:val="22"/>
        </w:rPr>
        <w:t xml:space="preserve">category of </w:t>
      </w:r>
      <w:proofErr w:type="spellStart"/>
      <w:r w:rsidRPr="00C11123">
        <w:rPr>
          <w:rFonts w:cs="Arial"/>
          <w:sz w:val="22"/>
          <w:szCs w:val="22"/>
        </w:rPr>
        <w:t>DoN</w:t>
      </w:r>
      <w:proofErr w:type="spellEnd"/>
      <w:r w:rsidR="000455E4" w:rsidRPr="00C11123">
        <w:rPr>
          <w:rFonts w:cs="Arial"/>
          <w:sz w:val="22"/>
          <w:szCs w:val="22"/>
        </w:rPr>
        <w:t>-</w:t>
      </w:r>
      <w:r w:rsidRPr="00C11123">
        <w:rPr>
          <w:rFonts w:cs="Arial"/>
          <w:sz w:val="22"/>
          <w:szCs w:val="22"/>
        </w:rPr>
        <w:t>Required Equipment</w:t>
      </w:r>
      <w:r w:rsidR="00927783" w:rsidRPr="00C11123">
        <w:rPr>
          <w:rFonts w:cs="Arial"/>
          <w:sz w:val="22"/>
          <w:szCs w:val="22"/>
        </w:rPr>
        <w:t xml:space="preserve">. </w:t>
      </w:r>
      <w:r w:rsidR="008B2819" w:rsidRPr="00C11123">
        <w:rPr>
          <w:rFonts w:cs="Arial"/>
          <w:sz w:val="22"/>
          <w:szCs w:val="22"/>
        </w:rPr>
        <w:t xml:space="preserve"> </w:t>
      </w:r>
      <w:r w:rsidR="00927783" w:rsidRPr="00C11123">
        <w:rPr>
          <w:rFonts w:cs="Arial"/>
          <w:sz w:val="22"/>
          <w:szCs w:val="22"/>
        </w:rPr>
        <w:t xml:space="preserve">Accordingly, </w:t>
      </w:r>
      <w:r w:rsidR="00894A1A" w:rsidRPr="00C11123">
        <w:rPr>
          <w:rFonts w:cs="Arial"/>
          <w:sz w:val="22"/>
          <w:szCs w:val="22"/>
        </w:rPr>
        <w:t xml:space="preserve">and in compliance with the CHI Guidelines and Factor 6, </w:t>
      </w:r>
      <w:r w:rsidR="00927783" w:rsidRPr="00C11123">
        <w:rPr>
          <w:rFonts w:cs="Arial"/>
          <w:sz w:val="22"/>
          <w:szCs w:val="22"/>
        </w:rPr>
        <w:t>the Applica</w:t>
      </w:r>
      <w:r w:rsidR="00E725D2" w:rsidRPr="00C11123">
        <w:rPr>
          <w:rFonts w:cs="Arial"/>
          <w:sz w:val="22"/>
          <w:szCs w:val="22"/>
        </w:rPr>
        <w:t>nt</w:t>
      </w:r>
      <w:r w:rsidRPr="00C11123">
        <w:rPr>
          <w:rFonts w:cs="Arial"/>
          <w:sz w:val="22"/>
          <w:szCs w:val="22"/>
        </w:rPr>
        <w:t xml:space="preserve"> </w:t>
      </w:r>
      <w:r w:rsidR="00894A1A" w:rsidRPr="00C11123">
        <w:rPr>
          <w:rFonts w:cs="Arial"/>
          <w:sz w:val="22"/>
          <w:szCs w:val="22"/>
        </w:rPr>
        <w:t>is not submitting</w:t>
      </w:r>
      <w:r w:rsidRPr="00C11123">
        <w:rPr>
          <w:rFonts w:cs="Arial"/>
          <w:sz w:val="22"/>
          <w:szCs w:val="22"/>
        </w:rPr>
        <w:t xml:space="preserve"> CHI forms with this </w:t>
      </w:r>
      <w:r w:rsidR="001853D2" w:rsidRPr="00C11123">
        <w:rPr>
          <w:rFonts w:cs="Arial"/>
          <w:sz w:val="22"/>
          <w:szCs w:val="22"/>
        </w:rPr>
        <w:t>A</w:t>
      </w:r>
      <w:r w:rsidRPr="00C11123">
        <w:rPr>
          <w:rFonts w:cs="Arial"/>
          <w:sz w:val="22"/>
          <w:szCs w:val="22"/>
        </w:rPr>
        <w:t>pplication</w:t>
      </w:r>
      <w:r w:rsidR="00E725D2" w:rsidRPr="00C11123">
        <w:rPr>
          <w:rFonts w:cs="Arial"/>
          <w:sz w:val="22"/>
          <w:szCs w:val="22"/>
        </w:rPr>
        <w:t>.</w:t>
      </w:r>
    </w:p>
    <w:p w14:paraId="72E214B3" w14:textId="77777777" w:rsidR="00BB3C56" w:rsidRPr="00C11123" w:rsidRDefault="00BB3C56" w:rsidP="00450D2E">
      <w:pPr>
        <w:spacing w:after="0" w:line="240" w:lineRule="auto"/>
        <w:jc w:val="both"/>
        <w:rPr>
          <w:rFonts w:cs="Arial"/>
          <w:sz w:val="22"/>
          <w:szCs w:val="22"/>
        </w:rPr>
      </w:pPr>
    </w:p>
    <w:sectPr w:rsidR="00BB3C56" w:rsidRPr="00C11123" w:rsidSect="00B831BD">
      <w:headerReference w:type="default" r:id="rId9"/>
      <w:footerReference w:type="even" r:id="rId10"/>
      <w:footerReference w:type="default" r:id="rId11"/>
      <w:footerReference w:type="first" r:id="rId12"/>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74D3" w14:textId="77777777" w:rsidR="00C95E7C" w:rsidRDefault="00C95E7C">
      <w:pPr>
        <w:spacing w:after="0" w:line="240" w:lineRule="auto"/>
      </w:pPr>
      <w:r>
        <w:separator/>
      </w:r>
    </w:p>
  </w:endnote>
  <w:endnote w:type="continuationSeparator" w:id="0">
    <w:p w14:paraId="3DB23B2E" w14:textId="77777777" w:rsidR="00C95E7C" w:rsidRDefault="00C9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iDocIDFieldbd1c49d9-113d-467c-aa29-a075"/>
  <w:p w14:paraId="01F0E323" w14:textId="2CFBC680" w:rsidR="003A593C" w:rsidRDefault="00000000" w:rsidP="001A5E6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48</w:instrText>
    </w:r>
    <w:r>
      <w:rPr>
        <w:noProof/>
      </w:rPr>
      <w:fldChar w:fldCharType="end"/>
    </w:r>
    <w:r>
      <w:instrText xml:space="preserve"> = </w:instrText>
    </w:r>
    <w:r>
      <w:rPr>
        <w:noProof/>
      </w:rPr>
      <w:instrText>69</w:instrText>
    </w:r>
    <w:r>
      <w:instrText xml:space="preserve"> 1 0</w:instrText>
    </w:r>
    <w:r>
      <w:fldChar w:fldCharType="separate"/>
    </w:r>
    <w:r>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rPr>
        <w:noProof/>
      </w:rPr>
      <w:instrText>1</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separate"/>
    </w:r>
    <w:r>
      <w:rPr>
        <w:noProof/>
      </w:rPr>
      <w:instrText>0</w:instrText>
    </w:r>
    <w:r>
      <w:fldChar w:fldCharType="end"/>
    </w:r>
    <w:r>
      <w:instrText xml:space="preserve"> = 1 </w:instrText>
    </w:r>
    <w:r>
      <w:rPr>
        <w:noProof/>
      </w:rPr>
      <w:instrText>29336885_6</w:instrText>
    </w:r>
    <w:r>
      <w:fldChar w:fldCharType="separate"/>
    </w:r>
    <w:r>
      <w:fldChar w:fldCharType="end"/>
    </w:r>
    <w:bookmarkEnd w:id="9"/>
  </w:p>
  <w:bookmarkStart w:id="10" w:name="_iDocIDFieldba79d07a-d424-455c-a87d-bac7"/>
  <w:p w14:paraId="1146739C" w14:textId="4A8FCAEA" w:rsidR="003A593C" w:rsidRDefault="0000000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48</w:instrText>
    </w:r>
    <w:r>
      <w:rPr>
        <w:noProof/>
      </w:rPr>
      <w:fldChar w:fldCharType="end"/>
    </w:r>
    <w:r>
      <w:instrText xml:space="preserve"> = </w:instrText>
    </w:r>
    <w:r>
      <w:rPr>
        <w:noProof/>
      </w:rPr>
      <w:instrText>48</w:instrText>
    </w:r>
    <w:r>
      <w:instrText xml:space="preserve">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instrText>1</w:instrText>
      </w:r>
    </w:fldSimple>
    <w:r>
      <w:instrText xml:space="preserve"> = </w:instrText>
    </w:r>
    <w:r>
      <w:rPr>
        <w:noProof/>
      </w:rPr>
      <w:instrText>1</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separate"/>
    </w:r>
    <w:r>
      <w:rPr>
        <w:noProof/>
      </w:rPr>
      <w:instrText>1</w:instrText>
    </w:r>
    <w:r>
      <w:fldChar w:fldCharType="end"/>
    </w:r>
    <w:r>
      <w:instrText xml:space="preserve"> = 1 </w:instrText>
    </w:r>
    <w:r>
      <w:rPr>
        <w:noProof/>
      </w:rPr>
      <w:instrText>29468505_1</w:instrText>
    </w:r>
    <w:r>
      <w:fldChar w:fldCharType="separate"/>
    </w:r>
    <w:r>
      <w:rPr>
        <w:noProof/>
      </w:rPr>
      <w:t>29468505_1</w:t>
    </w:r>
    <w:r>
      <w:fldChar w:fldCharType="end"/>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iDocIDField320bef55-fcf8-42b9-9d6a-6025"/>
  <w:p w14:paraId="6F09F9E3" w14:textId="7AD9088D" w:rsidR="003A593C" w:rsidRDefault="00000000" w:rsidP="0025243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196D4A">
      <w:rPr>
        <w:noProof/>
      </w:rPr>
      <w:instrText>48</w:instrText>
    </w:r>
    <w:r>
      <w:rPr>
        <w:noProof/>
      </w:rPr>
      <w:fldChar w:fldCharType="end"/>
    </w:r>
    <w:r>
      <w:instrText xml:space="preserve"> = </w:instrText>
    </w:r>
    <w:r>
      <w:rPr>
        <w:noProof/>
      </w:rPr>
      <w:instrText>69</w:instrText>
    </w:r>
    <w:r>
      <w:instrText xml:space="preserve"> 1 0</w:instrText>
    </w:r>
    <w:r>
      <w:fldChar w:fldCharType="separate"/>
    </w:r>
    <w:r w:rsidR="00196D4A">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196D4A">
        <w:instrText>1</w:instrText>
      </w:r>
    </w:fldSimple>
    <w:r>
      <w:instrText xml:space="preserve"> = </w:instrText>
    </w:r>
    <w:r>
      <w:rPr>
        <w:noProof/>
      </w:rPr>
      <w:instrText>1</w:instrText>
    </w:r>
    <w:r>
      <w:fldChar w:fldCharType="separate"/>
    </w:r>
    <w:r w:rsidR="00196D4A">
      <w:rPr>
        <w:noProof/>
      </w:rPr>
      <w:instrText>1</w:instrText>
    </w:r>
    <w:r>
      <w:fldChar w:fldCharType="end"/>
    </w:r>
    <w:r>
      <w:instrText xml:space="preserve"> = 1 1 0</w:instrText>
    </w:r>
    <w:r>
      <w:fldChar w:fldCharType="separate"/>
    </w:r>
    <w:r w:rsidR="00196D4A">
      <w:rPr>
        <w:noProof/>
      </w:rPr>
      <w:instrText>1</w:instrText>
    </w:r>
    <w:r>
      <w:fldChar w:fldCharType="end"/>
    </w:r>
    <w:r>
      <w:fldChar w:fldCharType="separate"/>
    </w:r>
    <w:r w:rsidR="00196D4A">
      <w:rPr>
        <w:noProof/>
      </w:rPr>
      <w:instrText>0</w:instrText>
    </w:r>
    <w:r>
      <w:fldChar w:fldCharType="end"/>
    </w:r>
    <w:r>
      <w:instrText xml:space="preserve"> = 1 </w:instrText>
    </w:r>
    <w:r>
      <w:rPr>
        <w:noProof/>
      </w:rPr>
      <w:instrText>29336885_6</w:instrText>
    </w:r>
    <w:r>
      <w:fldChar w:fldCharType="end"/>
    </w:r>
    <w:bookmarkEnd w:id="11"/>
  </w:p>
  <w:bookmarkStart w:id="12" w:name="_iDocIDField471ede46-b704-4150-8cca-f63f"/>
  <w:p w14:paraId="6CC470D3" w14:textId="022469D9" w:rsidR="003A593C" w:rsidRDefault="0000000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196D4A">
      <w:rPr>
        <w:noProof/>
      </w:rPr>
      <w:instrText>48</w:instrText>
    </w:r>
    <w:r>
      <w:rPr>
        <w:noProof/>
      </w:rPr>
      <w:fldChar w:fldCharType="end"/>
    </w:r>
    <w:r>
      <w:instrText xml:space="preserve"> = </w:instrText>
    </w:r>
    <w:r>
      <w:rPr>
        <w:noProof/>
      </w:rPr>
      <w:instrText>48</w:instrText>
    </w:r>
    <w:r>
      <w:instrText xml:space="preserve"> 1 0</w:instrText>
    </w:r>
    <w:r>
      <w:fldChar w:fldCharType="separate"/>
    </w:r>
    <w:r w:rsidR="00196D4A">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196D4A">
        <w:instrText>1</w:instrText>
      </w:r>
    </w:fldSimple>
    <w:r>
      <w:instrText xml:space="preserve"> = </w:instrText>
    </w:r>
    <w:r>
      <w:rPr>
        <w:noProof/>
      </w:rPr>
      <w:instrText>1</w:instrText>
    </w:r>
    <w:r>
      <w:fldChar w:fldCharType="separate"/>
    </w:r>
    <w:r w:rsidR="00196D4A">
      <w:rPr>
        <w:noProof/>
      </w:rPr>
      <w:instrText>1</w:instrText>
    </w:r>
    <w:r>
      <w:fldChar w:fldCharType="end"/>
    </w:r>
    <w:r>
      <w:instrText xml:space="preserve"> = 1 1 0</w:instrText>
    </w:r>
    <w:r>
      <w:fldChar w:fldCharType="separate"/>
    </w:r>
    <w:r w:rsidR="00196D4A">
      <w:rPr>
        <w:noProof/>
      </w:rPr>
      <w:instrText>1</w:instrText>
    </w:r>
    <w:r>
      <w:fldChar w:fldCharType="end"/>
    </w:r>
    <w:r>
      <w:fldChar w:fldCharType="separate"/>
    </w:r>
    <w:r w:rsidR="00196D4A">
      <w:rPr>
        <w:noProof/>
      </w:rPr>
      <w:instrText>1</w:instrText>
    </w:r>
    <w:r>
      <w:fldChar w:fldCharType="end"/>
    </w:r>
    <w:r>
      <w:instrText xml:space="preserve"> = 1 </w:instrText>
    </w:r>
    <w:r>
      <w:rPr>
        <w:noProof/>
      </w:rPr>
      <w:instrText>29468505_1</w:instrText>
    </w:r>
    <w:r w:rsidR="00196D4A">
      <w:fldChar w:fldCharType="separate"/>
    </w:r>
    <w:r w:rsidR="00196D4A">
      <w:rPr>
        <w:noProof/>
      </w:rPr>
      <w:t>29468505_1</w:t>
    </w:r>
    <w:r>
      <w:fldChar w:fldCharType="end"/>
    </w:r>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 w:name="_iDocIDFieldb9ab72cd-8914-4ac2-bf4b-1ed5"/>
  <w:p w14:paraId="68855567" w14:textId="3E59759B" w:rsidR="003A593C" w:rsidRDefault="00000000" w:rsidP="00DF4521">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C948D3">
      <w:rPr>
        <w:noProof/>
      </w:rPr>
      <w:instrText>1</w:instrText>
    </w:r>
    <w:r>
      <w:rPr>
        <w:noProof/>
      </w:rPr>
      <w:fldChar w:fldCharType="end"/>
    </w:r>
    <w:r>
      <w:instrText xml:space="preserve"> = </w:instrText>
    </w:r>
    <w:r>
      <w:rPr>
        <w:noProof/>
      </w:rPr>
      <w:instrText>69</w:instrText>
    </w:r>
    <w:r>
      <w:instrText xml:space="preserve"> 1 0</w:instrText>
    </w:r>
    <w:r>
      <w:fldChar w:fldCharType="separate"/>
    </w:r>
    <w:r w:rsidR="00C948D3">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C948D3">
        <w:instrText>1</w:instrText>
      </w:r>
    </w:fldSimple>
    <w:r>
      <w:instrText xml:space="preserve"> = </w:instrText>
    </w:r>
    <w:r>
      <w:rPr>
        <w:noProof/>
      </w:rPr>
      <w:instrText>1</w:instrText>
    </w:r>
    <w:r>
      <w:fldChar w:fldCharType="separate"/>
    </w:r>
    <w:r w:rsidR="00C948D3">
      <w:rPr>
        <w:noProof/>
      </w:rPr>
      <w:instrText>1</w:instrText>
    </w:r>
    <w:r>
      <w:fldChar w:fldCharType="end"/>
    </w:r>
    <w:r>
      <w:instrText xml:space="preserve"> = 1 1 0</w:instrText>
    </w:r>
    <w:r>
      <w:fldChar w:fldCharType="separate"/>
    </w:r>
    <w:r w:rsidR="00C948D3">
      <w:rPr>
        <w:noProof/>
      </w:rPr>
      <w:instrText>1</w:instrText>
    </w:r>
    <w:r>
      <w:fldChar w:fldCharType="end"/>
    </w:r>
    <w:r>
      <w:fldChar w:fldCharType="separate"/>
    </w:r>
    <w:r w:rsidR="00C948D3">
      <w:rPr>
        <w:noProof/>
      </w:rPr>
      <w:instrText>0</w:instrText>
    </w:r>
    <w:r>
      <w:fldChar w:fldCharType="end"/>
    </w:r>
    <w:r>
      <w:instrText xml:space="preserve"> = 1 </w:instrText>
    </w:r>
    <w:r>
      <w:rPr>
        <w:noProof/>
      </w:rPr>
      <w:instrText>29336885_6</w:instrText>
    </w:r>
    <w:r>
      <w:fldChar w:fldCharType="end"/>
    </w:r>
  </w:p>
  <w:bookmarkStart w:id="14" w:name="_iDocIDField7df7360d-6e57-4177-be44-0315"/>
  <w:bookmarkEnd w:id="13"/>
  <w:p w14:paraId="5E2A4874" w14:textId="518B30CB" w:rsidR="003A593C" w:rsidRDefault="00000000">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C948D3">
      <w:rPr>
        <w:noProof/>
      </w:rPr>
      <w:instrText>1</w:instrText>
    </w:r>
    <w:r>
      <w:rPr>
        <w:noProof/>
      </w:rPr>
      <w:fldChar w:fldCharType="end"/>
    </w:r>
    <w:r>
      <w:instrText xml:space="preserve"> = </w:instrText>
    </w:r>
    <w:r>
      <w:rPr>
        <w:noProof/>
      </w:rPr>
      <w:instrText>48</w:instrText>
    </w:r>
    <w:r>
      <w:instrText xml:space="preserve"> 1 0</w:instrText>
    </w:r>
    <w:r>
      <w:fldChar w:fldCharType="separate"/>
    </w:r>
    <w:r w:rsidR="00C948D3">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fldSimple w:instr=" SECTION ">
      <w:r w:rsidR="00C948D3">
        <w:instrText>1</w:instrText>
      </w:r>
    </w:fldSimple>
    <w:r>
      <w:instrText xml:space="preserve"> = </w:instrText>
    </w:r>
    <w:r>
      <w:rPr>
        <w:noProof/>
      </w:rPr>
      <w:instrText>1</w:instrText>
    </w:r>
    <w:r>
      <w:fldChar w:fldCharType="separate"/>
    </w:r>
    <w:r w:rsidR="00C948D3">
      <w:rPr>
        <w:noProof/>
      </w:rPr>
      <w:instrText>1</w:instrText>
    </w:r>
    <w:r>
      <w:fldChar w:fldCharType="end"/>
    </w:r>
    <w:r>
      <w:instrText xml:space="preserve"> = 1 1 0</w:instrText>
    </w:r>
    <w:r>
      <w:fldChar w:fldCharType="separate"/>
    </w:r>
    <w:r w:rsidR="00C948D3">
      <w:rPr>
        <w:noProof/>
      </w:rPr>
      <w:instrText>1</w:instrText>
    </w:r>
    <w:r>
      <w:fldChar w:fldCharType="end"/>
    </w:r>
    <w:r>
      <w:fldChar w:fldCharType="separate"/>
    </w:r>
    <w:r w:rsidR="00C948D3">
      <w:rPr>
        <w:noProof/>
      </w:rPr>
      <w:instrText>0</w:instrText>
    </w:r>
    <w:r>
      <w:fldChar w:fldCharType="end"/>
    </w:r>
    <w:r>
      <w:instrText xml:space="preserve"> = 1 </w:instrText>
    </w:r>
    <w:r>
      <w:rPr>
        <w:noProof/>
      </w:rPr>
      <w:instrText>29468505_1</w:instrText>
    </w:r>
    <w:r>
      <w:fldChar w:fldCharType="end"/>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D5B3" w14:textId="77777777" w:rsidR="00C95E7C" w:rsidRDefault="00C95E7C" w:rsidP="00F4128E">
      <w:pPr>
        <w:spacing w:after="0" w:line="240" w:lineRule="auto"/>
      </w:pPr>
      <w:r>
        <w:separator/>
      </w:r>
    </w:p>
  </w:footnote>
  <w:footnote w:type="continuationSeparator" w:id="0">
    <w:p w14:paraId="350B88AF" w14:textId="77777777" w:rsidR="00C95E7C" w:rsidRDefault="00C95E7C" w:rsidP="00F4128E">
      <w:pPr>
        <w:spacing w:after="0" w:line="240" w:lineRule="auto"/>
      </w:pPr>
      <w:r>
        <w:continuationSeparator/>
      </w:r>
    </w:p>
  </w:footnote>
  <w:footnote w:id="1">
    <w:p w14:paraId="48651BB4" w14:textId="49878122" w:rsidR="00DF74D0" w:rsidRPr="00C11123" w:rsidRDefault="00000000" w:rsidP="00DF74D0">
      <w:pPr>
        <w:pStyle w:val="FootnoteText"/>
        <w:rPr>
          <w:sz w:val="16"/>
          <w:szCs w:val="16"/>
        </w:rPr>
      </w:pPr>
      <w:r w:rsidRPr="00C11123">
        <w:rPr>
          <w:rStyle w:val="FootnoteReference"/>
          <w:sz w:val="16"/>
          <w:szCs w:val="16"/>
        </w:rPr>
        <w:footnoteRef/>
      </w:r>
      <w:r w:rsidRPr="00C11123">
        <w:rPr>
          <w:sz w:val="16"/>
          <w:szCs w:val="16"/>
        </w:rPr>
        <w:t xml:space="preserve"> See</w:t>
      </w:r>
      <w:r w:rsidRPr="00C11123">
        <w:rPr>
          <w:i/>
          <w:iCs/>
          <w:sz w:val="16"/>
          <w:szCs w:val="16"/>
        </w:rPr>
        <w:t xml:space="preserve"> </w:t>
      </w:r>
      <w:hyperlink r:id="rId1" w:history="1">
        <w:r w:rsidR="000464C1" w:rsidRPr="006B59B5">
          <w:rPr>
            <w:rStyle w:val="Hyperlink"/>
            <w:sz w:val="16"/>
            <w:szCs w:val="16"/>
          </w:rPr>
          <w:t>CDC. Prostate Cancer Statistics. Prostate Cancer.</w:t>
        </w:r>
      </w:hyperlink>
      <w:r w:rsidR="000464C1" w:rsidRPr="00C11123">
        <w:rPr>
          <w:sz w:val="16"/>
          <w:szCs w:val="16"/>
        </w:rPr>
        <w:t xml:space="preserve"> June 10, 2025. Accessed February 16, 2026. </w:t>
      </w:r>
      <w:hyperlink r:id="rId2" w:history="1">
        <w:r w:rsidR="006B59B5" w:rsidRPr="00387ED4">
          <w:rPr>
            <w:rStyle w:val="Hyperlink"/>
            <w:sz w:val="16"/>
            <w:szCs w:val="16"/>
          </w:rPr>
          <w:t>https://www.cdc.gov/prostate-cancer/statistics/index.html</w:t>
        </w:r>
      </w:hyperlink>
      <w:r w:rsidR="006B59B5">
        <w:rPr>
          <w:sz w:val="16"/>
          <w:szCs w:val="16"/>
        </w:rPr>
        <w:t xml:space="preserve"> </w:t>
      </w:r>
      <w:r w:rsidR="000464C1" w:rsidRPr="00C11123">
        <w:rPr>
          <w:sz w:val="16"/>
          <w:szCs w:val="16"/>
        </w:rPr>
        <w:t>.</w:t>
      </w:r>
    </w:p>
  </w:footnote>
  <w:footnote w:id="2">
    <w:p w14:paraId="4C4C282D" w14:textId="543D020C" w:rsidR="003C6820"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Figures rounded.</w:t>
      </w:r>
    </w:p>
  </w:footnote>
  <w:footnote w:id="3">
    <w:p w14:paraId="5AD86508" w14:textId="329B5851" w:rsidR="004E7B6A"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8D1FDF" w:rsidRPr="00C11123">
        <w:rPr>
          <w:sz w:val="16"/>
          <w:szCs w:val="16"/>
        </w:rPr>
        <w:t xml:space="preserve">See e.g., </w:t>
      </w:r>
      <w:hyperlink r:id="rId3" w:history="1">
        <w:r w:rsidR="008D1FDF" w:rsidRPr="006B59B5">
          <w:rPr>
            <w:rStyle w:val="Hyperlink"/>
            <w:sz w:val="16"/>
            <w:szCs w:val="16"/>
          </w:rPr>
          <w:t>Key Statistics for Prostate Cancer</w:t>
        </w:r>
      </w:hyperlink>
      <w:r w:rsidR="008D1FDF" w:rsidRPr="00C11123">
        <w:rPr>
          <w:sz w:val="16"/>
          <w:szCs w:val="16"/>
        </w:rPr>
        <w:t xml:space="preserve"> | Prostate Cancer Facts. </w:t>
      </w:r>
      <w:r w:rsidR="00A23B8A" w:rsidRPr="00C11123">
        <w:rPr>
          <w:rFonts w:cs="Arial"/>
          <w:sz w:val="16"/>
          <w:szCs w:val="16"/>
        </w:rPr>
        <w:t>American Cancer Society</w:t>
      </w:r>
      <w:r w:rsidR="00A23B8A" w:rsidRPr="00C11123">
        <w:rPr>
          <w:sz w:val="16"/>
          <w:szCs w:val="16"/>
        </w:rPr>
        <w:t xml:space="preserve">. </w:t>
      </w:r>
      <w:r w:rsidR="008D1FDF" w:rsidRPr="00C11123">
        <w:rPr>
          <w:sz w:val="16"/>
          <w:szCs w:val="16"/>
        </w:rPr>
        <w:t xml:space="preserve">Accessed February 16, 2026. </w:t>
      </w:r>
      <w:hyperlink r:id="rId4" w:history="1">
        <w:r w:rsidR="006B59B5" w:rsidRPr="00387ED4">
          <w:rPr>
            <w:rStyle w:val="Hyperlink"/>
            <w:sz w:val="16"/>
            <w:szCs w:val="16"/>
          </w:rPr>
          <w:t>https://www.cancer.org/cancer/types/prostate-cancer/about/key-statistics.html</w:t>
        </w:r>
      </w:hyperlink>
      <w:r w:rsidR="006B59B5">
        <w:rPr>
          <w:sz w:val="16"/>
          <w:szCs w:val="16"/>
        </w:rPr>
        <w:t xml:space="preserve"> </w:t>
      </w:r>
      <w:r w:rsidR="00800724" w:rsidRPr="00C11123">
        <w:rPr>
          <w:sz w:val="16"/>
          <w:szCs w:val="16"/>
        </w:rPr>
        <w:t>.</w:t>
      </w:r>
    </w:p>
  </w:footnote>
  <w:footnote w:id="4">
    <w:p w14:paraId="29165F78" w14:textId="070E8AB9" w:rsidR="00B9249E"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The numeric and percentage</w:t>
      </w:r>
      <w:r w:rsidR="00C8084D" w:rsidRPr="00C11123">
        <w:rPr>
          <w:sz w:val="16"/>
          <w:szCs w:val="16"/>
        </w:rPr>
        <w:t xml:space="preserve"> increases</w:t>
      </w:r>
      <w:r w:rsidRPr="00C11123">
        <w:rPr>
          <w:sz w:val="16"/>
          <w:szCs w:val="16"/>
        </w:rPr>
        <w:t xml:space="preserve"> </w:t>
      </w:r>
      <w:r w:rsidR="00C9689E" w:rsidRPr="00C11123">
        <w:rPr>
          <w:sz w:val="16"/>
          <w:szCs w:val="16"/>
        </w:rPr>
        <w:t>of</w:t>
      </w:r>
      <w:r w:rsidRPr="00C11123">
        <w:rPr>
          <w:sz w:val="16"/>
          <w:szCs w:val="16"/>
        </w:rPr>
        <w:t xml:space="preserve"> males </w:t>
      </w:r>
      <w:r w:rsidR="00C9689E" w:rsidRPr="00C11123">
        <w:rPr>
          <w:sz w:val="16"/>
          <w:szCs w:val="16"/>
        </w:rPr>
        <w:t xml:space="preserve">65+ in the Patient Panel are partially attributable to the </w:t>
      </w:r>
      <w:r w:rsidR="00C8084D" w:rsidRPr="00C11123">
        <w:rPr>
          <w:sz w:val="16"/>
          <w:szCs w:val="16"/>
        </w:rPr>
        <w:t>Applicant’s addition of the Attleboro and Leominster sites as of 2025</w:t>
      </w:r>
      <w:r w:rsidR="00157C23" w:rsidRPr="00C11123">
        <w:rPr>
          <w:sz w:val="16"/>
          <w:szCs w:val="16"/>
        </w:rPr>
        <w:t xml:space="preserve">. </w:t>
      </w:r>
      <w:r w:rsidR="002E616F" w:rsidRPr="00C11123">
        <w:rPr>
          <w:sz w:val="16"/>
          <w:szCs w:val="16"/>
        </w:rPr>
        <w:t>However, patients receiving care at these locations are fully integrated into the Applicant’s clinical practice. Accordingly, the Applicant has the same obligation to ensure timely and appropriate access to healthcare for these patients as it does for patients served at its longstanding locations, and they must, therefore, be considered in evaluating the need for the Proposed Project.</w:t>
      </w:r>
    </w:p>
  </w:footnote>
  <w:footnote w:id="5">
    <w:p w14:paraId="1197FB1F" w14:textId="75819864" w:rsidR="00960311" w:rsidRPr="00C11123" w:rsidRDefault="00000000" w:rsidP="00960311">
      <w:pPr>
        <w:pStyle w:val="FootnoteText"/>
        <w:rPr>
          <w:sz w:val="16"/>
          <w:szCs w:val="16"/>
        </w:rPr>
      </w:pPr>
      <w:r w:rsidRPr="00C11123">
        <w:rPr>
          <w:rStyle w:val="FootnoteReference"/>
          <w:sz w:val="16"/>
          <w:szCs w:val="16"/>
        </w:rPr>
        <w:footnoteRef/>
      </w:r>
      <w:r w:rsidRPr="00C11123">
        <w:rPr>
          <w:sz w:val="16"/>
          <w:szCs w:val="16"/>
        </w:rPr>
        <w:t xml:space="preserve"> See e.g., </w:t>
      </w:r>
      <w:hyperlink r:id="rId5" w:history="1">
        <w:r w:rsidR="000464C1" w:rsidRPr="006B59B5">
          <w:rPr>
            <w:rStyle w:val="Hyperlink"/>
            <w:i/>
            <w:iCs/>
            <w:sz w:val="16"/>
            <w:szCs w:val="16"/>
          </w:rPr>
          <w:t>Gleason grading system: MedlinePlus Medical Encyclopedia</w:t>
        </w:r>
      </w:hyperlink>
      <w:r w:rsidR="000464C1" w:rsidRPr="00C11123">
        <w:rPr>
          <w:i/>
          <w:iCs/>
          <w:sz w:val="16"/>
          <w:szCs w:val="16"/>
        </w:rPr>
        <w:t>.</w:t>
      </w:r>
      <w:r w:rsidR="000464C1" w:rsidRPr="00C11123">
        <w:rPr>
          <w:sz w:val="16"/>
          <w:szCs w:val="16"/>
        </w:rPr>
        <w:t xml:space="preserve"> Accessed February 17, 2026. </w:t>
      </w:r>
      <w:hyperlink r:id="rId6" w:history="1">
        <w:r w:rsidR="00B65533" w:rsidRPr="00387ED4">
          <w:rPr>
            <w:rStyle w:val="Hyperlink"/>
            <w:sz w:val="16"/>
            <w:szCs w:val="16"/>
          </w:rPr>
          <w:t>https://medlineplus.gov/ency/patientinstructions/000920.html</w:t>
        </w:r>
      </w:hyperlink>
      <w:r w:rsidR="00B65533">
        <w:rPr>
          <w:sz w:val="16"/>
          <w:szCs w:val="16"/>
        </w:rPr>
        <w:t xml:space="preserve"> </w:t>
      </w:r>
      <w:r w:rsidR="00800724" w:rsidRPr="00C11123">
        <w:rPr>
          <w:sz w:val="16"/>
          <w:szCs w:val="16"/>
        </w:rPr>
        <w:t>.</w:t>
      </w:r>
    </w:p>
  </w:footnote>
  <w:footnote w:id="6">
    <w:p w14:paraId="5FC184F9" w14:textId="3C71E1CD" w:rsidR="00242A01"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F07A4C" w:rsidRPr="00C11123">
        <w:rPr>
          <w:sz w:val="16"/>
          <w:szCs w:val="16"/>
        </w:rPr>
        <w:t xml:space="preserve">Higher Gleason scores mean </w:t>
      </w:r>
      <w:r w:rsidR="004A7B79" w:rsidRPr="00C11123">
        <w:rPr>
          <w:sz w:val="16"/>
          <w:szCs w:val="16"/>
        </w:rPr>
        <w:t xml:space="preserve">greater </w:t>
      </w:r>
      <w:r w:rsidR="00690163" w:rsidRPr="00C11123">
        <w:rPr>
          <w:sz w:val="16"/>
          <w:szCs w:val="16"/>
        </w:rPr>
        <w:t xml:space="preserve">risk of </w:t>
      </w:r>
      <w:r w:rsidR="00F07A4C" w:rsidRPr="00C11123">
        <w:rPr>
          <w:sz w:val="16"/>
          <w:szCs w:val="16"/>
        </w:rPr>
        <w:t xml:space="preserve">aggressive prostate cancer. </w:t>
      </w:r>
      <w:r w:rsidR="00F07A4C" w:rsidRPr="00C11123">
        <w:rPr>
          <w:i/>
          <w:iCs/>
          <w:sz w:val="16"/>
          <w:szCs w:val="16"/>
        </w:rPr>
        <w:t>See e.g.,</w:t>
      </w:r>
      <w:r w:rsidR="007E37DA" w:rsidRPr="00C11123">
        <w:rPr>
          <w:i/>
          <w:iCs/>
          <w:sz w:val="16"/>
          <w:szCs w:val="16"/>
        </w:rPr>
        <w:t xml:space="preserve"> Pancholi,</w:t>
      </w:r>
      <w:r w:rsidR="00E846F0" w:rsidRPr="00C11123">
        <w:rPr>
          <w:i/>
          <w:iCs/>
          <w:sz w:val="16"/>
          <w:szCs w:val="16"/>
        </w:rPr>
        <w:t xml:space="preserve"> Neha, Ph.D. </w:t>
      </w:r>
      <w:hyperlink r:id="rId7" w:history="1">
        <w:r w:rsidR="00E846F0" w:rsidRPr="00B65533">
          <w:rPr>
            <w:rStyle w:val="Hyperlink"/>
            <w:i/>
            <w:iCs/>
            <w:sz w:val="16"/>
            <w:szCs w:val="16"/>
          </w:rPr>
          <w:t>What Is a Gleason Score for Prostate Cancer?</w:t>
        </w:r>
      </w:hyperlink>
      <w:r w:rsidR="00E846F0" w:rsidRPr="00C11123">
        <w:rPr>
          <w:i/>
          <w:iCs/>
          <w:sz w:val="16"/>
          <w:szCs w:val="16"/>
        </w:rPr>
        <w:t>,</w:t>
      </w:r>
      <w:r w:rsidR="00E846F0" w:rsidRPr="00C11123">
        <w:rPr>
          <w:sz w:val="16"/>
          <w:szCs w:val="16"/>
        </w:rPr>
        <w:t xml:space="preserve"> American Association for Cancer Research, </w:t>
      </w:r>
      <w:r w:rsidR="001A7D73" w:rsidRPr="00C11123">
        <w:rPr>
          <w:sz w:val="16"/>
          <w:szCs w:val="16"/>
        </w:rPr>
        <w:t xml:space="preserve">May 22, 2025; Online at: </w:t>
      </w:r>
      <w:hyperlink r:id="rId8" w:history="1">
        <w:r w:rsidR="00B65533" w:rsidRPr="00387ED4">
          <w:rPr>
            <w:rStyle w:val="Hyperlink"/>
            <w:sz w:val="16"/>
            <w:szCs w:val="16"/>
          </w:rPr>
          <w:t>https://www.aacr.org/blog/2025/05/22/what-is-a-gleason-score-for-prostate-cancer/?gad_source=1&amp;gad_campaignid=21152407190&amp;gbraid=0AAAAADrBdMRelMqos-dqI0hyU8nGHkmC-&amp;gclid=EAIaIQobChMI4am_ovjgkgMVAU5HAR00-TRyEAAYASAAEgI5rfD_BwE</w:t>
        </w:r>
      </w:hyperlink>
      <w:r w:rsidR="00B65533">
        <w:rPr>
          <w:sz w:val="16"/>
          <w:szCs w:val="16"/>
        </w:rPr>
        <w:t xml:space="preserve"> </w:t>
      </w:r>
      <w:r w:rsidR="00800724" w:rsidRPr="00C11123">
        <w:rPr>
          <w:sz w:val="16"/>
          <w:szCs w:val="16"/>
        </w:rPr>
        <w:t>.</w:t>
      </w:r>
    </w:p>
  </w:footnote>
  <w:footnote w:id="7">
    <w:p w14:paraId="63DDB42E" w14:textId="5A3E8E13" w:rsidR="00AD7603"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Prostate cancer patients referred for CT scans increase by 30% from 2023-2025.</w:t>
      </w:r>
    </w:p>
  </w:footnote>
  <w:footnote w:id="8">
    <w:p w14:paraId="2837430C" w14:textId="48551E3A" w:rsidR="00957C90" w:rsidRPr="00C11123" w:rsidRDefault="00000000" w:rsidP="00957C90">
      <w:pPr>
        <w:pStyle w:val="FootnoteText"/>
        <w:rPr>
          <w:sz w:val="16"/>
          <w:szCs w:val="16"/>
          <w:highlight w:val="green"/>
        </w:rPr>
      </w:pPr>
      <w:r w:rsidRPr="00C11123">
        <w:rPr>
          <w:rStyle w:val="FootnoteReference"/>
          <w:sz w:val="16"/>
          <w:szCs w:val="16"/>
        </w:rPr>
        <w:footnoteRef/>
      </w:r>
      <w:r w:rsidR="002303F8" w:rsidRPr="00C11123">
        <w:rPr>
          <w:sz w:val="16"/>
          <w:szCs w:val="16"/>
        </w:rPr>
        <w:t xml:space="preserve"> </w:t>
      </w:r>
      <w:hyperlink r:id="rId9" w:history="1">
        <w:r w:rsidR="000464C1" w:rsidRPr="003D75A2">
          <w:rPr>
            <w:rStyle w:val="Hyperlink"/>
            <w:sz w:val="16"/>
            <w:szCs w:val="16"/>
          </w:rPr>
          <w:t xml:space="preserve">Cancer Facts for Men. </w:t>
        </w:r>
      </w:hyperlink>
      <w:r w:rsidR="00962B8C" w:rsidRPr="00C11123">
        <w:rPr>
          <w:sz w:val="16"/>
          <w:szCs w:val="16"/>
        </w:rPr>
        <w:t xml:space="preserve">American Cancer Society. </w:t>
      </w:r>
      <w:r w:rsidR="000464C1" w:rsidRPr="00C11123">
        <w:rPr>
          <w:sz w:val="16"/>
          <w:szCs w:val="16"/>
        </w:rPr>
        <w:t xml:space="preserve">Accessed February 17, 2026. </w:t>
      </w:r>
      <w:hyperlink r:id="rId10" w:history="1">
        <w:r w:rsidR="003D75A2" w:rsidRPr="00387ED4">
          <w:rPr>
            <w:rStyle w:val="Hyperlink"/>
            <w:sz w:val="16"/>
            <w:szCs w:val="16"/>
          </w:rPr>
          <w:t>https://www.cancer.org/cancer/risk-prevention/understanding-cancer-risk/cancer-facts/cancer-facts-for-men.html</w:t>
        </w:r>
      </w:hyperlink>
      <w:r w:rsidR="003D75A2">
        <w:rPr>
          <w:sz w:val="16"/>
          <w:szCs w:val="16"/>
        </w:rPr>
        <w:t xml:space="preserve"> </w:t>
      </w:r>
    </w:p>
  </w:footnote>
  <w:footnote w:id="9">
    <w:p w14:paraId="2CFE179A" w14:textId="0310B469" w:rsidR="00D531CB"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Tables </w:t>
      </w:r>
      <w:r w:rsidR="00724EFA" w:rsidRPr="00C11123">
        <w:rPr>
          <w:sz w:val="16"/>
          <w:szCs w:val="16"/>
        </w:rPr>
        <w:t xml:space="preserve">1, 5, </w:t>
      </w:r>
      <w:r w:rsidRPr="00C11123">
        <w:rPr>
          <w:sz w:val="16"/>
          <w:szCs w:val="16"/>
        </w:rPr>
        <w:t xml:space="preserve">and </w:t>
      </w:r>
      <w:r w:rsidR="001E3ABE" w:rsidRPr="00C11123">
        <w:rPr>
          <w:sz w:val="16"/>
          <w:szCs w:val="16"/>
        </w:rPr>
        <w:t xml:space="preserve">7. </w:t>
      </w:r>
      <w:r w:rsidR="0092623B" w:rsidRPr="00C11123">
        <w:rPr>
          <w:sz w:val="16"/>
          <w:szCs w:val="16"/>
        </w:rPr>
        <w:t>The Applicant reports 132,162</w:t>
      </w:r>
      <w:r w:rsidR="00F029AD" w:rsidRPr="00C11123">
        <w:rPr>
          <w:sz w:val="16"/>
          <w:szCs w:val="16"/>
        </w:rPr>
        <w:t xml:space="preserve"> total patients</w:t>
      </w:r>
      <w:r w:rsidR="00406C9C" w:rsidRPr="00C11123">
        <w:rPr>
          <w:sz w:val="16"/>
          <w:szCs w:val="16"/>
        </w:rPr>
        <w:t xml:space="preserve"> of which 65,406 are males over 65 years old.</w:t>
      </w:r>
    </w:p>
  </w:footnote>
  <w:footnote w:id="10">
    <w:p w14:paraId="6B13FA6C" w14:textId="55C714C7" w:rsidR="00957C90" w:rsidRPr="00C11123" w:rsidRDefault="00000000" w:rsidP="00957C90">
      <w:pPr>
        <w:pStyle w:val="FootnoteText"/>
        <w:rPr>
          <w:sz w:val="16"/>
          <w:szCs w:val="16"/>
        </w:rPr>
      </w:pPr>
      <w:r w:rsidRPr="00C11123">
        <w:rPr>
          <w:rStyle w:val="FootnoteReference"/>
          <w:sz w:val="16"/>
          <w:szCs w:val="16"/>
        </w:rPr>
        <w:footnoteRef/>
      </w:r>
      <w:r w:rsidRPr="00C11123">
        <w:rPr>
          <w:sz w:val="16"/>
          <w:szCs w:val="16"/>
        </w:rPr>
        <w:t xml:space="preserve"> </w:t>
      </w:r>
      <w:hyperlink r:id="rId11" w:history="1">
        <w:r w:rsidR="000464C1" w:rsidRPr="003D75A2">
          <w:rPr>
            <w:rStyle w:val="Hyperlink"/>
            <w:sz w:val="16"/>
            <w:szCs w:val="16"/>
          </w:rPr>
          <w:t>Cancer Facts for Men.</w:t>
        </w:r>
      </w:hyperlink>
      <w:r w:rsidR="000464C1" w:rsidRPr="00C11123">
        <w:rPr>
          <w:sz w:val="16"/>
          <w:szCs w:val="16"/>
        </w:rPr>
        <w:t xml:space="preserve"> Accessed February 17, 2026. </w:t>
      </w:r>
      <w:hyperlink r:id="rId12" w:history="1">
        <w:r w:rsidR="003D75A2" w:rsidRPr="00387ED4">
          <w:rPr>
            <w:rStyle w:val="Hyperlink"/>
            <w:sz w:val="16"/>
            <w:szCs w:val="16"/>
          </w:rPr>
          <w:t>https://www.cancer.org/cancer/risk-prevention/understanding-cancer-risk/cancer-facts/cancer-facts-for-men.html</w:t>
        </w:r>
      </w:hyperlink>
      <w:r w:rsidR="003D75A2">
        <w:rPr>
          <w:sz w:val="16"/>
          <w:szCs w:val="16"/>
        </w:rPr>
        <w:t xml:space="preserve"> </w:t>
      </w:r>
    </w:p>
  </w:footnote>
  <w:footnote w:id="11">
    <w:p w14:paraId="6E3AFDC1" w14:textId="794AE3BC" w:rsidR="00015721"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4404B4" w:rsidRPr="00C11123">
        <w:rPr>
          <w:sz w:val="16"/>
          <w:szCs w:val="16"/>
        </w:rPr>
        <w:t xml:space="preserve">See e.g., </w:t>
      </w:r>
      <w:r w:rsidR="000464C1" w:rsidRPr="00C11123">
        <w:rPr>
          <w:rFonts w:cs="Arial"/>
          <w:sz w:val="16"/>
          <w:szCs w:val="16"/>
        </w:rPr>
        <w:t xml:space="preserve">Subramanian K, Martinez J, Huicochea Castellanos S, et al. </w:t>
      </w:r>
      <w:hyperlink r:id="rId13" w:history="1">
        <w:r w:rsidR="000464C1" w:rsidRPr="003D75A2">
          <w:rPr>
            <w:rStyle w:val="Hyperlink"/>
            <w:rFonts w:cs="Arial"/>
            <w:sz w:val="16"/>
            <w:szCs w:val="16"/>
          </w:rPr>
          <w:t>Complex implementation factors demonstrated when evaluating cost-effectiveness and monitoring racial disparities associated with [18F]DCFPyL PET/CT in prostate cancer men.</w:t>
        </w:r>
      </w:hyperlink>
      <w:r w:rsidR="000464C1" w:rsidRPr="00C11123">
        <w:rPr>
          <w:rFonts w:cs="Arial"/>
          <w:sz w:val="16"/>
          <w:szCs w:val="16"/>
        </w:rPr>
        <w:t xml:space="preserve"> Sci Rep. 2023;13(1):8321. doi:10.1038/s41598-023-35567-w </w:t>
      </w:r>
      <w:r w:rsidR="004404B4" w:rsidRPr="00C11123">
        <w:rPr>
          <w:rFonts w:cs="Arial"/>
          <w:sz w:val="16"/>
          <w:szCs w:val="16"/>
        </w:rPr>
        <w:t>(Discussing PSMA PET/</w:t>
      </w:r>
      <w:proofErr w:type="gramStart"/>
      <w:r w:rsidR="004404B4" w:rsidRPr="00C11123">
        <w:rPr>
          <w:rFonts w:cs="Arial"/>
          <w:sz w:val="16"/>
          <w:szCs w:val="16"/>
        </w:rPr>
        <w:t>CT, and</w:t>
      </w:r>
      <w:proofErr w:type="gramEnd"/>
      <w:r w:rsidR="004404B4" w:rsidRPr="00C11123">
        <w:rPr>
          <w:rFonts w:cs="Arial"/>
          <w:sz w:val="16"/>
          <w:szCs w:val="16"/>
        </w:rPr>
        <w:t xml:space="preserve"> stating: </w:t>
      </w:r>
      <w:r w:rsidR="004404B4" w:rsidRPr="00C11123">
        <w:rPr>
          <w:sz w:val="16"/>
          <w:szCs w:val="16"/>
        </w:rPr>
        <w:t xml:space="preserve">“Imaging is critical in the staging of patients at initial diagnosis as well as biochemical recurrence because the quantification of disease burden, distribution, and subsequent progression determines treatment management. Imaging, along with other visual and informational aids, enhances the understanding of disease involvement and can guide patient decision making.”) </w:t>
      </w:r>
      <w:r w:rsidR="00C86066" w:rsidRPr="00C11123">
        <w:rPr>
          <w:sz w:val="16"/>
          <w:szCs w:val="16"/>
        </w:rPr>
        <w:t>Accessed</w:t>
      </w:r>
      <w:r w:rsidR="003C423D" w:rsidRPr="00C11123">
        <w:rPr>
          <w:sz w:val="16"/>
          <w:szCs w:val="16"/>
        </w:rPr>
        <w:t xml:space="preserve"> February 22, 2026. </w:t>
      </w:r>
      <w:hyperlink r:id="rId14" w:history="1">
        <w:r w:rsidR="00754C1C" w:rsidRPr="00387ED4">
          <w:rPr>
            <w:rStyle w:val="Hyperlink"/>
            <w:rFonts w:cs="Arial"/>
            <w:sz w:val="16"/>
            <w:szCs w:val="16"/>
          </w:rPr>
          <w:t>https://doi.org/10.1038/s41598-023-35567-w</w:t>
        </w:r>
      </w:hyperlink>
      <w:r w:rsidR="00754C1C">
        <w:rPr>
          <w:rFonts w:cs="Arial"/>
          <w:sz w:val="16"/>
          <w:szCs w:val="16"/>
        </w:rPr>
        <w:t xml:space="preserve"> </w:t>
      </w:r>
      <w:r w:rsidR="00C86066" w:rsidRPr="00C11123">
        <w:rPr>
          <w:rFonts w:cs="Arial"/>
          <w:i/>
          <w:iCs/>
          <w:sz w:val="16"/>
          <w:szCs w:val="16"/>
        </w:rPr>
        <w:t xml:space="preserve">  </w:t>
      </w:r>
    </w:p>
  </w:footnote>
  <w:footnote w:id="12">
    <w:p w14:paraId="7358E9F7" w14:textId="5659AAB2" w:rsidR="007845C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Tables 4 and 5</w:t>
      </w:r>
      <w:r w:rsidR="00800724" w:rsidRPr="00C11123">
        <w:rPr>
          <w:sz w:val="16"/>
          <w:szCs w:val="16"/>
        </w:rPr>
        <w:t>.</w:t>
      </w:r>
    </w:p>
  </w:footnote>
  <w:footnote w:id="13">
    <w:p w14:paraId="6128726B" w14:textId="28C5D0B2" w:rsidR="00B17454"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C25914" w:rsidRPr="00C11123">
        <w:rPr>
          <w:sz w:val="16"/>
          <w:szCs w:val="16"/>
        </w:rPr>
        <w:t xml:space="preserve">See Table 1. </w:t>
      </w:r>
      <w:r w:rsidRPr="00C11123">
        <w:rPr>
          <w:sz w:val="16"/>
          <w:szCs w:val="16"/>
        </w:rPr>
        <w:t xml:space="preserve">Note: The Applicant added two (2) practice locations in 2025, Attleboro and Leominster, which </w:t>
      </w:r>
      <w:r w:rsidR="00A06218" w:rsidRPr="00C11123">
        <w:rPr>
          <w:sz w:val="16"/>
          <w:szCs w:val="16"/>
        </w:rPr>
        <w:t>has partially</w:t>
      </w:r>
      <w:r w:rsidRPr="00C11123">
        <w:rPr>
          <w:sz w:val="16"/>
          <w:szCs w:val="16"/>
        </w:rPr>
        <w:t xml:space="preserve"> contributed to the increase in the Applicant’s Patient Panel.</w:t>
      </w:r>
    </w:p>
  </w:footnote>
  <w:footnote w:id="14">
    <w:p w14:paraId="4DA6DBDE" w14:textId="2F42088C" w:rsidR="007845C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Pr="00C11123">
        <w:rPr>
          <w:rFonts w:cs="Arial"/>
          <w:sz w:val="16"/>
          <w:szCs w:val="16"/>
        </w:rPr>
        <w:t>See Table 4.</w:t>
      </w:r>
    </w:p>
  </w:footnote>
  <w:footnote w:id="15">
    <w:p w14:paraId="787B03FB" w14:textId="33EEE3B7" w:rsidR="00957C90" w:rsidRPr="00C11123" w:rsidRDefault="00000000" w:rsidP="00957C90">
      <w:pPr>
        <w:pStyle w:val="FootnoteText"/>
        <w:rPr>
          <w:rFonts w:cs="Arial"/>
          <w:b/>
          <w:bCs/>
          <w:sz w:val="16"/>
          <w:szCs w:val="16"/>
        </w:rPr>
      </w:pPr>
      <w:r w:rsidRPr="00C11123">
        <w:rPr>
          <w:rStyle w:val="FootnoteReference"/>
          <w:sz w:val="16"/>
          <w:szCs w:val="16"/>
        </w:rPr>
        <w:footnoteRef/>
      </w:r>
      <w:r w:rsidRPr="00C11123">
        <w:rPr>
          <w:sz w:val="16"/>
          <w:szCs w:val="16"/>
        </w:rPr>
        <w:t xml:space="preserve"> </w:t>
      </w:r>
      <w:r w:rsidRPr="00C11123">
        <w:rPr>
          <w:rFonts w:cs="Arial"/>
          <w:sz w:val="16"/>
          <w:szCs w:val="16"/>
        </w:rPr>
        <w:t xml:space="preserve">The Proposed Project sites (Framingham, Dedham, Plymouth) </w:t>
      </w:r>
      <w:proofErr w:type="gramStart"/>
      <w:r w:rsidRPr="00C11123">
        <w:rPr>
          <w:rFonts w:cs="Arial"/>
          <w:sz w:val="16"/>
          <w:szCs w:val="16"/>
        </w:rPr>
        <w:t>and also</w:t>
      </w:r>
      <w:proofErr w:type="gramEnd"/>
      <w:r w:rsidRPr="00C11123">
        <w:rPr>
          <w:rFonts w:cs="Arial"/>
          <w:sz w:val="16"/>
          <w:szCs w:val="16"/>
        </w:rPr>
        <w:t xml:space="preserve"> North Easton typically have the </w:t>
      </w:r>
      <w:r w:rsidR="00EE00D0" w:rsidRPr="00C11123">
        <w:rPr>
          <w:rFonts w:cs="Arial"/>
          <w:sz w:val="16"/>
          <w:szCs w:val="16"/>
        </w:rPr>
        <w:t>greatest patient population</w:t>
      </w:r>
      <w:r w:rsidRPr="00C11123">
        <w:rPr>
          <w:rFonts w:cs="Arial"/>
          <w:sz w:val="16"/>
          <w:szCs w:val="16"/>
        </w:rPr>
        <w:t>. See Tables</w:t>
      </w:r>
      <w:r w:rsidR="00E7502F" w:rsidRPr="00C11123">
        <w:rPr>
          <w:rFonts w:cs="Arial"/>
          <w:sz w:val="16"/>
          <w:szCs w:val="16"/>
        </w:rPr>
        <w:t xml:space="preserve"> 1, 4 and 5.</w:t>
      </w:r>
      <w:r w:rsidRPr="00C11123">
        <w:rPr>
          <w:rFonts w:cs="Arial"/>
          <w:sz w:val="16"/>
          <w:szCs w:val="16"/>
        </w:rPr>
        <w:t xml:space="preserve"> </w:t>
      </w:r>
    </w:p>
  </w:footnote>
  <w:footnote w:id="16">
    <w:p w14:paraId="2254B30A" w14:textId="2973F175" w:rsidR="00957C90" w:rsidRPr="00C11123" w:rsidRDefault="00000000" w:rsidP="00957C90">
      <w:pPr>
        <w:pStyle w:val="FootnoteText"/>
        <w:rPr>
          <w:rFonts w:cs="Arial"/>
          <w:b/>
          <w:bCs/>
          <w:sz w:val="16"/>
          <w:szCs w:val="16"/>
        </w:rPr>
      </w:pPr>
      <w:r w:rsidRPr="00C11123">
        <w:rPr>
          <w:rStyle w:val="FootnoteReference"/>
          <w:rFonts w:cs="Arial"/>
          <w:sz w:val="16"/>
          <w:szCs w:val="16"/>
        </w:rPr>
        <w:footnoteRef/>
      </w:r>
      <w:r w:rsidR="00E7502F" w:rsidRPr="00C11123">
        <w:rPr>
          <w:rFonts w:cs="Arial"/>
          <w:sz w:val="16"/>
          <w:szCs w:val="16"/>
        </w:rPr>
        <w:t xml:space="preserve"> See Table 6.</w:t>
      </w:r>
      <w:r w:rsidRPr="00C11123">
        <w:rPr>
          <w:rFonts w:cs="Arial"/>
          <w:sz w:val="16"/>
          <w:szCs w:val="16"/>
        </w:rPr>
        <w:t xml:space="preserve"> </w:t>
      </w:r>
      <w:r w:rsidR="002764B2" w:rsidRPr="00C11123">
        <w:rPr>
          <w:rFonts w:cs="Arial"/>
          <w:sz w:val="16"/>
          <w:szCs w:val="16"/>
        </w:rPr>
        <w:t xml:space="preserve">Figures calculated by adding patients for each category of age 65 and </w:t>
      </w:r>
      <w:proofErr w:type="gramStart"/>
      <w:r w:rsidR="002764B2" w:rsidRPr="00C11123">
        <w:rPr>
          <w:rFonts w:cs="Arial"/>
          <w:sz w:val="16"/>
          <w:szCs w:val="16"/>
        </w:rPr>
        <w:t>older</w:t>
      </w:r>
      <w:r w:rsidR="0047205C" w:rsidRPr="00C11123">
        <w:rPr>
          <w:rFonts w:cs="Arial"/>
          <w:sz w:val="16"/>
          <w:szCs w:val="16"/>
        </w:rPr>
        <w:t>, and</w:t>
      </w:r>
      <w:proofErr w:type="gramEnd"/>
      <w:r w:rsidR="0047205C" w:rsidRPr="00C11123">
        <w:rPr>
          <w:rFonts w:cs="Arial"/>
          <w:sz w:val="16"/>
          <w:szCs w:val="16"/>
        </w:rPr>
        <w:t xml:space="preserve"> taking percentage of total patients</w:t>
      </w:r>
      <w:r w:rsidR="002764B2" w:rsidRPr="00C11123">
        <w:rPr>
          <w:rFonts w:cs="Arial"/>
          <w:sz w:val="16"/>
          <w:szCs w:val="16"/>
        </w:rPr>
        <w:t xml:space="preserve">. </w:t>
      </w:r>
      <w:r w:rsidRPr="00C11123">
        <w:rPr>
          <w:rFonts w:cs="Arial"/>
          <w:sz w:val="16"/>
          <w:szCs w:val="16"/>
        </w:rPr>
        <w:t>When patients aged 55-64 are included, at least 83% of the Patient Panel are considered upper middle-aged or senior, which age categories in males are associated with greater onset of various urological conditions, including benign prostatic hyperp</w:t>
      </w:r>
      <w:r w:rsidR="00C233AC" w:rsidRPr="00C11123">
        <w:rPr>
          <w:rFonts w:cs="Arial"/>
          <w:sz w:val="16"/>
          <w:szCs w:val="16"/>
        </w:rPr>
        <w:t>l</w:t>
      </w:r>
      <w:r w:rsidRPr="00C11123">
        <w:rPr>
          <w:rFonts w:cs="Arial"/>
          <w:sz w:val="16"/>
          <w:szCs w:val="16"/>
        </w:rPr>
        <w:t xml:space="preserve">asia and prostate cancer in males.  See e.g., </w:t>
      </w:r>
      <w:hyperlink r:id="rId15" w:history="1">
        <w:r w:rsidR="000464C1" w:rsidRPr="00214437">
          <w:rPr>
            <w:rStyle w:val="Hyperlink"/>
            <w:rFonts w:cs="Arial"/>
            <w:sz w:val="16"/>
            <w:szCs w:val="16"/>
          </w:rPr>
          <w:t>The growing problem of an enlarged prostate gland</w:t>
        </w:r>
      </w:hyperlink>
      <w:r w:rsidR="000464C1" w:rsidRPr="00C11123">
        <w:rPr>
          <w:rFonts w:cs="Arial"/>
          <w:sz w:val="16"/>
          <w:szCs w:val="16"/>
        </w:rPr>
        <w:t xml:space="preserve">. Harvard Health. March 1, 2019. Accessed February 17, 2026. </w:t>
      </w:r>
      <w:hyperlink r:id="rId16" w:history="1">
        <w:r w:rsidR="00214437" w:rsidRPr="00387ED4">
          <w:rPr>
            <w:rStyle w:val="Hyperlink"/>
            <w:rFonts w:cs="Arial"/>
            <w:sz w:val="16"/>
            <w:szCs w:val="16"/>
          </w:rPr>
          <w:t>https://www.health.harvard.edu/mens-health/the-growing-problem-of-an-enlarged-prostate-gland</w:t>
        </w:r>
      </w:hyperlink>
      <w:r w:rsidR="00214437">
        <w:rPr>
          <w:rFonts w:cs="Arial"/>
          <w:sz w:val="16"/>
          <w:szCs w:val="16"/>
        </w:rPr>
        <w:t xml:space="preserve"> </w:t>
      </w:r>
      <w:r w:rsidR="000464C1" w:rsidRPr="00C11123">
        <w:rPr>
          <w:rFonts w:cs="Arial"/>
          <w:sz w:val="16"/>
          <w:szCs w:val="16"/>
        </w:rPr>
        <w:t xml:space="preserve">; </w:t>
      </w:r>
      <w:hyperlink r:id="rId17" w:history="1">
        <w:r w:rsidR="000464C1" w:rsidRPr="00214437">
          <w:rPr>
            <w:rStyle w:val="Hyperlink"/>
            <w:rFonts w:cs="Arial"/>
            <w:sz w:val="16"/>
            <w:szCs w:val="16"/>
          </w:rPr>
          <w:t>When (and Why) You Should Start Seeing a Urologist</w:t>
        </w:r>
      </w:hyperlink>
      <w:r w:rsidR="000464C1" w:rsidRPr="00C11123">
        <w:rPr>
          <w:rFonts w:cs="Arial"/>
          <w:sz w:val="16"/>
          <w:szCs w:val="16"/>
        </w:rPr>
        <w:t xml:space="preserve">. Cleveland Clinic. Accessed February 17, 2026. </w:t>
      </w:r>
      <w:hyperlink r:id="rId18" w:history="1">
        <w:r w:rsidR="00214437" w:rsidRPr="00387ED4">
          <w:rPr>
            <w:rStyle w:val="Hyperlink"/>
            <w:rFonts w:cs="Arial"/>
            <w:sz w:val="16"/>
            <w:szCs w:val="16"/>
          </w:rPr>
          <w:t>https://health.clevelandclinic.org/men-over-40-start-seeing-a-urologist-regularly</w:t>
        </w:r>
      </w:hyperlink>
      <w:r w:rsidR="00214437">
        <w:rPr>
          <w:rFonts w:cs="Arial"/>
          <w:sz w:val="16"/>
          <w:szCs w:val="16"/>
        </w:rPr>
        <w:t xml:space="preserve"> </w:t>
      </w:r>
      <w:r w:rsidR="000464C1" w:rsidRPr="00C11123">
        <w:rPr>
          <w:rFonts w:cs="Arial"/>
          <w:sz w:val="16"/>
          <w:szCs w:val="16"/>
        </w:rPr>
        <w:t>.</w:t>
      </w:r>
    </w:p>
  </w:footnote>
  <w:footnote w:id="17">
    <w:p w14:paraId="7AFD5DF3" w14:textId="3F803929" w:rsidR="007845C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w:t>
      </w:r>
      <w:r w:rsidR="0047205C" w:rsidRPr="00C11123">
        <w:rPr>
          <w:sz w:val="16"/>
          <w:szCs w:val="16"/>
        </w:rPr>
        <w:t xml:space="preserve"> 6 and</w:t>
      </w:r>
      <w:r w:rsidRPr="00C11123">
        <w:rPr>
          <w:sz w:val="16"/>
          <w:szCs w:val="16"/>
        </w:rPr>
        <w:t xml:space="preserve"> 7.</w:t>
      </w:r>
      <w:r w:rsidR="0047205C" w:rsidRPr="00C11123">
        <w:rPr>
          <w:sz w:val="16"/>
          <w:szCs w:val="16"/>
        </w:rPr>
        <w:t xml:space="preserve"> Percentage calculated by taking percentage of males 65+ (65,406) of all patients 65+ (86,399), which is 75.7%.</w:t>
      </w:r>
    </w:p>
  </w:footnote>
  <w:footnote w:id="18">
    <w:p w14:paraId="26654E0B" w14:textId="3693DD90" w:rsidR="00957C90" w:rsidRPr="00C11123" w:rsidRDefault="00000000" w:rsidP="00957C90">
      <w:pPr>
        <w:pStyle w:val="FootnoteText"/>
        <w:rPr>
          <w:rFonts w:cs="Arial"/>
          <w:b/>
          <w:bCs/>
          <w:sz w:val="16"/>
          <w:szCs w:val="16"/>
        </w:rPr>
      </w:pPr>
      <w:r w:rsidRPr="00C11123">
        <w:rPr>
          <w:rStyle w:val="FootnoteReference"/>
          <w:rFonts w:cs="Arial"/>
          <w:sz w:val="16"/>
          <w:szCs w:val="16"/>
        </w:rPr>
        <w:footnoteRef/>
      </w:r>
      <w:r w:rsidRPr="00C11123">
        <w:rPr>
          <w:rFonts w:cs="Arial"/>
          <w:sz w:val="16"/>
          <w:szCs w:val="16"/>
        </w:rPr>
        <w:t xml:space="preserve"> </w:t>
      </w:r>
      <w:r w:rsidR="0080504D" w:rsidRPr="00C11123">
        <w:rPr>
          <w:rFonts w:cs="Arial"/>
          <w:sz w:val="16"/>
          <w:szCs w:val="16"/>
        </w:rPr>
        <w:t xml:space="preserve">CDC, </w:t>
      </w:r>
      <w:r w:rsidR="0080504D" w:rsidRPr="00C11123">
        <w:rPr>
          <w:rFonts w:cs="Arial"/>
          <w:i/>
          <w:iCs/>
          <w:sz w:val="16"/>
          <w:szCs w:val="16"/>
        </w:rPr>
        <w:t>supra</w:t>
      </w:r>
      <w:r w:rsidR="0080504D" w:rsidRPr="00C11123">
        <w:rPr>
          <w:rFonts w:cs="Arial"/>
          <w:sz w:val="16"/>
          <w:szCs w:val="16"/>
        </w:rPr>
        <w:t xml:space="preserve"> note 5.</w:t>
      </w:r>
    </w:p>
  </w:footnote>
  <w:footnote w:id="19">
    <w:p w14:paraId="17921348" w14:textId="30FE903D" w:rsidR="0071039A"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Note: The Applicant added two (2) practice locations in 2025, Attleboro and Leominster, which has partially contributed to the increase in the Applicant’s Patient Panel.</w:t>
      </w:r>
    </w:p>
  </w:footnote>
  <w:footnote w:id="20">
    <w:p w14:paraId="07CACFF8" w14:textId="13EDD7C0" w:rsidR="00846C55" w:rsidRPr="00C11123" w:rsidRDefault="00000000">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274641" w:rsidRPr="00C11123">
        <w:rPr>
          <w:rFonts w:cs="Arial"/>
          <w:sz w:val="16"/>
          <w:szCs w:val="16"/>
        </w:rPr>
        <w:t xml:space="preserve">Lillard Jr JW, Moses KA, Mahal BA, George DJ. </w:t>
      </w:r>
      <w:hyperlink r:id="rId19" w:history="1">
        <w:r w:rsidR="00274641" w:rsidRPr="00214437">
          <w:rPr>
            <w:rStyle w:val="Hyperlink"/>
            <w:rFonts w:cs="Arial"/>
            <w:sz w:val="16"/>
            <w:szCs w:val="16"/>
          </w:rPr>
          <w:t>Racial disparities in Black men with prostate cancer: A literature review</w:t>
        </w:r>
      </w:hyperlink>
      <w:r w:rsidR="00274641" w:rsidRPr="00C11123">
        <w:rPr>
          <w:rFonts w:cs="Arial"/>
          <w:sz w:val="16"/>
          <w:szCs w:val="16"/>
        </w:rPr>
        <w:t xml:space="preserve">. </w:t>
      </w:r>
      <w:r w:rsidR="00274641" w:rsidRPr="00C11123">
        <w:rPr>
          <w:rFonts w:cs="Arial"/>
          <w:i/>
          <w:iCs/>
          <w:sz w:val="16"/>
          <w:szCs w:val="16"/>
        </w:rPr>
        <w:t>Cancer</w:t>
      </w:r>
      <w:r w:rsidR="00274641" w:rsidRPr="00C11123">
        <w:rPr>
          <w:rFonts w:cs="Arial"/>
          <w:sz w:val="16"/>
          <w:szCs w:val="16"/>
        </w:rPr>
        <w:t>. 2022;128(21):3787-3795. doi:10.1002/cncr.34433.</w:t>
      </w:r>
      <w:r w:rsidR="00E6752A" w:rsidRPr="00C11123">
        <w:rPr>
          <w:rFonts w:cs="Arial"/>
          <w:sz w:val="16"/>
          <w:szCs w:val="16"/>
        </w:rPr>
        <w:t xml:space="preserve"> Acc</w:t>
      </w:r>
      <w:r w:rsidR="00394083" w:rsidRPr="00C11123">
        <w:rPr>
          <w:rFonts w:cs="Arial"/>
          <w:sz w:val="16"/>
          <w:szCs w:val="16"/>
        </w:rPr>
        <w:t>essed February 22, 2026</w:t>
      </w:r>
      <w:r w:rsidR="004770CE" w:rsidRPr="00C11123">
        <w:rPr>
          <w:rFonts w:cs="Arial"/>
          <w:sz w:val="16"/>
          <w:szCs w:val="16"/>
        </w:rPr>
        <w:t>.</w:t>
      </w:r>
      <w:r w:rsidR="00394083" w:rsidRPr="00C11123">
        <w:rPr>
          <w:rFonts w:cs="Arial"/>
          <w:sz w:val="16"/>
          <w:szCs w:val="16"/>
        </w:rPr>
        <w:t xml:space="preserve"> </w:t>
      </w:r>
      <w:hyperlink r:id="rId20" w:history="1">
        <w:r w:rsidR="00214437" w:rsidRPr="00387ED4">
          <w:rPr>
            <w:rStyle w:val="Hyperlink"/>
            <w:rFonts w:cs="Arial"/>
            <w:sz w:val="16"/>
            <w:szCs w:val="16"/>
          </w:rPr>
          <w:t>https://pmc.ncbi.nlm.nih.gov/articles/PMC9826514/</w:t>
        </w:r>
      </w:hyperlink>
      <w:r w:rsidR="00214437">
        <w:rPr>
          <w:rFonts w:cs="Arial"/>
          <w:sz w:val="16"/>
          <w:szCs w:val="16"/>
        </w:rPr>
        <w:t xml:space="preserve"> </w:t>
      </w:r>
    </w:p>
  </w:footnote>
  <w:footnote w:id="21">
    <w:p w14:paraId="5E0C8371" w14:textId="2B347FA3" w:rsidR="007157C8" w:rsidRPr="00C11123" w:rsidRDefault="00000000">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See e.g., </w:t>
      </w:r>
      <w:hyperlink r:id="rId21" w:history="1">
        <w:r w:rsidR="000464C1" w:rsidRPr="00214437">
          <w:rPr>
            <w:rStyle w:val="Hyperlink"/>
            <w:rFonts w:cs="Arial"/>
            <w:sz w:val="16"/>
            <w:szCs w:val="16"/>
          </w:rPr>
          <w:t>Prostate cancer statistics, 2025</w:t>
        </w:r>
      </w:hyperlink>
      <w:r w:rsidR="000464C1" w:rsidRPr="00C11123">
        <w:rPr>
          <w:rFonts w:cs="Arial"/>
          <w:sz w:val="16"/>
          <w:szCs w:val="16"/>
        </w:rPr>
        <w:t xml:space="preserve"> - Kratzer - 2025 - CA: A Cancer Journal for Clinicians - Wiley Online Library. Accessed February 17, 2026. </w:t>
      </w:r>
      <w:hyperlink r:id="rId22" w:history="1">
        <w:r w:rsidR="00214437" w:rsidRPr="00387ED4">
          <w:rPr>
            <w:rStyle w:val="Hyperlink"/>
            <w:rFonts w:cs="Arial"/>
            <w:sz w:val="16"/>
            <w:szCs w:val="16"/>
          </w:rPr>
          <w:t>https://acsjournals.onlinelibrary.wiley.com/doi/10.3322/caac.70028</w:t>
        </w:r>
      </w:hyperlink>
      <w:r w:rsidR="00214437">
        <w:rPr>
          <w:rFonts w:cs="Arial"/>
          <w:sz w:val="16"/>
          <w:szCs w:val="16"/>
        </w:rPr>
        <w:t xml:space="preserve"> </w:t>
      </w:r>
    </w:p>
  </w:footnote>
  <w:footnote w:id="22">
    <w:p w14:paraId="176FB372" w14:textId="0BD1D02E" w:rsidR="00957C90" w:rsidRPr="00C11123" w:rsidRDefault="00000000" w:rsidP="00957C90">
      <w:pPr>
        <w:pStyle w:val="FootnoteText"/>
        <w:rPr>
          <w:sz w:val="16"/>
          <w:szCs w:val="16"/>
        </w:rPr>
      </w:pPr>
      <w:r w:rsidRPr="00C11123">
        <w:rPr>
          <w:rStyle w:val="FootnoteReference"/>
          <w:sz w:val="16"/>
          <w:szCs w:val="16"/>
        </w:rPr>
        <w:footnoteRef/>
      </w:r>
      <w:r w:rsidRPr="00C11123">
        <w:rPr>
          <w:sz w:val="16"/>
          <w:szCs w:val="16"/>
        </w:rPr>
        <w:t xml:space="preserve"> University of Massachusetts Donahue Institute, </w:t>
      </w:r>
      <w:hyperlink r:id="rId23" w:history="1">
        <w:r w:rsidR="00C44CC0" w:rsidRPr="00214437">
          <w:rPr>
            <w:rStyle w:val="Hyperlink"/>
            <w:sz w:val="16"/>
            <w:szCs w:val="16"/>
          </w:rPr>
          <w:t>UMDI V2024 Projections: Population by Age and Sex</w:t>
        </w:r>
      </w:hyperlink>
      <w:r w:rsidR="004B6DB5" w:rsidRPr="00C11123">
        <w:rPr>
          <w:sz w:val="16"/>
          <w:szCs w:val="16"/>
        </w:rPr>
        <w:t xml:space="preserve">. Accessed February 17, 2026. </w:t>
      </w:r>
      <w:hyperlink r:id="rId24" w:history="1">
        <w:r w:rsidR="00214437" w:rsidRPr="00387ED4">
          <w:rPr>
            <w:rStyle w:val="Hyperlink"/>
            <w:sz w:val="16"/>
            <w:szCs w:val="16"/>
          </w:rPr>
          <w:t>https://donahue.umass.edu/documents/UMDI_V2024_Long-Term_Population_Projections_MCD%2C_County%2C_RPA%2C_State_Age_Sex_detail_2010-2050.xlsx</w:t>
        </w:r>
      </w:hyperlink>
      <w:r w:rsidR="00214437">
        <w:rPr>
          <w:sz w:val="16"/>
          <w:szCs w:val="16"/>
        </w:rPr>
        <w:t xml:space="preserve"> </w:t>
      </w:r>
      <w:r w:rsidR="00CC07B1" w:rsidRPr="00C11123">
        <w:rPr>
          <w:sz w:val="16"/>
          <w:szCs w:val="16"/>
        </w:rPr>
        <w:t xml:space="preserve"> </w:t>
      </w:r>
    </w:p>
  </w:footnote>
  <w:footnote w:id="23">
    <w:p w14:paraId="3343DFC7" w14:textId="5881EA5F" w:rsidR="00957C90" w:rsidRPr="00C11123" w:rsidRDefault="00000000" w:rsidP="00957C90">
      <w:pPr>
        <w:pStyle w:val="FootnoteText"/>
        <w:rPr>
          <w:sz w:val="16"/>
          <w:szCs w:val="16"/>
        </w:rPr>
      </w:pPr>
      <w:r w:rsidRPr="00C11123">
        <w:rPr>
          <w:rStyle w:val="FootnoteReference"/>
          <w:sz w:val="16"/>
          <w:szCs w:val="16"/>
        </w:rPr>
        <w:footnoteRef/>
      </w:r>
      <w:r w:rsidRPr="00C11123">
        <w:rPr>
          <w:sz w:val="16"/>
          <w:szCs w:val="16"/>
        </w:rPr>
        <w:t xml:space="preserve"> </w:t>
      </w:r>
      <w:r w:rsidR="003D758B" w:rsidRPr="00C11123">
        <w:rPr>
          <w:i/>
          <w:iCs/>
          <w:sz w:val="16"/>
          <w:szCs w:val="16"/>
        </w:rPr>
        <w:t>Id.</w:t>
      </w:r>
      <w:r w:rsidR="00705766" w:rsidRPr="00C11123">
        <w:rPr>
          <w:i/>
          <w:iCs/>
          <w:sz w:val="16"/>
          <w:szCs w:val="16"/>
        </w:rPr>
        <w:t xml:space="preserve"> </w:t>
      </w:r>
    </w:p>
  </w:footnote>
  <w:footnote w:id="24">
    <w:p w14:paraId="7F9F4B71" w14:textId="5C798567" w:rsidR="00FC2737"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proofErr w:type="spellStart"/>
      <w:r w:rsidR="000464C1" w:rsidRPr="00C11123">
        <w:rPr>
          <w:sz w:val="16"/>
          <w:szCs w:val="16"/>
        </w:rPr>
        <w:t>Nyambose</w:t>
      </w:r>
      <w:proofErr w:type="spellEnd"/>
      <w:r w:rsidR="000464C1" w:rsidRPr="00C11123">
        <w:rPr>
          <w:sz w:val="16"/>
          <w:szCs w:val="16"/>
        </w:rPr>
        <w:t xml:space="preserve"> J (DPH). </w:t>
      </w:r>
      <w:hyperlink r:id="rId25" w:history="1">
        <w:r w:rsidR="000464C1" w:rsidRPr="00214437">
          <w:rPr>
            <w:rStyle w:val="Hyperlink"/>
            <w:sz w:val="16"/>
            <w:szCs w:val="16"/>
          </w:rPr>
          <w:t>Cancer Incidence and Mortality in Massachusetts 2016-2020</w:t>
        </w:r>
      </w:hyperlink>
      <w:r w:rsidR="000464C1" w:rsidRPr="00C11123">
        <w:rPr>
          <w:sz w:val="16"/>
          <w:szCs w:val="16"/>
        </w:rPr>
        <w:t>.</w:t>
      </w:r>
      <w:r w:rsidR="00F64AB5" w:rsidRPr="00C11123">
        <w:rPr>
          <w:sz w:val="16"/>
          <w:szCs w:val="16"/>
        </w:rPr>
        <w:t xml:space="preserve"> </w:t>
      </w:r>
      <w:r w:rsidR="008B25A2" w:rsidRPr="00C11123">
        <w:rPr>
          <w:sz w:val="16"/>
          <w:szCs w:val="16"/>
        </w:rPr>
        <w:t xml:space="preserve">Accessed February 22, 2026. </w:t>
      </w:r>
      <w:hyperlink r:id="rId26" w:history="1">
        <w:r w:rsidR="00214437" w:rsidRPr="00387ED4">
          <w:rPr>
            <w:rStyle w:val="Hyperlink"/>
            <w:sz w:val="16"/>
            <w:szCs w:val="16"/>
          </w:rPr>
          <w:t>https://www.mass.gov/doc/cancer-incidence-and-mortality-in-massachusetts-2016-2020-statewide-report/download</w:t>
        </w:r>
      </w:hyperlink>
      <w:r w:rsidR="00214437">
        <w:rPr>
          <w:sz w:val="16"/>
          <w:szCs w:val="16"/>
        </w:rPr>
        <w:t xml:space="preserve"> </w:t>
      </w:r>
      <w:r w:rsidR="008B25A2" w:rsidRPr="00C11123">
        <w:rPr>
          <w:sz w:val="16"/>
          <w:szCs w:val="16"/>
        </w:rPr>
        <w:t xml:space="preserve"> </w:t>
      </w:r>
    </w:p>
  </w:footnote>
  <w:footnote w:id="25">
    <w:p w14:paraId="6A0EBFFB" w14:textId="7F0BC3AD" w:rsidR="007144E6"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3D758B" w:rsidRPr="00C11123">
        <w:rPr>
          <w:i/>
          <w:iCs/>
          <w:sz w:val="16"/>
          <w:szCs w:val="16"/>
        </w:rPr>
        <w:t>Id.</w:t>
      </w:r>
    </w:p>
  </w:footnote>
  <w:footnote w:id="26">
    <w:p w14:paraId="73541310" w14:textId="0DAD4AD0" w:rsidR="00D13BAB"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3D758B" w:rsidRPr="00C11123">
        <w:rPr>
          <w:i/>
          <w:iCs/>
          <w:sz w:val="16"/>
          <w:szCs w:val="16"/>
        </w:rPr>
        <w:t>Id.</w:t>
      </w:r>
    </w:p>
  </w:footnote>
  <w:footnote w:id="27">
    <w:p w14:paraId="3AE5C7DF" w14:textId="66D49A98" w:rsidR="00266B27"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Tables </w:t>
      </w:r>
      <w:r w:rsidR="00817F1B" w:rsidRPr="00C11123">
        <w:rPr>
          <w:sz w:val="16"/>
          <w:szCs w:val="16"/>
        </w:rPr>
        <w:t xml:space="preserve">8 </w:t>
      </w:r>
      <w:r w:rsidRPr="00C11123">
        <w:rPr>
          <w:sz w:val="16"/>
          <w:szCs w:val="16"/>
        </w:rPr>
        <w:t xml:space="preserve">and </w:t>
      </w:r>
      <w:r w:rsidR="00817F1B" w:rsidRPr="00C11123">
        <w:rPr>
          <w:sz w:val="16"/>
          <w:szCs w:val="16"/>
        </w:rPr>
        <w:t>9</w:t>
      </w:r>
      <w:r w:rsidRPr="00C11123">
        <w:rPr>
          <w:sz w:val="16"/>
          <w:szCs w:val="16"/>
        </w:rPr>
        <w:t>.</w:t>
      </w:r>
    </w:p>
  </w:footnote>
  <w:footnote w:id="28">
    <w:p w14:paraId="4E41B07C" w14:textId="5C655703" w:rsidR="00E32362" w:rsidRPr="00C11123" w:rsidRDefault="00000000" w:rsidP="00E32362">
      <w:pPr>
        <w:pStyle w:val="FootnoteText"/>
        <w:rPr>
          <w:sz w:val="16"/>
          <w:szCs w:val="16"/>
        </w:rPr>
      </w:pPr>
      <w:r w:rsidRPr="00C11123">
        <w:rPr>
          <w:rStyle w:val="FootnoteReference"/>
          <w:sz w:val="16"/>
          <w:szCs w:val="16"/>
        </w:rPr>
        <w:footnoteRef/>
      </w:r>
      <w:r w:rsidRPr="00C11123">
        <w:rPr>
          <w:sz w:val="16"/>
          <w:szCs w:val="16"/>
        </w:rPr>
        <w:t xml:space="preserve"> See Table</w:t>
      </w:r>
      <w:r w:rsidR="00F23124" w:rsidRPr="00C11123">
        <w:rPr>
          <w:sz w:val="16"/>
          <w:szCs w:val="16"/>
        </w:rPr>
        <w:t xml:space="preserve"> 10.</w:t>
      </w:r>
    </w:p>
  </w:footnote>
  <w:footnote w:id="29">
    <w:p w14:paraId="1BECC1F3" w14:textId="3BF79BE8" w:rsidR="00F60DDE"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hyperlink r:id="rId27" w:history="1">
        <w:r w:rsidR="000464C1" w:rsidRPr="00214437">
          <w:rPr>
            <w:rStyle w:val="Hyperlink"/>
            <w:rFonts w:cs="Arial"/>
            <w:sz w:val="16"/>
            <w:szCs w:val="16"/>
          </w:rPr>
          <w:t>Key Statistics for Prostate Cancer</w:t>
        </w:r>
      </w:hyperlink>
      <w:r w:rsidR="000464C1" w:rsidRPr="00C11123">
        <w:rPr>
          <w:rFonts w:cs="Arial"/>
          <w:sz w:val="16"/>
          <w:szCs w:val="16"/>
        </w:rPr>
        <w:t xml:space="preserve"> | Prostate Cancer Facts. </w:t>
      </w:r>
      <w:r w:rsidR="00FA4A78" w:rsidRPr="00C11123">
        <w:rPr>
          <w:rFonts w:cs="Arial"/>
          <w:sz w:val="16"/>
          <w:szCs w:val="16"/>
        </w:rPr>
        <w:t xml:space="preserve">American Cancer Society. </w:t>
      </w:r>
      <w:r w:rsidR="000464C1" w:rsidRPr="00C11123">
        <w:rPr>
          <w:rFonts w:cs="Arial"/>
          <w:sz w:val="16"/>
          <w:szCs w:val="16"/>
        </w:rPr>
        <w:t xml:space="preserve">Accessed February 16, 2026. </w:t>
      </w:r>
      <w:hyperlink r:id="rId28" w:history="1">
        <w:r w:rsidR="00214437" w:rsidRPr="00387ED4">
          <w:rPr>
            <w:rStyle w:val="Hyperlink"/>
            <w:rFonts w:cs="Arial"/>
            <w:sz w:val="16"/>
            <w:szCs w:val="16"/>
          </w:rPr>
          <w:t>https://www.cancer.org/cancer/types/prostate-cancer/about/key-statistics.html</w:t>
        </w:r>
      </w:hyperlink>
      <w:r w:rsidR="00214437">
        <w:rPr>
          <w:rFonts w:cs="Arial"/>
          <w:sz w:val="16"/>
          <w:szCs w:val="16"/>
        </w:rPr>
        <w:t xml:space="preserve"> </w:t>
      </w:r>
    </w:p>
  </w:footnote>
  <w:footnote w:id="30">
    <w:p w14:paraId="6AAF8620" w14:textId="2E8C0689" w:rsidR="00DD7CC5" w:rsidRPr="00C11123" w:rsidRDefault="00000000" w:rsidP="00DD7CC5">
      <w:pPr>
        <w:spacing w:after="0" w:line="240" w:lineRule="auto"/>
        <w:jc w:val="both"/>
        <w:rPr>
          <w:rFonts w:cs="Arial"/>
          <w:b/>
          <w:bCs/>
          <w:sz w:val="16"/>
          <w:szCs w:val="16"/>
        </w:rPr>
      </w:pPr>
      <w:r w:rsidRPr="00C11123">
        <w:rPr>
          <w:rStyle w:val="FootnoteReference"/>
          <w:sz w:val="16"/>
          <w:szCs w:val="16"/>
        </w:rPr>
        <w:footnoteRef/>
      </w:r>
      <w:r w:rsidRPr="00C11123">
        <w:rPr>
          <w:sz w:val="16"/>
          <w:szCs w:val="16"/>
        </w:rPr>
        <w:t xml:space="preserve"> </w:t>
      </w:r>
      <w:hyperlink r:id="rId29" w:history="1">
        <w:r w:rsidR="004B6DB5" w:rsidRPr="00AC03A2">
          <w:rPr>
            <w:rStyle w:val="Hyperlink"/>
            <w:sz w:val="16"/>
            <w:szCs w:val="16"/>
          </w:rPr>
          <w:t>Cancer Statistics Center. American Cancer Society</w:t>
        </w:r>
      </w:hyperlink>
      <w:r w:rsidR="004B6DB5" w:rsidRPr="00C11123">
        <w:rPr>
          <w:sz w:val="16"/>
          <w:szCs w:val="16"/>
        </w:rPr>
        <w:t xml:space="preserve">. Accessed February 17, 2026. </w:t>
      </w:r>
      <w:hyperlink r:id="rId30" w:history="1">
        <w:r w:rsidR="00AC03A2" w:rsidRPr="00387ED4">
          <w:rPr>
            <w:rStyle w:val="Hyperlink"/>
            <w:sz w:val="16"/>
            <w:szCs w:val="16"/>
          </w:rPr>
          <w:t>https://cancerstatisticscenter.cancer.org/</w:t>
        </w:r>
      </w:hyperlink>
      <w:r w:rsidR="00AC03A2">
        <w:rPr>
          <w:sz w:val="16"/>
          <w:szCs w:val="16"/>
        </w:rPr>
        <w:t xml:space="preserve"> </w:t>
      </w:r>
      <w:r w:rsidR="004B6DB5" w:rsidRPr="00C11123">
        <w:rPr>
          <w:sz w:val="16"/>
          <w:szCs w:val="16"/>
        </w:rPr>
        <w:t>.</w:t>
      </w:r>
    </w:p>
  </w:footnote>
  <w:footnote w:id="31">
    <w:p w14:paraId="00C3FC6C" w14:textId="36C7FAA9" w:rsidR="00B55097"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 1</w:t>
      </w:r>
      <w:r w:rsidR="003046E4" w:rsidRPr="00C11123">
        <w:rPr>
          <w:sz w:val="16"/>
          <w:szCs w:val="16"/>
        </w:rPr>
        <w:t>1</w:t>
      </w:r>
      <w:r w:rsidRPr="00C11123">
        <w:rPr>
          <w:sz w:val="16"/>
          <w:szCs w:val="16"/>
        </w:rPr>
        <w:t>.</w:t>
      </w:r>
    </w:p>
  </w:footnote>
  <w:footnote w:id="32">
    <w:p w14:paraId="6633D5CF" w14:textId="1E79F109" w:rsidR="00E60706"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 1</w:t>
      </w:r>
      <w:r w:rsidR="00483F4C" w:rsidRPr="00C11123">
        <w:rPr>
          <w:sz w:val="16"/>
          <w:szCs w:val="16"/>
        </w:rPr>
        <w:t>1</w:t>
      </w:r>
      <w:r w:rsidRPr="00C11123">
        <w:rPr>
          <w:sz w:val="16"/>
          <w:szCs w:val="16"/>
        </w:rPr>
        <w:t>.</w:t>
      </w:r>
    </w:p>
  </w:footnote>
  <w:footnote w:id="33">
    <w:p w14:paraId="6D11DF25" w14:textId="3A5F8D93" w:rsidR="00D60E88" w:rsidRPr="00C11123" w:rsidRDefault="00000000" w:rsidP="00D60E88">
      <w:pPr>
        <w:pStyle w:val="FootnoteText"/>
        <w:rPr>
          <w:sz w:val="16"/>
          <w:szCs w:val="16"/>
        </w:rPr>
      </w:pPr>
      <w:r w:rsidRPr="00C11123">
        <w:rPr>
          <w:rStyle w:val="FootnoteReference"/>
          <w:sz w:val="16"/>
          <w:szCs w:val="16"/>
        </w:rPr>
        <w:footnoteRef/>
      </w:r>
      <w:r w:rsidRPr="00C11123">
        <w:rPr>
          <w:sz w:val="16"/>
          <w:szCs w:val="16"/>
        </w:rPr>
        <w:t xml:space="preserve"> See e.g., </w:t>
      </w:r>
      <w:r w:rsidRPr="00C11123">
        <w:rPr>
          <w:rFonts w:cs="Arial"/>
          <w:sz w:val="16"/>
          <w:szCs w:val="16"/>
        </w:rPr>
        <w:t>Subramanian</w:t>
      </w:r>
      <w:r w:rsidRPr="00C11123">
        <w:rPr>
          <w:rFonts w:cs="Arial"/>
          <w:i/>
          <w:iCs/>
          <w:sz w:val="16"/>
          <w:szCs w:val="16"/>
        </w:rPr>
        <w:t xml:space="preserve">, </w:t>
      </w:r>
      <w:r w:rsidR="00350B8D" w:rsidRPr="00C11123">
        <w:rPr>
          <w:rFonts w:cs="Arial"/>
          <w:i/>
          <w:iCs/>
          <w:sz w:val="16"/>
          <w:szCs w:val="16"/>
        </w:rPr>
        <w:t xml:space="preserve">supra </w:t>
      </w:r>
      <w:r w:rsidR="00350B8D" w:rsidRPr="00C11123">
        <w:rPr>
          <w:rFonts w:cs="Arial"/>
          <w:sz w:val="16"/>
          <w:szCs w:val="16"/>
        </w:rPr>
        <w:t>note 15.</w:t>
      </w:r>
      <w:r w:rsidRPr="00C11123">
        <w:rPr>
          <w:rFonts w:cs="Arial"/>
          <w:i/>
          <w:iCs/>
          <w:sz w:val="16"/>
          <w:szCs w:val="16"/>
        </w:rPr>
        <w:t xml:space="preserve">     </w:t>
      </w:r>
    </w:p>
  </w:footnote>
  <w:footnote w:id="34">
    <w:p w14:paraId="58EE9957" w14:textId="30E806CD" w:rsidR="005C1DB2"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551D63" w:rsidRPr="00C11123">
        <w:rPr>
          <w:sz w:val="16"/>
          <w:szCs w:val="16"/>
        </w:rPr>
        <w:t xml:space="preserve">See Table 12. Percentages calculated using table data. Individual </w:t>
      </w:r>
      <w:proofErr w:type="gramStart"/>
      <w:r w:rsidRPr="00C11123">
        <w:rPr>
          <w:rFonts w:cs="Arial"/>
          <w:sz w:val="16"/>
          <w:szCs w:val="16"/>
        </w:rPr>
        <w:t>CT Scans</w:t>
      </w:r>
      <w:proofErr w:type="gramEnd"/>
      <w:r w:rsidRPr="00C11123">
        <w:rPr>
          <w:rFonts w:cs="Arial"/>
          <w:sz w:val="16"/>
          <w:szCs w:val="16"/>
        </w:rPr>
        <w:t xml:space="preserve"> remained significant during this </w:t>
      </w:r>
      <w:proofErr w:type="gramStart"/>
      <w:r w:rsidRPr="00C11123">
        <w:rPr>
          <w:rFonts w:cs="Arial"/>
          <w:sz w:val="16"/>
          <w:szCs w:val="16"/>
        </w:rPr>
        <w:t xml:space="preserve">period, </w:t>
      </w:r>
      <w:r w:rsidR="00551D63" w:rsidRPr="00C11123">
        <w:rPr>
          <w:rFonts w:cs="Arial"/>
          <w:sz w:val="16"/>
          <w:szCs w:val="16"/>
        </w:rPr>
        <w:t>and</w:t>
      </w:r>
      <w:proofErr w:type="gramEnd"/>
      <w:r w:rsidR="00551D63" w:rsidRPr="00C11123">
        <w:rPr>
          <w:rFonts w:cs="Arial"/>
          <w:sz w:val="16"/>
          <w:szCs w:val="16"/>
        </w:rPr>
        <w:t xml:space="preserve"> also increased.</w:t>
      </w:r>
    </w:p>
  </w:footnote>
  <w:footnote w:id="35">
    <w:p w14:paraId="7653A884" w14:textId="5E86C634" w:rsidR="00911F2F"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EF11DA" w:rsidRPr="00C11123">
        <w:rPr>
          <w:sz w:val="16"/>
          <w:szCs w:val="16"/>
        </w:rPr>
        <w:t xml:space="preserve">See e.g., </w:t>
      </w:r>
      <w:hyperlink r:id="rId31" w:history="1">
        <w:r w:rsidR="00EF11DA" w:rsidRPr="00AC03A2">
          <w:rPr>
            <w:rStyle w:val="Hyperlink"/>
            <w:sz w:val="16"/>
            <w:szCs w:val="16"/>
          </w:rPr>
          <w:t>University of Massachusetts Donahue Institute, UMDI V2024 Projections: Population by Age and Sex</w:t>
        </w:r>
      </w:hyperlink>
      <w:r w:rsidR="00EF11DA" w:rsidRPr="00C11123">
        <w:rPr>
          <w:sz w:val="16"/>
          <w:szCs w:val="16"/>
        </w:rPr>
        <w:t xml:space="preserve">. Accessed February 17, 2026. </w:t>
      </w:r>
      <w:hyperlink r:id="rId32" w:history="1">
        <w:r w:rsidR="008A5AE9" w:rsidRPr="00387ED4">
          <w:rPr>
            <w:rStyle w:val="Hyperlink"/>
            <w:sz w:val="16"/>
            <w:szCs w:val="16"/>
          </w:rPr>
          <w:t>https://donahue.umass.edu/documents/UMDI_V2024_Long-Term_Population_Projections_MCD%2C_County%2C_RPA%2C_State_Age_Sex_detail_2010-2050.xlsx</w:t>
        </w:r>
      </w:hyperlink>
      <w:r w:rsidR="008A5AE9">
        <w:rPr>
          <w:sz w:val="16"/>
          <w:szCs w:val="16"/>
        </w:rPr>
        <w:t xml:space="preserve"> </w:t>
      </w:r>
      <w:r w:rsidR="00247CF5" w:rsidRPr="00C11123">
        <w:rPr>
          <w:sz w:val="16"/>
          <w:szCs w:val="16"/>
        </w:rPr>
        <w:t>; see also</w:t>
      </w:r>
      <w:r w:rsidR="000464C1" w:rsidRPr="00C11123">
        <w:rPr>
          <w:rFonts w:eastAsiaTheme="minorEastAsia" w:cs="Times New Roman"/>
          <w:kern w:val="0"/>
          <w:sz w:val="16"/>
          <w:szCs w:val="16"/>
        </w:rPr>
        <w:t xml:space="preserve"> </w:t>
      </w:r>
      <w:hyperlink r:id="rId33" w:history="1">
        <w:r w:rsidR="000464C1" w:rsidRPr="008A5AE9">
          <w:rPr>
            <w:rStyle w:val="Hyperlink"/>
            <w:rFonts w:cs="Arial"/>
            <w:sz w:val="16"/>
            <w:szCs w:val="16"/>
          </w:rPr>
          <w:t>Key Statistics for Prostate Cancer | Prostate Cancer Facts</w:t>
        </w:r>
      </w:hyperlink>
      <w:r w:rsidR="000464C1" w:rsidRPr="00C11123">
        <w:rPr>
          <w:rFonts w:cs="Arial"/>
          <w:sz w:val="16"/>
          <w:szCs w:val="16"/>
        </w:rPr>
        <w:t xml:space="preserve">. </w:t>
      </w:r>
      <w:r w:rsidR="000073EC" w:rsidRPr="00C11123">
        <w:rPr>
          <w:rFonts w:cs="Arial"/>
          <w:sz w:val="16"/>
          <w:szCs w:val="16"/>
        </w:rPr>
        <w:t xml:space="preserve">American Cancer Society. </w:t>
      </w:r>
      <w:r w:rsidR="000464C1" w:rsidRPr="00C11123">
        <w:rPr>
          <w:rFonts w:cs="Arial"/>
          <w:sz w:val="16"/>
          <w:szCs w:val="16"/>
        </w:rPr>
        <w:t xml:space="preserve">Accessed February 16, 2026. </w:t>
      </w:r>
      <w:hyperlink r:id="rId34" w:history="1">
        <w:r w:rsidR="008A5AE9" w:rsidRPr="00387ED4">
          <w:rPr>
            <w:rStyle w:val="Hyperlink"/>
            <w:rFonts w:cs="Arial"/>
            <w:sz w:val="16"/>
            <w:szCs w:val="16"/>
          </w:rPr>
          <w:t>https://www.cancer.org/cancer/types/prostate-cancer/about/key-statistics.html</w:t>
        </w:r>
      </w:hyperlink>
      <w:r w:rsidR="008A5AE9">
        <w:rPr>
          <w:rFonts w:cs="Arial"/>
          <w:sz w:val="16"/>
          <w:szCs w:val="16"/>
        </w:rPr>
        <w:t xml:space="preserve"> </w:t>
      </w:r>
      <w:r w:rsidR="000464C1" w:rsidRPr="00C11123">
        <w:rPr>
          <w:rFonts w:cs="Arial"/>
          <w:sz w:val="16"/>
          <w:szCs w:val="16"/>
        </w:rPr>
        <w:t>.</w:t>
      </w:r>
    </w:p>
  </w:footnote>
  <w:footnote w:id="36">
    <w:p w14:paraId="24B835B6" w14:textId="3C674BAE" w:rsidR="007845C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Pr="00C11123">
        <w:rPr>
          <w:rFonts w:cs="Arial"/>
          <w:sz w:val="16"/>
          <w:szCs w:val="16"/>
        </w:rPr>
        <w:t>See Table 2.</w:t>
      </w:r>
    </w:p>
  </w:footnote>
  <w:footnote w:id="37">
    <w:p w14:paraId="1ADCB018" w14:textId="2F733866" w:rsidR="00531E33" w:rsidRPr="00C11123" w:rsidRDefault="00000000" w:rsidP="00531E33">
      <w:pPr>
        <w:pStyle w:val="FootnoteText"/>
        <w:rPr>
          <w:sz w:val="16"/>
          <w:szCs w:val="16"/>
        </w:rPr>
      </w:pPr>
      <w:r w:rsidRPr="00C11123">
        <w:rPr>
          <w:rStyle w:val="FootnoteReference"/>
          <w:sz w:val="16"/>
          <w:szCs w:val="16"/>
        </w:rPr>
        <w:footnoteRef/>
      </w:r>
      <w:r w:rsidRPr="00C11123">
        <w:rPr>
          <w:sz w:val="16"/>
          <w:szCs w:val="16"/>
        </w:rPr>
        <w:t xml:space="preserve"> See Table </w:t>
      </w:r>
      <w:r w:rsidR="00483F4C" w:rsidRPr="00C11123">
        <w:rPr>
          <w:sz w:val="16"/>
          <w:szCs w:val="16"/>
        </w:rPr>
        <w:t>9</w:t>
      </w:r>
      <w:r w:rsidRPr="00C11123">
        <w:rPr>
          <w:sz w:val="16"/>
          <w:szCs w:val="16"/>
        </w:rPr>
        <w:t>. Note that the Falmouth practice site also had significant prostate cancer volume in 2025 (2,557), which location may access PET/CT imaging at the proposed Plymouth site.</w:t>
      </w:r>
    </w:p>
  </w:footnote>
  <w:footnote w:id="38">
    <w:p w14:paraId="1F5C57B2" w14:textId="0204DBB0" w:rsidR="00531E33" w:rsidRPr="00C11123" w:rsidRDefault="00000000" w:rsidP="00531E33">
      <w:pPr>
        <w:pStyle w:val="FootnoteText"/>
        <w:rPr>
          <w:sz w:val="16"/>
          <w:szCs w:val="16"/>
        </w:rPr>
      </w:pPr>
      <w:r w:rsidRPr="00C11123">
        <w:rPr>
          <w:rStyle w:val="FootnoteReference"/>
          <w:sz w:val="16"/>
          <w:szCs w:val="16"/>
        </w:rPr>
        <w:footnoteRef/>
      </w:r>
      <w:r w:rsidRPr="00C11123">
        <w:rPr>
          <w:sz w:val="16"/>
          <w:szCs w:val="16"/>
        </w:rPr>
        <w:t xml:space="preserve"> See Table </w:t>
      </w:r>
      <w:r w:rsidR="00BC2797" w:rsidRPr="00C11123">
        <w:rPr>
          <w:sz w:val="16"/>
          <w:szCs w:val="16"/>
        </w:rPr>
        <w:t>9</w:t>
      </w:r>
      <w:r w:rsidRPr="00C11123">
        <w:rPr>
          <w:sz w:val="16"/>
          <w:szCs w:val="16"/>
        </w:rPr>
        <w:t>.</w:t>
      </w:r>
      <w:r w:rsidR="007659D1" w:rsidRPr="00C11123">
        <w:rPr>
          <w:sz w:val="16"/>
          <w:szCs w:val="16"/>
        </w:rPr>
        <w:t xml:space="preserve"> Percentage calculated from data values.</w:t>
      </w:r>
    </w:p>
  </w:footnote>
  <w:footnote w:id="39">
    <w:p w14:paraId="5EC1B62D" w14:textId="5B4776E0" w:rsidR="0041763E"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Table 3.</w:t>
      </w:r>
    </w:p>
  </w:footnote>
  <w:footnote w:id="40">
    <w:p w14:paraId="4828A96F" w14:textId="77777777" w:rsidR="00AD2BA3" w:rsidRPr="00C11123" w:rsidRDefault="00000000" w:rsidP="00AD2BA3">
      <w:pPr>
        <w:pStyle w:val="FootnoteText"/>
        <w:rPr>
          <w:sz w:val="16"/>
          <w:szCs w:val="16"/>
        </w:rPr>
      </w:pPr>
      <w:r w:rsidRPr="00C11123">
        <w:rPr>
          <w:rStyle w:val="FootnoteReference"/>
          <w:sz w:val="16"/>
          <w:szCs w:val="16"/>
        </w:rPr>
        <w:footnoteRef/>
      </w:r>
      <w:r w:rsidRPr="00C11123">
        <w:rPr>
          <w:sz w:val="16"/>
          <w:szCs w:val="16"/>
        </w:rPr>
        <w:t xml:space="preserve"> The Applicant notes that its Patient Panel served out of its North Easton practice site also has among the highest volume. However, the Applicant determined that this portion of its Patient Panel’s need for PET/CT imaging can be served at its Dedham office due to geographic proximity and access to major connecting highways. Alternatively, the Plymouth office is also within reasonable driving distance of North Easton.</w:t>
      </w:r>
    </w:p>
  </w:footnote>
  <w:footnote w:id="41">
    <w:p w14:paraId="730A43AF" w14:textId="77777777" w:rsidR="007C1A09" w:rsidRPr="00C11123" w:rsidRDefault="00000000" w:rsidP="007C1A09">
      <w:pPr>
        <w:pStyle w:val="FootnoteText"/>
        <w:rPr>
          <w:sz w:val="16"/>
          <w:szCs w:val="16"/>
        </w:rPr>
      </w:pPr>
      <w:r w:rsidRPr="00C11123">
        <w:rPr>
          <w:rStyle w:val="FootnoteReference"/>
          <w:sz w:val="16"/>
          <w:szCs w:val="16"/>
        </w:rPr>
        <w:footnoteRef/>
      </w:r>
      <w:r w:rsidRPr="00C11123">
        <w:rPr>
          <w:sz w:val="16"/>
          <w:szCs w:val="16"/>
        </w:rPr>
        <w:t xml:space="preserve"> See Table 7.</w:t>
      </w:r>
    </w:p>
  </w:footnote>
  <w:footnote w:id="42">
    <w:p w14:paraId="70B40DAB" w14:textId="4A85A1EE" w:rsidR="00A92F9B"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F31542" w:rsidRPr="00C11123">
        <w:rPr>
          <w:sz w:val="16"/>
          <w:szCs w:val="16"/>
        </w:rPr>
        <w:t xml:space="preserve">See e.g., </w:t>
      </w:r>
      <w:hyperlink r:id="rId35" w:history="1">
        <w:r w:rsidR="004B6DB5" w:rsidRPr="008A5AE9">
          <w:rPr>
            <w:rStyle w:val="Hyperlink"/>
            <w:sz w:val="16"/>
            <w:szCs w:val="16"/>
          </w:rPr>
          <w:t>Cancer of the Prostate - Cancer Stat Facts</w:t>
        </w:r>
      </w:hyperlink>
      <w:r w:rsidR="004B6DB5" w:rsidRPr="00C11123">
        <w:rPr>
          <w:sz w:val="16"/>
          <w:szCs w:val="16"/>
        </w:rPr>
        <w:t xml:space="preserve">. SEER. Accessed February 17, 2026. </w:t>
      </w:r>
      <w:hyperlink r:id="rId36" w:history="1">
        <w:r w:rsidR="008A5AE9" w:rsidRPr="00387ED4">
          <w:rPr>
            <w:rStyle w:val="Hyperlink"/>
            <w:sz w:val="16"/>
            <w:szCs w:val="16"/>
          </w:rPr>
          <w:t>https://seer.cancer.gov/statfacts/html/prost.html</w:t>
        </w:r>
      </w:hyperlink>
      <w:r w:rsidR="008A5AE9">
        <w:rPr>
          <w:sz w:val="16"/>
          <w:szCs w:val="16"/>
        </w:rPr>
        <w:t xml:space="preserve"> </w:t>
      </w:r>
      <w:r w:rsidR="00C41517" w:rsidRPr="00C11123">
        <w:rPr>
          <w:sz w:val="16"/>
          <w:szCs w:val="16"/>
        </w:rPr>
        <w:t xml:space="preserve">; see also </w:t>
      </w:r>
      <w:hyperlink r:id="rId37" w:history="1">
        <w:r w:rsidR="000464C1" w:rsidRPr="00CC7BDF">
          <w:rPr>
            <w:rStyle w:val="Hyperlink"/>
            <w:sz w:val="16"/>
            <w:szCs w:val="16"/>
          </w:rPr>
          <w:t>Racial disparities in Black men with prostate cancer: A literature review</w:t>
        </w:r>
      </w:hyperlink>
      <w:r w:rsidR="000464C1" w:rsidRPr="00C11123">
        <w:rPr>
          <w:sz w:val="16"/>
          <w:szCs w:val="16"/>
        </w:rPr>
        <w:t xml:space="preserve"> - Lillard - 2022 - Cancer - Wiley Online Library. Accessed February 17, 2026. </w:t>
      </w:r>
      <w:hyperlink r:id="rId38" w:history="1">
        <w:r w:rsidR="00CC7BDF" w:rsidRPr="00387ED4">
          <w:rPr>
            <w:rStyle w:val="Hyperlink"/>
            <w:sz w:val="16"/>
            <w:szCs w:val="16"/>
          </w:rPr>
          <w:t>https://acsjournals.onlinelibrary.wiley.com/doi/10.1002/cncr.34433</w:t>
        </w:r>
      </w:hyperlink>
      <w:r w:rsidR="00CC7BDF">
        <w:rPr>
          <w:sz w:val="16"/>
          <w:szCs w:val="16"/>
        </w:rPr>
        <w:t xml:space="preserve"> </w:t>
      </w:r>
      <w:r w:rsidR="000464C1" w:rsidRPr="00C11123">
        <w:rPr>
          <w:sz w:val="16"/>
          <w:szCs w:val="16"/>
        </w:rPr>
        <w:t xml:space="preserve"> </w:t>
      </w:r>
      <w:r w:rsidR="005218FD" w:rsidRPr="00C11123">
        <w:rPr>
          <w:sz w:val="16"/>
          <w:szCs w:val="16"/>
        </w:rPr>
        <w:t>(“Black men are disproportionately affected by prostate cancer (</w:t>
      </w:r>
      <w:proofErr w:type="spellStart"/>
      <w:r w:rsidR="005218FD" w:rsidRPr="00C11123">
        <w:rPr>
          <w:sz w:val="16"/>
          <w:szCs w:val="16"/>
        </w:rPr>
        <w:t>PCa</w:t>
      </w:r>
      <w:proofErr w:type="spellEnd"/>
      <w:r w:rsidR="005218FD" w:rsidRPr="00C11123">
        <w:rPr>
          <w:sz w:val="16"/>
          <w:szCs w:val="16"/>
        </w:rPr>
        <w:t>), with earlier presentation, more aggressive disease, and higher mortality rates versus White men”).</w:t>
      </w:r>
    </w:p>
  </w:footnote>
  <w:footnote w:id="43">
    <w:p w14:paraId="27FDCC95" w14:textId="34CB47D6" w:rsidR="00DB4C57"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proofErr w:type="spellStart"/>
      <w:r w:rsidR="00350B8D" w:rsidRPr="00C11123">
        <w:rPr>
          <w:sz w:val="16"/>
          <w:szCs w:val="16"/>
        </w:rPr>
        <w:t>Nyambose</w:t>
      </w:r>
      <w:proofErr w:type="spellEnd"/>
      <w:r w:rsidR="00350B8D" w:rsidRPr="00C11123">
        <w:rPr>
          <w:sz w:val="16"/>
          <w:szCs w:val="16"/>
        </w:rPr>
        <w:t xml:space="preserve">, </w:t>
      </w:r>
      <w:r w:rsidR="00350B8D" w:rsidRPr="00C11123">
        <w:rPr>
          <w:i/>
          <w:iCs/>
          <w:sz w:val="16"/>
          <w:szCs w:val="16"/>
        </w:rPr>
        <w:t xml:space="preserve">supra </w:t>
      </w:r>
      <w:r w:rsidR="00350B8D" w:rsidRPr="00C11123">
        <w:rPr>
          <w:sz w:val="16"/>
          <w:szCs w:val="16"/>
        </w:rPr>
        <w:t>note 28.</w:t>
      </w:r>
    </w:p>
  </w:footnote>
  <w:footnote w:id="44">
    <w:p w14:paraId="7AD0473F" w14:textId="42384725" w:rsidR="00CE776F" w:rsidRPr="00C11123" w:rsidRDefault="00000000" w:rsidP="00CE776F">
      <w:pPr>
        <w:pStyle w:val="FootnoteText"/>
        <w:rPr>
          <w:sz w:val="16"/>
          <w:szCs w:val="16"/>
        </w:rPr>
      </w:pPr>
      <w:r w:rsidRPr="00C11123">
        <w:rPr>
          <w:rStyle w:val="FootnoteReference"/>
          <w:sz w:val="16"/>
          <w:szCs w:val="16"/>
        </w:rPr>
        <w:footnoteRef/>
      </w:r>
      <w:r w:rsidRPr="00C11123">
        <w:rPr>
          <w:sz w:val="16"/>
          <w:szCs w:val="16"/>
        </w:rPr>
        <w:t xml:space="preserve"> </w:t>
      </w:r>
      <w:r w:rsidR="00350B8D" w:rsidRPr="00C11123">
        <w:rPr>
          <w:i/>
          <w:iCs/>
          <w:sz w:val="16"/>
          <w:szCs w:val="16"/>
        </w:rPr>
        <w:t>Id</w:t>
      </w:r>
      <w:r w:rsidR="00350B8D" w:rsidRPr="00C11123">
        <w:rPr>
          <w:sz w:val="16"/>
          <w:szCs w:val="16"/>
        </w:rPr>
        <w:t>.</w:t>
      </w:r>
      <w:r w:rsidRPr="00C11123">
        <w:rPr>
          <w:sz w:val="16"/>
          <w:szCs w:val="16"/>
        </w:rPr>
        <w:t xml:space="preserve">; see also Murphy A, Cottrell-Daniels CC, Awasthi S, et al. </w:t>
      </w:r>
      <w:hyperlink r:id="rId39" w:history="1">
        <w:r w:rsidR="00CE776F" w:rsidRPr="00CC7BDF">
          <w:rPr>
            <w:rStyle w:val="Hyperlink"/>
            <w:sz w:val="16"/>
            <w:szCs w:val="16"/>
          </w:rPr>
          <w:t>Understanding and Addressing Prostate Cancer Disparities in Diagnosis, Treatment, and Outcomes Among Black Men</w:t>
        </w:r>
      </w:hyperlink>
      <w:r w:rsidRPr="00C11123">
        <w:rPr>
          <w:sz w:val="16"/>
          <w:szCs w:val="16"/>
        </w:rPr>
        <w:t>. </w:t>
      </w:r>
      <w:r w:rsidRPr="00C11123">
        <w:rPr>
          <w:i/>
          <w:iCs/>
          <w:sz w:val="16"/>
          <w:szCs w:val="16"/>
        </w:rPr>
        <w:t>Cancer Control</w:t>
      </w:r>
      <w:r w:rsidRPr="00C11123">
        <w:rPr>
          <w:sz w:val="16"/>
          <w:szCs w:val="16"/>
        </w:rPr>
        <w:t xml:space="preserve">. </w:t>
      </w:r>
      <w:proofErr w:type="gramStart"/>
      <w:r w:rsidRPr="00C11123">
        <w:rPr>
          <w:sz w:val="16"/>
          <w:szCs w:val="16"/>
        </w:rPr>
        <w:t>2024;31:10732748241275389</w:t>
      </w:r>
      <w:proofErr w:type="gramEnd"/>
      <w:r w:rsidRPr="00C11123">
        <w:rPr>
          <w:sz w:val="16"/>
          <w:szCs w:val="16"/>
        </w:rPr>
        <w:t>. doi:10.1177/10732748241275389</w:t>
      </w:r>
    </w:p>
    <w:p w14:paraId="3E4E75CA" w14:textId="57C8F720" w:rsidR="009B2F33" w:rsidRPr="00C11123" w:rsidRDefault="00000000" w:rsidP="00CE776F">
      <w:pPr>
        <w:pStyle w:val="FootnoteText"/>
        <w:rPr>
          <w:sz w:val="16"/>
          <w:szCs w:val="16"/>
        </w:rPr>
      </w:pPr>
      <w:r w:rsidRPr="00C11123">
        <w:rPr>
          <w:sz w:val="16"/>
          <w:szCs w:val="16"/>
        </w:rPr>
        <w:t xml:space="preserve">Accessed February 22, 2026. </w:t>
      </w:r>
      <w:hyperlink r:id="rId40" w:history="1">
        <w:r w:rsidR="00507404" w:rsidRPr="00387ED4">
          <w:rPr>
            <w:rStyle w:val="Hyperlink"/>
            <w:sz w:val="16"/>
            <w:szCs w:val="16"/>
          </w:rPr>
          <w:t>https://pmc.ncbi.nlm.nih.gov/articles/PMC11329981/pdf/10.1177_10732748241275389.pdf</w:t>
        </w:r>
      </w:hyperlink>
      <w:r w:rsidR="00507404">
        <w:rPr>
          <w:sz w:val="16"/>
          <w:szCs w:val="16"/>
        </w:rPr>
        <w:t xml:space="preserve"> </w:t>
      </w:r>
      <w:r w:rsidR="008D49A6" w:rsidRPr="00C11123">
        <w:rPr>
          <w:sz w:val="16"/>
          <w:szCs w:val="16"/>
        </w:rPr>
        <w:t xml:space="preserve"> </w:t>
      </w:r>
    </w:p>
  </w:footnote>
  <w:footnote w:id="45">
    <w:p w14:paraId="18B682AE" w14:textId="02C6E1F0" w:rsidR="0043033B" w:rsidRPr="00C11123" w:rsidRDefault="00000000">
      <w:pPr>
        <w:pStyle w:val="FootnoteText"/>
        <w:rPr>
          <w:b/>
          <w:bCs/>
          <w:sz w:val="16"/>
          <w:szCs w:val="16"/>
        </w:rPr>
      </w:pPr>
      <w:r w:rsidRPr="00C11123">
        <w:rPr>
          <w:rStyle w:val="FootnoteReference"/>
          <w:sz w:val="16"/>
          <w:szCs w:val="16"/>
        </w:rPr>
        <w:footnoteRef/>
      </w:r>
      <w:r w:rsidRPr="00C11123">
        <w:rPr>
          <w:sz w:val="16"/>
          <w:szCs w:val="16"/>
        </w:rPr>
        <w:t xml:space="preserve"> </w:t>
      </w:r>
      <w:r w:rsidR="00676B2C" w:rsidRPr="00C11123">
        <w:rPr>
          <w:sz w:val="16"/>
          <w:szCs w:val="16"/>
        </w:rPr>
        <w:t>See e.g.,</w:t>
      </w:r>
      <w:r w:rsidR="009A2DB3" w:rsidRPr="00C11123">
        <w:rPr>
          <w:sz w:val="16"/>
          <w:szCs w:val="16"/>
        </w:rPr>
        <w:t xml:space="preserve"> </w:t>
      </w:r>
      <w:hyperlink r:id="rId41" w:history="1">
        <w:r w:rsidR="009A2DB3" w:rsidRPr="00507404">
          <w:rPr>
            <w:rStyle w:val="Hyperlink"/>
            <w:sz w:val="16"/>
            <w:szCs w:val="16"/>
          </w:rPr>
          <w:t>Prostate Cancer Prognosis</w:t>
        </w:r>
      </w:hyperlink>
      <w:r w:rsidR="009A2DB3" w:rsidRPr="00C11123">
        <w:rPr>
          <w:sz w:val="16"/>
          <w:szCs w:val="16"/>
        </w:rPr>
        <w:t>, Johns Hopkins Medicine. Accessed February 22, 2026.</w:t>
      </w:r>
      <w:r w:rsidR="00676B2C" w:rsidRPr="00C11123">
        <w:rPr>
          <w:sz w:val="16"/>
          <w:szCs w:val="16"/>
        </w:rPr>
        <w:t xml:space="preserve"> </w:t>
      </w:r>
      <w:hyperlink r:id="rId42" w:history="1">
        <w:r w:rsidR="00507404" w:rsidRPr="00387ED4">
          <w:rPr>
            <w:rStyle w:val="Hyperlink"/>
            <w:sz w:val="16"/>
            <w:szCs w:val="16"/>
          </w:rPr>
          <w:t>https://www.hopkinsmedicine.org/health/conditions-and-diseases/prostate-cancer/prostate-cancer-prognosis</w:t>
        </w:r>
      </w:hyperlink>
      <w:r w:rsidR="00CD1C15" w:rsidRPr="00C11123">
        <w:rPr>
          <w:sz w:val="16"/>
          <w:szCs w:val="16"/>
        </w:rPr>
        <w:t>?</w:t>
      </w:r>
      <w:r w:rsidR="00507404">
        <w:rPr>
          <w:sz w:val="16"/>
          <w:szCs w:val="16"/>
        </w:rPr>
        <w:t xml:space="preserve"> </w:t>
      </w:r>
      <w:r w:rsidR="00DB3E53" w:rsidRPr="00C11123">
        <w:rPr>
          <w:sz w:val="16"/>
          <w:szCs w:val="16"/>
        </w:rPr>
        <w:t xml:space="preserve">; </w:t>
      </w:r>
      <w:hyperlink r:id="rId43" w:history="1">
        <w:r w:rsidR="00DB3E53" w:rsidRPr="00507404">
          <w:rPr>
            <w:rStyle w:val="Hyperlink"/>
            <w:sz w:val="16"/>
            <w:szCs w:val="16"/>
          </w:rPr>
          <w:t>Survival Rates for Prostate Cancer</w:t>
        </w:r>
      </w:hyperlink>
      <w:r w:rsidR="00DB3E53" w:rsidRPr="00C11123">
        <w:rPr>
          <w:sz w:val="16"/>
          <w:szCs w:val="16"/>
        </w:rPr>
        <w:t xml:space="preserve">, American Cancer Society.  Accessed February 22, 2026. </w:t>
      </w:r>
      <w:hyperlink r:id="rId44" w:history="1">
        <w:r w:rsidR="00507404" w:rsidRPr="00387ED4">
          <w:rPr>
            <w:rStyle w:val="Hyperlink"/>
            <w:sz w:val="16"/>
            <w:szCs w:val="16"/>
          </w:rPr>
          <w:t>https://www.cancer.org/cancer/types/prostate-cancer/detection-diagnosis-staging/survival-rates.html</w:t>
        </w:r>
      </w:hyperlink>
      <w:r w:rsidR="00492DA7" w:rsidRPr="00C11123">
        <w:rPr>
          <w:sz w:val="16"/>
          <w:szCs w:val="16"/>
        </w:rPr>
        <w:t>?</w:t>
      </w:r>
      <w:r w:rsidR="00507404">
        <w:rPr>
          <w:sz w:val="16"/>
          <w:szCs w:val="16"/>
        </w:rPr>
        <w:t xml:space="preserve"> </w:t>
      </w:r>
    </w:p>
  </w:footnote>
  <w:footnote w:id="46">
    <w:p w14:paraId="4D20D0BD" w14:textId="2118B624" w:rsidR="00A14E6E"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w:t>
      </w:r>
      <w:r w:rsidR="00350B8D" w:rsidRPr="00C11123">
        <w:rPr>
          <w:sz w:val="16"/>
          <w:szCs w:val="16"/>
        </w:rPr>
        <w:t xml:space="preserve">Lillard, </w:t>
      </w:r>
      <w:r w:rsidR="00350B8D" w:rsidRPr="00C11123">
        <w:rPr>
          <w:i/>
          <w:iCs/>
          <w:sz w:val="16"/>
          <w:szCs w:val="16"/>
        </w:rPr>
        <w:t>supra</w:t>
      </w:r>
      <w:r w:rsidR="00350B8D" w:rsidRPr="00C11123">
        <w:rPr>
          <w:sz w:val="16"/>
          <w:szCs w:val="16"/>
        </w:rPr>
        <w:t xml:space="preserve"> note 24. </w:t>
      </w:r>
    </w:p>
  </w:footnote>
  <w:footnote w:id="47">
    <w:p w14:paraId="1A579F1B" w14:textId="17FAD8F2" w:rsidR="0055771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3571AF" w:rsidRPr="00C11123">
        <w:rPr>
          <w:sz w:val="16"/>
          <w:szCs w:val="16"/>
        </w:rPr>
        <w:t xml:space="preserve">See </w:t>
      </w:r>
      <w:r w:rsidR="00434BE4" w:rsidRPr="00C11123">
        <w:rPr>
          <w:sz w:val="16"/>
          <w:szCs w:val="16"/>
        </w:rPr>
        <w:t xml:space="preserve">e.g., </w:t>
      </w:r>
      <w:r w:rsidR="005B4F92" w:rsidRPr="00C11123">
        <w:rPr>
          <w:sz w:val="16"/>
          <w:szCs w:val="16"/>
        </w:rPr>
        <w:t>Murphy</w:t>
      </w:r>
      <w:r w:rsidR="00350B8D" w:rsidRPr="00C11123">
        <w:rPr>
          <w:sz w:val="16"/>
          <w:szCs w:val="16"/>
        </w:rPr>
        <w:t xml:space="preserve">, </w:t>
      </w:r>
      <w:r w:rsidR="00350B8D" w:rsidRPr="00C11123">
        <w:rPr>
          <w:i/>
          <w:iCs/>
          <w:sz w:val="16"/>
          <w:szCs w:val="16"/>
        </w:rPr>
        <w:t>supra</w:t>
      </w:r>
      <w:r w:rsidR="00350B8D" w:rsidRPr="00C11123">
        <w:rPr>
          <w:sz w:val="16"/>
          <w:szCs w:val="16"/>
        </w:rPr>
        <w:t xml:space="preserve"> note 48; Lillard, </w:t>
      </w:r>
      <w:r w:rsidR="00350B8D" w:rsidRPr="00C11123">
        <w:rPr>
          <w:i/>
          <w:iCs/>
          <w:sz w:val="16"/>
          <w:szCs w:val="16"/>
        </w:rPr>
        <w:t>supra</w:t>
      </w:r>
      <w:r w:rsidR="00350B8D" w:rsidRPr="00C11123">
        <w:rPr>
          <w:sz w:val="16"/>
          <w:szCs w:val="16"/>
        </w:rPr>
        <w:t xml:space="preserve"> note 24; </w:t>
      </w:r>
      <w:proofErr w:type="spellStart"/>
      <w:r w:rsidR="00434BE4" w:rsidRPr="00C11123">
        <w:rPr>
          <w:sz w:val="16"/>
          <w:szCs w:val="16"/>
        </w:rPr>
        <w:t>Nyambose</w:t>
      </w:r>
      <w:proofErr w:type="spellEnd"/>
      <w:r w:rsidR="00434BE4" w:rsidRPr="00C11123">
        <w:rPr>
          <w:sz w:val="16"/>
          <w:szCs w:val="16"/>
        </w:rPr>
        <w:t xml:space="preserve"> J</w:t>
      </w:r>
      <w:r w:rsidR="00350B8D" w:rsidRPr="00C11123">
        <w:rPr>
          <w:sz w:val="16"/>
          <w:szCs w:val="16"/>
        </w:rPr>
        <w:t xml:space="preserve">, </w:t>
      </w:r>
      <w:r w:rsidR="00350B8D" w:rsidRPr="00C11123">
        <w:rPr>
          <w:i/>
          <w:iCs/>
          <w:sz w:val="16"/>
          <w:szCs w:val="16"/>
        </w:rPr>
        <w:t>supra</w:t>
      </w:r>
      <w:r w:rsidR="00350B8D" w:rsidRPr="00C11123">
        <w:rPr>
          <w:sz w:val="16"/>
          <w:szCs w:val="16"/>
        </w:rPr>
        <w:t xml:space="preserve"> note </w:t>
      </w:r>
    </w:p>
  </w:footnote>
  <w:footnote w:id="48">
    <w:p w14:paraId="0794DE14" w14:textId="6F642110" w:rsidR="00585E0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e.g., </w:t>
      </w:r>
      <w:r w:rsidR="00350B8D" w:rsidRPr="00C11123">
        <w:rPr>
          <w:sz w:val="16"/>
          <w:szCs w:val="16"/>
        </w:rPr>
        <w:t xml:space="preserve">Lillard, </w:t>
      </w:r>
      <w:r w:rsidR="00350B8D" w:rsidRPr="00C11123">
        <w:rPr>
          <w:i/>
          <w:iCs/>
          <w:sz w:val="16"/>
          <w:szCs w:val="16"/>
        </w:rPr>
        <w:t>supra</w:t>
      </w:r>
      <w:r w:rsidR="00350B8D" w:rsidRPr="00C11123">
        <w:rPr>
          <w:sz w:val="16"/>
          <w:szCs w:val="16"/>
        </w:rPr>
        <w:t xml:space="preserve"> note 24. </w:t>
      </w:r>
    </w:p>
  </w:footnote>
  <w:footnote w:id="49">
    <w:p w14:paraId="7AF8CA30" w14:textId="309DF60C" w:rsidR="00B71C49"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hyperlink r:id="rId45" w:history="1">
        <w:r w:rsidR="00274641" w:rsidRPr="00634514">
          <w:rPr>
            <w:rStyle w:val="Hyperlink"/>
            <w:sz w:val="16"/>
            <w:szCs w:val="16"/>
          </w:rPr>
          <w:t>Understanding Racial Disparities in Prostate Cancer: A Multifaceted Approach</w:t>
        </w:r>
      </w:hyperlink>
      <w:r w:rsidR="00274641" w:rsidRPr="00C11123">
        <w:rPr>
          <w:sz w:val="16"/>
          <w:szCs w:val="16"/>
        </w:rPr>
        <w:t xml:space="preserve"> - Cobbs - 2025 - Cancer Medicine - Wiley Online Library. Accessed February 17, 2026. </w:t>
      </w:r>
      <w:hyperlink r:id="rId46" w:history="1">
        <w:r w:rsidR="00634514" w:rsidRPr="00387ED4">
          <w:rPr>
            <w:rStyle w:val="Hyperlink"/>
            <w:sz w:val="16"/>
            <w:szCs w:val="16"/>
          </w:rPr>
          <w:t>https://onlinelibrary.wiley.com/doi/10.1002/cam4.70979</w:t>
        </w:r>
      </w:hyperlink>
      <w:r w:rsidR="00634514">
        <w:rPr>
          <w:sz w:val="16"/>
          <w:szCs w:val="16"/>
        </w:rPr>
        <w:t xml:space="preserve"> </w:t>
      </w:r>
      <w:r w:rsidR="005B4F92" w:rsidRPr="00C11123">
        <w:rPr>
          <w:sz w:val="16"/>
          <w:szCs w:val="16"/>
        </w:rPr>
        <w:t>;</w:t>
      </w:r>
      <w:r w:rsidR="005B4F92" w:rsidRPr="00C11123">
        <w:rPr>
          <w:rFonts w:eastAsia="Times New Roman" w:cs="Segoe UI"/>
          <w:color w:val="212121"/>
          <w:kern w:val="0"/>
          <w:sz w:val="16"/>
          <w:szCs w:val="16"/>
          <w14:ligatures w14:val="none"/>
        </w:rPr>
        <w:t xml:space="preserve"> </w:t>
      </w:r>
      <w:r w:rsidR="008C398B" w:rsidRPr="00C11123">
        <w:rPr>
          <w:sz w:val="16"/>
          <w:szCs w:val="16"/>
        </w:rPr>
        <w:t xml:space="preserve">Murphy, </w:t>
      </w:r>
      <w:r w:rsidR="008C398B" w:rsidRPr="00C11123">
        <w:rPr>
          <w:i/>
          <w:iCs/>
          <w:sz w:val="16"/>
          <w:szCs w:val="16"/>
        </w:rPr>
        <w:t>supra</w:t>
      </w:r>
      <w:r w:rsidR="008C398B" w:rsidRPr="00C11123">
        <w:rPr>
          <w:sz w:val="16"/>
          <w:szCs w:val="16"/>
        </w:rPr>
        <w:t xml:space="preserve"> note 48; Lillard, </w:t>
      </w:r>
      <w:r w:rsidR="008C398B" w:rsidRPr="00C11123">
        <w:rPr>
          <w:i/>
          <w:iCs/>
          <w:sz w:val="16"/>
          <w:szCs w:val="16"/>
        </w:rPr>
        <w:t xml:space="preserve">supra </w:t>
      </w:r>
      <w:r w:rsidR="008C398B" w:rsidRPr="00C11123">
        <w:rPr>
          <w:sz w:val="16"/>
          <w:szCs w:val="16"/>
        </w:rPr>
        <w:t>note 24.</w:t>
      </w:r>
    </w:p>
  </w:footnote>
  <w:footnote w:id="50">
    <w:p w14:paraId="08AD9063" w14:textId="3A91E1A1" w:rsidR="00B71C49" w:rsidRPr="00C11123" w:rsidRDefault="00000000" w:rsidP="00B71C49">
      <w:pPr>
        <w:pStyle w:val="FootnoteText"/>
        <w:rPr>
          <w:sz w:val="16"/>
          <w:szCs w:val="16"/>
        </w:rPr>
      </w:pPr>
      <w:r w:rsidRPr="00C11123">
        <w:rPr>
          <w:rStyle w:val="FootnoteReference"/>
          <w:sz w:val="16"/>
          <w:szCs w:val="16"/>
        </w:rPr>
        <w:footnoteRef/>
      </w:r>
      <w:r w:rsidRPr="00C11123">
        <w:rPr>
          <w:sz w:val="16"/>
          <w:szCs w:val="16"/>
        </w:rPr>
        <w:t xml:space="preserve"> </w:t>
      </w:r>
      <w:r w:rsidR="001D2193" w:rsidRPr="00C11123">
        <w:rPr>
          <w:sz w:val="16"/>
          <w:szCs w:val="16"/>
        </w:rPr>
        <w:t xml:space="preserve">See </w:t>
      </w:r>
      <w:r w:rsidR="008C398B" w:rsidRPr="00C11123">
        <w:rPr>
          <w:sz w:val="16"/>
          <w:szCs w:val="16"/>
        </w:rPr>
        <w:t xml:space="preserve">Lillard, </w:t>
      </w:r>
      <w:r w:rsidR="008C398B" w:rsidRPr="00C11123">
        <w:rPr>
          <w:i/>
          <w:iCs/>
          <w:sz w:val="16"/>
          <w:szCs w:val="16"/>
        </w:rPr>
        <w:t>supra</w:t>
      </w:r>
      <w:r w:rsidR="008C398B" w:rsidRPr="00C11123">
        <w:rPr>
          <w:sz w:val="16"/>
          <w:szCs w:val="16"/>
        </w:rPr>
        <w:t xml:space="preserve"> note 24.</w:t>
      </w:r>
    </w:p>
  </w:footnote>
  <w:footnote w:id="51">
    <w:p w14:paraId="35C1349A" w14:textId="3A861F58" w:rsidR="007E51B6"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hyperlink r:id="rId47" w:history="1">
        <w:r w:rsidR="00275AF5" w:rsidRPr="007D6C68">
          <w:rPr>
            <w:rStyle w:val="Hyperlink"/>
            <w:sz w:val="16"/>
            <w:szCs w:val="16"/>
          </w:rPr>
          <w:t>U.S. Census Bureau QuickFacts: Boston city, Massachusetts</w:t>
        </w:r>
      </w:hyperlink>
      <w:r w:rsidR="00275AF5" w:rsidRPr="00C11123">
        <w:rPr>
          <w:sz w:val="16"/>
          <w:szCs w:val="16"/>
        </w:rPr>
        <w:t xml:space="preserve">. Accessed February 17, 2026. </w:t>
      </w:r>
      <w:hyperlink r:id="rId48" w:history="1">
        <w:r w:rsidR="007D6C68" w:rsidRPr="00387ED4">
          <w:rPr>
            <w:rStyle w:val="Hyperlink"/>
            <w:sz w:val="16"/>
            <w:szCs w:val="16"/>
          </w:rPr>
          <w:t>https://www.census.gov/quickfacts/fact/table/bostoncitymassachusetts/PST045225</w:t>
        </w:r>
      </w:hyperlink>
      <w:r w:rsidR="007D6C68">
        <w:rPr>
          <w:sz w:val="16"/>
          <w:szCs w:val="16"/>
        </w:rPr>
        <w:t xml:space="preserve"> </w:t>
      </w:r>
      <w:r w:rsidR="00275AF5" w:rsidRPr="00C11123">
        <w:rPr>
          <w:sz w:val="16"/>
          <w:szCs w:val="16"/>
        </w:rPr>
        <w:t xml:space="preserve"> </w:t>
      </w:r>
      <w:r w:rsidR="00E10304" w:rsidRPr="00C11123">
        <w:rPr>
          <w:sz w:val="16"/>
          <w:szCs w:val="16"/>
        </w:rPr>
        <w:t xml:space="preserve">(Black residents comprise </w:t>
      </w:r>
      <w:r w:rsidR="00890EB7" w:rsidRPr="00C11123">
        <w:rPr>
          <w:sz w:val="16"/>
          <w:szCs w:val="16"/>
        </w:rPr>
        <w:t>at least</w:t>
      </w:r>
      <w:r w:rsidR="00E10304" w:rsidRPr="00C11123">
        <w:rPr>
          <w:sz w:val="16"/>
          <w:szCs w:val="16"/>
        </w:rPr>
        <w:t xml:space="preserve"> 20% of the City of Boston).</w:t>
      </w:r>
    </w:p>
  </w:footnote>
  <w:footnote w:id="52">
    <w:p w14:paraId="4A496527" w14:textId="5F31D201" w:rsidR="00EA77C0" w:rsidRPr="00C11123" w:rsidRDefault="00000000" w:rsidP="00EA77C0">
      <w:pPr>
        <w:pStyle w:val="FootnoteText"/>
        <w:rPr>
          <w:sz w:val="16"/>
          <w:szCs w:val="16"/>
        </w:rPr>
      </w:pPr>
      <w:r w:rsidRPr="00C11123">
        <w:rPr>
          <w:rStyle w:val="FootnoteReference"/>
          <w:sz w:val="16"/>
          <w:szCs w:val="16"/>
        </w:rPr>
        <w:footnoteRef/>
      </w:r>
      <w:r w:rsidRPr="00C11123">
        <w:rPr>
          <w:sz w:val="16"/>
          <w:szCs w:val="16"/>
        </w:rPr>
        <w:t xml:space="preserve"> </w:t>
      </w:r>
      <w:hyperlink r:id="rId49" w:history="1">
        <w:r w:rsidR="00275AF5" w:rsidRPr="007D6C68">
          <w:rPr>
            <w:rStyle w:val="Hyperlink"/>
            <w:sz w:val="16"/>
            <w:szCs w:val="16"/>
          </w:rPr>
          <w:t>U.S. Census Bureau QuickFacts: Massachusetts</w:t>
        </w:r>
      </w:hyperlink>
      <w:r w:rsidR="00275AF5" w:rsidRPr="00C11123">
        <w:rPr>
          <w:sz w:val="16"/>
          <w:szCs w:val="16"/>
        </w:rPr>
        <w:t xml:space="preserve">. Accessed February 17, 2026. </w:t>
      </w:r>
      <w:hyperlink r:id="rId50" w:history="1">
        <w:r w:rsidR="007D6C68" w:rsidRPr="00387ED4">
          <w:rPr>
            <w:rStyle w:val="Hyperlink"/>
            <w:sz w:val="16"/>
            <w:szCs w:val="16"/>
          </w:rPr>
          <w:t>https://www.census.gov/quickfacts/fact/table/MA/RHI225224</w:t>
        </w:r>
      </w:hyperlink>
      <w:r w:rsidR="007D6C68">
        <w:rPr>
          <w:sz w:val="16"/>
          <w:szCs w:val="16"/>
        </w:rPr>
        <w:t xml:space="preserve"> </w:t>
      </w:r>
      <w:r w:rsidR="00275AF5" w:rsidRPr="00C11123">
        <w:rPr>
          <w:sz w:val="16"/>
          <w:szCs w:val="16"/>
        </w:rPr>
        <w:t>.</w:t>
      </w:r>
    </w:p>
  </w:footnote>
  <w:footnote w:id="53">
    <w:p w14:paraId="35551558" w14:textId="7DC11B67" w:rsidR="0039329C" w:rsidRPr="00C11123" w:rsidRDefault="00000000" w:rsidP="0039329C">
      <w:pPr>
        <w:pStyle w:val="FootnoteText"/>
        <w:rPr>
          <w:b/>
          <w:bCs/>
          <w:sz w:val="16"/>
          <w:szCs w:val="16"/>
        </w:rPr>
      </w:pPr>
      <w:r w:rsidRPr="00C11123">
        <w:rPr>
          <w:rStyle w:val="FootnoteReference"/>
          <w:sz w:val="16"/>
          <w:szCs w:val="16"/>
        </w:rPr>
        <w:footnoteRef/>
      </w:r>
      <w:r w:rsidRPr="00C11123">
        <w:rPr>
          <w:sz w:val="16"/>
          <w:szCs w:val="16"/>
        </w:rPr>
        <w:t xml:space="preserve"> See e.g., </w:t>
      </w:r>
      <w:r w:rsidR="00275AF5" w:rsidRPr="00C11123">
        <w:rPr>
          <w:sz w:val="16"/>
          <w:szCs w:val="16"/>
        </w:rPr>
        <w:t xml:space="preserve">Randolph E. </w:t>
      </w:r>
      <w:hyperlink r:id="rId51" w:history="1">
        <w:r w:rsidR="00275AF5" w:rsidRPr="007D6C68">
          <w:rPr>
            <w:rStyle w:val="Hyperlink"/>
            <w:sz w:val="16"/>
            <w:szCs w:val="16"/>
          </w:rPr>
          <w:t>How Much Does a PET/CT Cost? Capitol Imaging Services</w:t>
        </w:r>
      </w:hyperlink>
      <w:r w:rsidR="00275AF5" w:rsidRPr="00C11123">
        <w:rPr>
          <w:sz w:val="16"/>
          <w:szCs w:val="16"/>
        </w:rPr>
        <w:t xml:space="preserve">. February 10, 2023. Accessed February 17, 2026. </w:t>
      </w:r>
      <w:hyperlink r:id="rId52" w:history="1">
        <w:r w:rsidR="007D6C68" w:rsidRPr="00387ED4">
          <w:rPr>
            <w:rStyle w:val="Hyperlink"/>
            <w:sz w:val="16"/>
            <w:szCs w:val="16"/>
          </w:rPr>
          <w:t>https://capitolimagingservices.com/how-much-does-a-pet-ct-cost/</w:t>
        </w:r>
      </w:hyperlink>
      <w:r w:rsidR="007D6C68">
        <w:rPr>
          <w:sz w:val="16"/>
          <w:szCs w:val="16"/>
        </w:rPr>
        <w:t xml:space="preserve"> </w:t>
      </w:r>
      <w:r w:rsidRPr="00C11123">
        <w:rPr>
          <w:sz w:val="16"/>
          <w:szCs w:val="16"/>
        </w:rPr>
        <w:t xml:space="preserve">; </w:t>
      </w:r>
      <w:hyperlink r:id="rId53" w:history="1">
        <w:r w:rsidR="005B4F92" w:rsidRPr="007D6C68">
          <w:rPr>
            <w:rStyle w:val="Hyperlink"/>
            <w:sz w:val="16"/>
            <w:szCs w:val="16"/>
          </w:rPr>
          <w:t xml:space="preserve">Issue 7: Variation in Imaging Spending </w:t>
        </w:r>
      </w:hyperlink>
      <w:r w:rsidR="005B4F92" w:rsidRPr="00C11123">
        <w:rPr>
          <w:sz w:val="16"/>
          <w:szCs w:val="16"/>
        </w:rPr>
        <w:t xml:space="preserve">| Massachusetts Health Policy Commission. Masshpc.gov. Published May 10, 2023. Accessed February 20, 2026. </w:t>
      </w:r>
      <w:hyperlink r:id="rId54" w:history="1">
        <w:r w:rsidR="007D6C68" w:rsidRPr="00387ED4">
          <w:rPr>
            <w:rStyle w:val="Hyperlink"/>
            <w:sz w:val="16"/>
            <w:szCs w:val="16"/>
          </w:rPr>
          <w:t>https://masshpc.gov/publications/datapoints-series/issue-7-variation-imaging-spending</w:t>
        </w:r>
      </w:hyperlink>
      <w:r w:rsidR="007D6C68">
        <w:rPr>
          <w:sz w:val="16"/>
          <w:szCs w:val="16"/>
        </w:rPr>
        <w:t xml:space="preserve"> </w:t>
      </w:r>
      <w:r w:rsidR="008B5538" w:rsidRPr="00C11123">
        <w:rPr>
          <w:sz w:val="16"/>
          <w:szCs w:val="16"/>
        </w:rPr>
        <w:t xml:space="preserve"> </w:t>
      </w:r>
    </w:p>
  </w:footnote>
  <w:footnote w:id="54">
    <w:p w14:paraId="1C20B381" w14:textId="21B8598F" w:rsidR="0039329C" w:rsidRPr="00C11123" w:rsidRDefault="00000000" w:rsidP="0039329C">
      <w:pPr>
        <w:pStyle w:val="FootnoteText"/>
        <w:rPr>
          <w:sz w:val="16"/>
          <w:szCs w:val="16"/>
          <w:highlight w:val="green"/>
        </w:rPr>
      </w:pPr>
      <w:r w:rsidRPr="00C11123">
        <w:rPr>
          <w:rStyle w:val="FootnoteReference"/>
          <w:sz w:val="16"/>
          <w:szCs w:val="16"/>
        </w:rPr>
        <w:footnoteRef/>
      </w:r>
      <w:hyperlink r:id="rId55" w:history="1">
        <w:r w:rsidR="0039329C" w:rsidRPr="007D6C68">
          <w:rPr>
            <w:rStyle w:val="Hyperlink"/>
            <w:sz w:val="16"/>
            <w:szCs w:val="16"/>
          </w:rPr>
          <w:t xml:space="preserve"> Issue 7: Variation in Imaging Spending </w:t>
        </w:r>
      </w:hyperlink>
      <w:r w:rsidR="005B4F92" w:rsidRPr="00C11123">
        <w:rPr>
          <w:sz w:val="16"/>
          <w:szCs w:val="16"/>
        </w:rPr>
        <w:t xml:space="preserve">| Massachusetts Health Policy Commission. Masshpc.gov. Published May 10, 2023. Accessed February 20, 2026. </w:t>
      </w:r>
      <w:hyperlink r:id="rId56" w:history="1">
        <w:r w:rsidR="007D6C68" w:rsidRPr="00387ED4">
          <w:rPr>
            <w:rStyle w:val="Hyperlink"/>
            <w:sz w:val="16"/>
            <w:szCs w:val="16"/>
          </w:rPr>
          <w:t>https://masshpc.gov/publications/datapoints-series/issue-7-variation-imaging-spending</w:t>
        </w:r>
      </w:hyperlink>
      <w:r w:rsidR="007D6C68">
        <w:rPr>
          <w:sz w:val="16"/>
          <w:szCs w:val="16"/>
        </w:rPr>
        <w:t xml:space="preserve"> </w:t>
      </w:r>
      <w:r w:rsidR="008B5538" w:rsidRPr="00C11123">
        <w:rPr>
          <w:sz w:val="16"/>
          <w:szCs w:val="16"/>
        </w:rPr>
        <w:t xml:space="preserve"> </w:t>
      </w:r>
    </w:p>
  </w:footnote>
  <w:footnote w:id="55">
    <w:p w14:paraId="4ACD677D" w14:textId="451C8149" w:rsidR="004B5E78" w:rsidRPr="00C11123" w:rsidRDefault="00000000">
      <w:pPr>
        <w:pStyle w:val="FootnoteText"/>
        <w:rPr>
          <w:sz w:val="16"/>
          <w:szCs w:val="16"/>
          <w:highlight w:val="green"/>
        </w:rPr>
      </w:pPr>
      <w:r w:rsidRPr="00C11123">
        <w:rPr>
          <w:rStyle w:val="FootnoteReference"/>
          <w:sz w:val="16"/>
          <w:szCs w:val="16"/>
        </w:rPr>
        <w:footnoteRef/>
      </w:r>
      <w:r w:rsidRPr="00C11123">
        <w:rPr>
          <w:sz w:val="16"/>
          <w:szCs w:val="16"/>
        </w:rPr>
        <w:t xml:space="preserve"> </w:t>
      </w:r>
      <w:r w:rsidR="006C0C0A" w:rsidRPr="00C11123">
        <w:rPr>
          <w:i/>
          <w:iCs/>
          <w:sz w:val="16"/>
          <w:szCs w:val="16"/>
        </w:rPr>
        <w:t>Id.</w:t>
      </w:r>
    </w:p>
  </w:footnote>
  <w:footnote w:id="56">
    <w:p w14:paraId="2D9309DF" w14:textId="51093CD7" w:rsidR="0039329C" w:rsidRPr="00C11123" w:rsidRDefault="00000000" w:rsidP="0039329C">
      <w:pPr>
        <w:pStyle w:val="FootnoteText"/>
        <w:rPr>
          <w:sz w:val="16"/>
          <w:szCs w:val="16"/>
          <w:highlight w:val="green"/>
        </w:rPr>
      </w:pPr>
      <w:r w:rsidRPr="00C11123">
        <w:rPr>
          <w:rStyle w:val="FootnoteReference"/>
          <w:sz w:val="16"/>
          <w:szCs w:val="16"/>
        </w:rPr>
        <w:footnoteRef/>
      </w:r>
      <w:r w:rsidRPr="00C11123">
        <w:rPr>
          <w:sz w:val="16"/>
          <w:szCs w:val="16"/>
        </w:rPr>
        <w:t xml:space="preserve"> </w:t>
      </w:r>
      <w:r w:rsidR="006C0C0A" w:rsidRPr="00C11123">
        <w:rPr>
          <w:i/>
          <w:iCs/>
          <w:sz w:val="16"/>
          <w:szCs w:val="16"/>
        </w:rPr>
        <w:t>Id.</w:t>
      </w:r>
    </w:p>
  </w:footnote>
  <w:footnote w:id="57">
    <w:p w14:paraId="7CEE77B7" w14:textId="24A7291D" w:rsidR="0039329C" w:rsidRPr="00C11123" w:rsidRDefault="00000000" w:rsidP="005B4F92">
      <w:pPr>
        <w:pStyle w:val="FootnoteText"/>
        <w:rPr>
          <w:sz w:val="16"/>
          <w:szCs w:val="16"/>
        </w:rPr>
      </w:pPr>
      <w:r w:rsidRPr="00C11123">
        <w:rPr>
          <w:rStyle w:val="FootnoteReference"/>
          <w:sz w:val="16"/>
          <w:szCs w:val="16"/>
        </w:rPr>
        <w:footnoteRef/>
      </w:r>
      <w:r w:rsidRPr="00C11123">
        <w:rPr>
          <w:sz w:val="16"/>
          <w:szCs w:val="16"/>
        </w:rPr>
        <w:t xml:space="preserve"> See e.g.,</w:t>
      </w:r>
      <w:r w:rsidR="004B5E78" w:rsidRPr="00C11123">
        <w:rPr>
          <w:sz w:val="16"/>
          <w:szCs w:val="16"/>
        </w:rPr>
        <w:t xml:space="preserve"> </w:t>
      </w:r>
      <w:hyperlink r:id="rId57" w:history="1">
        <w:r w:rsidR="003213EB" w:rsidRPr="001C4314">
          <w:rPr>
            <w:rStyle w:val="Hyperlink"/>
            <w:sz w:val="16"/>
            <w:szCs w:val="16"/>
          </w:rPr>
          <w:t xml:space="preserve">Consumers can Save More than $300 Per Diagnostic Imaging Test - </w:t>
        </w:r>
        <w:r w:rsidR="005B4F92" w:rsidRPr="001C4314">
          <w:rPr>
            <w:rStyle w:val="Hyperlink"/>
            <w:sz w:val="16"/>
            <w:szCs w:val="16"/>
          </w:rPr>
          <w:t>The High Price of Diagnostic Imaging in Hospital Outpatient Departments</w:t>
        </w:r>
      </w:hyperlink>
      <w:r w:rsidR="005B4F92" w:rsidRPr="00C11123">
        <w:rPr>
          <w:sz w:val="16"/>
          <w:szCs w:val="16"/>
        </w:rPr>
        <w:t xml:space="preserve"> </w:t>
      </w:r>
      <w:r w:rsidR="003213EB" w:rsidRPr="00C11123">
        <w:rPr>
          <w:sz w:val="16"/>
          <w:szCs w:val="16"/>
        </w:rPr>
        <w:t xml:space="preserve">- </w:t>
      </w:r>
      <w:r w:rsidR="005B4F92" w:rsidRPr="00C11123">
        <w:rPr>
          <w:sz w:val="16"/>
          <w:szCs w:val="16"/>
        </w:rPr>
        <w:t xml:space="preserve">Optimal Use of Lower-Cost Settings for Diagnostic Imaging </w:t>
      </w:r>
      <w:r w:rsidR="003213EB" w:rsidRPr="00C11123">
        <w:rPr>
          <w:sz w:val="16"/>
          <w:szCs w:val="16"/>
        </w:rPr>
        <w:t xml:space="preserve">- </w:t>
      </w:r>
      <w:r w:rsidR="005B4F92" w:rsidRPr="00C11123">
        <w:rPr>
          <w:sz w:val="16"/>
          <w:szCs w:val="16"/>
        </w:rPr>
        <w:t xml:space="preserve">Savings from Imaging Performed at Lower-Cost Facilities.; 2020. Accessed February 20, 2026. </w:t>
      </w:r>
      <w:hyperlink r:id="rId58" w:history="1">
        <w:r w:rsidR="001C4314" w:rsidRPr="00387ED4">
          <w:rPr>
            <w:rStyle w:val="Hyperlink"/>
            <w:sz w:val="16"/>
            <w:szCs w:val="16"/>
          </w:rPr>
          <w:t>https://www.unitedhealthgroup.com/content/dam/UHG/PDF/2020/Diagnostic-Testing-Costs-Brief.pdf</w:t>
        </w:r>
      </w:hyperlink>
      <w:r w:rsidR="001C4314">
        <w:rPr>
          <w:sz w:val="16"/>
          <w:szCs w:val="16"/>
        </w:rPr>
        <w:t xml:space="preserve"> </w:t>
      </w:r>
    </w:p>
  </w:footnote>
  <w:footnote w:id="58">
    <w:p w14:paraId="6373A12A" w14:textId="4975FBB7" w:rsidR="0039329C" w:rsidRPr="00C11123" w:rsidRDefault="00000000" w:rsidP="0039329C">
      <w:pPr>
        <w:pStyle w:val="FootnoteText"/>
        <w:rPr>
          <w:sz w:val="16"/>
          <w:szCs w:val="16"/>
          <w:highlight w:val="green"/>
        </w:rPr>
      </w:pPr>
      <w:r w:rsidRPr="00C11123">
        <w:rPr>
          <w:rStyle w:val="FootnoteReference"/>
          <w:sz w:val="16"/>
          <w:szCs w:val="16"/>
        </w:rPr>
        <w:footnoteRef/>
      </w:r>
      <w:r w:rsidRPr="00C11123">
        <w:rPr>
          <w:sz w:val="16"/>
          <w:szCs w:val="16"/>
        </w:rPr>
        <w:t xml:space="preserve"> </w:t>
      </w:r>
      <w:r w:rsidR="00474D6F" w:rsidRPr="00C11123">
        <w:rPr>
          <w:sz w:val="16"/>
          <w:szCs w:val="16"/>
        </w:rPr>
        <w:t xml:space="preserve">See e.g., </w:t>
      </w:r>
      <w:r w:rsidR="00CA1991" w:rsidRPr="00C11123">
        <w:rPr>
          <w:sz w:val="16"/>
          <w:szCs w:val="16"/>
        </w:rPr>
        <w:t>Poslusny C</w:t>
      </w:r>
      <w:r w:rsidR="00B82B09" w:rsidRPr="00C11123">
        <w:rPr>
          <w:sz w:val="16"/>
          <w:szCs w:val="16"/>
        </w:rPr>
        <w:t>.</w:t>
      </w:r>
      <w:r w:rsidR="00CA1991" w:rsidRPr="00C11123">
        <w:rPr>
          <w:sz w:val="16"/>
          <w:szCs w:val="16"/>
        </w:rPr>
        <w:t xml:space="preserve">, </w:t>
      </w:r>
      <w:hyperlink r:id="rId59" w:history="1">
        <w:r w:rsidR="00B309A6" w:rsidRPr="00156580">
          <w:rPr>
            <w:rStyle w:val="Hyperlink"/>
            <w:sz w:val="16"/>
            <w:szCs w:val="16"/>
          </w:rPr>
          <w:t>How much should your PET scan cost?</w:t>
        </w:r>
      </w:hyperlink>
      <w:r w:rsidR="00B309A6" w:rsidRPr="00C11123">
        <w:rPr>
          <w:sz w:val="16"/>
          <w:szCs w:val="16"/>
        </w:rPr>
        <w:t xml:space="preserve"> New Choice Health Blog. July 31, 2018. Accessed February 17, 2026. </w:t>
      </w:r>
      <w:hyperlink r:id="rId60" w:history="1">
        <w:r w:rsidR="00156580" w:rsidRPr="00387ED4">
          <w:rPr>
            <w:rStyle w:val="Hyperlink"/>
            <w:sz w:val="16"/>
            <w:szCs w:val="16"/>
          </w:rPr>
          <w:t>https://www.newchoicehealth.com/pet-scan/cost</w:t>
        </w:r>
      </w:hyperlink>
      <w:r w:rsidR="00156580">
        <w:rPr>
          <w:sz w:val="16"/>
          <w:szCs w:val="16"/>
        </w:rPr>
        <w:t xml:space="preserve"> </w:t>
      </w:r>
      <w:r w:rsidR="00B309A6" w:rsidRPr="00C11123">
        <w:rPr>
          <w:sz w:val="16"/>
          <w:szCs w:val="16"/>
        </w:rPr>
        <w:t xml:space="preserve">; Madison B. </w:t>
      </w:r>
      <w:hyperlink r:id="rId61" w:history="1">
        <w:r w:rsidR="00B309A6" w:rsidRPr="0001348B">
          <w:rPr>
            <w:rStyle w:val="Hyperlink"/>
            <w:sz w:val="16"/>
            <w:szCs w:val="16"/>
          </w:rPr>
          <w:t>How Much is a PET Scan? Costs With or Without Insurance.</w:t>
        </w:r>
      </w:hyperlink>
      <w:r w:rsidR="00B309A6" w:rsidRPr="00C11123">
        <w:rPr>
          <w:sz w:val="16"/>
          <w:szCs w:val="16"/>
        </w:rPr>
        <w:t xml:space="preserve"> </w:t>
      </w:r>
      <w:proofErr w:type="spellStart"/>
      <w:r w:rsidR="00B309A6" w:rsidRPr="00C11123">
        <w:rPr>
          <w:sz w:val="16"/>
          <w:szCs w:val="16"/>
        </w:rPr>
        <w:t>GoodRx</w:t>
      </w:r>
      <w:proofErr w:type="spellEnd"/>
      <w:r w:rsidR="00B309A6" w:rsidRPr="00C11123">
        <w:rPr>
          <w:sz w:val="16"/>
          <w:szCs w:val="16"/>
        </w:rPr>
        <w:t xml:space="preserve">. Accessed February 17, 2026. </w:t>
      </w:r>
      <w:hyperlink r:id="rId62" w:history="1">
        <w:r w:rsidR="0001348B" w:rsidRPr="00387ED4">
          <w:rPr>
            <w:rStyle w:val="Hyperlink"/>
            <w:sz w:val="16"/>
            <w:szCs w:val="16"/>
          </w:rPr>
          <w:t>https://www.goodrx.com/health-topic/diagnostics/pet-scan-cost</w:t>
        </w:r>
      </w:hyperlink>
      <w:r w:rsidR="0001348B">
        <w:rPr>
          <w:sz w:val="16"/>
          <w:szCs w:val="16"/>
        </w:rPr>
        <w:t xml:space="preserve"> </w:t>
      </w:r>
      <w:r w:rsidR="009C63FB" w:rsidRPr="00C11123">
        <w:rPr>
          <w:sz w:val="16"/>
          <w:szCs w:val="16"/>
        </w:rPr>
        <w:t xml:space="preserve">; </w:t>
      </w:r>
      <w:hyperlink r:id="rId63" w:history="1">
        <w:r w:rsidR="00B309A6" w:rsidRPr="0001348B">
          <w:rPr>
            <w:rStyle w:val="Hyperlink"/>
            <w:sz w:val="16"/>
            <w:szCs w:val="16"/>
          </w:rPr>
          <w:t xml:space="preserve">How Much Does a PET Scan Cost? </w:t>
        </w:r>
      </w:hyperlink>
      <w:r w:rsidR="00B309A6" w:rsidRPr="00C11123">
        <w:rPr>
          <w:sz w:val="16"/>
          <w:szCs w:val="16"/>
        </w:rPr>
        <w:t xml:space="preserve">(2026). </w:t>
      </w:r>
      <w:proofErr w:type="spellStart"/>
      <w:r w:rsidR="00B309A6" w:rsidRPr="00C11123">
        <w:rPr>
          <w:sz w:val="16"/>
          <w:szCs w:val="16"/>
        </w:rPr>
        <w:t>BetterCare</w:t>
      </w:r>
      <w:proofErr w:type="spellEnd"/>
      <w:r w:rsidR="00B309A6" w:rsidRPr="00C11123">
        <w:rPr>
          <w:sz w:val="16"/>
          <w:szCs w:val="16"/>
        </w:rPr>
        <w:t xml:space="preserve">. April 11, 2025. Accessed February 17, 2026. </w:t>
      </w:r>
      <w:hyperlink r:id="rId64" w:history="1">
        <w:r w:rsidR="0001348B" w:rsidRPr="00387ED4">
          <w:rPr>
            <w:rStyle w:val="Hyperlink"/>
            <w:sz w:val="16"/>
            <w:szCs w:val="16"/>
          </w:rPr>
          <w:t>https://bettercare.com/costs/pet-scan-cost</w:t>
        </w:r>
      </w:hyperlink>
      <w:r w:rsidR="0001348B">
        <w:rPr>
          <w:sz w:val="16"/>
          <w:szCs w:val="16"/>
        </w:rPr>
        <w:t xml:space="preserve"> </w:t>
      </w:r>
      <w:r w:rsidR="00B309A6" w:rsidRPr="00C11123">
        <w:rPr>
          <w:sz w:val="16"/>
          <w:szCs w:val="16"/>
        </w:rPr>
        <w:t>.</w:t>
      </w:r>
    </w:p>
  </w:footnote>
  <w:footnote w:id="59">
    <w:p w14:paraId="65FAA17F" w14:textId="13C0FB93" w:rsidR="0039329C" w:rsidRPr="00C11123" w:rsidRDefault="00000000" w:rsidP="0039329C">
      <w:pPr>
        <w:pStyle w:val="FootnoteText"/>
        <w:rPr>
          <w:sz w:val="16"/>
          <w:szCs w:val="16"/>
          <w:highlight w:val="green"/>
        </w:rPr>
      </w:pPr>
      <w:r w:rsidRPr="00C11123">
        <w:rPr>
          <w:rStyle w:val="FootnoteReference"/>
          <w:sz w:val="16"/>
          <w:szCs w:val="16"/>
        </w:rPr>
        <w:footnoteRef/>
      </w:r>
      <w:r w:rsidRPr="00C11123">
        <w:rPr>
          <w:sz w:val="16"/>
          <w:szCs w:val="16"/>
        </w:rPr>
        <w:t xml:space="preserve"> See e.g., </w:t>
      </w:r>
      <w:r w:rsidR="006C0C0A" w:rsidRPr="00C11123">
        <w:rPr>
          <w:sz w:val="16"/>
          <w:szCs w:val="16"/>
        </w:rPr>
        <w:t xml:space="preserve">Madison, </w:t>
      </w:r>
      <w:r w:rsidR="006C0C0A" w:rsidRPr="00C11123">
        <w:rPr>
          <w:i/>
          <w:iCs/>
          <w:sz w:val="16"/>
          <w:szCs w:val="16"/>
        </w:rPr>
        <w:t>supra</w:t>
      </w:r>
      <w:r w:rsidR="006C0C0A" w:rsidRPr="00C11123">
        <w:rPr>
          <w:sz w:val="16"/>
          <w:szCs w:val="16"/>
        </w:rPr>
        <w:t xml:space="preserve"> note 62; Poslusny, </w:t>
      </w:r>
      <w:r w:rsidR="006C0C0A" w:rsidRPr="00C11123">
        <w:rPr>
          <w:i/>
          <w:iCs/>
          <w:sz w:val="16"/>
          <w:szCs w:val="16"/>
        </w:rPr>
        <w:t>supra</w:t>
      </w:r>
      <w:r w:rsidR="006C0C0A" w:rsidRPr="00C11123">
        <w:rPr>
          <w:sz w:val="16"/>
          <w:szCs w:val="16"/>
        </w:rPr>
        <w:t xml:space="preserve"> note 62.</w:t>
      </w:r>
      <w:r w:rsidR="005C144A" w:rsidRPr="00C11123">
        <w:rPr>
          <w:i/>
          <w:iCs/>
          <w:sz w:val="16"/>
          <w:szCs w:val="16"/>
        </w:rPr>
        <w:t xml:space="preserve"> </w:t>
      </w:r>
    </w:p>
  </w:footnote>
  <w:footnote w:id="60">
    <w:p w14:paraId="5B126BCA" w14:textId="02F46108" w:rsidR="0039329C" w:rsidRPr="00C11123" w:rsidRDefault="00000000" w:rsidP="0039329C">
      <w:pPr>
        <w:pStyle w:val="FootnoteText"/>
        <w:rPr>
          <w:sz w:val="16"/>
          <w:szCs w:val="16"/>
          <w:highlight w:val="green"/>
        </w:rPr>
      </w:pPr>
      <w:r w:rsidRPr="00C11123">
        <w:rPr>
          <w:rStyle w:val="FootnoteReference"/>
          <w:sz w:val="16"/>
          <w:szCs w:val="16"/>
        </w:rPr>
        <w:footnoteRef/>
      </w:r>
      <w:r w:rsidRPr="00C11123">
        <w:rPr>
          <w:sz w:val="16"/>
          <w:szCs w:val="16"/>
        </w:rPr>
        <w:t xml:space="preserve"> </w:t>
      </w:r>
      <w:r w:rsidR="00B82B09" w:rsidRPr="00C11123">
        <w:rPr>
          <w:sz w:val="16"/>
          <w:szCs w:val="16"/>
        </w:rPr>
        <w:t xml:space="preserve">Cramer K. </w:t>
      </w:r>
      <w:hyperlink r:id="rId65" w:history="1">
        <w:r w:rsidR="00B309A6" w:rsidRPr="0001348B">
          <w:rPr>
            <w:rStyle w:val="Hyperlink"/>
            <w:sz w:val="16"/>
            <w:szCs w:val="16"/>
          </w:rPr>
          <w:t>How Much Does a PET Scan Cost?</w:t>
        </w:r>
      </w:hyperlink>
      <w:r w:rsidR="00B309A6" w:rsidRPr="00C11123">
        <w:rPr>
          <w:sz w:val="16"/>
          <w:szCs w:val="16"/>
        </w:rPr>
        <w:t xml:space="preserve"> (2026). </w:t>
      </w:r>
      <w:proofErr w:type="spellStart"/>
      <w:r w:rsidR="00B309A6" w:rsidRPr="00C11123">
        <w:rPr>
          <w:sz w:val="16"/>
          <w:szCs w:val="16"/>
        </w:rPr>
        <w:t>BetterCare</w:t>
      </w:r>
      <w:proofErr w:type="spellEnd"/>
      <w:r w:rsidR="00B309A6" w:rsidRPr="00C11123">
        <w:rPr>
          <w:sz w:val="16"/>
          <w:szCs w:val="16"/>
        </w:rPr>
        <w:t xml:space="preserve">. April 11, 2025. Accessed February 17, 2026. </w:t>
      </w:r>
      <w:hyperlink r:id="rId66" w:history="1">
        <w:r w:rsidR="0001348B" w:rsidRPr="00387ED4">
          <w:rPr>
            <w:rStyle w:val="Hyperlink"/>
            <w:sz w:val="16"/>
            <w:szCs w:val="16"/>
          </w:rPr>
          <w:t>https://bettercare.com/costs/pet-scan-cost</w:t>
        </w:r>
      </w:hyperlink>
      <w:r w:rsidR="0001348B">
        <w:rPr>
          <w:sz w:val="16"/>
          <w:szCs w:val="16"/>
        </w:rPr>
        <w:t xml:space="preserve"> </w:t>
      </w:r>
    </w:p>
  </w:footnote>
  <w:footnote w:id="61">
    <w:p w14:paraId="6CBDF860" w14:textId="58A02EE0" w:rsidR="0039329C" w:rsidRPr="00C11123" w:rsidRDefault="00000000" w:rsidP="0039329C">
      <w:pPr>
        <w:pStyle w:val="FootnoteText"/>
        <w:rPr>
          <w:b/>
          <w:bCs/>
          <w:sz w:val="16"/>
          <w:szCs w:val="16"/>
        </w:rPr>
      </w:pPr>
      <w:r w:rsidRPr="00C11123">
        <w:rPr>
          <w:rStyle w:val="FootnoteReference"/>
          <w:sz w:val="16"/>
          <w:szCs w:val="16"/>
        </w:rPr>
        <w:footnoteRef/>
      </w:r>
      <w:r w:rsidRPr="00C11123">
        <w:rPr>
          <w:sz w:val="16"/>
          <w:szCs w:val="16"/>
        </w:rPr>
        <w:t xml:space="preserve"> </w:t>
      </w:r>
      <w:proofErr w:type="spellStart"/>
      <w:r w:rsidR="00D727F5" w:rsidRPr="00C11123">
        <w:rPr>
          <w:sz w:val="16"/>
          <w:szCs w:val="16"/>
        </w:rPr>
        <w:t>Paretts</w:t>
      </w:r>
      <w:proofErr w:type="spellEnd"/>
      <w:r w:rsidR="00D727F5" w:rsidRPr="00C11123">
        <w:rPr>
          <w:sz w:val="16"/>
          <w:szCs w:val="16"/>
        </w:rPr>
        <w:t xml:space="preserve"> S. </w:t>
      </w:r>
      <w:hyperlink r:id="rId67" w:history="1">
        <w:r w:rsidR="00B309A6" w:rsidRPr="0001348B">
          <w:rPr>
            <w:rStyle w:val="Hyperlink"/>
            <w:sz w:val="16"/>
            <w:szCs w:val="16"/>
          </w:rPr>
          <w:t>PET Scan Cost and Procedure Guide</w:t>
        </w:r>
      </w:hyperlink>
      <w:r w:rsidR="00B309A6" w:rsidRPr="00C11123">
        <w:rPr>
          <w:sz w:val="16"/>
          <w:szCs w:val="16"/>
        </w:rPr>
        <w:t xml:space="preserve">. Accessed February 17, 2026. </w:t>
      </w:r>
      <w:hyperlink r:id="rId68" w:history="1">
        <w:r w:rsidR="0001348B" w:rsidRPr="00387ED4">
          <w:rPr>
            <w:rStyle w:val="Hyperlink"/>
            <w:sz w:val="16"/>
            <w:szCs w:val="16"/>
          </w:rPr>
          <w:t>https://www.carecredit.com/well-u/health-wellness/pet-scan-cost/</w:t>
        </w:r>
      </w:hyperlink>
      <w:r w:rsidR="0001348B">
        <w:rPr>
          <w:sz w:val="16"/>
          <w:szCs w:val="16"/>
        </w:rPr>
        <w:t xml:space="preserve"> </w:t>
      </w:r>
      <w:r w:rsidR="00B309A6" w:rsidRPr="00C11123">
        <w:rPr>
          <w:sz w:val="16"/>
          <w:szCs w:val="16"/>
        </w:rPr>
        <w:t>.</w:t>
      </w:r>
    </w:p>
  </w:footnote>
  <w:footnote w:id="62">
    <w:p w14:paraId="6FB586AD" w14:textId="2C0A2C3A" w:rsidR="004214B1"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6C0C0A" w:rsidRPr="00C11123">
        <w:rPr>
          <w:sz w:val="16"/>
          <w:szCs w:val="16"/>
        </w:rPr>
        <w:t xml:space="preserve">Cramer, </w:t>
      </w:r>
      <w:r w:rsidR="006C0C0A" w:rsidRPr="00C11123">
        <w:rPr>
          <w:i/>
          <w:iCs/>
          <w:sz w:val="16"/>
          <w:szCs w:val="16"/>
        </w:rPr>
        <w:t>supra</w:t>
      </w:r>
      <w:r w:rsidR="006C0C0A" w:rsidRPr="00C11123">
        <w:rPr>
          <w:sz w:val="16"/>
          <w:szCs w:val="16"/>
        </w:rPr>
        <w:t xml:space="preserve"> note 64</w:t>
      </w:r>
      <w:r w:rsidR="009E0190" w:rsidRPr="00C11123">
        <w:rPr>
          <w:sz w:val="16"/>
          <w:szCs w:val="16"/>
        </w:rPr>
        <w:t>; Poslusny</w:t>
      </w:r>
      <w:r w:rsidR="006C0C0A" w:rsidRPr="00C11123">
        <w:rPr>
          <w:sz w:val="16"/>
          <w:szCs w:val="16"/>
        </w:rPr>
        <w:t xml:space="preserve">, </w:t>
      </w:r>
      <w:r w:rsidR="006C0C0A" w:rsidRPr="00C11123">
        <w:rPr>
          <w:i/>
          <w:iCs/>
          <w:sz w:val="16"/>
          <w:szCs w:val="16"/>
        </w:rPr>
        <w:t>supra</w:t>
      </w:r>
      <w:r w:rsidR="006C0C0A" w:rsidRPr="00C11123">
        <w:rPr>
          <w:sz w:val="16"/>
          <w:szCs w:val="16"/>
        </w:rPr>
        <w:t xml:space="preserve"> note 62.</w:t>
      </w:r>
    </w:p>
  </w:footnote>
  <w:footnote w:id="63">
    <w:p w14:paraId="4EEE6C77" w14:textId="4EC454DB" w:rsidR="0039329C" w:rsidRPr="00C11123" w:rsidRDefault="00000000" w:rsidP="0039329C">
      <w:pPr>
        <w:pStyle w:val="FootnoteText"/>
        <w:rPr>
          <w:sz w:val="16"/>
          <w:szCs w:val="16"/>
        </w:rPr>
      </w:pPr>
      <w:r w:rsidRPr="00C11123">
        <w:rPr>
          <w:rStyle w:val="FootnoteReference"/>
          <w:sz w:val="16"/>
          <w:szCs w:val="16"/>
        </w:rPr>
        <w:footnoteRef/>
      </w:r>
      <w:r w:rsidRPr="00C11123">
        <w:rPr>
          <w:sz w:val="16"/>
          <w:szCs w:val="16"/>
        </w:rPr>
        <w:t xml:space="preserve"> </w:t>
      </w:r>
      <w:r w:rsidR="005228D4" w:rsidRPr="00C11123">
        <w:rPr>
          <w:i/>
          <w:iCs/>
          <w:sz w:val="16"/>
          <w:szCs w:val="16"/>
        </w:rPr>
        <w:t xml:space="preserve">See </w:t>
      </w:r>
      <w:hyperlink r:id="rId69" w:history="1">
        <w:r w:rsidR="005B4F92" w:rsidRPr="0001348B">
          <w:rPr>
            <w:rStyle w:val="Hyperlink"/>
            <w:sz w:val="16"/>
            <w:szCs w:val="16"/>
          </w:rPr>
          <w:t>Issue 7: Variation in Imaging Spending</w:t>
        </w:r>
      </w:hyperlink>
      <w:r w:rsidR="005B4F92" w:rsidRPr="00C11123">
        <w:rPr>
          <w:sz w:val="16"/>
          <w:szCs w:val="16"/>
        </w:rPr>
        <w:t xml:space="preserve"> | Massachusetts Health Policy Commission. Masshpc.gov. Published May 10, 2023. Accessed February 20, 2026. </w:t>
      </w:r>
      <w:hyperlink r:id="rId70" w:history="1">
        <w:r w:rsidR="0001348B" w:rsidRPr="00387ED4">
          <w:rPr>
            <w:rStyle w:val="Hyperlink"/>
            <w:sz w:val="16"/>
            <w:szCs w:val="16"/>
          </w:rPr>
          <w:t>https://masshpc.gov/publications/datapoints-series/issue-7-variation-imaging-spending</w:t>
        </w:r>
      </w:hyperlink>
      <w:r w:rsidR="005B4F92" w:rsidRPr="00C11123">
        <w:rPr>
          <w:sz w:val="16"/>
          <w:szCs w:val="16"/>
        </w:rPr>
        <w:t>?</w:t>
      </w:r>
      <w:r w:rsidR="0001348B">
        <w:rPr>
          <w:sz w:val="16"/>
          <w:szCs w:val="16"/>
        </w:rPr>
        <w:t xml:space="preserve"> </w:t>
      </w:r>
      <w:r w:rsidR="005B4F92" w:rsidRPr="00C11123">
        <w:rPr>
          <w:sz w:val="16"/>
          <w:szCs w:val="16"/>
        </w:rPr>
        <w:t xml:space="preserve"> </w:t>
      </w:r>
      <w:r w:rsidR="008751CF" w:rsidRPr="00C11123">
        <w:rPr>
          <w:sz w:val="16"/>
          <w:szCs w:val="16"/>
        </w:rPr>
        <w:t>(Explaining that Massachusetts’ higher imaging spending is largely driven by the greater use of hospital outpatient departments, where facility payment rates make imaging procedures significantly more expensive than when the same services are performed in physician offices).</w:t>
      </w:r>
    </w:p>
  </w:footnote>
  <w:footnote w:id="64">
    <w:p w14:paraId="2BC3F928" w14:textId="1AC1F0E2" w:rsidR="0039329C" w:rsidRPr="00C11123" w:rsidRDefault="00000000" w:rsidP="0039329C">
      <w:pPr>
        <w:spacing w:after="0" w:line="240" w:lineRule="auto"/>
        <w:jc w:val="both"/>
        <w:rPr>
          <w:rFonts w:cs="Arial"/>
          <w:sz w:val="16"/>
          <w:szCs w:val="16"/>
        </w:rPr>
      </w:pPr>
      <w:r w:rsidRPr="00C11123">
        <w:rPr>
          <w:rStyle w:val="FootnoteReference"/>
          <w:sz w:val="16"/>
          <w:szCs w:val="16"/>
        </w:rPr>
        <w:footnoteRef/>
      </w:r>
      <w:r w:rsidRPr="00C11123">
        <w:rPr>
          <w:sz w:val="16"/>
          <w:szCs w:val="16"/>
        </w:rPr>
        <w:t xml:space="preserve"> </w:t>
      </w:r>
      <w:r w:rsidR="004933AF" w:rsidRPr="00C11123">
        <w:rPr>
          <w:sz w:val="16"/>
          <w:szCs w:val="16"/>
        </w:rPr>
        <w:t xml:space="preserve">Riggs KR, Ubel PA. </w:t>
      </w:r>
      <w:hyperlink r:id="rId71" w:history="1">
        <w:r w:rsidR="004933AF" w:rsidRPr="003A4BDE">
          <w:rPr>
            <w:rStyle w:val="Hyperlink"/>
            <w:sz w:val="16"/>
            <w:szCs w:val="16"/>
          </w:rPr>
          <w:t xml:space="preserve">Overcoming Barriers to Discussing Out-of-Pocket Costs With Patients. </w:t>
        </w:r>
      </w:hyperlink>
      <w:r w:rsidR="004933AF" w:rsidRPr="00C11123">
        <w:rPr>
          <w:i/>
          <w:iCs/>
          <w:sz w:val="16"/>
          <w:szCs w:val="16"/>
        </w:rPr>
        <w:t>JAMA Intern Med</w:t>
      </w:r>
      <w:r w:rsidR="004933AF" w:rsidRPr="00C11123">
        <w:rPr>
          <w:sz w:val="16"/>
          <w:szCs w:val="16"/>
        </w:rPr>
        <w:t>. 2014;174(6):849-850. doi:10.1001/jamainternmed.2014.853</w:t>
      </w:r>
      <w:r w:rsidR="006E285B" w:rsidRPr="00C11123">
        <w:rPr>
          <w:sz w:val="16"/>
          <w:szCs w:val="16"/>
        </w:rPr>
        <w:t xml:space="preserve">. Accessed February 22, 2026. </w:t>
      </w:r>
      <w:hyperlink r:id="rId72" w:history="1">
        <w:r w:rsidR="003A4BDE" w:rsidRPr="00387ED4">
          <w:rPr>
            <w:rStyle w:val="Hyperlink"/>
            <w:sz w:val="16"/>
            <w:szCs w:val="16"/>
          </w:rPr>
          <w:t>https://pmc.ncbi.nlm.nih.gov/articles/PMC4467553/</w:t>
        </w:r>
      </w:hyperlink>
      <w:r w:rsidR="003A4BDE">
        <w:rPr>
          <w:sz w:val="16"/>
          <w:szCs w:val="16"/>
        </w:rPr>
        <w:t xml:space="preserve"> </w:t>
      </w:r>
      <w:r w:rsidR="006E285B" w:rsidRPr="00C11123">
        <w:rPr>
          <w:sz w:val="16"/>
          <w:szCs w:val="16"/>
        </w:rPr>
        <w:t xml:space="preserve"> </w:t>
      </w:r>
      <w:r w:rsidRPr="00C11123">
        <w:rPr>
          <w:sz w:val="16"/>
          <w:szCs w:val="16"/>
        </w:rPr>
        <w:t>(Discussing that “</w:t>
      </w:r>
      <w:r w:rsidRPr="00C11123">
        <w:rPr>
          <w:sz w:val="16"/>
          <w:szCs w:val="16"/>
          <w:lang w:val="x-none"/>
        </w:rPr>
        <w:t>[h]</w:t>
      </w:r>
      <w:proofErr w:type="spellStart"/>
      <w:r w:rsidRPr="00C11123">
        <w:rPr>
          <w:sz w:val="16"/>
          <w:szCs w:val="16"/>
          <w:lang w:val="x-none"/>
        </w:rPr>
        <w:t>igh</w:t>
      </w:r>
      <w:proofErr w:type="spellEnd"/>
      <w:r w:rsidRPr="00C11123">
        <w:rPr>
          <w:sz w:val="16"/>
          <w:szCs w:val="16"/>
          <w:lang w:val="x-none"/>
        </w:rPr>
        <w:t xml:space="preserve"> out-of-pocket costs</w:t>
      </w:r>
      <w:r w:rsidR="004E6183" w:rsidRPr="00C11123">
        <w:rPr>
          <w:sz w:val="16"/>
          <w:szCs w:val="16"/>
          <w:lang w:val="x-none"/>
        </w:rPr>
        <w:t xml:space="preserve"> . . . </w:t>
      </w:r>
      <w:r w:rsidRPr="00C11123">
        <w:rPr>
          <w:sz w:val="16"/>
          <w:szCs w:val="16"/>
          <w:lang w:val="x-none"/>
        </w:rPr>
        <w:t xml:space="preserve">can cause care to be delayed or foregone and can lead to financial distress and even bankruptcy,” </w:t>
      </w:r>
      <w:r w:rsidR="00584C5E" w:rsidRPr="00C11123">
        <w:rPr>
          <w:sz w:val="16"/>
          <w:szCs w:val="16"/>
          <w:lang w:val="x-none"/>
        </w:rPr>
        <w:t xml:space="preserve"> and </w:t>
      </w:r>
      <w:r w:rsidRPr="00C11123">
        <w:rPr>
          <w:sz w:val="16"/>
          <w:szCs w:val="16"/>
          <w:lang w:val="x-none"/>
        </w:rPr>
        <w:t xml:space="preserve">that </w:t>
      </w:r>
      <w:r w:rsidRPr="00C11123">
        <w:rPr>
          <w:rFonts w:cs="Arial"/>
          <w:sz w:val="16"/>
          <w:szCs w:val="16"/>
          <w:lang w:val="x-none"/>
        </w:rPr>
        <w:t>patients may delay advanced imaging which, if performed, could detect treatable medical conditions before complications arise, and that such imaging “would likely save medical costs as compared with the typical cost of caring for a patient” with those avoidable complications. “Thus, attempting to minimize out-of-pocket costs for the patient can sometimes have the opposite effect.”)</w:t>
      </w:r>
      <w:r w:rsidR="004E6183" w:rsidRPr="00C11123">
        <w:rPr>
          <w:rFonts w:cs="Arial"/>
          <w:sz w:val="16"/>
          <w:szCs w:val="16"/>
          <w:lang w:val="x-none"/>
        </w:rPr>
        <w:t xml:space="preserve"> </w:t>
      </w:r>
    </w:p>
  </w:footnote>
  <w:footnote w:id="65">
    <w:p w14:paraId="183A4AE7" w14:textId="1497699F" w:rsidR="0039329C" w:rsidRPr="00C11123" w:rsidRDefault="00000000" w:rsidP="0039329C">
      <w:pPr>
        <w:pStyle w:val="FootnoteText"/>
        <w:rPr>
          <w:sz w:val="16"/>
          <w:szCs w:val="16"/>
          <w:highlight w:val="green"/>
        </w:rPr>
      </w:pPr>
      <w:r w:rsidRPr="00C11123">
        <w:rPr>
          <w:rStyle w:val="FootnoteReference"/>
          <w:sz w:val="16"/>
          <w:szCs w:val="16"/>
        </w:rPr>
        <w:footnoteRef/>
      </w:r>
      <w:r w:rsidRPr="00C11123">
        <w:rPr>
          <w:sz w:val="16"/>
          <w:szCs w:val="16"/>
        </w:rPr>
        <w:t xml:space="preserve"> </w:t>
      </w:r>
      <w:hyperlink r:id="rId73" w:history="1">
        <w:r w:rsidR="005B4F92" w:rsidRPr="00D54EDC">
          <w:rPr>
            <w:rStyle w:val="Hyperlink"/>
            <w:sz w:val="16"/>
            <w:szCs w:val="16"/>
          </w:rPr>
          <w:t>Issue 7: Variation in Imaging Spending</w:t>
        </w:r>
      </w:hyperlink>
      <w:r w:rsidR="005B4F92" w:rsidRPr="00C11123">
        <w:rPr>
          <w:sz w:val="16"/>
          <w:szCs w:val="16"/>
        </w:rPr>
        <w:t xml:space="preserve"> | Massachusetts Health Policy Commission. Masshpc.gov. Published May 10, 2023. Accessed February 20, 2026. </w:t>
      </w:r>
      <w:hyperlink r:id="rId74" w:history="1">
        <w:r w:rsidR="00D25DB3" w:rsidRPr="00387ED4">
          <w:rPr>
            <w:rStyle w:val="Hyperlink"/>
            <w:sz w:val="16"/>
            <w:szCs w:val="16"/>
          </w:rPr>
          <w:t>https://masshpc.gov/publications/datapoints-series/issue-7-variation-imaging-spending</w:t>
        </w:r>
      </w:hyperlink>
      <w:r w:rsidR="004868E8" w:rsidRPr="00C11123">
        <w:rPr>
          <w:sz w:val="16"/>
          <w:szCs w:val="16"/>
        </w:rPr>
        <w:t>?</w:t>
      </w:r>
      <w:r w:rsidR="00D25DB3">
        <w:rPr>
          <w:sz w:val="16"/>
          <w:szCs w:val="16"/>
        </w:rPr>
        <w:t xml:space="preserve"> </w:t>
      </w:r>
      <w:r w:rsidR="004868E8" w:rsidRPr="00C11123">
        <w:rPr>
          <w:sz w:val="16"/>
          <w:szCs w:val="16"/>
        </w:rPr>
        <w:t xml:space="preserve"> </w:t>
      </w:r>
    </w:p>
  </w:footnote>
  <w:footnote w:id="66">
    <w:p w14:paraId="0F582B74" w14:textId="54CBB29D" w:rsidR="0039329C" w:rsidRPr="00C11123" w:rsidRDefault="00000000" w:rsidP="0039329C">
      <w:pPr>
        <w:pStyle w:val="FootnoteText"/>
        <w:rPr>
          <w:sz w:val="16"/>
          <w:szCs w:val="16"/>
        </w:rPr>
      </w:pPr>
      <w:r w:rsidRPr="00C11123">
        <w:rPr>
          <w:rStyle w:val="FootnoteReference"/>
          <w:sz w:val="16"/>
          <w:szCs w:val="16"/>
        </w:rPr>
        <w:footnoteRef/>
      </w:r>
      <w:r w:rsidRPr="00C11123">
        <w:rPr>
          <w:sz w:val="16"/>
          <w:szCs w:val="16"/>
        </w:rPr>
        <w:t xml:space="preserve"> See e.g</w:t>
      </w:r>
      <w:r w:rsidR="0017159B" w:rsidRPr="00C11123">
        <w:rPr>
          <w:sz w:val="16"/>
          <w:szCs w:val="16"/>
        </w:rPr>
        <w:t>.,</w:t>
      </w:r>
      <w:r w:rsidR="004933AF" w:rsidRPr="00C11123">
        <w:rPr>
          <w:sz w:val="16"/>
          <w:szCs w:val="16"/>
        </w:rPr>
        <w:t xml:space="preserve"> </w:t>
      </w:r>
      <w:r w:rsidR="0017159B" w:rsidRPr="00C11123">
        <w:rPr>
          <w:sz w:val="16"/>
          <w:szCs w:val="16"/>
        </w:rPr>
        <w:t xml:space="preserve">Murphy H. </w:t>
      </w:r>
      <w:hyperlink r:id="rId75" w:history="1">
        <w:r w:rsidR="004933AF" w:rsidRPr="00643FE7">
          <w:rPr>
            <w:rStyle w:val="Hyperlink"/>
            <w:sz w:val="16"/>
            <w:szCs w:val="16"/>
          </w:rPr>
          <w:t>PSMA-PET a more cost-effective option for patients long-term compared to standard prostate imaging.</w:t>
        </w:r>
      </w:hyperlink>
      <w:r w:rsidR="004933AF" w:rsidRPr="00C11123">
        <w:rPr>
          <w:sz w:val="16"/>
          <w:szCs w:val="16"/>
        </w:rPr>
        <w:t xml:space="preserve"> May 25, 2023. Accessed February 17, 2026. </w:t>
      </w:r>
      <w:hyperlink r:id="rId76" w:history="1">
        <w:r w:rsidR="00643FE7" w:rsidRPr="00387ED4">
          <w:rPr>
            <w:rStyle w:val="Hyperlink"/>
            <w:sz w:val="16"/>
            <w:szCs w:val="16"/>
          </w:rPr>
          <w:t>https://radiologybusiness.com/topics/medical-imaging/nuclear-medicine/pet-ct/psma-pet-compared-standard-prostate-imaging</w:t>
        </w:r>
      </w:hyperlink>
      <w:r w:rsidR="00643FE7">
        <w:rPr>
          <w:sz w:val="16"/>
          <w:szCs w:val="16"/>
        </w:rPr>
        <w:t xml:space="preserve"> </w:t>
      </w:r>
      <w:r w:rsidR="004933AF" w:rsidRPr="00C11123">
        <w:rPr>
          <w:sz w:val="16"/>
          <w:szCs w:val="16"/>
        </w:rPr>
        <w:t xml:space="preserve"> </w:t>
      </w:r>
      <w:r w:rsidRPr="00C11123">
        <w:rPr>
          <w:sz w:val="16"/>
          <w:szCs w:val="16"/>
        </w:rPr>
        <w:t xml:space="preserve">(PSMA PET’s “superior sensitivity for detecting small lesions in earlier stages of development make it a more cost-effective option in the long-term because of its impact on disease management . . . </w:t>
      </w:r>
      <w:r w:rsidR="002125AD" w:rsidRPr="00C11123">
        <w:rPr>
          <w:sz w:val="16"/>
          <w:szCs w:val="16"/>
        </w:rPr>
        <w:t xml:space="preserve">[Since] </w:t>
      </w:r>
      <w:r w:rsidRPr="00C11123">
        <w:rPr>
          <w:sz w:val="16"/>
          <w:szCs w:val="16"/>
        </w:rPr>
        <w:t>PET/CT is more likely to detect smaller cancers sooner,</w:t>
      </w:r>
      <w:r w:rsidR="003945CF" w:rsidRPr="00C11123">
        <w:rPr>
          <w:sz w:val="16"/>
          <w:szCs w:val="16"/>
        </w:rPr>
        <w:t xml:space="preserve"> </w:t>
      </w:r>
      <w:r w:rsidRPr="00C11123">
        <w:rPr>
          <w:sz w:val="16"/>
          <w:szCs w:val="16"/>
        </w:rPr>
        <w:t>it eliminates the need for additional imaging and better informs therapy . . . In the long-term, this equates to lower overall costs than patients would incur if they required multiple scans and rounds of treatment”).</w:t>
      </w:r>
    </w:p>
  </w:footnote>
  <w:footnote w:id="67">
    <w:p w14:paraId="4487C912" w14:textId="745C5B5F" w:rsidR="0039329C" w:rsidRPr="00C11123" w:rsidRDefault="00000000" w:rsidP="0039329C">
      <w:pPr>
        <w:pStyle w:val="FootnoteText"/>
        <w:rPr>
          <w:sz w:val="16"/>
          <w:szCs w:val="16"/>
        </w:rPr>
      </w:pPr>
      <w:r w:rsidRPr="00C11123">
        <w:rPr>
          <w:rStyle w:val="FootnoteReference"/>
          <w:sz w:val="16"/>
          <w:szCs w:val="16"/>
        </w:rPr>
        <w:footnoteRef/>
      </w:r>
      <w:r w:rsidRPr="00C11123">
        <w:rPr>
          <w:sz w:val="16"/>
          <w:szCs w:val="16"/>
        </w:rPr>
        <w:t xml:space="preserve"> </w:t>
      </w:r>
      <w:r w:rsidR="00F74552" w:rsidRPr="00C11123">
        <w:rPr>
          <w:sz w:val="16"/>
          <w:szCs w:val="16"/>
        </w:rPr>
        <w:t xml:space="preserve">Islam R, Desai S, Moran M, </w:t>
      </w:r>
      <w:proofErr w:type="spellStart"/>
      <w:r w:rsidR="00F74552" w:rsidRPr="00C11123">
        <w:rPr>
          <w:sz w:val="16"/>
          <w:szCs w:val="16"/>
        </w:rPr>
        <w:t>Golombos</w:t>
      </w:r>
      <w:proofErr w:type="spellEnd"/>
      <w:r w:rsidR="00F74552" w:rsidRPr="00C11123">
        <w:rPr>
          <w:sz w:val="16"/>
          <w:szCs w:val="16"/>
        </w:rPr>
        <w:t xml:space="preserve"> DM. </w:t>
      </w:r>
      <w:hyperlink r:id="rId77" w:history="1">
        <w:r w:rsidR="00F74552" w:rsidRPr="00754854">
          <w:rPr>
            <w:rStyle w:val="Hyperlink"/>
            <w:sz w:val="16"/>
            <w:szCs w:val="16"/>
          </w:rPr>
          <w:t>The Role of PSMA PET Imaging in Prostate Cancer: Current Applications and Future Directions.</w:t>
        </w:r>
      </w:hyperlink>
      <w:r w:rsidR="00F74552" w:rsidRPr="00C11123">
        <w:rPr>
          <w:sz w:val="16"/>
          <w:szCs w:val="16"/>
        </w:rPr>
        <w:t xml:space="preserve"> </w:t>
      </w:r>
      <w:r w:rsidR="00F74552" w:rsidRPr="00C11123">
        <w:rPr>
          <w:i/>
          <w:iCs/>
          <w:sz w:val="16"/>
          <w:szCs w:val="16"/>
        </w:rPr>
        <w:t xml:space="preserve">Curr </w:t>
      </w:r>
      <w:proofErr w:type="spellStart"/>
      <w:r w:rsidR="00F74552" w:rsidRPr="00C11123">
        <w:rPr>
          <w:i/>
          <w:iCs/>
          <w:sz w:val="16"/>
          <w:szCs w:val="16"/>
        </w:rPr>
        <w:t>Urol</w:t>
      </w:r>
      <w:proofErr w:type="spellEnd"/>
      <w:r w:rsidR="00F74552" w:rsidRPr="00C11123">
        <w:rPr>
          <w:i/>
          <w:iCs/>
          <w:sz w:val="16"/>
          <w:szCs w:val="16"/>
        </w:rPr>
        <w:t xml:space="preserve"> Rep</w:t>
      </w:r>
      <w:r w:rsidR="00F74552" w:rsidRPr="00C11123">
        <w:rPr>
          <w:sz w:val="16"/>
          <w:szCs w:val="16"/>
        </w:rPr>
        <w:t>. 2025;26(1):46. doi:10.1007/s11934-025-01268-2.</w:t>
      </w:r>
      <w:r w:rsidR="002125AD" w:rsidRPr="00C11123">
        <w:rPr>
          <w:sz w:val="16"/>
          <w:szCs w:val="16"/>
        </w:rPr>
        <w:t xml:space="preserve"> Accessed February 22, 2026. </w:t>
      </w:r>
      <w:r w:rsidR="005B064A" w:rsidRPr="00C11123">
        <w:rPr>
          <w:rFonts w:cs="Arial"/>
          <w:sz w:val="16"/>
          <w:szCs w:val="16"/>
        </w:rPr>
        <w:t xml:space="preserve">Accessed February 22, 2026. </w:t>
      </w:r>
      <w:hyperlink r:id="rId78" w:history="1">
        <w:r w:rsidR="00754854" w:rsidRPr="00387ED4">
          <w:rPr>
            <w:rStyle w:val="Hyperlink"/>
            <w:rFonts w:cs="Arial"/>
            <w:sz w:val="16"/>
            <w:szCs w:val="16"/>
          </w:rPr>
          <w:t>https://pmc.ncbi.nlm.nih.gov/articles/PMC12126340/pdf/11934_2025_Article_1268.pdf</w:t>
        </w:r>
      </w:hyperlink>
      <w:r w:rsidR="00754854">
        <w:rPr>
          <w:rFonts w:cs="Arial"/>
          <w:sz w:val="16"/>
          <w:szCs w:val="16"/>
        </w:rPr>
        <w:t xml:space="preserve"> </w:t>
      </w:r>
    </w:p>
  </w:footnote>
  <w:footnote w:id="68">
    <w:p w14:paraId="28399FC4" w14:textId="5CE6B15B" w:rsidR="0039329C" w:rsidRPr="00C11123" w:rsidRDefault="00000000" w:rsidP="0039329C">
      <w:pPr>
        <w:pStyle w:val="FootnoteText"/>
        <w:rPr>
          <w:b/>
          <w:bCs/>
          <w:sz w:val="16"/>
          <w:szCs w:val="16"/>
        </w:rPr>
      </w:pPr>
      <w:r w:rsidRPr="00C11123">
        <w:rPr>
          <w:rStyle w:val="FootnoteReference"/>
          <w:sz w:val="16"/>
          <w:szCs w:val="16"/>
        </w:rPr>
        <w:footnoteRef/>
      </w:r>
      <w:r w:rsidRPr="00C11123">
        <w:rPr>
          <w:sz w:val="16"/>
          <w:szCs w:val="16"/>
        </w:rPr>
        <w:t xml:space="preserve"> </w:t>
      </w:r>
      <w:r w:rsidR="00AC7EBD" w:rsidRPr="00C11123">
        <w:rPr>
          <w:rFonts w:cs="Arial"/>
          <w:sz w:val="16"/>
          <w:szCs w:val="16"/>
        </w:rPr>
        <w:t>Subramanian</w:t>
      </w:r>
      <w:r w:rsidR="00D17B6C" w:rsidRPr="00C11123">
        <w:rPr>
          <w:rFonts w:cs="Arial"/>
          <w:sz w:val="16"/>
          <w:szCs w:val="16"/>
        </w:rPr>
        <w:t xml:space="preserve">, </w:t>
      </w:r>
      <w:r w:rsidR="00D17B6C" w:rsidRPr="00C11123">
        <w:rPr>
          <w:rFonts w:cs="Arial"/>
          <w:i/>
          <w:iCs/>
          <w:sz w:val="16"/>
          <w:szCs w:val="16"/>
        </w:rPr>
        <w:t>supra</w:t>
      </w:r>
      <w:r w:rsidR="00D17B6C" w:rsidRPr="00C11123">
        <w:rPr>
          <w:rFonts w:cs="Arial"/>
          <w:sz w:val="16"/>
          <w:szCs w:val="16"/>
        </w:rPr>
        <w:t xml:space="preserve"> note 15.</w:t>
      </w:r>
      <w:r w:rsidR="00AC7EBD" w:rsidRPr="00C11123">
        <w:rPr>
          <w:rFonts w:cs="Arial"/>
          <w:i/>
          <w:iCs/>
          <w:sz w:val="16"/>
          <w:szCs w:val="16"/>
        </w:rPr>
        <w:t xml:space="preserve"> </w:t>
      </w:r>
    </w:p>
  </w:footnote>
  <w:footnote w:id="69">
    <w:p w14:paraId="45B2EF14" w14:textId="5AE98CD9" w:rsidR="0039329C" w:rsidRPr="00C11123" w:rsidRDefault="00000000" w:rsidP="0039329C">
      <w:pPr>
        <w:pStyle w:val="FootnoteText"/>
        <w:rPr>
          <w:sz w:val="16"/>
          <w:szCs w:val="16"/>
        </w:rPr>
      </w:pPr>
      <w:r w:rsidRPr="00C11123">
        <w:rPr>
          <w:rStyle w:val="FootnoteReference"/>
          <w:sz w:val="16"/>
          <w:szCs w:val="16"/>
        </w:rPr>
        <w:footnoteRef/>
      </w:r>
      <w:r w:rsidRPr="00C11123">
        <w:rPr>
          <w:sz w:val="16"/>
          <w:szCs w:val="16"/>
        </w:rPr>
        <w:t xml:space="preserve"> See </w:t>
      </w:r>
      <w:r w:rsidR="00AC7EBD" w:rsidRPr="00C11123">
        <w:rPr>
          <w:sz w:val="16"/>
          <w:szCs w:val="16"/>
        </w:rPr>
        <w:t xml:space="preserve">Fornell D. </w:t>
      </w:r>
      <w:hyperlink r:id="rId79" w:history="1">
        <w:r w:rsidR="005B4F92" w:rsidRPr="00754854">
          <w:rPr>
            <w:rStyle w:val="Hyperlink"/>
            <w:i/>
            <w:iCs/>
            <w:sz w:val="16"/>
            <w:szCs w:val="16"/>
          </w:rPr>
          <w:t>PSMA-PET is rapidly changing the standard of care for prostate cancer patients.</w:t>
        </w:r>
      </w:hyperlink>
      <w:r w:rsidR="005B4F92" w:rsidRPr="00C11123">
        <w:rPr>
          <w:i/>
          <w:iCs/>
          <w:sz w:val="16"/>
          <w:szCs w:val="16"/>
        </w:rPr>
        <w:t xml:space="preserve"> Radiology Business. Published September 30, 2025. </w:t>
      </w:r>
      <w:hyperlink r:id="rId80" w:history="1">
        <w:r w:rsidR="00754854" w:rsidRPr="00387ED4">
          <w:rPr>
            <w:rStyle w:val="Hyperlink"/>
            <w:i/>
            <w:iCs/>
            <w:sz w:val="16"/>
            <w:szCs w:val="16"/>
          </w:rPr>
          <w:t>https://radiologybusiness.com/topics/medical-imaging/molecular-imaging/psma-pet-rapidly-changing-standard-care-prostate-cancer-patients</w:t>
        </w:r>
      </w:hyperlink>
      <w:r w:rsidR="00754854">
        <w:rPr>
          <w:i/>
          <w:iCs/>
          <w:sz w:val="16"/>
          <w:szCs w:val="16"/>
        </w:rPr>
        <w:t xml:space="preserve"> </w:t>
      </w:r>
      <w:r w:rsidR="005B4F92" w:rsidRPr="00C11123">
        <w:rPr>
          <w:i/>
          <w:iCs/>
          <w:sz w:val="16"/>
          <w:szCs w:val="16"/>
        </w:rPr>
        <w:t>.</w:t>
      </w:r>
      <w:r w:rsidR="005B4F92" w:rsidRPr="00C11123">
        <w:rPr>
          <w:sz w:val="16"/>
          <w:szCs w:val="16"/>
        </w:rPr>
        <w:t xml:space="preserve"> </w:t>
      </w:r>
      <w:r w:rsidRPr="00C11123">
        <w:rPr>
          <w:sz w:val="16"/>
          <w:szCs w:val="16"/>
        </w:rPr>
        <w:t>(“The ability of PSMA-PET to clearly see prostate cancer and its spread to other parts of the body may change the current workflow and reduce the need for extra exams,” such as bone scans</w:t>
      </w:r>
      <w:r w:rsidR="0098355F" w:rsidRPr="00C11123">
        <w:rPr>
          <w:sz w:val="16"/>
          <w:szCs w:val="16"/>
        </w:rPr>
        <w:t>.</w:t>
      </w:r>
      <w:r w:rsidRPr="00C11123">
        <w:rPr>
          <w:sz w:val="16"/>
          <w:szCs w:val="16"/>
        </w:rPr>
        <w:t xml:space="preserve">) </w:t>
      </w:r>
    </w:p>
  </w:footnote>
  <w:footnote w:id="70">
    <w:p w14:paraId="7C8ABA0A" w14:textId="17D016DF" w:rsidR="0039329C" w:rsidRPr="00C11123" w:rsidRDefault="00000000" w:rsidP="0039329C">
      <w:pPr>
        <w:pStyle w:val="FootnoteText"/>
        <w:rPr>
          <w:b/>
          <w:bCs/>
          <w:sz w:val="16"/>
          <w:szCs w:val="16"/>
        </w:rPr>
      </w:pPr>
      <w:r w:rsidRPr="00C11123">
        <w:rPr>
          <w:rStyle w:val="FootnoteReference"/>
          <w:sz w:val="16"/>
          <w:szCs w:val="16"/>
        </w:rPr>
        <w:footnoteRef/>
      </w:r>
      <w:r w:rsidRPr="00C11123">
        <w:rPr>
          <w:sz w:val="16"/>
          <w:szCs w:val="16"/>
        </w:rPr>
        <w:t xml:space="preserve"> </w:t>
      </w:r>
      <w:r w:rsidR="00F21D52" w:rsidRPr="00C11123">
        <w:rPr>
          <w:sz w:val="16"/>
          <w:szCs w:val="16"/>
        </w:rPr>
        <w:t xml:space="preserve">See e.g., </w:t>
      </w:r>
      <w:r w:rsidR="00D17B6C" w:rsidRPr="00C11123">
        <w:rPr>
          <w:i/>
          <w:iCs/>
          <w:sz w:val="16"/>
          <w:szCs w:val="16"/>
        </w:rPr>
        <w:t>id.</w:t>
      </w:r>
    </w:p>
  </w:footnote>
  <w:footnote w:id="71">
    <w:p w14:paraId="0E138CBD" w14:textId="70863785" w:rsidR="0039329C" w:rsidRPr="00C11123" w:rsidRDefault="00000000" w:rsidP="0039329C">
      <w:pPr>
        <w:pStyle w:val="FootnoteText"/>
        <w:rPr>
          <w:sz w:val="16"/>
          <w:szCs w:val="16"/>
          <w:highlight w:val="green"/>
        </w:rPr>
      </w:pPr>
      <w:r w:rsidRPr="00C11123">
        <w:rPr>
          <w:rStyle w:val="FootnoteReference"/>
          <w:sz w:val="16"/>
          <w:szCs w:val="16"/>
        </w:rPr>
        <w:footnoteRef/>
      </w:r>
      <w:r w:rsidRPr="00C11123">
        <w:rPr>
          <w:sz w:val="16"/>
          <w:szCs w:val="16"/>
        </w:rPr>
        <w:t xml:space="preserve"> </w:t>
      </w:r>
      <w:r w:rsidR="00F74552" w:rsidRPr="00C11123">
        <w:rPr>
          <w:sz w:val="16"/>
          <w:szCs w:val="16"/>
        </w:rPr>
        <w:t xml:space="preserve">Broderick JM. </w:t>
      </w:r>
      <w:hyperlink r:id="rId81" w:history="1">
        <w:r w:rsidR="00F74552" w:rsidRPr="00754854">
          <w:rPr>
            <w:rStyle w:val="Hyperlink"/>
            <w:sz w:val="16"/>
            <w:szCs w:val="16"/>
          </w:rPr>
          <w:t xml:space="preserve">NCCN Guidelines add PSMA-PET imaging modalities for prostate cancer </w:t>
        </w:r>
      </w:hyperlink>
      <w:r w:rsidR="00F74552" w:rsidRPr="00C11123">
        <w:rPr>
          <w:sz w:val="16"/>
          <w:szCs w:val="16"/>
        </w:rPr>
        <w:t xml:space="preserve">| Urology Times. February 17, 2026. Accessed February 17, 2026. </w:t>
      </w:r>
      <w:hyperlink r:id="rId82" w:history="1">
        <w:r w:rsidR="00754854" w:rsidRPr="00387ED4">
          <w:rPr>
            <w:rStyle w:val="Hyperlink"/>
            <w:sz w:val="16"/>
            <w:szCs w:val="16"/>
          </w:rPr>
          <w:t>https://www.urologytimes.com/view/psma-pet-imaging-modalities-added-to-nccn-guidelines-for-prostate-cancer</w:t>
        </w:r>
      </w:hyperlink>
      <w:r w:rsidR="00754854">
        <w:rPr>
          <w:sz w:val="16"/>
          <w:szCs w:val="16"/>
        </w:rPr>
        <w:t xml:space="preserve"> </w:t>
      </w:r>
      <w:r w:rsidR="00F74552" w:rsidRPr="00C11123">
        <w:rPr>
          <w:sz w:val="16"/>
          <w:szCs w:val="16"/>
        </w:rPr>
        <w:t>.</w:t>
      </w:r>
    </w:p>
  </w:footnote>
  <w:footnote w:id="72">
    <w:p w14:paraId="1F0AF5EB" w14:textId="63863D92" w:rsidR="0039329C" w:rsidRPr="00C11123" w:rsidRDefault="00000000" w:rsidP="0039329C">
      <w:pPr>
        <w:pStyle w:val="FootnoteText"/>
        <w:rPr>
          <w:sz w:val="16"/>
          <w:szCs w:val="16"/>
        </w:rPr>
      </w:pPr>
      <w:r w:rsidRPr="00C11123">
        <w:rPr>
          <w:rStyle w:val="FootnoteReference"/>
          <w:sz w:val="16"/>
          <w:szCs w:val="16"/>
        </w:rPr>
        <w:footnoteRef/>
      </w:r>
      <w:r w:rsidRPr="00C11123">
        <w:rPr>
          <w:sz w:val="16"/>
          <w:szCs w:val="16"/>
        </w:rPr>
        <w:t xml:space="preserve"> </w:t>
      </w:r>
      <w:r w:rsidR="00D17B6C" w:rsidRPr="00C11123">
        <w:rPr>
          <w:i/>
          <w:iCs/>
          <w:sz w:val="16"/>
          <w:szCs w:val="16"/>
        </w:rPr>
        <w:t>Id.</w:t>
      </w:r>
    </w:p>
  </w:footnote>
  <w:footnote w:id="73">
    <w:p w14:paraId="02890840" w14:textId="390C2723" w:rsidR="0039329C" w:rsidRPr="00C11123" w:rsidRDefault="00000000" w:rsidP="0039329C">
      <w:pPr>
        <w:pStyle w:val="FootnoteText"/>
        <w:rPr>
          <w:sz w:val="16"/>
          <w:szCs w:val="16"/>
        </w:rPr>
      </w:pPr>
      <w:r w:rsidRPr="00C11123">
        <w:rPr>
          <w:rStyle w:val="FootnoteReference"/>
          <w:sz w:val="16"/>
          <w:szCs w:val="16"/>
        </w:rPr>
        <w:footnoteRef/>
      </w:r>
      <w:r w:rsidR="001676B8" w:rsidRPr="00C11123">
        <w:rPr>
          <w:sz w:val="16"/>
          <w:szCs w:val="16"/>
        </w:rPr>
        <w:t xml:space="preserve"> </w:t>
      </w:r>
      <w:r w:rsidR="00D17B6C" w:rsidRPr="00C11123">
        <w:rPr>
          <w:i/>
          <w:iCs/>
          <w:sz w:val="16"/>
          <w:szCs w:val="16"/>
        </w:rPr>
        <w:t>Id</w:t>
      </w:r>
      <w:r w:rsidR="00D17B6C" w:rsidRPr="00C11123">
        <w:rPr>
          <w:sz w:val="16"/>
          <w:szCs w:val="16"/>
        </w:rPr>
        <w:t>.</w:t>
      </w:r>
      <w:r w:rsidR="00F74552" w:rsidRPr="00C11123">
        <w:rPr>
          <w:sz w:val="16"/>
          <w:szCs w:val="16"/>
        </w:rPr>
        <w:t xml:space="preserve">; </w:t>
      </w:r>
      <w:r w:rsidR="001676B8" w:rsidRPr="00C11123">
        <w:rPr>
          <w:sz w:val="16"/>
          <w:szCs w:val="16"/>
        </w:rPr>
        <w:t>s</w:t>
      </w:r>
      <w:r w:rsidRPr="00C11123">
        <w:rPr>
          <w:sz w:val="16"/>
          <w:szCs w:val="16"/>
        </w:rPr>
        <w:t xml:space="preserve">ee </w:t>
      </w:r>
      <w:r w:rsidR="001676B8" w:rsidRPr="00C11123">
        <w:rPr>
          <w:sz w:val="16"/>
          <w:szCs w:val="16"/>
        </w:rPr>
        <w:t xml:space="preserve">also </w:t>
      </w:r>
      <w:r w:rsidR="00557FC9" w:rsidRPr="00C11123">
        <w:rPr>
          <w:sz w:val="16"/>
          <w:szCs w:val="16"/>
        </w:rPr>
        <w:t>Fornell</w:t>
      </w:r>
      <w:r w:rsidR="00D17B6C" w:rsidRPr="00C11123">
        <w:rPr>
          <w:sz w:val="16"/>
          <w:szCs w:val="16"/>
        </w:rPr>
        <w:t xml:space="preserve">, </w:t>
      </w:r>
      <w:r w:rsidR="00D17B6C" w:rsidRPr="00C11123">
        <w:rPr>
          <w:i/>
          <w:iCs/>
          <w:sz w:val="16"/>
          <w:szCs w:val="16"/>
        </w:rPr>
        <w:t>supra</w:t>
      </w:r>
      <w:r w:rsidR="00D17B6C" w:rsidRPr="00C11123">
        <w:rPr>
          <w:sz w:val="16"/>
          <w:szCs w:val="16"/>
        </w:rPr>
        <w:t xml:space="preserve"> note 73.</w:t>
      </w:r>
    </w:p>
  </w:footnote>
  <w:footnote w:id="74">
    <w:p w14:paraId="5F9AB3D1" w14:textId="675ADA9D" w:rsidR="0039329C" w:rsidRPr="00C11123" w:rsidRDefault="00000000" w:rsidP="0039329C">
      <w:pPr>
        <w:pStyle w:val="FootnoteText"/>
        <w:rPr>
          <w:sz w:val="16"/>
          <w:szCs w:val="16"/>
        </w:rPr>
      </w:pPr>
      <w:r w:rsidRPr="00C11123">
        <w:rPr>
          <w:rStyle w:val="FootnoteReference"/>
          <w:sz w:val="16"/>
          <w:szCs w:val="16"/>
        </w:rPr>
        <w:footnoteRef/>
      </w:r>
      <w:r w:rsidRPr="00C11123">
        <w:rPr>
          <w:sz w:val="16"/>
          <w:szCs w:val="16"/>
        </w:rPr>
        <w:t xml:space="preserve"> </w:t>
      </w:r>
      <w:hyperlink r:id="rId83" w:history="1">
        <w:r w:rsidR="00C741AF" w:rsidRPr="00754854">
          <w:rPr>
            <w:rStyle w:val="Hyperlink"/>
            <w:sz w:val="16"/>
            <w:szCs w:val="16"/>
          </w:rPr>
          <w:t>Massachusetts Determination of Need Program</w:t>
        </w:r>
      </w:hyperlink>
      <w:r w:rsidR="00C741AF" w:rsidRPr="00C11123">
        <w:rPr>
          <w:sz w:val="16"/>
          <w:szCs w:val="16"/>
        </w:rPr>
        <w:t xml:space="preserve">. Accessed February 22, 2026. </w:t>
      </w:r>
      <w:hyperlink r:id="rId84" w:history="1">
        <w:r w:rsidR="00754854" w:rsidRPr="00387ED4">
          <w:rPr>
            <w:rStyle w:val="Hyperlink"/>
            <w:sz w:val="16"/>
            <w:szCs w:val="16"/>
          </w:rPr>
          <w:t>https://www.mass.gov/determination-of-need-don</w:t>
        </w:r>
      </w:hyperlink>
      <w:r w:rsidR="00754854">
        <w:rPr>
          <w:sz w:val="16"/>
          <w:szCs w:val="16"/>
        </w:rPr>
        <w:t xml:space="preserve"> </w:t>
      </w:r>
      <w:r w:rsidR="00C741AF" w:rsidRPr="00C11123">
        <w:rPr>
          <w:sz w:val="16"/>
          <w:szCs w:val="16"/>
        </w:rPr>
        <w:t xml:space="preserve">; see also </w:t>
      </w:r>
      <w:hyperlink r:id="rId85" w:history="1">
        <w:r w:rsidR="005B4F92" w:rsidRPr="00754854">
          <w:rPr>
            <w:rStyle w:val="Hyperlink"/>
            <w:sz w:val="16"/>
            <w:szCs w:val="16"/>
          </w:rPr>
          <w:t>Issue 7: Variation in Imaging Spending | Massachusetts Health Policy Commission</w:t>
        </w:r>
      </w:hyperlink>
      <w:r w:rsidR="005B4F92" w:rsidRPr="00C11123">
        <w:rPr>
          <w:sz w:val="16"/>
          <w:szCs w:val="16"/>
        </w:rPr>
        <w:t xml:space="preserve">. Masshpc.gov. Published May 10, 2023. Accessed February 20, 2026. </w:t>
      </w:r>
      <w:hyperlink r:id="rId86" w:history="1">
        <w:r w:rsidR="00754854" w:rsidRPr="00387ED4">
          <w:rPr>
            <w:rStyle w:val="Hyperlink"/>
            <w:sz w:val="16"/>
            <w:szCs w:val="16"/>
          </w:rPr>
          <w:t>https://masshpc.gov/publications/datapoints-series/issue-7-variation-imaging-spending</w:t>
        </w:r>
      </w:hyperlink>
      <w:r w:rsidR="005B4F92" w:rsidRPr="00C11123">
        <w:rPr>
          <w:sz w:val="16"/>
          <w:szCs w:val="16"/>
        </w:rPr>
        <w:t>?</w:t>
      </w:r>
      <w:r w:rsidR="00754854">
        <w:rPr>
          <w:sz w:val="16"/>
          <w:szCs w:val="16"/>
        </w:rPr>
        <w:t xml:space="preserve"> </w:t>
      </w:r>
    </w:p>
  </w:footnote>
  <w:footnote w:id="75">
    <w:p w14:paraId="7161CF93" w14:textId="52897C33" w:rsidR="000B076F" w:rsidRPr="00C11123" w:rsidRDefault="00000000" w:rsidP="000B076F">
      <w:pPr>
        <w:pStyle w:val="FootnoteText"/>
        <w:rPr>
          <w:rFonts w:cs="Arial"/>
          <w:sz w:val="16"/>
          <w:szCs w:val="16"/>
          <w:highlight w:val="green"/>
        </w:rPr>
      </w:pPr>
      <w:r w:rsidRPr="00C11123">
        <w:rPr>
          <w:rStyle w:val="FootnoteReference"/>
          <w:sz w:val="16"/>
          <w:szCs w:val="16"/>
        </w:rPr>
        <w:footnoteRef/>
      </w:r>
      <w:r w:rsidRPr="00C11123">
        <w:rPr>
          <w:sz w:val="16"/>
          <w:szCs w:val="16"/>
        </w:rPr>
        <w:t xml:space="preserve"> </w:t>
      </w:r>
      <w:r w:rsidR="007E45D3" w:rsidRPr="00C11123">
        <w:rPr>
          <w:sz w:val="16"/>
          <w:szCs w:val="16"/>
        </w:rPr>
        <w:t xml:space="preserve">See e.g., </w:t>
      </w:r>
      <w:r w:rsidR="00F74552" w:rsidRPr="00C11123">
        <w:rPr>
          <w:rFonts w:cs="Arial"/>
          <w:sz w:val="16"/>
          <w:szCs w:val="16"/>
        </w:rPr>
        <w:t xml:space="preserve">Islam </w:t>
      </w:r>
      <w:r w:rsidR="00D17B6C" w:rsidRPr="00C11123">
        <w:rPr>
          <w:rFonts w:cs="Arial"/>
          <w:sz w:val="16"/>
          <w:szCs w:val="16"/>
        </w:rPr>
        <w:t xml:space="preserve">, </w:t>
      </w:r>
      <w:r w:rsidR="00D17B6C" w:rsidRPr="00C11123">
        <w:rPr>
          <w:rFonts w:cs="Arial"/>
          <w:i/>
          <w:iCs/>
          <w:sz w:val="16"/>
          <w:szCs w:val="16"/>
        </w:rPr>
        <w:t>supra</w:t>
      </w:r>
      <w:r w:rsidR="00D17B6C" w:rsidRPr="00C11123">
        <w:rPr>
          <w:rFonts w:cs="Arial"/>
          <w:sz w:val="16"/>
          <w:szCs w:val="16"/>
        </w:rPr>
        <w:t>, note 71</w:t>
      </w:r>
      <w:r w:rsidR="0030174C" w:rsidRPr="00C11123">
        <w:rPr>
          <w:rFonts w:cs="Arial"/>
          <w:sz w:val="16"/>
          <w:szCs w:val="16"/>
        </w:rPr>
        <w:t>;</w:t>
      </w:r>
      <w:r w:rsidR="00F74552" w:rsidRPr="00C11123">
        <w:rPr>
          <w:rFonts w:cs="Arial"/>
          <w:i/>
          <w:iCs/>
          <w:sz w:val="16"/>
          <w:szCs w:val="16"/>
        </w:rPr>
        <w:t xml:space="preserve"> </w:t>
      </w:r>
      <w:hyperlink r:id="rId87" w:history="1">
        <w:r w:rsidR="000464C1" w:rsidRPr="00754854">
          <w:rPr>
            <w:rStyle w:val="Hyperlink"/>
            <w:rFonts w:cs="Arial"/>
            <w:sz w:val="16"/>
            <w:szCs w:val="16"/>
          </w:rPr>
          <w:t xml:space="preserve">Key Statistics for Prostate Cancer </w:t>
        </w:r>
      </w:hyperlink>
      <w:r w:rsidR="000464C1" w:rsidRPr="00C11123">
        <w:rPr>
          <w:rFonts w:cs="Arial"/>
          <w:sz w:val="16"/>
          <w:szCs w:val="16"/>
        </w:rPr>
        <w:t xml:space="preserve">| Prostate Cancer Facts. </w:t>
      </w:r>
      <w:r w:rsidR="00C03DAF" w:rsidRPr="00C11123">
        <w:rPr>
          <w:rFonts w:cs="Arial"/>
          <w:sz w:val="16"/>
          <w:szCs w:val="16"/>
        </w:rPr>
        <w:t xml:space="preserve">American Cancer Society. </w:t>
      </w:r>
      <w:r w:rsidR="000464C1" w:rsidRPr="00C11123">
        <w:rPr>
          <w:rFonts w:cs="Arial"/>
          <w:sz w:val="16"/>
          <w:szCs w:val="16"/>
        </w:rPr>
        <w:t xml:space="preserve">Accessed February 16, 2026. </w:t>
      </w:r>
      <w:hyperlink r:id="rId88" w:history="1">
        <w:r w:rsidR="00754854" w:rsidRPr="00387ED4">
          <w:rPr>
            <w:rStyle w:val="Hyperlink"/>
            <w:rFonts w:cs="Arial"/>
            <w:sz w:val="16"/>
            <w:szCs w:val="16"/>
          </w:rPr>
          <w:t>https://www.cancer.org/cancer/types/prostate-cancer/about/key-statistics.html</w:t>
        </w:r>
      </w:hyperlink>
      <w:r w:rsidR="00754854">
        <w:rPr>
          <w:rFonts w:cs="Arial"/>
          <w:sz w:val="16"/>
          <w:szCs w:val="16"/>
        </w:rPr>
        <w:t xml:space="preserve"> </w:t>
      </w:r>
      <w:r w:rsidR="000464C1" w:rsidRPr="00C11123">
        <w:rPr>
          <w:rFonts w:cs="Arial"/>
          <w:sz w:val="16"/>
          <w:szCs w:val="16"/>
        </w:rPr>
        <w:t>.</w:t>
      </w:r>
    </w:p>
  </w:footnote>
  <w:footnote w:id="76">
    <w:p w14:paraId="76CE7F74" w14:textId="4AFF33BE" w:rsidR="006F2078" w:rsidRPr="00C11123" w:rsidRDefault="00000000" w:rsidP="000B076F">
      <w:pPr>
        <w:spacing w:after="0" w:line="240" w:lineRule="auto"/>
        <w:rPr>
          <w:rFonts w:cs="Arial"/>
          <w:sz w:val="16"/>
          <w:szCs w:val="16"/>
        </w:rPr>
      </w:pPr>
      <w:r w:rsidRPr="00C11123">
        <w:rPr>
          <w:rStyle w:val="FootnoteReference"/>
          <w:sz w:val="16"/>
          <w:szCs w:val="16"/>
        </w:rPr>
        <w:footnoteRef/>
      </w:r>
      <w:r w:rsidRPr="00C11123">
        <w:rPr>
          <w:sz w:val="16"/>
          <w:szCs w:val="16"/>
        </w:rPr>
        <w:t xml:space="preserve"> </w:t>
      </w:r>
      <w:hyperlink r:id="rId89" w:history="1">
        <w:r w:rsidR="000464C1" w:rsidRPr="00754854">
          <w:rPr>
            <w:rStyle w:val="Hyperlink"/>
            <w:rFonts w:cs="Arial"/>
            <w:sz w:val="16"/>
            <w:szCs w:val="16"/>
          </w:rPr>
          <w:t xml:space="preserve">Key Statistics for Prostate Cancer </w:t>
        </w:r>
      </w:hyperlink>
      <w:r w:rsidR="000464C1" w:rsidRPr="00C11123">
        <w:rPr>
          <w:rFonts w:cs="Arial"/>
          <w:sz w:val="16"/>
          <w:szCs w:val="16"/>
        </w:rPr>
        <w:t xml:space="preserve">| Prostate Cancer Facts. </w:t>
      </w:r>
      <w:r w:rsidR="00105F14" w:rsidRPr="00C11123">
        <w:rPr>
          <w:rFonts w:cs="Arial"/>
          <w:sz w:val="16"/>
          <w:szCs w:val="16"/>
        </w:rPr>
        <w:t xml:space="preserve">American Cancer Society. </w:t>
      </w:r>
      <w:r w:rsidR="000464C1" w:rsidRPr="00C11123">
        <w:rPr>
          <w:rFonts w:cs="Arial"/>
          <w:sz w:val="16"/>
          <w:szCs w:val="16"/>
        </w:rPr>
        <w:t xml:space="preserve">Accessed February 16, 2026. </w:t>
      </w:r>
      <w:hyperlink r:id="rId90" w:history="1">
        <w:r w:rsidR="00754854" w:rsidRPr="00387ED4">
          <w:rPr>
            <w:rStyle w:val="Hyperlink"/>
            <w:rFonts w:cs="Arial"/>
            <w:sz w:val="16"/>
            <w:szCs w:val="16"/>
          </w:rPr>
          <w:t>https://www.cancer.org/cancer/types/prostate-cancer/about/key-statistics.html</w:t>
        </w:r>
      </w:hyperlink>
      <w:r w:rsidR="00754854">
        <w:rPr>
          <w:rFonts w:cs="Arial"/>
          <w:sz w:val="16"/>
          <w:szCs w:val="16"/>
        </w:rPr>
        <w:t xml:space="preserve"> </w:t>
      </w:r>
      <w:r w:rsidRPr="00C11123">
        <w:rPr>
          <w:rFonts w:cs="Arial"/>
          <w:sz w:val="16"/>
          <w:szCs w:val="16"/>
        </w:rPr>
        <w:t xml:space="preserve">; </w:t>
      </w:r>
      <w:r w:rsidR="000464C1" w:rsidRPr="00C11123">
        <w:rPr>
          <w:rFonts w:cs="Arial"/>
          <w:sz w:val="16"/>
          <w:szCs w:val="16"/>
        </w:rPr>
        <w:t>Subramanian</w:t>
      </w:r>
      <w:r w:rsidR="00D17B6C" w:rsidRPr="00C11123">
        <w:rPr>
          <w:rFonts w:cs="Arial"/>
          <w:sz w:val="16"/>
          <w:szCs w:val="16"/>
        </w:rPr>
        <w:t>,</w:t>
      </w:r>
      <w:r w:rsidR="00D17B6C" w:rsidRPr="00C11123">
        <w:rPr>
          <w:rFonts w:cs="Arial"/>
          <w:i/>
          <w:iCs/>
          <w:sz w:val="16"/>
          <w:szCs w:val="16"/>
        </w:rPr>
        <w:t xml:space="preserve"> supra </w:t>
      </w:r>
      <w:r w:rsidR="00D17B6C" w:rsidRPr="00C11123">
        <w:rPr>
          <w:rFonts w:cs="Arial"/>
          <w:sz w:val="16"/>
          <w:szCs w:val="16"/>
        </w:rPr>
        <w:t>note 15.</w:t>
      </w:r>
      <w:r w:rsidR="00ED6A3F" w:rsidRPr="00C11123">
        <w:rPr>
          <w:rFonts w:cs="Arial"/>
          <w:i/>
          <w:iCs/>
          <w:sz w:val="16"/>
          <w:szCs w:val="16"/>
        </w:rPr>
        <w:t xml:space="preserve"> </w:t>
      </w:r>
    </w:p>
  </w:footnote>
  <w:footnote w:id="77">
    <w:p w14:paraId="29762B77" w14:textId="3F91296F" w:rsidR="000B076F" w:rsidRPr="00C11123" w:rsidRDefault="00000000" w:rsidP="000B076F">
      <w:pPr>
        <w:spacing w:after="0" w:line="240" w:lineRule="auto"/>
        <w:rPr>
          <w:rFonts w:cs="Arial"/>
          <w:sz w:val="16"/>
          <w:szCs w:val="16"/>
        </w:rPr>
      </w:pPr>
      <w:r w:rsidRPr="00C11123">
        <w:rPr>
          <w:rStyle w:val="FootnoteReference"/>
          <w:rFonts w:cs="Arial"/>
          <w:sz w:val="16"/>
          <w:szCs w:val="16"/>
        </w:rPr>
        <w:footnoteRef/>
      </w:r>
      <w:r w:rsidR="004933AF" w:rsidRPr="00C11123">
        <w:rPr>
          <w:rFonts w:cs="Arial"/>
          <w:sz w:val="16"/>
          <w:szCs w:val="16"/>
        </w:rPr>
        <w:t>Isla</w:t>
      </w:r>
      <w:r w:rsidR="00D17B6C" w:rsidRPr="00C11123">
        <w:rPr>
          <w:rFonts w:cs="Arial"/>
          <w:sz w:val="16"/>
          <w:szCs w:val="16"/>
        </w:rPr>
        <w:t>m,</w:t>
      </w:r>
      <w:r w:rsidR="00D17B6C" w:rsidRPr="00C11123">
        <w:rPr>
          <w:rFonts w:cs="Arial"/>
          <w:i/>
          <w:iCs/>
          <w:sz w:val="16"/>
          <w:szCs w:val="16"/>
        </w:rPr>
        <w:t xml:space="preserve"> supra</w:t>
      </w:r>
      <w:r w:rsidR="00D17B6C" w:rsidRPr="00C11123">
        <w:rPr>
          <w:rFonts w:cs="Arial"/>
          <w:sz w:val="16"/>
          <w:szCs w:val="16"/>
        </w:rPr>
        <w:t xml:space="preserve"> note 71</w:t>
      </w:r>
      <w:r w:rsidR="00DF0ED5" w:rsidRPr="00C11123">
        <w:rPr>
          <w:rFonts w:cs="Arial"/>
          <w:sz w:val="16"/>
          <w:szCs w:val="16"/>
        </w:rPr>
        <w:t>; s</w:t>
      </w:r>
      <w:r w:rsidRPr="00C11123">
        <w:rPr>
          <w:rFonts w:cs="Arial"/>
          <w:sz w:val="16"/>
          <w:szCs w:val="16"/>
        </w:rPr>
        <w:t xml:space="preserve">ee also </w:t>
      </w:r>
      <w:r w:rsidR="00DF0ED5" w:rsidRPr="00C11123">
        <w:rPr>
          <w:rFonts w:cs="Arial"/>
          <w:sz w:val="16"/>
          <w:szCs w:val="16"/>
        </w:rPr>
        <w:t xml:space="preserve">Lowrance W, </w:t>
      </w:r>
      <w:proofErr w:type="spellStart"/>
      <w:r w:rsidR="00DF0ED5" w:rsidRPr="00C11123">
        <w:rPr>
          <w:rFonts w:cs="Arial"/>
          <w:sz w:val="16"/>
          <w:szCs w:val="16"/>
        </w:rPr>
        <w:t>Dreicer</w:t>
      </w:r>
      <w:proofErr w:type="spellEnd"/>
      <w:r w:rsidR="00DF0ED5" w:rsidRPr="00C11123">
        <w:rPr>
          <w:rFonts w:cs="Arial"/>
          <w:sz w:val="16"/>
          <w:szCs w:val="16"/>
        </w:rPr>
        <w:t xml:space="preserve"> R, Jarrard DF, Scarpato KR, Kim SK, Kirkby E, Buckley DI, Griffin JC, Cookson MS. </w:t>
      </w:r>
      <w:hyperlink r:id="rId91" w:history="1">
        <w:r w:rsidR="00DF0ED5" w:rsidRPr="00754854">
          <w:rPr>
            <w:rStyle w:val="Hyperlink"/>
            <w:rFonts w:cs="Arial"/>
            <w:sz w:val="16"/>
            <w:szCs w:val="16"/>
          </w:rPr>
          <w:t>Updates to Advanced Prostate Cancer: AUA/SUO Guideline</w:t>
        </w:r>
      </w:hyperlink>
      <w:r w:rsidR="00DF0ED5" w:rsidRPr="00C11123">
        <w:rPr>
          <w:rFonts w:cs="Arial"/>
          <w:sz w:val="16"/>
          <w:szCs w:val="16"/>
        </w:rPr>
        <w:t xml:space="preserve"> (2023). J Urol. 2023 Jun;209(6):1082-1090. </w:t>
      </w:r>
      <w:proofErr w:type="spellStart"/>
      <w:r w:rsidR="00DF0ED5" w:rsidRPr="00C11123">
        <w:rPr>
          <w:rFonts w:cs="Arial"/>
          <w:sz w:val="16"/>
          <w:szCs w:val="16"/>
        </w:rPr>
        <w:t>doi</w:t>
      </w:r>
      <w:proofErr w:type="spellEnd"/>
      <w:r w:rsidR="00DF0ED5" w:rsidRPr="00C11123">
        <w:rPr>
          <w:rFonts w:cs="Arial"/>
          <w:sz w:val="16"/>
          <w:szCs w:val="16"/>
        </w:rPr>
        <w:t xml:space="preserve">: 10.1097/JU.0000000000003452. </w:t>
      </w:r>
      <w:proofErr w:type="spellStart"/>
      <w:r w:rsidR="00DF0ED5" w:rsidRPr="00C11123">
        <w:rPr>
          <w:rFonts w:cs="Arial"/>
          <w:sz w:val="16"/>
          <w:szCs w:val="16"/>
        </w:rPr>
        <w:t>Epub</w:t>
      </w:r>
      <w:proofErr w:type="spellEnd"/>
      <w:r w:rsidR="00DF0ED5" w:rsidRPr="00C11123">
        <w:rPr>
          <w:rFonts w:cs="Arial"/>
          <w:sz w:val="16"/>
          <w:szCs w:val="16"/>
        </w:rPr>
        <w:t xml:space="preserve"> 2023 Apr 25. PMID: 37096583.</w:t>
      </w:r>
      <w:r w:rsidR="00DF0ED5" w:rsidRPr="00C11123">
        <w:rPr>
          <w:rFonts w:cs="Arial"/>
          <w:i/>
          <w:iCs/>
          <w:sz w:val="16"/>
          <w:szCs w:val="16"/>
        </w:rPr>
        <w:t xml:space="preserve"> </w:t>
      </w:r>
      <w:r w:rsidR="00360A80" w:rsidRPr="00C11123">
        <w:rPr>
          <w:rFonts w:cs="Arial"/>
          <w:sz w:val="16"/>
          <w:szCs w:val="16"/>
        </w:rPr>
        <w:t xml:space="preserve"> Accessed February 22, 2026. </w:t>
      </w:r>
      <w:hyperlink r:id="rId92" w:history="1">
        <w:r w:rsidR="00754854" w:rsidRPr="00387ED4">
          <w:rPr>
            <w:rStyle w:val="Hyperlink"/>
            <w:rFonts w:cs="Arial"/>
            <w:sz w:val="16"/>
            <w:szCs w:val="16"/>
          </w:rPr>
          <w:t>https://www.auajournals.org/doi/10.1097/JU.0000000000003452</w:t>
        </w:r>
      </w:hyperlink>
      <w:r w:rsidR="00754854">
        <w:rPr>
          <w:rFonts w:cs="Arial"/>
          <w:sz w:val="16"/>
          <w:szCs w:val="16"/>
        </w:rPr>
        <w:t xml:space="preserve"> </w:t>
      </w:r>
      <w:r w:rsidR="001C4F41" w:rsidRPr="00C11123">
        <w:rPr>
          <w:rFonts w:cs="Arial"/>
          <w:sz w:val="16"/>
          <w:szCs w:val="16"/>
        </w:rPr>
        <w:t xml:space="preserve"> </w:t>
      </w:r>
      <w:r w:rsidR="00360A80" w:rsidRPr="00C11123">
        <w:rPr>
          <w:rFonts w:cs="Arial"/>
          <w:sz w:val="16"/>
          <w:szCs w:val="16"/>
        </w:rPr>
        <w:t xml:space="preserve"> </w:t>
      </w:r>
    </w:p>
  </w:footnote>
  <w:footnote w:id="78">
    <w:p w14:paraId="7A44BF49" w14:textId="6F4970FC" w:rsidR="006E6936" w:rsidRPr="00C11123" w:rsidRDefault="00000000" w:rsidP="006E6936">
      <w:pPr>
        <w:pStyle w:val="FootnoteText"/>
        <w:rPr>
          <w:rFonts w:cs="Arial"/>
          <w:sz w:val="16"/>
          <w:szCs w:val="16"/>
          <w:highlight w:val="green"/>
        </w:rPr>
      </w:pPr>
      <w:r w:rsidRPr="00C11123">
        <w:rPr>
          <w:rStyle w:val="FootnoteReference"/>
          <w:rFonts w:cs="Arial"/>
          <w:sz w:val="16"/>
          <w:szCs w:val="16"/>
        </w:rPr>
        <w:footnoteRef/>
      </w:r>
      <w:r w:rsidRPr="00C11123">
        <w:rPr>
          <w:rFonts w:cs="Arial"/>
          <w:sz w:val="16"/>
          <w:szCs w:val="16"/>
        </w:rPr>
        <w:t xml:space="preserve"> </w:t>
      </w:r>
      <w:hyperlink r:id="rId93" w:history="1">
        <w:r w:rsidR="006E6936" w:rsidRPr="0057086A">
          <w:rPr>
            <w:rStyle w:val="Hyperlink"/>
            <w:rFonts w:cs="Arial"/>
            <w:sz w:val="16"/>
            <w:szCs w:val="16"/>
          </w:rPr>
          <w:t>Key Statistics for Prostate Cancer | Prostate Cancer Facts</w:t>
        </w:r>
      </w:hyperlink>
      <w:r w:rsidRPr="00C11123">
        <w:rPr>
          <w:rFonts w:cs="Arial"/>
          <w:sz w:val="16"/>
          <w:szCs w:val="16"/>
        </w:rPr>
        <w:t xml:space="preserve">. American Cancer Society. Accessed February 16, 2026. </w:t>
      </w:r>
      <w:hyperlink r:id="rId94" w:history="1">
        <w:r w:rsidR="0057086A" w:rsidRPr="00387ED4">
          <w:rPr>
            <w:rStyle w:val="Hyperlink"/>
            <w:rFonts w:cs="Arial"/>
            <w:sz w:val="16"/>
            <w:szCs w:val="16"/>
          </w:rPr>
          <w:t>https://www.cancer.org/cancer/types/prostate-cancer/about/key-statistics.html</w:t>
        </w:r>
      </w:hyperlink>
      <w:r w:rsidR="0057086A">
        <w:rPr>
          <w:rFonts w:cs="Arial"/>
          <w:sz w:val="16"/>
          <w:szCs w:val="16"/>
        </w:rPr>
        <w:t xml:space="preserve"> </w:t>
      </w:r>
      <w:r w:rsidRPr="00C11123">
        <w:rPr>
          <w:rFonts w:cs="Arial"/>
          <w:sz w:val="16"/>
          <w:szCs w:val="16"/>
        </w:rPr>
        <w:t xml:space="preserve">; see also, </w:t>
      </w:r>
    </w:p>
    <w:p w14:paraId="356E3951" w14:textId="2E10F252" w:rsidR="000B076F" w:rsidRPr="00C11123" w:rsidRDefault="0057086A" w:rsidP="000B076F">
      <w:pPr>
        <w:pStyle w:val="FootnoteText"/>
        <w:rPr>
          <w:rFonts w:cs="Arial"/>
          <w:sz w:val="16"/>
          <w:szCs w:val="16"/>
        </w:rPr>
      </w:pPr>
      <w:hyperlink r:id="rId95" w:history="1">
        <w:r w:rsidRPr="0057086A">
          <w:rPr>
            <w:rStyle w:val="Hyperlink"/>
            <w:rFonts w:cs="Arial"/>
            <w:sz w:val="16"/>
            <w:szCs w:val="16"/>
          </w:rPr>
          <w:t xml:space="preserve">Cancer Facts for Men. </w:t>
        </w:r>
        <w:r w:rsidR="006E6936" w:rsidRPr="0057086A">
          <w:rPr>
            <w:rStyle w:val="Hyperlink"/>
            <w:rFonts w:cs="Arial"/>
            <w:sz w:val="16"/>
            <w:szCs w:val="16"/>
          </w:rPr>
          <w:t>American Cancer Society</w:t>
        </w:r>
      </w:hyperlink>
      <w:r w:rsidR="006E6936" w:rsidRPr="00C11123">
        <w:rPr>
          <w:rFonts w:cs="Arial"/>
          <w:sz w:val="16"/>
          <w:szCs w:val="16"/>
        </w:rPr>
        <w:t xml:space="preserve">. </w:t>
      </w:r>
      <w:r w:rsidRPr="00C11123">
        <w:rPr>
          <w:rFonts w:cs="Arial"/>
          <w:sz w:val="16"/>
          <w:szCs w:val="16"/>
        </w:rPr>
        <w:t xml:space="preserve">Accessed February 17, 2026. </w:t>
      </w:r>
      <w:hyperlink r:id="rId96" w:history="1">
        <w:r w:rsidRPr="00387ED4">
          <w:rPr>
            <w:rStyle w:val="Hyperlink"/>
            <w:rFonts w:cs="Arial"/>
            <w:sz w:val="16"/>
            <w:szCs w:val="16"/>
          </w:rPr>
          <w:t>https://www.cancer.org/cancer/risk-prevention/understanding-cancer-risk/cancer-facts/cancer-facts-for-men.html</w:t>
        </w:r>
      </w:hyperlink>
      <w:r>
        <w:rPr>
          <w:rFonts w:cs="Arial"/>
          <w:sz w:val="16"/>
          <w:szCs w:val="16"/>
        </w:rPr>
        <w:t xml:space="preserve"> </w:t>
      </w:r>
    </w:p>
  </w:footnote>
  <w:footnote w:id="79">
    <w:p w14:paraId="60999E08" w14:textId="763445A0" w:rsidR="000B076F" w:rsidRPr="00C11123" w:rsidRDefault="00000000" w:rsidP="004B6DB5">
      <w:pPr>
        <w:spacing w:after="0" w:line="240" w:lineRule="auto"/>
        <w:jc w:val="both"/>
        <w:rPr>
          <w:rFonts w:cs="Arial"/>
          <w:sz w:val="16"/>
          <w:szCs w:val="16"/>
        </w:rPr>
      </w:pPr>
      <w:r w:rsidRPr="00C11123">
        <w:rPr>
          <w:rStyle w:val="FootnoteReference"/>
          <w:rFonts w:cs="Arial"/>
          <w:sz w:val="16"/>
          <w:szCs w:val="16"/>
        </w:rPr>
        <w:footnoteRef/>
      </w:r>
      <w:r w:rsidRPr="00C11123">
        <w:rPr>
          <w:rFonts w:cs="Arial"/>
          <w:sz w:val="16"/>
          <w:szCs w:val="16"/>
        </w:rPr>
        <w:t xml:space="preserve"> </w:t>
      </w:r>
      <w:hyperlink r:id="rId97" w:history="1">
        <w:r w:rsidR="004B6DB5" w:rsidRPr="0057086A">
          <w:rPr>
            <w:rStyle w:val="Hyperlink"/>
            <w:rFonts w:cs="Arial"/>
            <w:sz w:val="16"/>
            <w:szCs w:val="16"/>
          </w:rPr>
          <w:t>Cancer Statistics Center.</w:t>
        </w:r>
      </w:hyperlink>
      <w:r w:rsidR="004B6DB5" w:rsidRPr="00C11123">
        <w:rPr>
          <w:rFonts w:cs="Arial"/>
          <w:sz w:val="16"/>
          <w:szCs w:val="16"/>
        </w:rPr>
        <w:t xml:space="preserve"> American Cancer Society. Accessed February 17, 2026. </w:t>
      </w:r>
      <w:hyperlink r:id="rId98" w:history="1">
        <w:r w:rsidR="0057086A" w:rsidRPr="00387ED4">
          <w:rPr>
            <w:rStyle w:val="Hyperlink"/>
            <w:rFonts w:cs="Arial"/>
            <w:sz w:val="16"/>
            <w:szCs w:val="16"/>
          </w:rPr>
          <w:t>https://cancerstatisticscenter.cancer.org/</w:t>
        </w:r>
      </w:hyperlink>
      <w:r w:rsidR="0057086A">
        <w:rPr>
          <w:rFonts w:cs="Arial"/>
          <w:sz w:val="16"/>
          <w:szCs w:val="16"/>
        </w:rPr>
        <w:t xml:space="preserve"> </w:t>
      </w:r>
      <w:r w:rsidR="004B6DB5" w:rsidRPr="00C11123">
        <w:rPr>
          <w:rFonts w:cs="Arial"/>
          <w:sz w:val="16"/>
          <w:szCs w:val="16"/>
        </w:rPr>
        <w:t>.</w:t>
      </w:r>
    </w:p>
  </w:footnote>
  <w:footnote w:id="80">
    <w:p w14:paraId="5D009325" w14:textId="41A8F7E1" w:rsidR="00B4151F" w:rsidRPr="00C11123" w:rsidRDefault="00000000" w:rsidP="00B4151F">
      <w:pPr>
        <w:pStyle w:val="FootnoteText"/>
        <w:rPr>
          <w:sz w:val="16"/>
          <w:szCs w:val="16"/>
        </w:rPr>
      </w:pPr>
      <w:r w:rsidRPr="00C11123">
        <w:rPr>
          <w:rStyle w:val="FootnoteReference"/>
          <w:sz w:val="16"/>
          <w:szCs w:val="16"/>
        </w:rPr>
        <w:footnoteRef/>
      </w:r>
      <w:r w:rsidRPr="00C11123">
        <w:rPr>
          <w:sz w:val="16"/>
          <w:szCs w:val="16"/>
        </w:rPr>
        <w:t xml:space="preserve"> See Tables 8 and </w:t>
      </w:r>
      <w:r w:rsidR="00755BDF" w:rsidRPr="00C11123">
        <w:rPr>
          <w:sz w:val="16"/>
          <w:szCs w:val="16"/>
        </w:rPr>
        <w:t>10</w:t>
      </w:r>
      <w:r w:rsidRPr="00C11123">
        <w:rPr>
          <w:sz w:val="16"/>
          <w:szCs w:val="16"/>
        </w:rPr>
        <w:t>.</w:t>
      </w:r>
    </w:p>
  </w:footnote>
  <w:footnote w:id="81">
    <w:p w14:paraId="330CE4B5" w14:textId="78B00E61" w:rsidR="00B4151F"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5B4F92" w:rsidRPr="00C11123">
        <w:rPr>
          <w:rFonts w:cs="Arial"/>
          <w:sz w:val="16"/>
          <w:szCs w:val="16"/>
        </w:rPr>
        <w:t>Subramania</w:t>
      </w:r>
      <w:r w:rsidR="00D17B6C" w:rsidRPr="00C11123">
        <w:rPr>
          <w:rFonts w:cs="Arial"/>
          <w:sz w:val="16"/>
          <w:szCs w:val="16"/>
        </w:rPr>
        <w:t xml:space="preserve">n, </w:t>
      </w:r>
      <w:r w:rsidR="00D17B6C" w:rsidRPr="00C11123">
        <w:rPr>
          <w:rFonts w:cs="Arial"/>
          <w:i/>
          <w:iCs/>
          <w:sz w:val="16"/>
          <w:szCs w:val="16"/>
        </w:rPr>
        <w:t>supra</w:t>
      </w:r>
      <w:r w:rsidR="00D17B6C" w:rsidRPr="00C11123">
        <w:rPr>
          <w:rFonts w:cs="Arial"/>
          <w:sz w:val="16"/>
          <w:szCs w:val="16"/>
        </w:rPr>
        <w:t xml:space="preserve"> note 15.</w:t>
      </w:r>
      <w:r w:rsidR="00453075" w:rsidRPr="00C11123">
        <w:rPr>
          <w:rFonts w:cs="Arial"/>
          <w:i/>
          <w:iCs/>
          <w:sz w:val="16"/>
          <w:szCs w:val="16"/>
        </w:rPr>
        <w:t xml:space="preserve"> </w:t>
      </w:r>
    </w:p>
  </w:footnote>
  <w:footnote w:id="82">
    <w:p w14:paraId="509D8A11" w14:textId="7D0D1DCF" w:rsidR="000573B6" w:rsidRPr="00C11123" w:rsidRDefault="00000000" w:rsidP="000573B6">
      <w:pPr>
        <w:pStyle w:val="FootnoteText"/>
        <w:rPr>
          <w:sz w:val="16"/>
          <w:szCs w:val="16"/>
        </w:rPr>
      </w:pPr>
      <w:r w:rsidRPr="00C11123">
        <w:rPr>
          <w:rStyle w:val="FootnoteReference"/>
          <w:sz w:val="16"/>
          <w:szCs w:val="16"/>
        </w:rPr>
        <w:footnoteRef/>
      </w:r>
      <w:r w:rsidRPr="00C11123">
        <w:rPr>
          <w:sz w:val="16"/>
          <w:szCs w:val="16"/>
        </w:rPr>
        <w:t xml:space="preserve"> See Table 1</w:t>
      </w:r>
      <w:r w:rsidR="00755BDF" w:rsidRPr="00C11123">
        <w:rPr>
          <w:sz w:val="16"/>
          <w:szCs w:val="16"/>
        </w:rPr>
        <w:t>1</w:t>
      </w:r>
      <w:r w:rsidRPr="00C11123">
        <w:rPr>
          <w:sz w:val="16"/>
          <w:szCs w:val="16"/>
        </w:rPr>
        <w:t>.</w:t>
      </w:r>
    </w:p>
  </w:footnote>
  <w:footnote w:id="83">
    <w:p w14:paraId="2D9609C9" w14:textId="4AC70554" w:rsidR="000B076F" w:rsidRPr="00C11123" w:rsidRDefault="00000000" w:rsidP="008274E0">
      <w:pPr>
        <w:spacing w:after="0" w:line="240" w:lineRule="auto"/>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4933AF" w:rsidRPr="00C11123">
        <w:rPr>
          <w:rFonts w:cs="Arial"/>
          <w:sz w:val="16"/>
          <w:szCs w:val="16"/>
        </w:rPr>
        <w:t>Islam</w:t>
      </w:r>
      <w:r w:rsidR="00D17B6C" w:rsidRPr="00C11123">
        <w:rPr>
          <w:rFonts w:cs="Arial"/>
          <w:sz w:val="16"/>
          <w:szCs w:val="16"/>
        </w:rPr>
        <w:t xml:space="preserve">, </w:t>
      </w:r>
      <w:r w:rsidR="00D17B6C" w:rsidRPr="00C11123">
        <w:rPr>
          <w:rFonts w:cs="Arial"/>
          <w:i/>
          <w:iCs/>
          <w:sz w:val="16"/>
          <w:szCs w:val="16"/>
        </w:rPr>
        <w:t>supra</w:t>
      </w:r>
      <w:r w:rsidR="00D17B6C" w:rsidRPr="00C11123">
        <w:rPr>
          <w:rFonts w:cs="Arial"/>
          <w:sz w:val="16"/>
          <w:szCs w:val="16"/>
        </w:rPr>
        <w:t xml:space="preserve"> note 71</w:t>
      </w:r>
      <w:r w:rsidRPr="00C11123">
        <w:rPr>
          <w:rFonts w:cs="Arial"/>
          <w:sz w:val="16"/>
          <w:szCs w:val="16"/>
        </w:rPr>
        <w:t xml:space="preserve">; </w:t>
      </w:r>
      <w:r w:rsidR="00297684" w:rsidRPr="00C11123">
        <w:rPr>
          <w:rFonts w:cs="Arial"/>
          <w:sz w:val="16"/>
          <w:szCs w:val="16"/>
        </w:rPr>
        <w:t>see also, Lowrance</w:t>
      </w:r>
      <w:r w:rsidR="00D17B6C" w:rsidRPr="00C11123">
        <w:rPr>
          <w:rFonts w:cs="Arial"/>
          <w:sz w:val="16"/>
          <w:szCs w:val="16"/>
        </w:rPr>
        <w:t xml:space="preserve">, </w:t>
      </w:r>
      <w:r w:rsidR="00D17B6C" w:rsidRPr="00C11123">
        <w:rPr>
          <w:rFonts w:cs="Arial"/>
          <w:i/>
          <w:iCs/>
          <w:sz w:val="16"/>
          <w:szCs w:val="16"/>
        </w:rPr>
        <w:t>supra</w:t>
      </w:r>
      <w:r w:rsidR="00D17B6C" w:rsidRPr="00C11123">
        <w:rPr>
          <w:rFonts w:cs="Arial"/>
          <w:sz w:val="16"/>
          <w:szCs w:val="16"/>
        </w:rPr>
        <w:t xml:space="preserve"> note 81</w:t>
      </w:r>
      <w:r w:rsidR="009554F8" w:rsidRPr="00C11123">
        <w:rPr>
          <w:rFonts w:cs="Arial"/>
          <w:sz w:val="16"/>
          <w:szCs w:val="16"/>
        </w:rPr>
        <w:t xml:space="preserve">; see also Wang L, Wang L, Wang X, Wu D. </w:t>
      </w:r>
      <w:hyperlink r:id="rId99" w:history="1">
        <w:r w:rsidR="009554F8" w:rsidRPr="0057086A">
          <w:rPr>
            <w:rStyle w:val="Hyperlink"/>
            <w:rFonts w:cs="Arial"/>
            <w:sz w:val="16"/>
            <w:szCs w:val="16"/>
          </w:rPr>
          <w:t>The Evolving Role of PSMA-PET/CT in Prostate Cancer Management: an Umbrella Review of Diagnostic Restaging, Therapeutic Redirection, and Survival Impact.</w:t>
        </w:r>
      </w:hyperlink>
      <w:r w:rsidR="009554F8" w:rsidRPr="00C11123">
        <w:rPr>
          <w:rFonts w:cs="Arial"/>
          <w:sz w:val="16"/>
          <w:szCs w:val="16"/>
        </w:rPr>
        <w:t xml:space="preserve"> </w:t>
      </w:r>
      <w:r w:rsidR="009554F8" w:rsidRPr="00C11123">
        <w:rPr>
          <w:rFonts w:cs="Arial"/>
          <w:i/>
          <w:iCs/>
          <w:sz w:val="16"/>
          <w:szCs w:val="16"/>
        </w:rPr>
        <w:t>Curr Oncol Rep</w:t>
      </w:r>
      <w:r w:rsidR="009554F8" w:rsidRPr="00C11123">
        <w:rPr>
          <w:rFonts w:cs="Arial"/>
          <w:sz w:val="16"/>
          <w:szCs w:val="16"/>
        </w:rPr>
        <w:t>. 2025;27(6):774-787. doi:10.1007/s11912-025-01682-2</w:t>
      </w:r>
      <w:r w:rsidR="00F95ADD" w:rsidRPr="00C11123">
        <w:rPr>
          <w:rFonts w:cs="Arial"/>
          <w:sz w:val="16"/>
          <w:szCs w:val="16"/>
        </w:rPr>
        <w:t xml:space="preserve">, Accessed February 22, 2026. </w:t>
      </w:r>
      <w:hyperlink r:id="rId100" w:history="1">
        <w:r w:rsidR="0057086A" w:rsidRPr="00387ED4">
          <w:rPr>
            <w:rStyle w:val="Hyperlink"/>
            <w:rFonts w:cs="Arial"/>
            <w:sz w:val="16"/>
            <w:szCs w:val="16"/>
          </w:rPr>
          <w:t>https://pmc.ncbi.nlm.nih.gov/articles/PMC12227496/pdf/11912_2025_Article_1682.pdf</w:t>
        </w:r>
      </w:hyperlink>
      <w:r w:rsidR="0057086A">
        <w:rPr>
          <w:rFonts w:cs="Arial"/>
          <w:sz w:val="16"/>
          <w:szCs w:val="16"/>
        </w:rPr>
        <w:t xml:space="preserve"> </w:t>
      </w:r>
      <w:r w:rsidR="005023C6" w:rsidRPr="00C11123">
        <w:rPr>
          <w:rFonts w:cs="Arial"/>
          <w:sz w:val="16"/>
          <w:szCs w:val="16"/>
        </w:rPr>
        <w:t xml:space="preserve"> </w:t>
      </w:r>
    </w:p>
  </w:footnote>
  <w:footnote w:id="84">
    <w:p w14:paraId="21651CF9" w14:textId="24B6B64B"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4933AF" w:rsidRPr="00C11123">
        <w:rPr>
          <w:rFonts w:cs="Arial"/>
          <w:sz w:val="16"/>
          <w:szCs w:val="16"/>
        </w:rPr>
        <w:t>Islam</w:t>
      </w:r>
      <w:r w:rsidR="00D17B6C" w:rsidRPr="00C11123">
        <w:rPr>
          <w:rFonts w:cs="Arial"/>
          <w:sz w:val="16"/>
          <w:szCs w:val="16"/>
        </w:rPr>
        <w:t xml:space="preserve">, </w:t>
      </w:r>
      <w:r w:rsidR="00D17B6C" w:rsidRPr="00C11123">
        <w:rPr>
          <w:rFonts w:cs="Arial"/>
          <w:i/>
          <w:iCs/>
          <w:sz w:val="16"/>
          <w:szCs w:val="16"/>
        </w:rPr>
        <w:t>supra</w:t>
      </w:r>
      <w:r w:rsidR="00D17B6C" w:rsidRPr="00C11123">
        <w:rPr>
          <w:rFonts w:cs="Arial"/>
          <w:sz w:val="16"/>
          <w:szCs w:val="16"/>
        </w:rPr>
        <w:t xml:space="preserve"> note 71; Wang, </w:t>
      </w:r>
      <w:r w:rsidR="00D17B6C" w:rsidRPr="00C11123">
        <w:rPr>
          <w:rFonts w:cs="Arial"/>
          <w:i/>
          <w:iCs/>
          <w:sz w:val="16"/>
          <w:szCs w:val="16"/>
        </w:rPr>
        <w:t>supra</w:t>
      </w:r>
      <w:r w:rsidR="00D17B6C" w:rsidRPr="00C11123">
        <w:rPr>
          <w:rFonts w:cs="Arial"/>
          <w:sz w:val="16"/>
          <w:szCs w:val="16"/>
        </w:rPr>
        <w:t xml:space="preserve"> note 87.</w:t>
      </w:r>
      <w:r w:rsidR="004933AF" w:rsidRPr="00C11123">
        <w:rPr>
          <w:rFonts w:cs="Arial"/>
          <w:i/>
          <w:iCs/>
          <w:sz w:val="16"/>
          <w:szCs w:val="16"/>
        </w:rPr>
        <w:t xml:space="preserve"> </w:t>
      </w:r>
    </w:p>
  </w:footnote>
  <w:footnote w:id="85">
    <w:p w14:paraId="2DF05210" w14:textId="3933C089" w:rsidR="000B076F" w:rsidRPr="00C11123" w:rsidRDefault="00000000" w:rsidP="000B076F">
      <w:pPr>
        <w:pStyle w:val="FootnoteText"/>
        <w:rPr>
          <w:rFonts w:cs="Arial"/>
          <w:sz w:val="16"/>
          <w:szCs w:val="16"/>
        </w:rPr>
      </w:pPr>
      <w:r w:rsidRPr="00C11123">
        <w:rPr>
          <w:rStyle w:val="FootnoteReference"/>
          <w:sz w:val="16"/>
          <w:szCs w:val="16"/>
        </w:rPr>
        <w:footnoteRef/>
      </w:r>
      <w:r w:rsidRPr="00C11123">
        <w:rPr>
          <w:sz w:val="16"/>
          <w:szCs w:val="16"/>
        </w:rPr>
        <w:t xml:space="preserve"> </w:t>
      </w:r>
      <w:r w:rsidR="00D17B6C" w:rsidRPr="00C11123">
        <w:rPr>
          <w:i/>
          <w:iCs/>
          <w:sz w:val="16"/>
          <w:szCs w:val="16"/>
        </w:rPr>
        <w:t>Id.</w:t>
      </w:r>
      <w:r w:rsidR="00C84432" w:rsidRPr="00C11123">
        <w:rPr>
          <w:rFonts w:cs="Arial"/>
          <w:sz w:val="16"/>
          <w:szCs w:val="16"/>
        </w:rPr>
        <w:t xml:space="preserve"> </w:t>
      </w:r>
    </w:p>
  </w:footnote>
  <w:footnote w:id="86">
    <w:p w14:paraId="7788F891" w14:textId="00882E54" w:rsidR="000B076F" w:rsidRPr="00C11123" w:rsidRDefault="00000000" w:rsidP="000B076F">
      <w:pPr>
        <w:pStyle w:val="FootnoteText"/>
        <w:rPr>
          <w:rFonts w:cs="Arial"/>
          <w:sz w:val="16"/>
          <w:szCs w:val="16"/>
        </w:rPr>
      </w:pPr>
      <w:r w:rsidRPr="00C11123">
        <w:rPr>
          <w:rStyle w:val="FootnoteReference"/>
          <w:sz w:val="16"/>
          <w:szCs w:val="16"/>
        </w:rPr>
        <w:footnoteRef/>
      </w:r>
      <w:r w:rsidRPr="00C11123">
        <w:rPr>
          <w:sz w:val="16"/>
          <w:szCs w:val="16"/>
        </w:rPr>
        <w:t xml:space="preserve"> </w:t>
      </w:r>
      <w:r w:rsidR="00D17B6C" w:rsidRPr="00C11123">
        <w:rPr>
          <w:rFonts w:cs="Arial"/>
          <w:sz w:val="16"/>
          <w:szCs w:val="16"/>
        </w:rPr>
        <w:t xml:space="preserve">Islam, </w:t>
      </w:r>
      <w:r w:rsidR="00D17B6C" w:rsidRPr="00C11123">
        <w:rPr>
          <w:rFonts w:cs="Arial"/>
          <w:i/>
          <w:iCs/>
          <w:sz w:val="16"/>
          <w:szCs w:val="16"/>
        </w:rPr>
        <w:t>supra</w:t>
      </w:r>
      <w:r w:rsidR="00D17B6C" w:rsidRPr="00C11123">
        <w:rPr>
          <w:rFonts w:cs="Arial"/>
          <w:sz w:val="16"/>
          <w:szCs w:val="16"/>
        </w:rPr>
        <w:t xml:space="preserve"> note 71</w:t>
      </w:r>
      <w:r w:rsidR="00D60F63" w:rsidRPr="00C11123">
        <w:rPr>
          <w:rFonts w:cs="Arial"/>
          <w:sz w:val="16"/>
          <w:szCs w:val="16"/>
        </w:rPr>
        <w:t>; see also Wang</w:t>
      </w:r>
      <w:r w:rsidR="00D17B6C" w:rsidRPr="00C11123">
        <w:rPr>
          <w:rFonts w:cs="Arial"/>
          <w:sz w:val="16"/>
          <w:szCs w:val="16"/>
        </w:rPr>
        <w:t xml:space="preserve">, </w:t>
      </w:r>
      <w:r w:rsidR="00D17B6C" w:rsidRPr="00C11123">
        <w:rPr>
          <w:rFonts w:cs="Arial"/>
          <w:i/>
          <w:iCs/>
          <w:sz w:val="16"/>
          <w:szCs w:val="16"/>
        </w:rPr>
        <w:t>supra</w:t>
      </w:r>
      <w:r w:rsidR="00D17B6C" w:rsidRPr="00C11123">
        <w:rPr>
          <w:rFonts w:cs="Arial"/>
          <w:sz w:val="16"/>
          <w:szCs w:val="16"/>
        </w:rPr>
        <w:t xml:space="preserve"> note 87. </w:t>
      </w:r>
    </w:p>
  </w:footnote>
  <w:footnote w:id="87">
    <w:p w14:paraId="5CB4BAD3" w14:textId="2382BA87" w:rsidR="000B076F" w:rsidRPr="00C11123" w:rsidRDefault="00000000" w:rsidP="000B076F">
      <w:pPr>
        <w:pStyle w:val="FootnoteText"/>
        <w:rPr>
          <w:rFonts w:cs="Arial"/>
          <w:sz w:val="16"/>
          <w:szCs w:val="16"/>
        </w:rPr>
      </w:pPr>
      <w:r w:rsidRPr="00C11123">
        <w:rPr>
          <w:rStyle w:val="FootnoteReference"/>
          <w:sz w:val="16"/>
          <w:szCs w:val="16"/>
        </w:rPr>
        <w:footnoteRef/>
      </w:r>
      <w:r w:rsidR="00D17B6C" w:rsidRPr="00C11123">
        <w:rPr>
          <w:rFonts w:cs="Arial"/>
          <w:sz w:val="16"/>
          <w:szCs w:val="16"/>
        </w:rPr>
        <w:t xml:space="preserve">Islam, </w:t>
      </w:r>
      <w:r w:rsidR="00D17B6C" w:rsidRPr="00C11123">
        <w:rPr>
          <w:rFonts w:cs="Arial"/>
          <w:i/>
          <w:iCs/>
          <w:sz w:val="16"/>
          <w:szCs w:val="16"/>
        </w:rPr>
        <w:t>supra</w:t>
      </w:r>
      <w:r w:rsidR="00D17B6C" w:rsidRPr="00C11123">
        <w:rPr>
          <w:rFonts w:cs="Arial"/>
          <w:sz w:val="16"/>
          <w:szCs w:val="16"/>
        </w:rPr>
        <w:t xml:space="preserve"> note 71; see also Wang, </w:t>
      </w:r>
      <w:r w:rsidR="00D17B6C" w:rsidRPr="00C11123">
        <w:rPr>
          <w:rFonts w:cs="Arial"/>
          <w:i/>
          <w:iCs/>
          <w:sz w:val="16"/>
          <w:szCs w:val="16"/>
        </w:rPr>
        <w:t>supra</w:t>
      </w:r>
      <w:r w:rsidR="00D17B6C" w:rsidRPr="00C11123">
        <w:rPr>
          <w:rFonts w:cs="Arial"/>
          <w:sz w:val="16"/>
          <w:szCs w:val="16"/>
        </w:rPr>
        <w:t xml:space="preserve"> note 87; see also Fornell, </w:t>
      </w:r>
      <w:r w:rsidR="00D17B6C" w:rsidRPr="00C11123">
        <w:rPr>
          <w:rFonts w:cs="Arial"/>
          <w:i/>
          <w:iCs/>
          <w:sz w:val="16"/>
          <w:szCs w:val="16"/>
        </w:rPr>
        <w:t>supra</w:t>
      </w:r>
      <w:r w:rsidR="00D17B6C" w:rsidRPr="00C11123">
        <w:rPr>
          <w:rFonts w:cs="Arial"/>
          <w:sz w:val="16"/>
          <w:szCs w:val="16"/>
        </w:rPr>
        <w:t xml:space="preserve"> note 73.</w:t>
      </w:r>
    </w:p>
  </w:footnote>
  <w:footnote w:id="88">
    <w:p w14:paraId="7FC464AF" w14:textId="7C5C767B"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E22CB9" w:rsidRPr="00C11123">
        <w:rPr>
          <w:sz w:val="16"/>
          <w:szCs w:val="16"/>
        </w:rPr>
        <w:t xml:space="preserve">Rong J, Haider A, Jeppesen TE, Josephson L, Liang SH. Radiochemistry for positron emission tomography. </w:t>
      </w:r>
      <w:r w:rsidR="00E22CB9" w:rsidRPr="00C11123">
        <w:rPr>
          <w:i/>
          <w:iCs/>
          <w:sz w:val="16"/>
          <w:szCs w:val="16"/>
        </w:rPr>
        <w:t>Nat Commun</w:t>
      </w:r>
      <w:r w:rsidR="00E22CB9" w:rsidRPr="00C11123">
        <w:rPr>
          <w:sz w:val="16"/>
          <w:szCs w:val="16"/>
        </w:rPr>
        <w:t>. 2023;14(1):3257. doi:10.1038/s41467-023-36377-4</w:t>
      </w:r>
      <w:r w:rsidRPr="00C11123">
        <w:rPr>
          <w:sz w:val="16"/>
          <w:szCs w:val="16"/>
        </w:rPr>
        <w:t xml:space="preserve">; </w:t>
      </w:r>
      <w:hyperlink r:id="rId101" w:history="1">
        <w:r w:rsidR="00E22CB9" w:rsidRPr="0057086A">
          <w:rPr>
            <w:rStyle w:val="Hyperlink"/>
            <w:sz w:val="16"/>
            <w:szCs w:val="16"/>
          </w:rPr>
          <w:t>Computed Tomography (CT) Scan</w:t>
        </w:r>
      </w:hyperlink>
      <w:r w:rsidR="00E22CB9" w:rsidRPr="00C11123">
        <w:rPr>
          <w:sz w:val="16"/>
          <w:szCs w:val="16"/>
        </w:rPr>
        <w:t xml:space="preserve">. October 25, 2023. Accessed February 17, 2026. </w:t>
      </w:r>
      <w:hyperlink r:id="rId102" w:history="1">
        <w:r w:rsidR="0057086A" w:rsidRPr="00387ED4">
          <w:rPr>
            <w:rStyle w:val="Hyperlink"/>
            <w:sz w:val="16"/>
            <w:szCs w:val="16"/>
          </w:rPr>
          <w:t>https://www.hopkinsmedicine.org/health/treatment-tests-and-therapies/computed-tomography-ct-scan</w:t>
        </w:r>
      </w:hyperlink>
      <w:r w:rsidR="0057086A">
        <w:rPr>
          <w:sz w:val="16"/>
          <w:szCs w:val="16"/>
        </w:rPr>
        <w:t xml:space="preserve"> </w:t>
      </w:r>
      <w:r w:rsidR="002D7549" w:rsidRPr="00C11123">
        <w:rPr>
          <w:sz w:val="16"/>
          <w:szCs w:val="16"/>
        </w:rPr>
        <w:t xml:space="preserve"> </w:t>
      </w:r>
    </w:p>
  </w:footnote>
  <w:footnote w:id="89">
    <w:p w14:paraId="2C579259" w14:textId="4D0A99BC" w:rsidR="000B076F" w:rsidRPr="00C11123" w:rsidRDefault="00000000" w:rsidP="00653E00">
      <w:pPr>
        <w:spacing w:after="0" w:line="240" w:lineRule="auto"/>
        <w:rPr>
          <w:rFonts w:cs="Arial"/>
          <w:sz w:val="16"/>
          <w:szCs w:val="16"/>
        </w:rPr>
      </w:pPr>
      <w:r w:rsidRPr="00C11123">
        <w:rPr>
          <w:rStyle w:val="FootnoteReference"/>
          <w:sz w:val="16"/>
          <w:szCs w:val="16"/>
        </w:rPr>
        <w:footnoteRef/>
      </w:r>
      <w:r w:rsidR="008B2571" w:rsidRPr="00C11123">
        <w:rPr>
          <w:sz w:val="16"/>
          <w:szCs w:val="16"/>
        </w:rPr>
        <w:t xml:space="preserve"> See e.g.,</w:t>
      </w:r>
      <w:r w:rsidRPr="00C11123">
        <w:rPr>
          <w:sz w:val="16"/>
          <w:szCs w:val="16"/>
        </w:rPr>
        <w:t xml:space="preserve"> </w:t>
      </w:r>
      <w:r w:rsidR="00274EA6" w:rsidRPr="00C11123">
        <w:rPr>
          <w:rFonts w:cs="Arial"/>
          <w:sz w:val="16"/>
          <w:szCs w:val="16"/>
        </w:rPr>
        <w:t>Fornel</w:t>
      </w:r>
      <w:r w:rsidR="00D17B6C" w:rsidRPr="00C11123">
        <w:rPr>
          <w:rFonts w:cs="Arial"/>
          <w:sz w:val="16"/>
          <w:szCs w:val="16"/>
        </w:rPr>
        <w:t xml:space="preserve">l, </w:t>
      </w:r>
      <w:r w:rsidR="00D17B6C" w:rsidRPr="00C11123">
        <w:rPr>
          <w:rFonts w:cs="Arial"/>
          <w:i/>
          <w:iCs/>
          <w:sz w:val="16"/>
          <w:szCs w:val="16"/>
        </w:rPr>
        <w:t>supra</w:t>
      </w:r>
      <w:r w:rsidR="00D17B6C" w:rsidRPr="00C11123">
        <w:rPr>
          <w:rFonts w:cs="Arial"/>
          <w:sz w:val="16"/>
          <w:szCs w:val="16"/>
        </w:rPr>
        <w:t>, note 73</w:t>
      </w:r>
      <w:r w:rsidR="00653E00" w:rsidRPr="00C11123">
        <w:rPr>
          <w:rFonts w:cs="Arial"/>
          <w:sz w:val="16"/>
          <w:szCs w:val="16"/>
        </w:rPr>
        <w:t xml:space="preserve">; </w:t>
      </w:r>
      <w:hyperlink r:id="rId103" w:history="1">
        <w:r w:rsidR="00653E00" w:rsidRPr="0057086A">
          <w:rPr>
            <w:rStyle w:val="Hyperlink"/>
            <w:rFonts w:cs="Arial"/>
            <w:sz w:val="16"/>
            <w:szCs w:val="16"/>
          </w:rPr>
          <w:t>The Evolution of Prostate Cancer Imaging: Embracing the Power of PSMA PET/CT</w:t>
        </w:r>
      </w:hyperlink>
      <w:r w:rsidR="00653E00" w:rsidRPr="00C11123">
        <w:rPr>
          <w:rFonts w:cs="Arial"/>
          <w:sz w:val="16"/>
          <w:szCs w:val="16"/>
        </w:rPr>
        <w:t xml:space="preserve">, Urology Times. October 18, 2023. Accessed February 22, 2026. </w:t>
      </w:r>
      <w:hyperlink r:id="rId104" w:history="1">
        <w:r w:rsidR="0057086A" w:rsidRPr="00387ED4">
          <w:rPr>
            <w:rStyle w:val="Hyperlink"/>
            <w:rFonts w:cs="Arial"/>
            <w:sz w:val="16"/>
            <w:szCs w:val="16"/>
          </w:rPr>
          <w:t>https://www.urologytimes.com/view/the-evolution-of-prostate-cancer-imaging-embracing-the-power-of-psma-pet-ct</w:t>
        </w:r>
      </w:hyperlink>
      <w:r w:rsidR="0057086A">
        <w:rPr>
          <w:rFonts w:cs="Arial"/>
          <w:sz w:val="16"/>
          <w:szCs w:val="16"/>
        </w:rPr>
        <w:t xml:space="preserve"> </w:t>
      </w:r>
      <w:r w:rsidR="00173A5E" w:rsidRPr="00C11123">
        <w:rPr>
          <w:rFonts w:cs="Arial"/>
          <w:sz w:val="16"/>
          <w:szCs w:val="16"/>
        </w:rPr>
        <w:t xml:space="preserve">; </w:t>
      </w:r>
      <w:r w:rsidR="00173A5E" w:rsidRPr="00C11123">
        <w:rPr>
          <w:sz w:val="16"/>
          <w:szCs w:val="16"/>
        </w:rPr>
        <w:t xml:space="preserve">Calais J, </w:t>
      </w:r>
      <w:proofErr w:type="spellStart"/>
      <w:r w:rsidR="00173A5E" w:rsidRPr="00C11123">
        <w:rPr>
          <w:sz w:val="16"/>
          <w:szCs w:val="16"/>
        </w:rPr>
        <w:t>Czernin</w:t>
      </w:r>
      <w:proofErr w:type="spellEnd"/>
      <w:r w:rsidR="00173A5E" w:rsidRPr="00C11123">
        <w:rPr>
          <w:sz w:val="16"/>
          <w:szCs w:val="16"/>
        </w:rPr>
        <w:t xml:space="preserve"> J. </w:t>
      </w:r>
      <w:hyperlink r:id="rId105" w:history="1">
        <w:r w:rsidR="00173A5E" w:rsidRPr="0057086A">
          <w:rPr>
            <w:rStyle w:val="Hyperlink"/>
            <w:sz w:val="16"/>
            <w:szCs w:val="16"/>
          </w:rPr>
          <w:t>PSMA Expression Assessed by PET Imaging Is a Required Biomarker for Selecting Patients for Any PSMA-Targeted Therapy</w:t>
        </w:r>
      </w:hyperlink>
      <w:r w:rsidR="00173A5E" w:rsidRPr="00C11123">
        <w:rPr>
          <w:sz w:val="16"/>
          <w:szCs w:val="16"/>
        </w:rPr>
        <w:t>. </w:t>
      </w:r>
      <w:r w:rsidR="00173A5E" w:rsidRPr="00C11123">
        <w:rPr>
          <w:i/>
          <w:iCs/>
          <w:sz w:val="16"/>
          <w:szCs w:val="16"/>
        </w:rPr>
        <w:t xml:space="preserve">J </w:t>
      </w:r>
      <w:proofErr w:type="spellStart"/>
      <w:r w:rsidR="00173A5E" w:rsidRPr="00C11123">
        <w:rPr>
          <w:i/>
          <w:iCs/>
          <w:sz w:val="16"/>
          <w:szCs w:val="16"/>
        </w:rPr>
        <w:t>Nucl</w:t>
      </w:r>
      <w:proofErr w:type="spellEnd"/>
      <w:r w:rsidR="00173A5E" w:rsidRPr="00C11123">
        <w:rPr>
          <w:i/>
          <w:iCs/>
          <w:sz w:val="16"/>
          <w:szCs w:val="16"/>
        </w:rPr>
        <w:t xml:space="preserve"> Med</w:t>
      </w:r>
      <w:r w:rsidR="00173A5E" w:rsidRPr="00C11123">
        <w:rPr>
          <w:sz w:val="16"/>
          <w:szCs w:val="16"/>
        </w:rPr>
        <w:t xml:space="preserve">. 2021;62(11):1489-1491. doi:10.2967/jnumed.121.263159. Accessed February 22, 2026. </w:t>
      </w:r>
      <w:hyperlink r:id="rId106" w:history="1">
        <w:r w:rsidR="0057086A" w:rsidRPr="00387ED4">
          <w:rPr>
            <w:rStyle w:val="Hyperlink"/>
            <w:sz w:val="16"/>
            <w:szCs w:val="16"/>
          </w:rPr>
          <w:t>https://pmc.ncbi.nlm.nih.gov/articles/PMC8612346/pdf/jnm263159.pdf</w:t>
        </w:r>
      </w:hyperlink>
      <w:r w:rsidR="0057086A">
        <w:rPr>
          <w:sz w:val="16"/>
          <w:szCs w:val="16"/>
        </w:rPr>
        <w:t xml:space="preserve"> </w:t>
      </w:r>
      <w:r w:rsidR="00653E00" w:rsidRPr="00C11123">
        <w:rPr>
          <w:rFonts w:cs="Arial"/>
          <w:sz w:val="16"/>
          <w:szCs w:val="16"/>
        </w:rPr>
        <w:t xml:space="preserve"> </w:t>
      </w:r>
    </w:p>
  </w:footnote>
  <w:footnote w:id="90">
    <w:p w14:paraId="36963514" w14:textId="51894EFD" w:rsidR="000B076F" w:rsidRPr="00C11123" w:rsidRDefault="00000000" w:rsidP="000B076F">
      <w:pPr>
        <w:pStyle w:val="FootnoteText"/>
        <w:rPr>
          <w:b/>
          <w:bCs/>
          <w:sz w:val="16"/>
          <w:szCs w:val="16"/>
        </w:rPr>
      </w:pPr>
      <w:r w:rsidRPr="00C11123">
        <w:rPr>
          <w:rStyle w:val="FootnoteReference"/>
          <w:sz w:val="16"/>
          <w:szCs w:val="16"/>
        </w:rPr>
        <w:footnoteRef/>
      </w:r>
      <w:r w:rsidRPr="00C11123">
        <w:rPr>
          <w:sz w:val="16"/>
          <w:szCs w:val="16"/>
        </w:rPr>
        <w:t xml:space="preserve"> </w:t>
      </w:r>
      <w:r w:rsidR="006B1E8F" w:rsidRPr="00C11123">
        <w:rPr>
          <w:sz w:val="16"/>
          <w:szCs w:val="16"/>
        </w:rPr>
        <w:t xml:space="preserve">See e.g., </w:t>
      </w:r>
      <w:hyperlink r:id="rId107" w:history="1">
        <w:r w:rsidR="00E22CB9" w:rsidRPr="00D412FA">
          <w:rPr>
            <w:rStyle w:val="Hyperlink"/>
            <w:sz w:val="16"/>
            <w:szCs w:val="16"/>
          </w:rPr>
          <w:t>FDA approves second PSMA-targeted PET imaging drug for men with prostate cancer.</w:t>
        </w:r>
      </w:hyperlink>
      <w:r w:rsidR="00E22CB9" w:rsidRPr="00C11123">
        <w:rPr>
          <w:sz w:val="16"/>
          <w:szCs w:val="16"/>
        </w:rPr>
        <w:t xml:space="preserve"> </w:t>
      </w:r>
      <w:r w:rsidR="00E22CB9" w:rsidRPr="00C11123">
        <w:rPr>
          <w:i/>
          <w:iCs/>
          <w:sz w:val="16"/>
          <w:szCs w:val="16"/>
        </w:rPr>
        <w:t>FDA</w:t>
      </w:r>
      <w:r w:rsidR="00E22CB9" w:rsidRPr="00C11123">
        <w:rPr>
          <w:sz w:val="16"/>
          <w:szCs w:val="16"/>
        </w:rPr>
        <w:t xml:space="preserve">. Published online September 30, 2021. Accessed February 17, 2026. </w:t>
      </w:r>
      <w:hyperlink r:id="rId108" w:history="1">
        <w:r w:rsidR="00D412FA" w:rsidRPr="00387ED4">
          <w:rPr>
            <w:rStyle w:val="Hyperlink"/>
            <w:sz w:val="16"/>
            <w:szCs w:val="16"/>
          </w:rPr>
          <w:t>https://www.fda.gov/drugs/news-events-human-drugs/fda-approves-second-psma-targeted-pet-imaging-drug-men-prostate-cancer</w:t>
        </w:r>
      </w:hyperlink>
      <w:r w:rsidR="00D412FA">
        <w:rPr>
          <w:sz w:val="16"/>
          <w:szCs w:val="16"/>
        </w:rPr>
        <w:t xml:space="preserve"> </w:t>
      </w:r>
    </w:p>
  </w:footnote>
  <w:footnote w:id="91">
    <w:p w14:paraId="2450467C" w14:textId="425FF820" w:rsidR="00D67DC6"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8E3855" w:rsidRPr="00C11123">
        <w:rPr>
          <w:i/>
          <w:iCs/>
          <w:sz w:val="16"/>
          <w:szCs w:val="16"/>
        </w:rPr>
        <w:t>Id.</w:t>
      </w:r>
    </w:p>
  </w:footnote>
  <w:footnote w:id="92">
    <w:p w14:paraId="3B7F0473" w14:textId="7FE2A33E"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6B1E8F" w:rsidRPr="00C11123">
        <w:rPr>
          <w:sz w:val="16"/>
          <w:szCs w:val="16"/>
        </w:rPr>
        <w:t>S</w:t>
      </w:r>
      <w:r w:rsidRPr="00C11123">
        <w:rPr>
          <w:sz w:val="16"/>
          <w:szCs w:val="16"/>
        </w:rPr>
        <w:t xml:space="preserve">ee </w:t>
      </w:r>
      <w:hyperlink r:id="rId109" w:history="1">
        <w:r w:rsidR="00E22CB9" w:rsidRPr="00D412FA">
          <w:rPr>
            <w:rStyle w:val="Hyperlink"/>
            <w:sz w:val="16"/>
            <w:szCs w:val="16"/>
          </w:rPr>
          <w:t xml:space="preserve">Nuclear Medicine Scans for Cancer </w:t>
        </w:r>
      </w:hyperlink>
      <w:r w:rsidR="00E22CB9" w:rsidRPr="00C11123">
        <w:rPr>
          <w:sz w:val="16"/>
          <w:szCs w:val="16"/>
        </w:rPr>
        <w:t xml:space="preserve">| American Cancer Society. Accessed February 17, 2026. </w:t>
      </w:r>
      <w:hyperlink r:id="rId110" w:history="1">
        <w:r w:rsidR="00D412FA" w:rsidRPr="00387ED4">
          <w:rPr>
            <w:rStyle w:val="Hyperlink"/>
            <w:sz w:val="16"/>
            <w:szCs w:val="16"/>
          </w:rPr>
          <w:t>https://www.cancer.org/cancer/diagnosis-staging/tests/imaging-tests/nuclear-medicine-scans-for-cancer.html</w:t>
        </w:r>
      </w:hyperlink>
      <w:r w:rsidR="00D412FA">
        <w:rPr>
          <w:sz w:val="16"/>
          <w:szCs w:val="16"/>
        </w:rPr>
        <w:t xml:space="preserve"> </w:t>
      </w:r>
      <w:r w:rsidR="00160208" w:rsidRPr="00C11123">
        <w:rPr>
          <w:sz w:val="16"/>
          <w:szCs w:val="16"/>
        </w:rPr>
        <w:t xml:space="preserve">; see also </w:t>
      </w:r>
      <w:r w:rsidR="00160208" w:rsidRPr="00C11123">
        <w:rPr>
          <w:rFonts w:cs="Arial"/>
          <w:sz w:val="16"/>
          <w:szCs w:val="16"/>
        </w:rPr>
        <w:t>see also</w:t>
      </w:r>
      <w:r w:rsidR="00160208" w:rsidRPr="00C11123">
        <w:rPr>
          <w:rFonts w:cs="Arial"/>
          <w:b/>
          <w:bCs/>
          <w:sz w:val="16"/>
          <w:szCs w:val="16"/>
        </w:rPr>
        <w:t xml:space="preserve"> </w:t>
      </w:r>
      <w:hyperlink r:id="rId111" w:history="1">
        <w:r w:rsidR="00160208" w:rsidRPr="00D412FA">
          <w:rPr>
            <w:rStyle w:val="Hyperlink"/>
            <w:rFonts w:cs="Arial"/>
            <w:i/>
            <w:iCs/>
            <w:sz w:val="16"/>
            <w:szCs w:val="16"/>
          </w:rPr>
          <w:t>PSMA PET For Recurrent Prostate Cancer Is A Game Changer</w:t>
        </w:r>
      </w:hyperlink>
      <w:r w:rsidR="00160208" w:rsidRPr="00C11123">
        <w:rPr>
          <w:rFonts w:cs="Arial"/>
          <w:i/>
          <w:iCs/>
          <w:sz w:val="16"/>
          <w:szCs w:val="16"/>
        </w:rPr>
        <w:t xml:space="preserve">. Provision Diagnostic Imaging. August 10, 2023. Accessed February 17, 2026. </w:t>
      </w:r>
      <w:hyperlink r:id="rId112" w:history="1">
        <w:r w:rsidR="00D412FA" w:rsidRPr="00387ED4">
          <w:rPr>
            <w:rStyle w:val="Hyperlink"/>
            <w:rFonts w:cs="Arial"/>
            <w:i/>
            <w:iCs/>
            <w:sz w:val="16"/>
            <w:szCs w:val="16"/>
          </w:rPr>
          <w:t>https://provisiondiagnosticimaging.com/psma-pet-for-recurrent-prostate-cancer-is-a-game-changer/</w:t>
        </w:r>
      </w:hyperlink>
      <w:r w:rsidR="00D412FA">
        <w:rPr>
          <w:rFonts w:cs="Arial"/>
          <w:i/>
          <w:iCs/>
          <w:sz w:val="16"/>
          <w:szCs w:val="16"/>
        </w:rPr>
        <w:t xml:space="preserve"> </w:t>
      </w:r>
      <w:r w:rsidR="00E22CB9" w:rsidRPr="00C11123">
        <w:rPr>
          <w:sz w:val="16"/>
          <w:szCs w:val="16"/>
        </w:rPr>
        <w:t xml:space="preserve"> </w:t>
      </w:r>
    </w:p>
  </w:footnote>
  <w:footnote w:id="93">
    <w:p w14:paraId="12DA94DC" w14:textId="5F04A149"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CB7593" w:rsidRPr="00C11123">
        <w:rPr>
          <w:sz w:val="16"/>
          <w:szCs w:val="16"/>
        </w:rPr>
        <w:t xml:space="preserve">See e.g., </w:t>
      </w:r>
      <w:r w:rsidR="00CB7593" w:rsidRPr="00C11123">
        <w:rPr>
          <w:rFonts w:cs="Arial"/>
          <w:sz w:val="16"/>
          <w:szCs w:val="16"/>
        </w:rPr>
        <w:t>Fornell</w:t>
      </w:r>
      <w:r w:rsidR="008E3855" w:rsidRPr="00C11123">
        <w:rPr>
          <w:rFonts w:cs="Arial"/>
          <w:sz w:val="16"/>
          <w:szCs w:val="16"/>
        </w:rPr>
        <w:t xml:space="preserve">, </w:t>
      </w:r>
      <w:r w:rsidR="008E3855" w:rsidRPr="00C11123">
        <w:rPr>
          <w:rFonts w:cs="Arial"/>
          <w:i/>
          <w:iCs/>
          <w:sz w:val="16"/>
          <w:szCs w:val="16"/>
        </w:rPr>
        <w:t>supra</w:t>
      </w:r>
      <w:r w:rsidR="008E3855" w:rsidRPr="00C11123">
        <w:rPr>
          <w:rFonts w:cs="Arial"/>
          <w:sz w:val="16"/>
          <w:szCs w:val="16"/>
        </w:rPr>
        <w:t>, note 73</w:t>
      </w:r>
      <w:r w:rsidR="006B1E8F" w:rsidRPr="00C11123">
        <w:rPr>
          <w:rFonts w:cs="Arial"/>
          <w:i/>
          <w:iCs/>
          <w:sz w:val="16"/>
          <w:szCs w:val="16"/>
        </w:rPr>
        <w:t xml:space="preserve">; </w:t>
      </w:r>
      <w:r w:rsidR="00E87294" w:rsidRPr="00C11123">
        <w:rPr>
          <w:rFonts w:cs="Arial"/>
          <w:sz w:val="16"/>
          <w:szCs w:val="16"/>
        </w:rPr>
        <w:t>Lowrance</w:t>
      </w:r>
      <w:r w:rsidR="0012052C" w:rsidRPr="00C11123">
        <w:rPr>
          <w:rFonts w:cs="Arial"/>
          <w:sz w:val="16"/>
          <w:szCs w:val="16"/>
        </w:rPr>
        <w:t xml:space="preserve">, </w:t>
      </w:r>
      <w:r w:rsidR="0012052C" w:rsidRPr="00C11123">
        <w:rPr>
          <w:rFonts w:cs="Arial"/>
          <w:i/>
          <w:iCs/>
          <w:sz w:val="16"/>
          <w:szCs w:val="16"/>
        </w:rPr>
        <w:t>supra</w:t>
      </w:r>
      <w:r w:rsidR="0012052C" w:rsidRPr="00C11123">
        <w:rPr>
          <w:rFonts w:cs="Arial"/>
          <w:sz w:val="16"/>
          <w:szCs w:val="16"/>
        </w:rPr>
        <w:t>, note 81.</w:t>
      </w:r>
    </w:p>
  </w:footnote>
  <w:footnote w:id="94">
    <w:p w14:paraId="5B284B87" w14:textId="0522B79C" w:rsidR="000B076F" w:rsidRPr="00C11123" w:rsidRDefault="00000000" w:rsidP="000B076F">
      <w:pPr>
        <w:pStyle w:val="FootnoteText"/>
        <w:rPr>
          <w:b/>
          <w:bCs/>
          <w:sz w:val="16"/>
          <w:szCs w:val="16"/>
        </w:rPr>
      </w:pPr>
      <w:r w:rsidRPr="00C11123">
        <w:rPr>
          <w:rStyle w:val="FootnoteReference"/>
          <w:sz w:val="16"/>
          <w:szCs w:val="16"/>
        </w:rPr>
        <w:footnoteRef/>
      </w:r>
      <w:r w:rsidRPr="00C11123">
        <w:rPr>
          <w:sz w:val="16"/>
          <w:szCs w:val="16"/>
        </w:rPr>
        <w:t xml:space="preserve"> </w:t>
      </w:r>
      <w:r w:rsidR="008E3855" w:rsidRPr="00C11123">
        <w:rPr>
          <w:sz w:val="16"/>
          <w:szCs w:val="16"/>
        </w:rPr>
        <w:t xml:space="preserve">FDA, </w:t>
      </w:r>
      <w:r w:rsidR="008E3855" w:rsidRPr="00C11123">
        <w:rPr>
          <w:i/>
          <w:iCs/>
          <w:sz w:val="16"/>
          <w:szCs w:val="16"/>
        </w:rPr>
        <w:t>supra</w:t>
      </w:r>
      <w:r w:rsidR="008E3855" w:rsidRPr="00C11123">
        <w:rPr>
          <w:sz w:val="16"/>
          <w:szCs w:val="16"/>
        </w:rPr>
        <w:t xml:space="preserve"> note 94</w:t>
      </w:r>
      <w:r w:rsidRPr="00C11123">
        <w:rPr>
          <w:sz w:val="16"/>
          <w:szCs w:val="16"/>
        </w:rPr>
        <w:t>;</w:t>
      </w:r>
      <w:r w:rsidRPr="00C11123">
        <w:rPr>
          <w:b/>
          <w:bCs/>
          <w:sz w:val="16"/>
          <w:szCs w:val="16"/>
        </w:rPr>
        <w:t xml:space="preserve"> </w:t>
      </w:r>
      <w:r w:rsidR="00016ED8" w:rsidRPr="00C11123">
        <w:rPr>
          <w:rFonts w:cs="Arial"/>
          <w:sz w:val="16"/>
          <w:szCs w:val="16"/>
        </w:rPr>
        <w:t>Fornell</w:t>
      </w:r>
      <w:r w:rsidR="008E3855" w:rsidRPr="00C11123">
        <w:rPr>
          <w:rFonts w:cs="Arial"/>
          <w:sz w:val="16"/>
          <w:szCs w:val="16"/>
        </w:rPr>
        <w:t xml:space="preserve">, </w:t>
      </w:r>
      <w:r w:rsidR="008E3855" w:rsidRPr="00C11123">
        <w:rPr>
          <w:rFonts w:cs="Arial"/>
          <w:i/>
          <w:iCs/>
          <w:sz w:val="16"/>
          <w:szCs w:val="16"/>
        </w:rPr>
        <w:t>supra</w:t>
      </w:r>
      <w:r w:rsidR="008E3855" w:rsidRPr="00C11123">
        <w:rPr>
          <w:rFonts w:cs="Arial"/>
          <w:sz w:val="16"/>
          <w:szCs w:val="16"/>
        </w:rPr>
        <w:t xml:space="preserve"> note 73.</w:t>
      </w:r>
    </w:p>
  </w:footnote>
  <w:footnote w:id="95">
    <w:p w14:paraId="33E65A1A" w14:textId="5C8B8089" w:rsidR="000B076F" w:rsidRPr="00C11123" w:rsidRDefault="00000000" w:rsidP="000B076F">
      <w:pPr>
        <w:pStyle w:val="FootnoteText"/>
        <w:rPr>
          <w:b/>
          <w:bCs/>
          <w:sz w:val="16"/>
          <w:szCs w:val="16"/>
        </w:rPr>
      </w:pPr>
      <w:r w:rsidRPr="00C11123">
        <w:rPr>
          <w:rStyle w:val="FootnoteReference"/>
          <w:sz w:val="16"/>
          <w:szCs w:val="16"/>
        </w:rPr>
        <w:footnoteRef/>
      </w:r>
      <w:r w:rsidRPr="00C11123">
        <w:rPr>
          <w:sz w:val="16"/>
          <w:szCs w:val="16"/>
        </w:rPr>
        <w:t xml:space="preserve"> </w:t>
      </w:r>
      <w:r w:rsidR="0012052C" w:rsidRPr="00C11123">
        <w:rPr>
          <w:rFonts w:cs="Arial"/>
          <w:sz w:val="16"/>
          <w:szCs w:val="16"/>
        </w:rPr>
        <w:t xml:space="preserve">Fornell, </w:t>
      </w:r>
      <w:r w:rsidR="0012052C" w:rsidRPr="00C11123">
        <w:rPr>
          <w:rFonts w:cs="Arial"/>
          <w:i/>
          <w:iCs/>
          <w:sz w:val="16"/>
          <w:szCs w:val="16"/>
        </w:rPr>
        <w:t>supra</w:t>
      </w:r>
      <w:r w:rsidR="0012052C" w:rsidRPr="00C11123">
        <w:rPr>
          <w:rFonts w:cs="Arial"/>
          <w:sz w:val="16"/>
          <w:szCs w:val="16"/>
        </w:rPr>
        <w:t xml:space="preserve"> note 73.</w:t>
      </w:r>
    </w:p>
  </w:footnote>
  <w:footnote w:id="96">
    <w:p w14:paraId="271B6C0B" w14:textId="0376A2B5" w:rsidR="000B076F" w:rsidRPr="00C11123" w:rsidRDefault="00000000" w:rsidP="000B076F">
      <w:pPr>
        <w:pStyle w:val="FootnoteText"/>
        <w:rPr>
          <w:rFonts w:cs="Arial"/>
          <w:sz w:val="16"/>
          <w:szCs w:val="16"/>
        </w:rPr>
      </w:pPr>
      <w:r w:rsidRPr="00C11123">
        <w:rPr>
          <w:rStyle w:val="FootnoteReference"/>
          <w:rFonts w:cs="Arial"/>
          <w:sz w:val="16"/>
          <w:szCs w:val="16"/>
        </w:rPr>
        <w:footnoteRef/>
      </w:r>
      <w:r w:rsidRPr="00C11123">
        <w:rPr>
          <w:rFonts w:cs="Arial"/>
          <w:i/>
          <w:iCs/>
          <w:sz w:val="16"/>
          <w:szCs w:val="16"/>
        </w:rPr>
        <w:t xml:space="preserve"> </w:t>
      </w:r>
      <w:r w:rsidR="0012052C" w:rsidRPr="00C11123">
        <w:rPr>
          <w:rFonts w:cs="Arial"/>
          <w:i/>
          <w:iCs/>
          <w:sz w:val="16"/>
          <w:szCs w:val="16"/>
        </w:rPr>
        <w:t>Id.</w:t>
      </w:r>
    </w:p>
  </w:footnote>
  <w:footnote w:id="97">
    <w:p w14:paraId="620C983E" w14:textId="4F88815E" w:rsidR="000B076F" w:rsidRPr="00C11123" w:rsidRDefault="00000000" w:rsidP="000B076F">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See e.g. </w:t>
      </w:r>
      <w:hyperlink r:id="rId113" w:history="1">
        <w:r w:rsidR="00BE2466" w:rsidRPr="00F87F15">
          <w:rPr>
            <w:rStyle w:val="Hyperlink"/>
            <w:rFonts w:cs="Arial"/>
            <w:sz w:val="16"/>
            <w:szCs w:val="16"/>
          </w:rPr>
          <w:t>Advanced Imaging Accelerates Metastatic Prostate Cancer Care</w:t>
        </w:r>
      </w:hyperlink>
      <w:r w:rsidR="00BE2466" w:rsidRPr="00C11123">
        <w:rPr>
          <w:rFonts w:cs="Arial"/>
          <w:sz w:val="16"/>
          <w:szCs w:val="16"/>
        </w:rPr>
        <w:t xml:space="preserve">. Cleveland Clinic. Accessed February 17, 2026. </w:t>
      </w:r>
      <w:hyperlink r:id="rId114" w:history="1">
        <w:r w:rsidR="00F87F15" w:rsidRPr="00387ED4">
          <w:rPr>
            <w:rStyle w:val="Hyperlink"/>
            <w:rFonts w:cs="Arial"/>
            <w:sz w:val="16"/>
            <w:szCs w:val="16"/>
          </w:rPr>
          <w:t>https://consultqd.clevelandclinic.org/advanced-imaging-accelerates-metastatic-prostate-cancer-care</w:t>
        </w:r>
      </w:hyperlink>
      <w:r w:rsidR="00F87F15">
        <w:rPr>
          <w:rFonts w:cs="Arial"/>
          <w:sz w:val="16"/>
          <w:szCs w:val="16"/>
        </w:rPr>
        <w:t xml:space="preserve"> </w:t>
      </w:r>
      <w:r w:rsidR="00BE2466" w:rsidRPr="00C11123">
        <w:rPr>
          <w:rFonts w:cs="Arial"/>
          <w:sz w:val="16"/>
          <w:szCs w:val="16"/>
        </w:rPr>
        <w:t>.</w:t>
      </w:r>
      <w:r w:rsidR="00812EA4" w:rsidRPr="00C11123">
        <w:rPr>
          <w:rFonts w:cs="Arial"/>
          <w:sz w:val="16"/>
          <w:szCs w:val="16"/>
        </w:rPr>
        <w:t xml:space="preserve"> </w:t>
      </w:r>
    </w:p>
  </w:footnote>
  <w:footnote w:id="98">
    <w:p w14:paraId="18396FD9" w14:textId="6EEB6403" w:rsidR="000B076F" w:rsidRPr="00C11123" w:rsidRDefault="00000000" w:rsidP="000B076F">
      <w:pPr>
        <w:pStyle w:val="FootnoteText"/>
        <w:rPr>
          <w:sz w:val="16"/>
          <w:szCs w:val="16"/>
        </w:rPr>
      </w:pPr>
      <w:r w:rsidRPr="00C11123">
        <w:rPr>
          <w:rStyle w:val="FootnoteReference"/>
          <w:rFonts w:cs="Arial"/>
          <w:sz w:val="16"/>
          <w:szCs w:val="16"/>
        </w:rPr>
        <w:footnoteRef/>
      </w:r>
      <w:r w:rsidRPr="00C11123">
        <w:rPr>
          <w:rFonts w:cs="Arial"/>
          <w:sz w:val="16"/>
          <w:szCs w:val="16"/>
        </w:rPr>
        <w:t xml:space="preserve"> </w:t>
      </w:r>
      <w:r w:rsidR="00C14164" w:rsidRPr="00C11123">
        <w:rPr>
          <w:rFonts w:cs="Arial"/>
          <w:sz w:val="16"/>
          <w:szCs w:val="16"/>
        </w:rPr>
        <w:t>See e.g., Fornell</w:t>
      </w:r>
      <w:r w:rsidR="0012052C" w:rsidRPr="00C11123">
        <w:rPr>
          <w:rFonts w:cs="Arial"/>
          <w:sz w:val="16"/>
          <w:szCs w:val="16"/>
        </w:rPr>
        <w:t xml:space="preserve">, </w:t>
      </w:r>
      <w:r w:rsidR="0012052C" w:rsidRPr="00C11123">
        <w:rPr>
          <w:rFonts w:cs="Arial"/>
          <w:i/>
          <w:iCs/>
          <w:sz w:val="16"/>
          <w:szCs w:val="16"/>
        </w:rPr>
        <w:t>supra</w:t>
      </w:r>
      <w:r w:rsidR="0012052C" w:rsidRPr="00C11123">
        <w:rPr>
          <w:rFonts w:cs="Arial"/>
          <w:sz w:val="16"/>
          <w:szCs w:val="16"/>
        </w:rPr>
        <w:t xml:space="preserve"> note 73</w:t>
      </w:r>
      <w:r w:rsidR="00C14164" w:rsidRPr="00C11123">
        <w:rPr>
          <w:rFonts w:cs="Arial"/>
          <w:sz w:val="16"/>
          <w:szCs w:val="16"/>
        </w:rPr>
        <w:t>; Lowrance</w:t>
      </w:r>
      <w:r w:rsidR="0012052C" w:rsidRPr="00C11123">
        <w:rPr>
          <w:rFonts w:cs="Arial"/>
          <w:sz w:val="16"/>
          <w:szCs w:val="16"/>
        </w:rPr>
        <w:t xml:space="preserve">, </w:t>
      </w:r>
      <w:r w:rsidR="0012052C" w:rsidRPr="00C11123">
        <w:rPr>
          <w:rFonts w:cs="Arial"/>
          <w:i/>
          <w:iCs/>
          <w:sz w:val="16"/>
          <w:szCs w:val="16"/>
        </w:rPr>
        <w:t>supra</w:t>
      </w:r>
      <w:r w:rsidR="0012052C" w:rsidRPr="00C11123">
        <w:rPr>
          <w:rFonts w:cs="Arial"/>
          <w:sz w:val="16"/>
          <w:szCs w:val="16"/>
        </w:rPr>
        <w:t xml:space="preserve"> note 81</w:t>
      </w:r>
      <w:r w:rsidR="00C14164" w:rsidRPr="00C11123">
        <w:rPr>
          <w:rFonts w:cs="Arial"/>
          <w:sz w:val="16"/>
          <w:szCs w:val="16"/>
        </w:rPr>
        <w:t xml:space="preserve"> (“</w:t>
      </w:r>
      <w:r w:rsidR="00C14164" w:rsidRPr="00C11123">
        <w:rPr>
          <w:rFonts w:cs="Arial"/>
          <w:sz w:val="16"/>
          <w:szCs w:val="16"/>
          <w:lang w:val="x-none"/>
        </w:rPr>
        <w:t>Utilization of PSMA PET may lead to the diagnosis of metastatic disease not previously detected with conventional imaging.”)</w:t>
      </w:r>
      <w:r w:rsidR="00C14164" w:rsidRPr="00C11123">
        <w:rPr>
          <w:rFonts w:cs="Arial"/>
          <w:sz w:val="16"/>
          <w:szCs w:val="16"/>
        </w:rPr>
        <w:t xml:space="preserve">  </w:t>
      </w:r>
    </w:p>
  </w:footnote>
  <w:footnote w:id="99">
    <w:p w14:paraId="6DF54677" w14:textId="150B9DB1" w:rsidR="000B076F" w:rsidRPr="00C11123" w:rsidRDefault="00000000" w:rsidP="000B076F">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12052C" w:rsidRPr="00C11123">
        <w:rPr>
          <w:rFonts w:cs="Arial"/>
          <w:sz w:val="16"/>
          <w:szCs w:val="16"/>
        </w:rPr>
        <w:t xml:space="preserve">Fornell, </w:t>
      </w:r>
      <w:r w:rsidR="0012052C" w:rsidRPr="00C11123">
        <w:rPr>
          <w:rFonts w:cs="Arial"/>
          <w:i/>
          <w:iCs/>
          <w:sz w:val="16"/>
          <w:szCs w:val="16"/>
        </w:rPr>
        <w:t>supra</w:t>
      </w:r>
      <w:r w:rsidR="0012052C" w:rsidRPr="00C11123">
        <w:rPr>
          <w:rFonts w:cs="Arial"/>
          <w:sz w:val="16"/>
          <w:szCs w:val="16"/>
        </w:rPr>
        <w:t xml:space="preserve"> note 73</w:t>
      </w:r>
      <w:r w:rsidR="009C1850" w:rsidRPr="00C11123">
        <w:rPr>
          <w:rFonts w:cs="Arial"/>
          <w:sz w:val="16"/>
          <w:szCs w:val="16"/>
        </w:rPr>
        <w:t xml:space="preserve">; </w:t>
      </w:r>
      <w:r w:rsidR="0012052C" w:rsidRPr="00C11123">
        <w:rPr>
          <w:rFonts w:cs="Arial"/>
          <w:sz w:val="16"/>
          <w:szCs w:val="16"/>
        </w:rPr>
        <w:t xml:space="preserve">Islam, </w:t>
      </w:r>
      <w:r w:rsidR="0012052C" w:rsidRPr="00C11123">
        <w:rPr>
          <w:rFonts w:cs="Arial"/>
          <w:i/>
          <w:iCs/>
          <w:sz w:val="16"/>
          <w:szCs w:val="16"/>
        </w:rPr>
        <w:t>supra</w:t>
      </w:r>
      <w:r w:rsidR="0012052C" w:rsidRPr="00C11123">
        <w:rPr>
          <w:rFonts w:cs="Arial"/>
          <w:sz w:val="16"/>
          <w:szCs w:val="16"/>
        </w:rPr>
        <w:t xml:space="preserve"> note 71.</w:t>
      </w:r>
    </w:p>
  </w:footnote>
  <w:footnote w:id="100">
    <w:p w14:paraId="759D2635" w14:textId="517935B4" w:rsidR="000B076F" w:rsidRPr="00C11123" w:rsidRDefault="00000000" w:rsidP="000B076F">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A869D1" w:rsidRPr="00C11123">
        <w:rPr>
          <w:rFonts w:cs="Arial"/>
          <w:sz w:val="16"/>
          <w:szCs w:val="16"/>
        </w:rPr>
        <w:t xml:space="preserve">See e.g., </w:t>
      </w:r>
      <w:hyperlink r:id="rId115" w:history="1">
        <w:r w:rsidR="00BE2466" w:rsidRPr="00F87F15">
          <w:rPr>
            <w:rStyle w:val="Hyperlink"/>
            <w:rFonts w:cs="Arial"/>
            <w:sz w:val="16"/>
            <w:szCs w:val="16"/>
          </w:rPr>
          <w:t>Advanced Imaging Accelerates Metastatic Prostate Cancer Care</w:t>
        </w:r>
      </w:hyperlink>
      <w:r w:rsidR="00BE2466" w:rsidRPr="00C11123">
        <w:rPr>
          <w:rFonts w:cs="Arial"/>
          <w:sz w:val="16"/>
          <w:szCs w:val="16"/>
        </w:rPr>
        <w:t xml:space="preserve">. Cleveland Clinic. Accessed February 17, 2026. </w:t>
      </w:r>
      <w:hyperlink r:id="rId116" w:history="1">
        <w:r w:rsidR="00F87F15" w:rsidRPr="00387ED4">
          <w:rPr>
            <w:rStyle w:val="Hyperlink"/>
            <w:rFonts w:cs="Arial"/>
            <w:sz w:val="16"/>
            <w:szCs w:val="16"/>
          </w:rPr>
          <w:t>https://consultqd.clevelandclinic.org/advanced-imaging-accelerates-metastatic-prostate-cancer-care</w:t>
        </w:r>
      </w:hyperlink>
      <w:r w:rsidR="00F87F15">
        <w:rPr>
          <w:rFonts w:cs="Arial"/>
          <w:sz w:val="16"/>
          <w:szCs w:val="16"/>
        </w:rPr>
        <w:t xml:space="preserve"> </w:t>
      </w:r>
      <w:r w:rsidR="00E109E6" w:rsidRPr="00C11123">
        <w:rPr>
          <w:rFonts w:cs="Arial"/>
          <w:sz w:val="16"/>
          <w:szCs w:val="16"/>
        </w:rPr>
        <w:t xml:space="preserve">; Tallman J. </w:t>
      </w:r>
      <w:hyperlink r:id="rId117" w:history="1">
        <w:r w:rsidR="00E109E6" w:rsidRPr="00F87F15">
          <w:rPr>
            <w:rStyle w:val="Hyperlink"/>
            <w:rFonts w:cs="Arial"/>
            <w:sz w:val="16"/>
            <w:szCs w:val="16"/>
          </w:rPr>
          <w:t>Update on advanced imaging in prostate cancer</w:t>
        </w:r>
      </w:hyperlink>
      <w:r w:rsidR="00E109E6" w:rsidRPr="00C11123">
        <w:rPr>
          <w:rFonts w:cs="Arial"/>
          <w:sz w:val="16"/>
          <w:szCs w:val="16"/>
        </w:rPr>
        <w:t xml:space="preserve">, Urology Times, Updated January 27, 2022. Accessed February 22, 2026. </w:t>
      </w:r>
      <w:hyperlink r:id="rId118" w:history="1">
        <w:r w:rsidR="00F87F15" w:rsidRPr="00387ED4">
          <w:rPr>
            <w:rStyle w:val="Hyperlink"/>
            <w:rFonts w:cs="Arial"/>
            <w:sz w:val="16"/>
            <w:szCs w:val="16"/>
          </w:rPr>
          <w:t>https://www.urologytimes.com/view/update-on-advanced-imaging-in-prostate-cancer</w:t>
        </w:r>
      </w:hyperlink>
      <w:r w:rsidR="00F87F15">
        <w:rPr>
          <w:rFonts w:cs="Arial"/>
          <w:sz w:val="16"/>
          <w:szCs w:val="16"/>
        </w:rPr>
        <w:t xml:space="preserve"> </w:t>
      </w:r>
      <w:r w:rsidR="00E109E6" w:rsidRPr="00C11123">
        <w:rPr>
          <w:rFonts w:cs="Arial"/>
          <w:sz w:val="16"/>
          <w:szCs w:val="16"/>
        </w:rPr>
        <w:t xml:space="preserve"> </w:t>
      </w:r>
    </w:p>
  </w:footnote>
  <w:footnote w:id="101">
    <w:p w14:paraId="6EC5BF5C" w14:textId="5FE3041E" w:rsidR="00B433B0" w:rsidRPr="00C11123" w:rsidRDefault="00000000" w:rsidP="005023C6">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w:t>
      </w:r>
      <w:proofErr w:type="spellStart"/>
      <w:r w:rsidR="0068286A" w:rsidRPr="00C11123">
        <w:rPr>
          <w:rFonts w:cs="Arial"/>
          <w:sz w:val="16"/>
          <w:szCs w:val="16"/>
        </w:rPr>
        <w:t>Cereser</w:t>
      </w:r>
      <w:proofErr w:type="spellEnd"/>
      <w:r w:rsidR="0068286A" w:rsidRPr="00C11123">
        <w:rPr>
          <w:rFonts w:cs="Arial"/>
          <w:sz w:val="16"/>
          <w:szCs w:val="16"/>
        </w:rPr>
        <w:t xml:space="preserve"> L, Evangelista L, </w:t>
      </w:r>
      <w:proofErr w:type="spellStart"/>
      <w:r w:rsidR="0068286A" w:rsidRPr="00C11123">
        <w:rPr>
          <w:rFonts w:cs="Arial"/>
          <w:sz w:val="16"/>
          <w:szCs w:val="16"/>
        </w:rPr>
        <w:t>Giannarini</w:t>
      </w:r>
      <w:proofErr w:type="spellEnd"/>
      <w:r w:rsidR="0068286A" w:rsidRPr="00C11123">
        <w:rPr>
          <w:rFonts w:cs="Arial"/>
          <w:sz w:val="16"/>
          <w:szCs w:val="16"/>
        </w:rPr>
        <w:t xml:space="preserve"> G, </w:t>
      </w:r>
      <w:proofErr w:type="spellStart"/>
      <w:r w:rsidR="0068286A" w:rsidRPr="00C11123">
        <w:rPr>
          <w:rFonts w:cs="Arial"/>
          <w:sz w:val="16"/>
          <w:szCs w:val="16"/>
        </w:rPr>
        <w:t>Girometti</w:t>
      </w:r>
      <w:proofErr w:type="spellEnd"/>
      <w:r w:rsidR="0068286A" w:rsidRPr="00C11123">
        <w:rPr>
          <w:rFonts w:cs="Arial"/>
          <w:sz w:val="16"/>
          <w:szCs w:val="16"/>
        </w:rPr>
        <w:t xml:space="preserve"> R. </w:t>
      </w:r>
      <w:hyperlink r:id="rId119" w:history="1">
        <w:r w:rsidR="0068286A" w:rsidRPr="00F37704">
          <w:rPr>
            <w:rStyle w:val="Hyperlink"/>
            <w:rFonts w:cs="Arial"/>
            <w:sz w:val="16"/>
            <w:szCs w:val="16"/>
          </w:rPr>
          <w:t xml:space="preserve">Prostate MRI and PSMA-PET in the Primary Diagnosis of Prostate Cancer. </w:t>
        </w:r>
      </w:hyperlink>
      <w:r w:rsidR="0068286A" w:rsidRPr="00C11123">
        <w:rPr>
          <w:rFonts w:cs="Arial"/>
          <w:i/>
          <w:iCs/>
          <w:sz w:val="16"/>
          <w:szCs w:val="16"/>
        </w:rPr>
        <w:t>Diagnostics (Basel)</w:t>
      </w:r>
      <w:r w:rsidR="0068286A" w:rsidRPr="00C11123">
        <w:rPr>
          <w:rFonts w:cs="Arial"/>
          <w:sz w:val="16"/>
          <w:szCs w:val="16"/>
        </w:rPr>
        <w:t>. 2023;13(16):2697. doi:10.3390/diagnostics13162697</w:t>
      </w:r>
      <w:r w:rsidR="00C83D9C" w:rsidRPr="00C11123">
        <w:rPr>
          <w:rFonts w:cs="Arial"/>
          <w:sz w:val="16"/>
          <w:szCs w:val="16"/>
        </w:rPr>
        <w:t xml:space="preserve">. Accessed February 22, 2026. </w:t>
      </w:r>
      <w:hyperlink r:id="rId120" w:history="1">
        <w:r w:rsidR="00F37704" w:rsidRPr="00387ED4">
          <w:rPr>
            <w:rStyle w:val="Hyperlink"/>
            <w:rFonts w:cs="Arial"/>
            <w:sz w:val="16"/>
            <w:szCs w:val="16"/>
          </w:rPr>
          <w:t>https://pmc.ncbi.nlm.nih.gov/articles/PMC10453091/pdf/diagnostics-13-02697.pdf</w:t>
        </w:r>
      </w:hyperlink>
      <w:r w:rsidR="00F37704">
        <w:rPr>
          <w:rFonts w:cs="Arial"/>
          <w:sz w:val="16"/>
          <w:szCs w:val="16"/>
        </w:rPr>
        <w:t xml:space="preserve"> </w:t>
      </w:r>
      <w:r w:rsidR="00FF37A6" w:rsidRPr="00C11123">
        <w:rPr>
          <w:rFonts w:cs="Arial"/>
          <w:sz w:val="16"/>
          <w:szCs w:val="16"/>
        </w:rPr>
        <w:t xml:space="preserve">; see also </w:t>
      </w:r>
      <w:r w:rsidR="002215B0" w:rsidRPr="00C11123">
        <w:rPr>
          <w:rFonts w:cs="Arial"/>
          <w:sz w:val="16"/>
          <w:szCs w:val="16"/>
        </w:rPr>
        <w:t xml:space="preserve">Clista B. </w:t>
      </w:r>
      <w:hyperlink r:id="rId121" w:history="1">
        <w:r w:rsidR="002215B0" w:rsidRPr="00F37704">
          <w:rPr>
            <w:rStyle w:val="Hyperlink"/>
            <w:rFonts w:cs="Arial"/>
            <w:sz w:val="16"/>
            <w:szCs w:val="16"/>
          </w:rPr>
          <w:t xml:space="preserve">What Is a PET Scan for Prostate Cancer? </w:t>
        </w:r>
      </w:hyperlink>
      <w:proofErr w:type="spellStart"/>
      <w:r w:rsidR="002215B0" w:rsidRPr="00C11123">
        <w:rPr>
          <w:rFonts w:cs="Arial"/>
          <w:sz w:val="16"/>
          <w:szCs w:val="16"/>
        </w:rPr>
        <w:t>GoodRx</w:t>
      </w:r>
      <w:proofErr w:type="spellEnd"/>
      <w:r w:rsidR="002215B0" w:rsidRPr="00C11123">
        <w:rPr>
          <w:rFonts w:cs="Arial"/>
          <w:sz w:val="16"/>
          <w:szCs w:val="16"/>
        </w:rPr>
        <w:t xml:space="preserve">. Published December 21, 2021. Accessed February 20, 2026. </w:t>
      </w:r>
      <w:hyperlink r:id="rId122" w:history="1">
        <w:r w:rsidR="00F37704" w:rsidRPr="00387ED4">
          <w:rPr>
            <w:rStyle w:val="Hyperlink"/>
            <w:rFonts w:cs="Arial"/>
            <w:sz w:val="16"/>
            <w:szCs w:val="16"/>
          </w:rPr>
          <w:t>https://www.goodrx.com/conditions/prostate-cancer/what-is-a-pet-scan?srsltid=AfmBOopII_DEhF83hV8H6wDxPFx6bVjzE013N1wYZBn2W8dsnQg1IEKS</w:t>
        </w:r>
      </w:hyperlink>
      <w:r w:rsidR="00F37704">
        <w:rPr>
          <w:rFonts w:cs="Arial"/>
          <w:sz w:val="16"/>
          <w:szCs w:val="16"/>
        </w:rPr>
        <w:t xml:space="preserve"> </w:t>
      </w:r>
      <w:r w:rsidR="005023C6" w:rsidRPr="00C11123">
        <w:rPr>
          <w:rFonts w:cs="Arial"/>
          <w:sz w:val="16"/>
          <w:szCs w:val="16"/>
        </w:rPr>
        <w:t xml:space="preserve">; see also Phillips C. </w:t>
      </w:r>
      <w:hyperlink r:id="rId123" w:history="1">
        <w:r w:rsidR="005023C6" w:rsidRPr="00F37704">
          <w:rPr>
            <w:rStyle w:val="Hyperlink"/>
            <w:rFonts w:cs="Arial"/>
            <w:sz w:val="16"/>
            <w:szCs w:val="16"/>
          </w:rPr>
          <w:t>PSMA PET-CT Accurately Detects Prostate Cancer Spread - NCI</w:t>
        </w:r>
      </w:hyperlink>
      <w:r w:rsidR="005023C6" w:rsidRPr="00C11123">
        <w:rPr>
          <w:rFonts w:cs="Arial"/>
          <w:sz w:val="16"/>
          <w:szCs w:val="16"/>
        </w:rPr>
        <w:t xml:space="preserve">. May 11, 2020. Accessed February 17, 2026. </w:t>
      </w:r>
      <w:hyperlink r:id="rId124" w:history="1">
        <w:r w:rsidR="00522B63" w:rsidRPr="00387ED4">
          <w:rPr>
            <w:rStyle w:val="Hyperlink"/>
            <w:rFonts w:cs="Arial"/>
            <w:sz w:val="16"/>
            <w:szCs w:val="16"/>
          </w:rPr>
          <w:t>https://www.cancer.gov/news-events/cancer-currents-blog/2020/prostate-cancer-psma-pet-ct-metastasis</w:t>
        </w:r>
      </w:hyperlink>
      <w:r w:rsidR="00522B63">
        <w:rPr>
          <w:rFonts w:cs="Arial"/>
          <w:sz w:val="16"/>
          <w:szCs w:val="16"/>
        </w:rPr>
        <w:t xml:space="preserve"> </w:t>
      </w:r>
    </w:p>
  </w:footnote>
  <w:footnote w:id="102">
    <w:p w14:paraId="28CFBD83" w14:textId="449F243F" w:rsidR="000B076F" w:rsidRPr="00C11123" w:rsidRDefault="00000000" w:rsidP="005023C6">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12052C" w:rsidRPr="00C11123">
        <w:rPr>
          <w:rFonts w:cs="Arial"/>
          <w:sz w:val="16"/>
          <w:szCs w:val="16"/>
        </w:rPr>
        <w:t xml:space="preserve">Wang, </w:t>
      </w:r>
      <w:r w:rsidR="0012052C" w:rsidRPr="00C11123">
        <w:rPr>
          <w:rFonts w:cs="Arial"/>
          <w:i/>
          <w:iCs/>
          <w:sz w:val="16"/>
          <w:szCs w:val="16"/>
        </w:rPr>
        <w:t>supra</w:t>
      </w:r>
      <w:r w:rsidR="0012052C" w:rsidRPr="00C11123">
        <w:rPr>
          <w:rFonts w:cs="Arial"/>
          <w:sz w:val="16"/>
          <w:szCs w:val="16"/>
        </w:rPr>
        <w:t xml:space="preserve"> note 87.</w:t>
      </w:r>
    </w:p>
  </w:footnote>
  <w:footnote w:id="103">
    <w:p w14:paraId="2F725F74" w14:textId="66111830" w:rsidR="000B076F" w:rsidRPr="00C11123" w:rsidRDefault="00000000" w:rsidP="00CD36BB">
      <w:pPr>
        <w:spacing w:after="0" w:line="240" w:lineRule="auto"/>
        <w:rPr>
          <w:sz w:val="16"/>
          <w:szCs w:val="16"/>
        </w:rPr>
      </w:pPr>
      <w:r w:rsidRPr="00C11123">
        <w:rPr>
          <w:rStyle w:val="FootnoteReference"/>
          <w:rFonts w:cs="Arial"/>
          <w:sz w:val="16"/>
          <w:szCs w:val="16"/>
        </w:rPr>
        <w:footnoteRef/>
      </w:r>
      <w:r w:rsidRPr="00C11123">
        <w:rPr>
          <w:rFonts w:cs="Arial"/>
          <w:sz w:val="16"/>
          <w:szCs w:val="16"/>
        </w:rPr>
        <w:t xml:space="preserve"> </w:t>
      </w:r>
      <w:r w:rsidRPr="00C11123">
        <w:rPr>
          <w:rFonts w:cs="Arial"/>
          <w:i/>
          <w:iCs/>
          <w:sz w:val="16"/>
          <w:szCs w:val="16"/>
        </w:rPr>
        <w:t>See</w:t>
      </w:r>
      <w:r w:rsidRPr="00C11123">
        <w:rPr>
          <w:rFonts w:cs="Arial"/>
          <w:sz w:val="16"/>
          <w:szCs w:val="16"/>
        </w:rPr>
        <w:t xml:space="preserve"> </w:t>
      </w:r>
      <w:proofErr w:type="spellStart"/>
      <w:r w:rsidR="0068286A" w:rsidRPr="00C11123">
        <w:rPr>
          <w:rFonts w:cs="Arial"/>
          <w:sz w:val="16"/>
          <w:szCs w:val="16"/>
        </w:rPr>
        <w:t>Holzgreve</w:t>
      </w:r>
      <w:proofErr w:type="spellEnd"/>
      <w:r w:rsidR="0068286A" w:rsidRPr="00C11123">
        <w:rPr>
          <w:rFonts w:cs="Arial"/>
          <w:sz w:val="16"/>
          <w:szCs w:val="16"/>
        </w:rPr>
        <w:t xml:space="preserve"> A, Armstrong WR, Clark KJ, et al. </w:t>
      </w:r>
      <w:hyperlink r:id="rId125" w:history="1">
        <w:r w:rsidR="0068286A" w:rsidRPr="00B96CFD">
          <w:rPr>
            <w:rStyle w:val="Hyperlink"/>
            <w:rFonts w:cs="Arial"/>
            <w:sz w:val="16"/>
            <w:szCs w:val="16"/>
          </w:rPr>
          <w:t>PSMA-PET/CT Findings in Patients With High-Risk Biochemically Recurrent Prostate Cancer With No Metastatic Disease by Conventional Imaging</w:t>
        </w:r>
      </w:hyperlink>
      <w:r w:rsidR="0068286A" w:rsidRPr="00C11123">
        <w:rPr>
          <w:rFonts w:cs="Arial"/>
          <w:sz w:val="16"/>
          <w:szCs w:val="16"/>
        </w:rPr>
        <w:t xml:space="preserve">. </w:t>
      </w:r>
      <w:r w:rsidR="0068286A" w:rsidRPr="00C11123">
        <w:rPr>
          <w:rFonts w:cs="Arial"/>
          <w:i/>
          <w:iCs/>
          <w:sz w:val="16"/>
          <w:szCs w:val="16"/>
        </w:rPr>
        <w:t xml:space="preserve">JAMA </w:t>
      </w:r>
      <w:proofErr w:type="spellStart"/>
      <w:r w:rsidR="0068286A" w:rsidRPr="00C11123">
        <w:rPr>
          <w:rFonts w:cs="Arial"/>
          <w:i/>
          <w:iCs/>
          <w:sz w:val="16"/>
          <w:szCs w:val="16"/>
        </w:rPr>
        <w:t>Netw</w:t>
      </w:r>
      <w:proofErr w:type="spellEnd"/>
      <w:r w:rsidR="0068286A" w:rsidRPr="00C11123">
        <w:rPr>
          <w:rFonts w:cs="Arial"/>
          <w:i/>
          <w:iCs/>
          <w:sz w:val="16"/>
          <w:szCs w:val="16"/>
        </w:rPr>
        <w:t xml:space="preserve"> Open</w:t>
      </w:r>
      <w:r w:rsidR="0068286A" w:rsidRPr="00C11123">
        <w:rPr>
          <w:rFonts w:cs="Arial"/>
          <w:sz w:val="16"/>
          <w:szCs w:val="16"/>
        </w:rPr>
        <w:t>. 2025;8(1</w:t>
      </w:r>
      <w:proofErr w:type="gramStart"/>
      <w:r w:rsidR="0068286A" w:rsidRPr="00C11123">
        <w:rPr>
          <w:rFonts w:cs="Arial"/>
          <w:sz w:val="16"/>
          <w:szCs w:val="16"/>
        </w:rPr>
        <w:t>):e</w:t>
      </w:r>
      <w:proofErr w:type="gramEnd"/>
      <w:r w:rsidR="0068286A" w:rsidRPr="00C11123">
        <w:rPr>
          <w:rFonts w:cs="Arial"/>
          <w:sz w:val="16"/>
          <w:szCs w:val="16"/>
        </w:rPr>
        <w:t>2452971. doi:10.1001/jamanetworkopen.2024.52971</w:t>
      </w:r>
      <w:r w:rsidR="005023C6" w:rsidRPr="00C11123">
        <w:rPr>
          <w:rFonts w:cs="Arial"/>
          <w:sz w:val="16"/>
          <w:szCs w:val="16"/>
        </w:rPr>
        <w:t xml:space="preserve">. Accessed February 22, 2026. </w:t>
      </w:r>
      <w:hyperlink r:id="rId126" w:history="1">
        <w:r w:rsidR="00B96CFD" w:rsidRPr="00387ED4">
          <w:rPr>
            <w:rStyle w:val="Hyperlink"/>
            <w:rFonts w:cs="Arial"/>
            <w:sz w:val="16"/>
            <w:szCs w:val="16"/>
          </w:rPr>
          <w:t>https://jamanetwork.com/journals/jamanetworkopen/fullarticle/2828651</w:t>
        </w:r>
      </w:hyperlink>
      <w:r w:rsidR="00B96CFD">
        <w:rPr>
          <w:rFonts w:cs="Arial"/>
          <w:sz w:val="16"/>
          <w:szCs w:val="16"/>
        </w:rPr>
        <w:t xml:space="preserve"> </w:t>
      </w:r>
      <w:r w:rsidR="0068286A" w:rsidRPr="00C11123">
        <w:rPr>
          <w:rFonts w:cs="Arial"/>
          <w:sz w:val="16"/>
          <w:szCs w:val="16"/>
        </w:rPr>
        <w:t>;</w:t>
      </w:r>
      <w:r w:rsidR="0068286A" w:rsidRPr="00C11123">
        <w:rPr>
          <w:rFonts w:cs="Arial"/>
          <w:i/>
          <w:iCs/>
          <w:sz w:val="16"/>
          <w:szCs w:val="16"/>
        </w:rPr>
        <w:t xml:space="preserve"> </w:t>
      </w:r>
      <w:r w:rsidRPr="00C11123">
        <w:rPr>
          <w:rFonts w:cs="Arial"/>
          <w:sz w:val="16"/>
          <w:szCs w:val="16"/>
        </w:rPr>
        <w:t>see also</w:t>
      </w:r>
      <w:r w:rsidR="005023C6" w:rsidRPr="00C11123">
        <w:rPr>
          <w:rFonts w:cs="Arial"/>
          <w:sz w:val="16"/>
          <w:szCs w:val="16"/>
        </w:rPr>
        <w:t xml:space="preserve"> Phillips C.</w:t>
      </w:r>
      <w:r w:rsidRPr="00C11123">
        <w:rPr>
          <w:rFonts w:cs="Arial"/>
          <w:sz w:val="16"/>
          <w:szCs w:val="16"/>
        </w:rPr>
        <w:t xml:space="preserve"> </w:t>
      </w:r>
      <w:hyperlink r:id="rId127" w:history="1">
        <w:r w:rsidR="0068286A" w:rsidRPr="00B96CFD">
          <w:rPr>
            <w:rStyle w:val="Hyperlink"/>
            <w:rFonts w:cs="Arial"/>
            <w:sz w:val="16"/>
            <w:szCs w:val="16"/>
          </w:rPr>
          <w:t>PSMA PET-CT Accurately Detects Prostate Cancer Spread - NCI</w:t>
        </w:r>
      </w:hyperlink>
      <w:r w:rsidR="0068286A" w:rsidRPr="00C11123">
        <w:rPr>
          <w:rFonts w:cs="Arial"/>
          <w:sz w:val="16"/>
          <w:szCs w:val="16"/>
        </w:rPr>
        <w:t xml:space="preserve">. May 11, 2020. Accessed February 17, 2026. </w:t>
      </w:r>
      <w:hyperlink r:id="rId128" w:history="1">
        <w:r w:rsidR="00C12C4A" w:rsidRPr="00387ED4">
          <w:rPr>
            <w:rStyle w:val="Hyperlink"/>
            <w:rFonts w:cs="Arial"/>
            <w:sz w:val="16"/>
            <w:szCs w:val="16"/>
          </w:rPr>
          <w:t>https://www.cancer.gov/news-events/cancer-currents-blog/2020/prostate-cancer-psma-pet-ct-metastasis</w:t>
        </w:r>
      </w:hyperlink>
      <w:r w:rsidR="00C12C4A">
        <w:rPr>
          <w:rFonts w:cs="Arial"/>
          <w:sz w:val="16"/>
          <w:szCs w:val="16"/>
        </w:rPr>
        <w:t xml:space="preserve"> </w:t>
      </w:r>
      <w:r w:rsidR="005023C6" w:rsidRPr="00C11123">
        <w:rPr>
          <w:rFonts w:cs="Arial"/>
          <w:sz w:val="16"/>
          <w:szCs w:val="16"/>
        </w:rPr>
        <w:t xml:space="preserve"> </w:t>
      </w:r>
      <w:r w:rsidRPr="00C11123">
        <w:rPr>
          <w:sz w:val="16"/>
          <w:szCs w:val="16"/>
        </w:rPr>
        <w:t>(“PSMA PET-CT was more accurate for both metastases found in lymph nodes in the pelvis and in more distant parts of the body, including bone. Radiation exposure was also substantially lower with PSMA PET-CT than with the conventional approach.”)</w:t>
      </w:r>
      <w:r w:rsidR="0068286A" w:rsidRPr="00C11123">
        <w:rPr>
          <w:sz w:val="16"/>
          <w:szCs w:val="16"/>
        </w:rPr>
        <w:t>.</w:t>
      </w:r>
      <w:r w:rsidR="003C3F01" w:rsidRPr="00C11123">
        <w:rPr>
          <w:sz w:val="16"/>
          <w:szCs w:val="16"/>
        </w:rPr>
        <w:t xml:space="preserve"> </w:t>
      </w:r>
    </w:p>
  </w:footnote>
  <w:footnote w:id="104">
    <w:p w14:paraId="51C4A581" w14:textId="77160EAA" w:rsidR="000B076F" w:rsidRPr="00C11123" w:rsidRDefault="00000000" w:rsidP="005023C6">
      <w:pPr>
        <w:pStyle w:val="FootnoteText"/>
        <w:rPr>
          <w:sz w:val="16"/>
          <w:szCs w:val="16"/>
        </w:rPr>
      </w:pPr>
      <w:r w:rsidRPr="00C11123">
        <w:rPr>
          <w:rStyle w:val="FootnoteReference"/>
          <w:sz w:val="16"/>
          <w:szCs w:val="16"/>
        </w:rPr>
        <w:footnoteRef/>
      </w:r>
      <w:r w:rsidRPr="00C11123">
        <w:rPr>
          <w:sz w:val="16"/>
          <w:szCs w:val="16"/>
        </w:rPr>
        <w:t xml:space="preserve"> </w:t>
      </w:r>
      <w:r w:rsidR="00CC3533" w:rsidRPr="00C11123">
        <w:rPr>
          <w:rFonts w:cs="Arial"/>
          <w:sz w:val="16"/>
          <w:szCs w:val="16"/>
        </w:rPr>
        <w:t>Lowrance</w:t>
      </w:r>
      <w:r w:rsidR="0012052C" w:rsidRPr="00C11123">
        <w:rPr>
          <w:rFonts w:cs="Arial"/>
          <w:sz w:val="16"/>
          <w:szCs w:val="16"/>
        </w:rPr>
        <w:t xml:space="preserve">, </w:t>
      </w:r>
      <w:r w:rsidR="0012052C" w:rsidRPr="00C11123">
        <w:rPr>
          <w:rFonts w:cs="Arial"/>
          <w:i/>
          <w:iCs/>
          <w:sz w:val="16"/>
          <w:szCs w:val="16"/>
        </w:rPr>
        <w:t>supra</w:t>
      </w:r>
      <w:r w:rsidR="0012052C" w:rsidRPr="00C11123">
        <w:rPr>
          <w:rFonts w:cs="Arial"/>
          <w:sz w:val="16"/>
          <w:szCs w:val="16"/>
        </w:rPr>
        <w:t xml:space="preserve"> note 81.</w:t>
      </w:r>
    </w:p>
  </w:footnote>
  <w:footnote w:id="105">
    <w:p w14:paraId="000E20D5" w14:textId="03387A72" w:rsidR="000B076F" w:rsidRPr="00C11123" w:rsidRDefault="00000000" w:rsidP="00CD36BB">
      <w:pPr>
        <w:spacing w:after="0" w:line="240" w:lineRule="auto"/>
        <w:rPr>
          <w:sz w:val="16"/>
          <w:szCs w:val="16"/>
        </w:rPr>
      </w:pPr>
      <w:r w:rsidRPr="00C11123">
        <w:rPr>
          <w:rStyle w:val="FootnoteReference"/>
          <w:sz w:val="16"/>
          <w:szCs w:val="16"/>
        </w:rPr>
        <w:footnoteRef/>
      </w:r>
      <w:r w:rsidRPr="00C11123">
        <w:rPr>
          <w:sz w:val="16"/>
          <w:szCs w:val="16"/>
        </w:rPr>
        <w:t xml:space="preserve"> </w:t>
      </w:r>
      <w:r w:rsidR="00167687" w:rsidRPr="00C11123">
        <w:rPr>
          <w:rFonts w:cs="Arial"/>
          <w:sz w:val="16"/>
          <w:szCs w:val="16"/>
        </w:rPr>
        <w:t>Phillips</w:t>
      </w:r>
      <w:r w:rsidR="0012052C" w:rsidRPr="00C11123">
        <w:rPr>
          <w:rFonts w:cs="Arial"/>
          <w:sz w:val="16"/>
          <w:szCs w:val="16"/>
        </w:rPr>
        <w:t xml:space="preserve">, </w:t>
      </w:r>
      <w:r w:rsidR="0012052C" w:rsidRPr="00C11123">
        <w:rPr>
          <w:rFonts w:cs="Arial"/>
          <w:i/>
          <w:iCs/>
          <w:sz w:val="16"/>
          <w:szCs w:val="16"/>
        </w:rPr>
        <w:t>supra</w:t>
      </w:r>
      <w:r w:rsidR="0012052C" w:rsidRPr="00C11123">
        <w:rPr>
          <w:rFonts w:cs="Arial"/>
          <w:sz w:val="16"/>
          <w:szCs w:val="16"/>
        </w:rPr>
        <w:t xml:space="preserve"> note 107.</w:t>
      </w:r>
      <w:r w:rsidR="0012052C" w:rsidRPr="00C11123">
        <w:rPr>
          <w:sz w:val="16"/>
          <w:szCs w:val="16"/>
        </w:rPr>
        <w:t xml:space="preserve"> </w:t>
      </w:r>
    </w:p>
  </w:footnote>
  <w:footnote w:id="106">
    <w:p w14:paraId="390E2C20" w14:textId="11A5733C" w:rsidR="000B076F" w:rsidRPr="00C11123" w:rsidRDefault="00000000" w:rsidP="005023C6">
      <w:pPr>
        <w:pStyle w:val="FootnoteText"/>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8D2C29" w:rsidRPr="00C11123">
        <w:rPr>
          <w:rFonts w:cs="Arial"/>
          <w:sz w:val="16"/>
          <w:szCs w:val="16"/>
        </w:rPr>
        <w:t xml:space="preserve">See </w:t>
      </w:r>
      <w:r w:rsidR="0012052C" w:rsidRPr="00C11123">
        <w:rPr>
          <w:rFonts w:cs="Arial"/>
          <w:i/>
          <w:iCs/>
          <w:sz w:val="16"/>
          <w:szCs w:val="16"/>
        </w:rPr>
        <w:t>Id.</w:t>
      </w:r>
    </w:p>
  </w:footnote>
  <w:footnote w:id="107">
    <w:p w14:paraId="6FBF8990" w14:textId="2EB7B95F" w:rsidR="000B076F" w:rsidRPr="00C11123" w:rsidRDefault="00000000" w:rsidP="00CD36BB">
      <w:pPr>
        <w:spacing w:after="0" w:line="240" w:lineRule="auto"/>
        <w:rPr>
          <w:rFonts w:eastAsia="Times New Roman" w:cs="Arial"/>
          <w:b/>
          <w:bCs/>
          <w:color w:val="000000"/>
          <w:kern w:val="0"/>
          <w:sz w:val="16"/>
          <w:szCs w:val="16"/>
          <w:lang w:val="x-none"/>
        </w:rPr>
      </w:pPr>
      <w:r w:rsidRPr="00C11123">
        <w:rPr>
          <w:rStyle w:val="FootnoteReference"/>
          <w:rFonts w:cs="Arial"/>
          <w:sz w:val="16"/>
          <w:szCs w:val="16"/>
        </w:rPr>
        <w:footnoteRef/>
      </w:r>
      <w:r w:rsidRPr="00C11123">
        <w:rPr>
          <w:rFonts w:cs="Arial"/>
          <w:sz w:val="16"/>
          <w:szCs w:val="16"/>
        </w:rPr>
        <w:t xml:space="preserve"> </w:t>
      </w:r>
      <w:r w:rsidR="0068286A" w:rsidRPr="00C11123">
        <w:rPr>
          <w:rFonts w:eastAsia="Times New Roman" w:cs="Arial"/>
          <w:color w:val="000000"/>
          <w:kern w:val="0"/>
          <w:sz w:val="16"/>
          <w:szCs w:val="16"/>
        </w:rPr>
        <w:t xml:space="preserve">Chow KM, So WZ, Lee HJ, et al. Head-to-head Comparison of the Diagnostic Accuracy of Prostate-specific Membrane Antigen Positron Emission Tomography and Conventional Imaging Modalities for Initial Staging of Intermediate- to High-risk Prostate Cancer: A </w:t>
      </w:r>
    </w:p>
  </w:footnote>
  <w:footnote w:id="108">
    <w:p w14:paraId="220D3ACC" w14:textId="4BA5D8E1" w:rsidR="000B076F" w:rsidRPr="00C11123" w:rsidRDefault="00000000" w:rsidP="000B076F">
      <w:pPr>
        <w:pStyle w:val="FootnoteText"/>
        <w:rPr>
          <w:rFonts w:cs="Arial"/>
          <w:b/>
          <w:bCs/>
          <w:sz w:val="16"/>
          <w:szCs w:val="16"/>
        </w:rPr>
      </w:pPr>
      <w:r w:rsidRPr="00C11123">
        <w:rPr>
          <w:rStyle w:val="FootnoteReference"/>
          <w:rFonts w:cs="Arial"/>
          <w:i/>
          <w:iCs/>
          <w:sz w:val="16"/>
          <w:szCs w:val="16"/>
        </w:rPr>
        <w:footnoteRef/>
      </w:r>
      <w:r w:rsidRPr="00C11123">
        <w:rPr>
          <w:rFonts w:cs="Arial"/>
          <w:i/>
          <w:iCs/>
          <w:sz w:val="16"/>
          <w:szCs w:val="16"/>
        </w:rPr>
        <w:t xml:space="preserve"> </w:t>
      </w:r>
      <w:r w:rsidR="00FB1C55" w:rsidRPr="00C11123">
        <w:rPr>
          <w:rFonts w:eastAsia="Times New Roman" w:cs="Arial"/>
          <w:i/>
          <w:iCs/>
          <w:color w:val="000000"/>
          <w:kern w:val="0"/>
          <w:sz w:val="16"/>
          <w:szCs w:val="16"/>
        </w:rPr>
        <w:t>Id.</w:t>
      </w:r>
    </w:p>
  </w:footnote>
  <w:footnote w:id="109">
    <w:p w14:paraId="709563B9" w14:textId="727815C9" w:rsidR="000B076F" w:rsidRPr="00C11123" w:rsidRDefault="00000000" w:rsidP="000B076F">
      <w:pPr>
        <w:pStyle w:val="FootnoteText"/>
        <w:rPr>
          <w:rFonts w:cs="Arial"/>
          <w:sz w:val="16"/>
          <w:szCs w:val="16"/>
        </w:rPr>
      </w:pPr>
      <w:r w:rsidRPr="00C11123">
        <w:rPr>
          <w:rStyle w:val="FootnoteReference"/>
          <w:rFonts w:cs="Arial"/>
          <w:sz w:val="16"/>
          <w:szCs w:val="16"/>
        </w:rPr>
        <w:footnoteRef/>
      </w:r>
      <w:r w:rsidR="00FB1C55" w:rsidRPr="00C11123">
        <w:rPr>
          <w:rFonts w:cs="Arial"/>
          <w:sz w:val="16"/>
          <w:szCs w:val="16"/>
        </w:rPr>
        <w:t xml:space="preserve">Wang, </w:t>
      </w:r>
      <w:r w:rsidR="00FB1C55" w:rsidRPr="00C11123">
        <w:rPr>
          <w:rFonts w:cs="Arial"/>
          <w:i/>
          <w:iCs/>
          <w:sz w:val="16"/>
          <w:szCs w:val="16"/>
        </w:rPr>
        <w:t xml:space="preserve">supra </w:t>
      </w:r>
      <w:r w:rsidR="00FB1C55" w:rsidRPr="00C11123">
        <w:rPr>
          <w:rFonts w:cs="Arial"/>
          <w:sz w:val="16"/>
          <w:szCs w:val="16"/>
        </w:rPr>
        <w:t>note 87</w:t>
      </w:r>
      <w:r w:rsidR="00F754B9" w:rsidRPr="00C11123">
        <w:rPr>
          <w:rFonts w:cs="Arial"/>
          <w:sz w:val="16"/>
          <w:szCs w:val="16"/>
        </w:rPr>
        <w:t xml:space="preserve">; </w:t>
      </w:r>
      <w:r w:rsidR="00160208" w:rsidRPr="00C11123">
        <w:rPr>
          <w:rFonts w:cs="Arial"/>
          <w:sz w:val="16"/>
          <w:szCs w:val="16"/>
        </w:rPr>
        <w:t>s</w:t>
      </w:r>
      <w:r w:rsidR="00F754B9" w:rsidRPr="00C11123">
        <w:rPr>
          <w:rFonts w:cs="Arial"/>
          <w:sz w:val="16"/>
          <w:szCs w:val="16"/>
        </w:rPr>
        <w:t>ee also</w:t>
      </w:r>
      <w:r w:rsidR="00F754B9" w:rsidRPr="00C11123">
        <w:rPr>
          <w:rFonts w:cs="Arial"/>
          <w:b/>
          <w:bCs/>
          <w:sz w:val="16"/>
          <w:szCs w:val="16"/>
        </w:rPr>
        <w:t xml:space="preserve"> </w:t>
      </w:r>
      <w:hyperlink r:id="rId129" w:history="1">
        <w:r w:rsidR="00F754B9" w:rsidRPr="0093649A">
          <w:rPr>
            <w:rStyle w:val="Hyperlink"/>
            <w:rFonts w:cs="Arial"/>
            <w:sz w:val="16"/>
            <w:szCs w:val="16"/>
          </w:rPr>
          <w:t>PSMA PET For Recurrent Prostate Cancer Is A Game Changer. Provision Diagnostic Imaging</w:t>
        </w:r>
      </w:hyperlink>
      <w:r w:rsidR="00F754B9" w:rsidRPr="00C11123">
        <w:rPr>
          <w:rFonts w:cs="Arial"/>
          <w:sz w:val="16"/>
          <w:szCs w:val="16"/>
        </w:rPr>
        <w:t xml:space="preserve">. August 10, 2023. Accessed February 17, 2026. </w:t>
      </w:r>
      <w:hyperlink r:id="rId130" w:history="1">
        <w:r w:rsidR="0093649A" w:rsidRPr="00387ED4">
          <w:rPr>
            <w:rStyle w:val="Hyperlink"/>
            <w:rFonts w:cs="Arial"/>
            <w:sz w:val="16"/>
            <w:szCs w:val="16"/>
          </w:rPr>
          <w:t>https://provisiondiagnosticimaging.com/psma-pet-for-recurrent-prostate-cancer-is-a-game-changer/</w:t>
        </w:r>
      </w:hyperlink>
      <w:r w:rsidR="0093649A">
        <w:rPr>
          <w:rFonts w:cs="Arial"/>
          <w:sz w:val="16"/>
          <w:szCs w:val="16"/>
        </w:rPr>
        <w:t xml:space="preserve"> </w:t>
      </w:r>
      <w:r w:rsidR="00160208" w:rsidRPr="00C11123">
        <w:rPr>
          <w:rFonts w:cs="Arial"/>
          <w:sz w:val="16"/>
          <w:szCs w:val="16"/>
        </w:rPr>
        <w:t>;</w:t>
      </w:r>
      <w:r w:rsidR="00F754B9" w:rsidRPr="00C11123">
        <w:rPr>
          <w:rFonts w:cs="Arial"/>
          <w:sz w:val="16"/>
          <w:szCs w:val="16"/>
        </w:rPr>
        <w:t xml:space="preserve"> </w:t>
      </w:r>
      <w:r w:rsidR="00031FB6" w:rsidRPr="00C11123">
        <w:rPr>
          <w:rFonts w:cs="Arial"/>
          <w:sz w:val="16"/>
          <w:szCs w:val="16"/>
        </w:rPr>
        <w:t xml:space="preserve">O’Connor M. </w:t>
      </w:r>
      <w:hyperlink r:id="rId131" w:history="1">
        <w:r w:rsidR="00F754B9" w:rsidRPr="0093649A">
          <w:rPr>
            <w:rStyle w:val="Hyperlink"/>
            <w:rFonts w:cs="Arial"/>
            <w:sz w:val="16"/>
            <w:szCs w:val="16"/>
          </w:rPr>
          <w:t>National cancer network adds PSMA-PET agents to new prostate imaging guidelines.</w:t>
        </w:r>
      </w:hyperlink>
      <w:r w:rsidR="00F754B9" w:rsidRPr="00C11123">
        <w:rPr>
          <w:rFonts w:cs="Arial"/>
          <w:sz w:val="16"/>
          <w:szCs w:val="16"/>
        </w:rPr>
        <w:t xml:space="preserve"> Radiology Business. Published September 30, 2025. Accessed February 20, 2026. </w:t>
      </w:r>
      <w:hyperlink r:id="rId132" w:history="1">
        <w:r w:rsidR="0093649A" w:rsidRPr="00387ED4">
          <w:rPr>
            <w:rStyle w:val="Hyperlink"/>
            <w:rFonts w:cs="Arial"/>
            <w:sz w:val="16"/>
            <w:szCs w:val="16"/>
          </w:rPr>
          <w:t>https://radiologybusiness.com/topics/medical-imaging/molecular-imaging/psma-pet-agents-prostate-cancer-imaging-nccn?utm_source=related_content&amp;utm_medium=related_content&amp;utm_campaign=related_content</w:t>
        </w:r>
      </w:hyperlink>
      <w:r w:rsidR="0093649A">
        <w:rPr>
          <w:rFonts w:cs="Arial"/>
          <w:sz w:val="16"/>
          <w:szCs w:val="16"/>
        </w:rPr>
        <w:t xml:space="preserve"> </w:t>
      </w:r>
      <w:r w:rsidR="00031FB6" w:rsidRPr="00C11123">
        <w:rPr>
          <w:rFonts w:cs="Arial"/>
          <w:i/>
          <w:iCs/>
          <w:sz w:val="16"/>
          <w:szCs w:val="16"/>
          <w:lang w:val="x-none"/>
        </w:rPr>
        <w:t xml:space="preserve"> </w:t>
      </w:r>
      <w:r w:rsidR="00F754B9" w:rsidRPr="00C11123">
        <w:rPr>
          <w:rFonts w:cs="Arial"/>
          <w:i/>
          <w:iCs/>
          <w:sz w:val="16"/>
          <w:szCs w:val="16"/>
          <w:lang w:val="x-none"/>
        </w:rPr>
        <w:t>(</w:t>
      </w:r>
      <w:r w:rsidR="00F754B9" w:rsidRPr="00C11123">
        <w:rPr>
          <w:rFonts w:cs="Arial"/>
          <w:i/>
          <w:iCs/>
          <w:sz w:val="16"/>
          <w:szCs w:val="16"/>
        </w:rPr>
        <w:t xml:space="preserve"> </w:t>
      </w:r>
      <w:r w:rsidR="00F754B9" w:rsidRPr="00C11123">
        <w:rPr>
          <w:rFonts w:cs="Arial"/>
          <w:sz w:val="16"/>
          <w:szCs w:val="16"/>
          <w:lang w:val="x-none"/>
        </w:rPr>
        <w:t>“The imaging makes it much easier to contour images and ensure areas of small tumors are included in the treatment plan to improve patient outcomes.”)</w:t>
      </w:r>
    </w:p>
  </w:footnote>
  <w:footnote w:id="110">
    <w:p w14:paraId="0C3911F0" w14:textId="4975C8E7" w:rsidR="000B076F" w:rsidRPr="00C11123" w:rsidRDefault="00000000" w:rsidP="000B076F">
      <w:pPr>
        <w:pStyle w:val="FootnoteText"/>
        <w:rPr>
          <w:rFonts w:cs="Arial"/>
          <w:b/>
          <w:bCs/>
          <w:sz w:val="16"/>
          <w:szCs w:val="16"/>
        </w:rPr>
      </w:pPr>
      <w:r w:rsidRPr="00C11123">
        <w:rPr>
          <w:rStyle w:val="FootnoteReference"/>
          <w:rFonts w:cs="Arial"/>
          <w:sz w:val="16"/>
          <w:szCs w:val="16"/>
        </w:rPr>
        <w:footnoteRef/>
      </w:r>
      <w:r w:rsidRPr="00C11123">
        <w:rPr>
          <w:rFonts w:cs="Arial"/>
          <w:sz w:val="16"/>
          <w:szCs w:val="16"/>
        </w:rPr>
        <w:t xml:space="preserve"> </w:t>
      </w:r>
      <w:r w:rsidR="00FB1C55" w:rsidRPr="00C11123">
        <w:rPr>
          <w:rFonts w:eastAsia="Times New Roman" w:cs="Arial"/>
          <w:color w:val="000000"/>
          <w:kern w:val="0"/>
          <w:sz w:val="16"/>
          <w:szCs w:val="16"/>
        </w:rPr>
        <w:t xml:space="preserve">Chow, </w:t>
      </w:r>
      <w:r w:rsidR="00FB1C55" w:rsidRPr="00C11123">
        <w:rPr>
          <w:rFonts w:eastAsia="Times New Roman" w:cs="Arial"/>
          <w:i/>
          <w:iCs/>
          <w:color w:val="000000"/>
          <w:kern w:val="0"/>
          <w:sz w:val="16"/>
          <w:szCs w:val="16"/>
        </w:rPr>
        <w:t>supra</w:t>
      </w:r>
      <w:r w:rsidR="00FB1C55" w:rsidRPr="00C11123">
        <w:rPr>
          <w:rFonts w:eastAsia="Times New Roman" w:cs="Arial"/>
          <w:color w:val="000000"/>
          <w:kern w:val="0"/>
          <w:sz w:val="16"/>
          <w:szCs w:val="16"/>
        </w:rPr>
        <w:t xml:space="preserve"> note 111.</w:t>
      </w:r>
    </w:p>
  </w:footnote>
  <w:footnote w:id="111">
    <w:p w14:paraId="200673F0" w14:textId="62D8E9BB" w:rsidR="000B076F" w:rsidRPr="00C11123" w:rsidRDefault="00000000" w:rsidP="00FB1C55">
      <w:pPr>
        <w:spacing w:after="0" w:line="240" w:lineRule="auto"/>
        <w:rPr>
          <w:rFonts w:cs="Arial"/>
          <w:sz w:val="16"/>
          <w:szCs w:val="16"/>
        </w:rPr>
      </w:pPr>
      <w:r w:rsidRPr="00C11123">
        <w:rPr>
          <w:rStyle w:val="FootnoteReference"/>
          <w:rFonts w:cs="Arial"/>
          <w:sz w:val="16"/>
          <w:szCs w:val="16"/>
        </w:rPr>
        <w:footnoteRef/>
      </w:r>
      <w:r w:rsidRPr="00C11123">
        <w:rPr>
          <w:rFonts w:cs="Arial"/>
          <w:sz w:val="16"/>
          <w:szCs w:val="16"/>
        </w:rPr>
        <w:t xml:space="preserve"> </w:t>
      </w:r>
      <w:r w:rsidR="00AE528F" w:rsidRPr="00C11123">
        <w:rPr>
          <w:rFonts w:cs="Arial"/>
          <w:sz w:val="16"/>
          <w:szCs w:val="16"/>
        </w:rPr>
        <w:t>Lowrance</w:t>
      </w:r>
      <w:r w:rsidR="00FB1C55" w:rsidRPr="00C11123">
        <w:rPr>
          <w:rFonts w:cs="Arial"/>
          <w:sz w:val="16"/>
          <w:szCs w:val="16"/>
        </w:rPr>
        <w:t xml:space="preserve">, </w:t>
      </w:r>
      <w:r w:rsidR="00FB1C55" w:rsidRPr="00C11123">
        <w:rPr>
          <w:rFonts w:cs="Arial"/>
          <w:i/>
          <w:iCs/>
          <w:sz w:val="16"/>
          <w:szCs w:val="16"/>
        </w:rPr>
        <w:t>supra</w:t>
      </w:r>
      <w:r w:rsidR="00FB1C55" w:rsidRPr="00C11123">
        <w:rPr>
          <w:rFonts w:cs="Arial"/>
          <w:sz w:val="16"/>
          <w:szCs w:val="16"/>
        </w:rPr>
        <w:t xml:space="preserve"> note 81 </w:t>
      </w:r>
      <w:r w:rsidR="006A55A9" w:rsidRPr="00C11123">
        <w:rPr>
          <w:rFonts w:cs="Arial"/>
          <w:sz w:val="16"/>
          <w:szCs w:val="16"/>
        </w:rPr>
        <w:t>(In “patients with disease progression . . . clinicians should order PSMA PET imaging.”)</w:t>
      </w:r>
    </w:p>
  </w:footnote>
  <w:footnote w:id="112">
    <w:p w14:paraId="329A89B7" w14:textId="3C0C8DAD" w:rsidR="000B076F" w:rsidRPr="00C11123" w:rsidRDefault="00000000" w:rsidP="000B076F">
      <w:pPr>
        <w:pStyle w:val="FootnoteText"/>
        <w:rPr>
          <w:b/>
          <w:bCs/>
          <w:sz w:val="16"/>
          <w:szCs w:val="16"/>
        </w:rPr>
      </w:pPr>
      <w:r w:rsidRPr="00C11123">
        <w:rPr>
          <w:rStyle w:val="FootnoteReference"/>
          <w:rFonts w:cs="Arial"/>
          <w:sz w:val="16"/>
          <w:szCs w:val="16"/>
        </w:rPr>
        <w:footnoteRef/>
      </w:r>
      <w:r w:rsidRPr="00C11123">
        <w:rPr>
          <w:rFonts w:cs="Arial"/>
          <w:sz w:val="16"/>
          <w:szCs w:val="16"/>
        </w:rPr>
        <w:t xml:space="preserve"> </w:t>
      </w:r>
      <w:r w:rsidR="00487498" w:rsidRPr="00C11123">
        <w:rPr>
          <w:rFonts w:cs="Arial"/>
          <w:i/>
          <w:iCs/>
          <w:sz w:val="16"/>
          <w:szCs w:val="16"/>
        </w:rPr>
        <w:t>I</w:t>
      </w:r>
      <w:r w:rsidR="00FB1C55" w:rsidRPr="00C11123">
        <w:rPr>
          <w:rFonts w:cs="Arial"/>
          <w:i/>
          <w:iCs/>
          <w:sz w:val="16"/>
          <w:szCs w:val="16"/>
        </w:rPr>
        <w:t>d.</w:t>
      </w:r>
    </w:p>
  </w:footnote>
  <w:footnote w:id="113">
    <w:p w14:paraId="6DA20EEA" w14:textId="6FE27783"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172E3A" w:rsidRPr="00C11123">
        <w:rPr>
          <w:sz w:val="16"/>
          <w:szCs w:val="16"/>
        </w:rPr>
        <w:t xml:space="preserve">O’Connor M. </w:t>
      </w:r>
      <w:hyperlink r:id="rId133" w:history="1">
        <w:r w:rsidR="0093741A" w:rsidRPr="00C65404">
          <w:rPr>
            <w:rStyle w:val="Hyperlink"/>
            <w:sz w:val="16"/>
            <w:szCs w:val="16"/>
          </w:rPr>
          <w:t>National cancer network adds PSMA-PET agents to new prostate imaging guidelines.</w:t>
        </w:r>
      </w:hyperlink>
      <w:r w:rsidR="0093741A" w:rsidRPr="00C11123">
        <w:rPr>
          <w:sz w:val="16"/>
          <w:szCs w:val="16"/>
        </w:rPr>
        <w:t xml:space="preserve"> Radiology Business. Published September 30, 2025. Accessed February 20, 2026. </w:t>
      </w:r>
      <w:hyperlink r:id="rId134" w:history="1">
        <w:r w:rsidR="00C65404" w:rsidRPr="00387ED4">
          <w:rPr>
            <w:rStyle w:val="Hyperlink"/>
            <w:sz w:val="16"/>
            <w:szCs w:val="16"/>
          </w:rPr>
          <w:t>https://radiologybusiness.com/topics/medical-imaging/molecular-imaging/psma-pet-agents-prostate-cancer-imaging-nccn?utm_source=related_content&amp;utm_medium=related_content&amp;utm_campaign=related_content</w:t>
        </w:r>
      </w:hyperlink>
      <w:r w:rsidR="00C65404">
        <w:rPr>
          <w:sz w:val="16"/>
          <w:szCs w:val="16"/>
        </w:rPr>
        <w:t xml:space="preserve"> </w:t>
      </w:r>
      <w:r w:rsidRPr="00C11123">
        <w:rPr>
          <w:sz w:val="16"/>
          <w:szCs w:val="16"/>
        </w:rPr>
        <w:t>; see also</w:t>
      </w:r>
      <w:r w:rsidR="006078EE" w:rsidRPr="00C11123">
        <w:rPr>
          <w:sz w:val="16"/>
          <w:szCs w:val="16"/>
        </w:rPr>
        <w:t xml:space="preserve"> Virgil H.</w:t>
      </w:r>
      <w:r w:rsidRPr="00C11123">
        <w:rPr>
          <w:sz w:val="16"/>
          <w:szCs w:val="16"/>
        </w:rPr>
        <w:t xml:space="preserve"> </w:t>
      </w:r>
      <w:r w:rsidR="0068286A" w:rsidRPr="00C11123">
        <w:rPr>
          <w:sz w:val="16"/>
          <w:szCs w:val="16"/>
        </w:rPr>
        <w:t xml:space="preserve">PSMA PET Agent </w:t>
      </w:r>
      <w:proofErr w:type="spellStart"/>
      <w:r w:rsidR="0068286A" w:rsidRPr="00C11123">
        <w:rPr>
          <w:sz w:val="16"/>
          <w:szCs w:val="16"/>
        </w:rPr>
        <w:t>Flotufolastat</w:t>
      </w:r>
      <w:proofErr w:type="spellEnd"/>
      <w:r w:rsidR="0068286A" w:rsidRPr="00C11123">
        <w:rPr>
          <w:sz w:val="16"/>
          <w:szCs w:val="16"/>
        </w:rPr>
        <w:t xml:space="preserve"> F 18 Added to </w:t>
      </w:r>
      <w:hyperlink r:id="rId135" w:history="1">
        <w:r w:rsidR="0068286A" w:rsidRPr="0063442A">
          <w:rPr>
            <w:rStyle w:val="Hyperlink"/>
            <w:sz w:val="16"/>
            <w:szCs w:val="16"/>
          </w:rPr>
          <w:t xml:space="preserve">NCCN Prostate Cancer Guidelines </w:t>
        </w:r>
      </w:hyperlink>
      <w:r w:rsidR="0068286A" w:rsidRPr="00C11123">
        <w:rPr>
          <w:sz w:val="16"/>
          <w:szCs w:val="16"/>
        </w:rPr>
        <w:t xml:space="preserve">| </w:t>
      </w:r>
      <w:proofErr w:type="spellStart"/>
      <w:r w:rsidR="0068286A" w:rsidRPr="00C11123">
        <w:rPr>
          <w:sz w:val="16"/>
          <w:szCs w:val="16"/>
        </w:rPr>
        <w:t>CancerNetwork</w:t>
      </w:r>
      <w:proofErr w:type="spellEnd"/>
      <w:r w:rsidR="0068286A" w:rsidRPr="00C11123">
        <w:rPr>
          <w:sz w:val="16"/>
          <w:szCs w:val="16"/>
        </w:rPr>
        <w:t xml:space="preserve">. Accessed February 17, 2026. </w:t>
      </w:r>
      <w:hyperlink r:id="rId136" w:history="1">
        <w:r w:rsidR="0063442A" w:rsidRPr="00387ED4">
          <w:rPr>
            <w:rStyle w:val="Hyperlink"/>
            <w:sz w:val="16"/>
            <w:szCs w:val="16"/>
          </w:rPr>
          <w:t>https://www.cancernetwork.com/view/psma-pet-agent-flotufolastat-f-18-added-to-nccn-prostate-cancer-guidelines</w:t>
        </w:r>
      </w:hyperlink>
      <w:r w:rsidR="0063442A">
        <w:rPr>
          <w:sz w:val="16"/>
          <w:szCs w:val="16"/>
        </w:rPr>
        <w:t xml:space="preserve"> </w:t>
      </w:r>
      <w:r w:rsidR="00172E3A" w:rsidRPr="00C11123">
        <w:rPr>
          <w:sz w:val="16"/>
          <w:szCs w:val="16"/>
        </w:rPr>
        <w:t xml:space="preserve"> </w:t>
      </w:r>
    </w:p>
  </w:footnote>
  <w:footnote w:id="114">
    <w:p w14:paraId="7D231440" w14:textId="0AFFB200"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F74552" w:rsidRPr="00C11123">
        <w:rPr>
          <w:sz w:val="16"/>
          <w:szCs w:val="16"/>
        </w:rPr>
        <w:t>Broderick</w:t>
      </w:r>
      <w:r w:rsidR="00FB1C55" w:rsidRPr="00C11123">
        <w:rPr>
          <w:sz w:val="16"/>
          <w:szCs w:val="16"/>
        </w:rPr>
        <w:t xml:space="preserve">, </w:t>
      </w:r>
      <w:r w:rsidR="00FB1C55" w:rsidRPr="00C11123">
        <w:rPr>
          <w:i/>
          <w:iCs/>
          <w:sz w:val="16"/>
          <w:szCs w:val="16"/>
        </w:rPr>
        <w:t>supra</w:t>
      </w:r>
      <w:r w:rsidR="00FB1C55" w:rsidRPr="00C11123">
        <w:rPr>
          <w:sz w:val="16"/>
          <w:szCs w:val="16"/>
        </w:rPr>
        <w:t xml:space="preserve"> note 75.</w:t>
      </w:r>
    </w:p>
  </w:footnote>
  <w:footnote w:id="115">
    <w:p w14:paraId="45CCD529" w14:textId="4F460631"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FB1C55" w:rsidRPr="00C11123">
        <w:rPr>
          <w:sz w:val="16"/>
          <w:szCs w:val="16"/>
        </w:rPr>
        <w:t xml:space="preserve">Virgil, </w:t>
      </w:r>
      <w:r w:rsidR="00FB1C55" w:rsidRPr="00C11123">
        <w:rPr>
          <w:i/>
          <w:iCs/>
          <w:sz w:val="16"/>
          <w:szCs w:val="16"/>
        </w:rPr>
        <w:t>supra</w:t>
      </w:r>
      <w:r w:rsidR="00FB1C55" w:rsidRPr="00C11123">
        <w:rPr>
          <w:sz w:val="16"/>
          <w:szCs w:val="16"/>
        </w:rPr>
        <w:t xml:space="preserve"> note </w:t>
      </w:r>
      <w:proofErr w:type="gramStart"/>
      <w:r w:rsidR="00FB1C55" w:rsidRPr="00C11123">
        <w:rPr>
          <w:sz w:val="16"/>
          <w:szCs w:val="16"/>
        </w:rPr>
        <w:t>117</w:t>
      </w:r>
      <w:r w:rsidRPr="00C11123">
        <w:rPr>
          <w:sz w:val="16"/>
          <w:szCs w:val="16"/>
        </w:rPr>
        <w:t>;</w:t>
      </w:r>
      <w:r w:rsidR="00701ACD" w:rsidRPr="00C11123">
        <w:rPr>
          <w:sz w:val="16"/>
          <w:szCs w:val="16"/>
        </w:rPr>
        <w:t xml:space="preserve"> </w:t>
      </w:r>
      <w:r w:rsidRPr="00C11123">
        <w:rPr>
          <w:sz w:val="16"/>
          <w:szCs w:val="16"/>
        </w:rPr>
        <w:t xml:space="preserve"> see</w:t>
      </w:r>
      <w:proofErr w:type="gramEnd"/>
      <w:r w:rsidRPr="00C11123">
        <w:rPr>
          <w:sz w:val="16"/>
          <w:szCs w:val="16"/>
        </w:rPr>
        <w:t xml:space="preserve"> also </w:t>
      </w:r>
      <w:r w:rsidR="00F74552" w:rsidRPr="00C11123">
        <w:rPr>
          <w:sz w:val="16"/>
          <w:szCs w:val="16"/>
        </w:rPr>
        <w:t>Broderick</w:t>
      </w:r>
      <w:r w:rsidR="00FB1C55" w:rsidRPr="00C11123">
        <w:rPr>
          <w:sz w:val="16"/>
          <w:szCs w:val="16"/>
        </w:rPr>
        <w:t xml:space="preserve">, </w:t>
      </w:r>
      <w:r w:rsidR="00FB1C55" w:rsidRPr="00C11123">
        <w:rPr>
          <w:i/>
          <w:iCs/>
          <w:sz w:val="16"/>
          <w:szCs w:val="16"/>
        </w:rPr>
        <w:t>supra</w:t>
      </w:r>
      <w:r w:rsidR="00FB1C55" w:rsidRPr="00C11123">
        <w:rPr>
          <w:sz w:val="16"/>
          <w:szCs w:val="16"/>
        </w:rPr>
        <w:t xml:space="preserve"> note 75.</w:t>
      </w:r>
      <w:r w:rsidR="00701ACD" w:rsidRPr="00C11123">
        <w:rPr>
          <w:sz w:val="16"/>
          <w:szCs w:val="16"/>
        </w:rPr>
        <w:t xml:space="preserve"> </w:t>
      </w:r>
    </w:p>
  </w:footnote>
  <w:footnote w:id="116">
    <w:p w14:paraId="5642F54C" w14:textId="5C07D8AB" w:rsidR="00294D85" w:rsidRPr="00C11123" w:rsidRDefault="00000000" w:rsidP="00294D85">
      <w:pPr>
        <w:pStyle w:val="FootnoteText"/>
        <w:rPr>
          <w:sz w:val="16"/>
          <w:szCs w:val="16"/>
        </w:rPr>
      </w:pPr>
      <w:r w:rsidRPr="00C11123">
        <w:rPr>
          <w:rStyle w:val="FootnoteReference"/>
          <w:sz w:val="16"/>
          <w:szCs w:val="16"/>
        </w:rPr>
        <w:footnoteRef/>
      </w:r>
      <w:r w:rsidRPr="00C11123">
        <w:rPr>
          <w:sz w:val="16"/>
          <w:szCs w:val="16"/>
        </w:rPr>
        <w:t xml:space="preserve"> </w:t>
      </w:r>
      <w:r w:rsidR="0068286A" w:rsidRPr="00C11123">
        <w:rPr>
          <w:sz w:val="16"/>
          <w:szCs w:val="16"/>
        </w:rPr>
        <w:t xml:space="preserve">Sinsky CA, Shanafelt TD, Ristow AM. </w:t>
      </w:r>
      <w:hyperlink r:id="rId137" w:history="1">
        <w:r w:rsidR="0068286A" w:rsidRPr="0063442A">
          <w:rPr>
            <w:rStyle w:val="Hyperlink"/>
            <w:sz w:val="16"/>
            <w:szCs w:val="16"/>
          </w:rPr>
          <w:t>Radical Reorientation of the US Health Care System Around Relationships: Rebalancing the Transactional Model.</w:t>
        </w:r>
      </w:hyperlink>
      <w:r w:rsidR="0068286A" w:rsidRPr="00C11123">
        <w:rPr>
          <w:sz w:val="16"/>
          <w:szCs w:val="16"/>
        </w:rPr>
        <w:t xml:space="preserve"> </w:t>
      </w:r>
      <w:r w:rsidR="0068286A" w:rsidRPr="00C11123">
        <w:rPr>
          <w:i/>
          <w:iCs/>
          <w:sz w:val="16"/>
          <w:szCs w:val="16"/>
        </w:rPr>
        <w:t>Mayo Clinic Proceedings</w:t>
      </w:r>
      <w:r w:rsidR="0068286A" w:rsidRPr="00C11123">
        <w:rPr>
          <w:sz w:val="16"/>
          <w:szCs w:val="16"/>
        </w:rPr>
        <w:t xml:space="preserve">. 2022;97(12):2194-2205. </w:t>
      </w:r>
      <w:proofErr w:type="gramStart"/>
      <w:r w:rsidR="0068286A" w:rsidRPr="00C11123">
        <w:rPr>
          <w:sz w:val="16"/>
          <w:szCs w:val="16"/>
        </w:rPr>
        <w:t>doi:10.1016/j.mayocp</w:t>
      </w:r>
      <w:proofErr w:type="gramEnd"/>
      <w:r w:rsidR="0068286A" w:rsidRPr="00C11123">
        <w:rPr>
          <w:sz w:val="16"/>
          <w:szCs w:val="16"/>
        </w:rPr>
        <w:t>.2022.08.003</w:t>
      </w:r>
      <w:r w:rsidR="004057B1" w:rsidRPr="00C11123">
        <w:rPr>
          <w:sz w:val="16"/>
          <w:szCs w:val="16"/>
        </w:rPr>
        <w:t xml:space="preserve">. Accessed February 22, 2026. </w:t>
      </w:r>
      <w:hyperlink r:id="rId138" w:history="1">
        <w:r w:rsidR="0063442A" w:rsidRPr="00387ED4">
          <w:rPr>
            <w:rStyle w:val="Hyperlink"/>
            <w:sz w:val="16"/>
            <w:szCs w:val="16"/>
          </w:rPr>
          <w:t>https://www.mayoclinicproceedings.org/action/showPdf?pii=S0025-6196%2822%2900471-2</w:t>
        </w:r>
      </w:hyperlink>
      <w:r w:rsidR="0063442A">
        <w:rPr>
          <w:sz w:val="16"/>
          <w:szCs w:val="16"/>
        </w:rPr>
        <w:t xml:space="preserve"> </w:t>
      </w:r>
      <w:r w:rsidR="004057B1" w:rsidRPr="00C11123">
        <w:rPr>
          <w:sz w:val="16"/>
          <w:szCs w:val="16"/>
        </w:rPr>
        <w:t xml:space="preserve"> </w:t>
      </w:r>
      <w:r w:rsidR="0068286A" w:rsidRPr="00C11123">
        <w:rPr>
          <w:sz w:val="16"/>
          <w:szCs w:val="16"/>
        </w:rPr>
        <w:t>(</w:t>
      </w:r>
      <w:r w:rsidRPr="00C11123">
        <w:rPr>
          <w:sz w:val="16"/>
          <w:szCs w:val="16"/>
        </w:rPr>
        <w:t>“Stable team composition also contributes to positive outcomes for patients and clinicians.”</w:t>
      </w:r>
      <w:r w:rsidR="0068286A" w:rsidRPr="00C11123">
        <w:rPr>
          <w:sz w:val="16"/>
          <w:szCs w:val="16"/>
        </w:rPr>
        <w:t>).</w:t>
      </w:r>
    </w:p>
  </w:footnote>
  <w:footnote w:id="117">
    <w:p w14:paraId="61C94484" w14:textId="244A74AC" w:rsidR="00294D85" w:rsidRPr="00C11123" w:rsidRDefault="00000000" w:rsidP="00294D85">
      <w:pPr>
        <w:pStyle w:val="FootnoteText"/>
        <w:rPr>
          <w:sz w:val="16"/>
          <w:szCs w:val="16"/>
        </w:rPr>
      </w:pPr>
      <w:r w:rsidRPr="00C11123">
        <w:rPr>
          <w:rStyle w:val="FootnoteReference"/>
          <w:sz w:val="16"/>
          <w:szCs w:val="16"/>
        </w:rPr>
        <w:footnoteRef/>
      </w:r>
      <w:r w:rsidRPr="00C11123">
        <w:rPr>
          <w:sz w:val="16"/>
          <w:szCs w:val="16"/>
        </w:rPr>
        <w:t xml:space="preserve"> </w:t>
      </w:r>
      <w:r w:rsidR="0068286A" w:rsidRPr="00C11123">
        <w:rPr>
          <w:sz w:val="16"/>
          <w:szCs w:val="16"/>
        </w:rPr>
        <w:t xml:space="preserve">Adekunle TA, Knowles JM, </w:t>
      </w:r>
      <w:proofErr w:type="spellStart"/>
      <w:r w:rsidR="0068286A" w:rsidRPr="00C11123">
        <w:rPr>
          <w:sz w:val="16"/>
          <w:szCs w:val="16"/>
        </w:rPr>
        <w:t>Hantzmon</w:t>
      </w:r>
      <w:proofErr w:type="spellEnd"/>
      <w:r w:rsidR="0068286A" w:rsidRPr="00C11123">
        <w:rPr>
          <w:sz w:val="16"/>
          <w:szCs w:val="16"/>
        </w:rPr>
        <w:t xml:space="preserve"> SV, DasGupta MN, Pollak KI, Gaither SE. </w:t>
      </w:r>
      <w:hyperlink r:id="rId139" w:history="1">
        <w:r w:rsidR="0068286A" w:rsidRPr="00315D5E">
          <w:rPr>
            <w:rStyle w:val="Hyperlink"/>
            <w:sz w:val="16"/>
            <w:szCs w:val="16"/>
          </w:rPr>
          <w:t>A qualitative analysis of trust and distrust within patient-clinician interactions.</w:t>
        </w:r>
      </w:hyperlink>
      <w:r w:rsidR="0068286A" w:rsidRPr="00C11123">
        <w:rPr>
          <w:sz w:val="16"/>
          <w:szCs w:val="16"/>
        </w:rPr>
        <w:t xml:space="preserve"> </w:t>
      </w:r>
      <w:r w:rsidR="0068286A" w:rsidRPr="00C11123">
        <w:rPr>
          <w:i/>
          <w:iCs/>
          <w:sz w:val="16"/>
          <w:szCs w:val="16"/>
        </w:rPr>
        <w:t>PEC Innovation</w:t>
      </w:r>
      <w:r w:rsidR="0068286A" w:rsidRPr="00C11123">
        <w:rPr>
          <w:sz w:val="16"/>
          <w:szCs w:val="16"/>
        </w:rPr>
        <w:t xml:space="preserve">. </w:t>
      </w:r>
      <w:proofErr w:type="gramStart"/>
      <w:r w:rsidR="0068286A" w:rsidRPr="00C11123">
        <w:rPr>
          <w:sz w:val="16"/>
          <w:szCs w:val="16"/>
        </w:rPr>
        <w:t>2023;3:100187</w:t>
      </w:r>
      <w:proofErr w:type="gramEnd"/>
      <w:r w:rsidR="0068286A" w:rsidRPr="00C11123">
        <w:rPr>
          <w:sz w:val="16"/>
          <w:szCs w:val="16"/>
        </w:rPr>
        <w:t xml:space="preserve">. </w:t>
      </w:r>
      <w:proofErr w:type="gramStart"/>
      <w:r w:rsidR="0068286A" w:rsidRPr="00C11123">
        <w:rPr>
          <w:sz w:val="16"/>
          <w:szCs w:val="16"/>
        </w:rPr>
        <w:t>doi:10.1016/j.pecinn</w:t>
      </w:r>
      <w:proofErr w:type="gramEnd"/>
      <w:r w:rsidR="0068286A" w:rsidRPr="00C11123">
        <w:rPr>
          <w:sz w:val="16"/>
          <w:szCs w:val="16"/>
        </w:rPr>
        <w:t>.2023.100187</w:t>
      </w:r>
      <w:r w:rsidR="004057B1" w:rsidRPr="00C11123">
        <w:rPr>
          <w:sz w:val="16"/>
          <w:szCs w:val="16"/>
        </w:rPr>
        <w:t xml:space="preserve">. Accessed February 22, 2026. </w:t>
      </w:r>
      <w:hyperlink r:id="rId140" w:history="1">
        <w:r w:rsidR="00315D5E" w:rsidRPr="00387ED4">
          <w:rPr>
            <w:rStyle w:val="Hyperlink"/>
            <w:sz w:val="16"/>
            <w:szCs w:val="16"/>
          </w:rPr>
          <w:t>https://pmc.ncbi.nlm.nih.gov/articles/PMC10339236/pdf/main.pdf</w:t>
        </w:r>
      </w:hyperlink>
      <w:r w:rsidR="00315D5E">
        <w:rPr>
          <w:sz w:val="16"/>
          <w:szCs w:val="16"/>
        </w:rPr>
        <w:t xml:space="preserve"> </w:t>
      </w:r>
      <w:r w:rsidR="004057B1" w:rsidRPr="00C11123">
        <w:rPr>
          <w:sz w:val="16"/>
          <w:szCs w:val="16"/>
        </w:rPr>
        <w:t xml:space="preserve"> </w:t>
      </w:r>
    </w:p>
  </w:footnote>
  <w:footnote w:id="118">
    <w:p w14:paraId="015668FA" w14:textId="5E905D07" w:rsidR="00294D85" w:rsidRPr="00C11123" w:rsidRDefault="00000000" w:rsidP="00294D85">
      <w:pPr>
        <w:pStyle w:val="FootnoteText"/>
        <w:rPr>
          <w:sz w:val="16"/>
          <w:szCs w:val="16"/>
        </w:rPr>
      </w:pPr>
      <w:r w:rsidRPr="00C11123">
        <w:rPr>
          <w:rStyle w:val="FootnoteReference"/>
          <w:sz w:val="16"/>
          <w:szCs w:val="16"/>
        </w:rPr>
        <w:footnoteRef/>
      </w:r>
      <w:r w:rsidRPr="00C11123">
        <w:rPr>
          <w:sz w:val="16"/>
          <w:szCs w:val="16"/>
        </w:rPr>
        <w:t xml:space="preserve"> </w:t>
      </w:r>
      <w:r w:rsidR="00D22CF2" w:rsidRPr="00C11123">
        <w:rPr>
          <w:sz w:val="16"/>
          <w:szCs w:val="16"/>
        </w:rPr>
        <w:t xml:space="preserve">See </w:t>
      </w:r>
      <w:r w:rsidRPr="00C11123">
        <w:rPr>
          <w:sz w:val="16"/>
          <w:szCs w:val="16"/>
        </w:rPr>
        <w:t>Petra Lerch, Rahel </w:t>
      </w:r>
      <w:proofErr w:type="spellStart"/>
      <w:proofErr w:type="gramStart"/>
      <w:r w:rsidRPr="00C11123">
        <w:rPr>
          <w:sz w:val="16"/>
          <w:szCs w:val="16"/>
        </w:rPr>
        <w:t>Hänggi</w:t>
      </w:r>
      <w:proofErr w:type="spellEnd"/>
      <w:r w:rsidRPr="00C11123">
        <w:rPr>
          <w:sz w:val="16"/>
          <w:szCs w:val="16"/>
        </w:rPr>
        <w:t xml:space="preserve"> ,</w:t>
      </w:r>
      <w:proofErr w:type="gramEnd"/>
      <w:r w:rsidRPr="00C11123">
        <w:rPr>
          <w:sz w:val="16"/>
          <w:szCs w:val="16"/>
        </w:rPr>
        <w:t xml:space="preserve"> Yara Bussmann and Andrea Lörwald. </w:t>
      </w:r>
      <w:hyperlink r:id="rId141" w:history="1">
        <w:r w:rsidR="00294D85" w:rsidRPr="00315D5E">
          <w:rPr>
            <w:rStyle w:val="Hyperlink"/>
            <w:sz w:val="16"/>
            <w:szCs w:val="16"/>
          </w:rPr>
          <w:t>BMC Primary Care. 2024.</w:t>
        </w:r>
      </w:hyperlink>
      <w:r w:rsidRPr="00C11123">
        <w:rPr>
          <w:sz w:val="16"/>
          <w:szCs w:val="16"/>
        </w:rPr>
        <w:t xml:space="preserve"> </w:t>
      </w:r>
      <w:hyperlink r:id="rId142" w:history="1">
        <w:r w:rsidR="00315D5E" w:rsidRPr="00387ED4">
          <w:rPr>
            <w:rStyle w:val="Hyperlink"/>
            <w:sz w:val="16"/>
            <w:szCs w:val="16"/>
          </w:rPr>
          <w:t>https://link.springer.com/content/pdf/10.1186/s12875-024-02435-z.pdf</w:t>
        </w:r>
      </w:hyperlink>
      <w:r w:rsidR="00315D5E">
        <w:rPr>
          <w:sz w:val="16"/>
          <w:szCs w:val="16"/>
        </w:rPr>
        <w:t xml:space="preserve"> </w:t>
      </w:r>
      <w:r w:rsidRPr="00C11123">
        <w:rPr>
          <w:sz w:val="16"/>
          <w:szCs w:val="16"/>
        </w:rPr>
        <w:t>.</w:t>
      </w:r>
      <w:r w:rsidR="00FB1C55" w:rsidRPr="00C11123">
        <w:rPr>
          <w:sz w:val="16"/>
          <w:szCs w:val="16"/>
        </w:rPr>
        <w:t xml:space="preserve"> (“A model of contributors to a trusting patient physician relationship: a critical review using a systematic search strategy”).</w:t>
      </w:r>
    </w:p>
  </w:footnote>
  <w:footnote w:id="119">
    <w:p w14:paraId="6B05FD4F" w14:textId="00A6B951" w:rsidR="00294D85" w:rsidRPr="00C11123" w:rsidRDefault="00000000" w:rsidP="00294D85">
      <w:pPr>
        <w:pStyle w:val="FootnoteText"/>
        <w:rPr>
          <w:sz w:val="16"/>
          <w:szCs w:val="16"/>
        </w:rPr>
      </w:pPr>
      <w:r w:rsidRPr="00C11123">
        <w:rPr>
          <w:rStyle w:val="FootnoteReference"/>
          <w:sz w:val="16"/>
          <w:szCs w:val="16"/>
        </w:rPr>
        <w:footnoteRef/>
      </w:r>
      <w:r w:rsidRPr="00C11123">
        <w:rPr>
          <w:sz w:val="16"/>
          <w:szCs w:val="16"/>
        </w:rPr>
        <w:t xml:space="preserve"> </w:t>
      </w:r>
      <w:r w:rsidR="0093741A" w:rsidRPr="00C11123">
        <w:rPr>
          <w:sz w:val="16"/>
          <w:szCs w:val="16"/>
        </w:rPr>
        <w:t xml:space="preserve">Greene J, Long SK. </w:t>
      </w:r>
      <w:hyperlink r:id="rId143" w:history="1">
        <w:r w:rsidR="0093741A" w:rsidRPr="00315D5E">
          <w:rPr>
            <w:rStyle w:val="Hyperlink"/>
            <w:sz w:val="16"/>
            <w:szCs w:val="16"/>
          </w:rPr>
          <w:t>Racial, Ethnic, and Income-Based Disparities in Health Care–Related Trust</w:t>
        </w:r>
      </w:hyperlink>
      <w:r w:rsidR="0093741A" w:rsidRPr="00C11123">
        <w:rPr>
          <w:sz w:val="16"/>
          <w:szCs w:val="16"/>
        </w:rPr>
        <w:t>. </w:t>
      </w:r>
      <w:r w:rsidR="0093741A" w:rsidRPr="00C11123">
        <w:rPr>
          <w:i/>
          <w:iCs/>
          <w:sz w:val="16"/>
          <w:szCs w:val="16"/>
        </w:rPr>
        <w:t>Journal of General Internal Medicine</w:t>
      </w:r>
      <w:r w:rsidR="0093741A" w:rsidRPr="00C11123">
        <w:rPr>
          <w:sz w:val="16"/>
          <w:szCs w:val="16"/>
        </w:rPr>
        <w:t xml:space="preserve">. Published online January 25, 2021. </w:t>
      </w:r>
      <w:proofErr w:type="spellStart"/>
      <w:r w:rsidR="0093741A" w:rsidRPr="00C11123">
        <w:rPr>
          <w:sz w:val="16"/>
          <w:szCs w:val="16"/>
        </w:rPr>
        <w:t>doi</w:t>
      </w:r>
      <w:proofErr w:type="spellEnd"/>
      <w:r w:rsidR="0093741A" w:rsidRPr="00C11123">
        <w:rPr>
          <w:sz w:val="16"/>
          <w:szCs w:val="16"/>
        </w:rPr>
        <w:t>:</w:t>
      </w:r>
      <w:r w:rsidR="008839CF">
        <w:rPr>
          <w:sz w:val="16"/>
          <w:szCs w:val="16"/>
        </w:rPr>
        <w:t xml:space="preserve"> </w:t>
      </w:r>
      <w:hyperlink r:id="rId144" w:history="1">
        <w:r w:rsidR="008839CF" w:rsidRPr="00387ED4">
          <w:rPr>
            <w:rStyle w:val="Hyperlink"/>
            <w:sz w:val="16"/>
            <w:szCs w:val="16"/>
          </w:rPr>
          <w:t>https://doi.org/10.1007/s11606-020-06568-6</w:t>
        </w:r>
      </w:hyperlink>
      <w:r w:rsidR="008839CF">
        <w:rPr>
          <w:sz w:val="16"/>
          <w:szCs w:val="16"/>
        </w:rPr>
        <w:t xml:space="preserve"> </w:t>
      </w:r>
      <w:r w:rsidR="00866257" w:rsidRPr="00C11123">
        <w:rPr>
          <w:sz w:val="16"/>
          <w:szCs w:val="16"/>
        </w:rPr>
        <w:t>. Accessed February 22, 2026</w:t>
      </w:r>
      <w:r w:rsidR="0093741A" w:rsidRPr="00C11123">
        <w:rPr>
          <w:sz w:val="16"/>
          <w:szCs w:val="16"/>
        </w:rPr>
        <w:t xml:space="preserve">; </w:t>
      </w:r>
      <w:r w:rsidR="0068286A" w:rsidRPr="00C11123">
        <w:rPr>
          <w:sz w:val="16"/>
          <w:szCs w:val="16"/>
        </w:rPr>
        <w:t xml:space="preserve">Doescher M, Saver B, Franks P, Fiscella K. Doescher MP, Saver BG, Franks P, Fiscella K. Racial and ethnic disparities in perceptions of physician style and trust. </w:t>
      </w:r>
      <w:r w:rsidR="0068286A" w:rsidRPr="00C11123">
        <w:rPr>
          <w:i/>
          <w:iCs/>
          <w:sz w:val="16"/>
          <w:szCs w:val="16"/>
        </w:rPr>
        <w:t>Archives of family medicine</w:t>
      </w:r>
      <w:r w:rsidR="0068286A" w:rsidRPr="00C11123">
        <w:rPr>
          <w:sz w:val="16"/>
          <w:szCs w:val="16"/>
        </w:rPr>
        <w:t xml:space="preserve">. </w:t>
      </w:r>
      <w:proofErr w:type="gramStart"/>
      <w:r w:rsidR="0068286A" w:rsidRPr="00C11123">
        <w:rPr>
          <w:sz w:val="16"/>
          <w:szCs w:val="16"/>
        </w:rPr>
        <w:t>2000;9:1156</w:t>
      </w:r>
      <w:proofErr w:type="gramEnd"/>
      <w:r w:rsidR="0068286A" w:rsidRPr="00C11123">
        <w:rPr>
          <w:sz w:val="16"/>
          <w:szCs w:val="16"/>
        </w:rPr>
        <w:t>-1163. doi:10.1001/archfami.9.10.1156.</w:t>
      </w:r>
    </w:p>
  </w:footnote>
  <w:footnote w:id="120">
    <w:p w14:paraId="5684C016" w14:textId="084B1C3A" w:rsidR="00294D85" w:rsidRPr="00C11123" w:rsidRDefault="00000000" w:rsidP="0093741A">
      <w:pPr>
        <w:pStyle w:val="FootnoteText"/>
        <w:widowControl w:val="0"/>
        <w:autoSpaceDE w:val="0"/>
        <w:autoSpaceDN w:val="0"/>
        <w:rPr>
          <w:sz w:val="16"/>
          <w:szCs w:val="16"/>
        </w:rPr>
      </w:pPr>
      <w:r w:rsidRPr="00C11123">
        <w:rPr>
          <w:rStyle w:val="FootnoteReference"/>
          <w:sz w:val="16"/>
          <w:szCs w:val="16"/>
        </w:rPr>
        <w:footnoteRef/>
      </w:r>
      <w:r w:rsidRPr="00C11123">
        <w:rPr>
          <w:sz w:val="16"/>
          <w:szCs w:val="16"/>
        </w:rPr>
        <w:t xml:space="preserve"> </w:t>
      </w:r>
      <w:r w:rsidR="00FB1C55" w:rsidRPr="00C11123">
        <w:rPr>
          <w:sz w:val="16"/>
          <w:szCs w:val="16"/>
        </w:rPr>
        <w:t xml:space="preserve">Greene, </w:t>
      </w:r>
      <w:r w:rsidR="00FB1C55" w:rsidRPr="00C11123">
        <w:rPr>
          <w:i/>
          <w:iCs/>
          <w:sz w:val="16"/>
          <w:szCs w:val="16"/>
        </w:rPr>
        <w:t>supra</w:t>
      </w:r>
      <w:r w:rsidR="00FB1C55" w:rsidRPr="00C11123">
        <w:rPr>
          <w:sz w:val="16"/>
          <w:szCs w:val="16"/>
        </w:rPr>
        <w:t xml:space="preserve"> note 123.</w:t>
      </w:r>
    </w:p>
  </w:footnote>
  <w:footnote w:id="121">
    <w:p w14:paraId="0CC8E701" w14:textId="0D7FD0D5" w:rsidR="00D8526B" w:rsidRPr="00C11123" w:rsidRDefault="00000000" w:rsidP="00D8526B">
      <w:pPr>
        <w:pStyle w:val="FootnoteText"/>
        <w:rPr>
          <w:sz w:val="16"/>
          <w:szCs w:val="16"/>
          <w:highlight w:val="green"/>
        </w:rPr>
      </w:pPr>
      <w:r w:rsidRPr="00C11123">
        <w:rPr>
          <w:rStyle w:val="FootnoteReference"/>
          <w:sz w:val="16"/>
          <w:szCs w:val="16"/>
        </w:rPr>
        <w:footnoteRef/>
      </w:r>
      <w:r w:rsidRPr="00C11123">
        <w:rPr>
          <w:sz w:val="16"/>
          <w:szCs w:val="16"/>
        </w:rPr>
        <w:t xml:space="preserve"> </w:t>
      </w:r>
      <w:hyperlink r:id="rId145" w:history="1">
        <w:r w:rsidR="00A854D7" w:rsidRPr="001464EC">
          <w:rPr>
            <w:rStyle w:val="Hyperlink"/>
            <w:sz w:val="16"/>
            <w:szCs w:val="16"/>
          </w:rPr>
          <w:t>New ACS Study Shows Cancer Mortality Rates Among Black People Declining, but Remain Higher Than Other Racial and Ethnic Groups.</w:t>
        </w:r>
      </w:hyperlink>
      <w:r w:rsidR="00A854D7" w:rsidRPr="00C11123">
        <w:rPr>
          <w:sz w:val="16"/>
          <w:szCs w:val="16"/>
        </w:rPr>
        <w:t xml:space="preserve"> American Cancer Society </w:t>
      </w:r>
      <w:proofErr w:type="spellStart"/>
      <w:r w:rsidR="00A854D7" w:rsidRPr="00C11123">
        <w:rPr>
          <w:sz w:val="16"/>
          <w:szCs w:val="16"/>
        </w:rPr>
        <w:t>MediaRoom</w:t>
      </w:r>
      <w:proofErr w:type="spellEnd"/>
      <w:r w:rsidR="00A854D7" w:rsidRPr="00C11123">
        <w:rPr>
          <w:sz w:val="16"/>
          <w:szCs w:val="16"/>
        </w:rPr>
        <w:t xml:space="preserve">. Accessed February 17, 2026. </w:t>
      </w:r>
      <w:hyperlink r:id="rId146" w:history="1">
        <w:r w:rsidR="001464EC" w:rsidRPr="00387ED4">
          <w:rPr>
            <w:rStyle w:val="Hyperlink"/>
            <w:sz w:val="16"/>
            <w:szCs w:val="16"/>
          </w:rPr>
          <w:t>https://pressroom.cancer.org/CancerStatisticsforAfricanAmericanandBlackPeople</w:t>
        </w:r>
      </w:hyperlink>
      <w:r w:rsidR="001464EC">
        <w:rPr>
          <w:sz w:val="16"/>
          <w:szCs w:val="16"/>
        </w:rPr>
        <w:t xml:space="preserve"> </w:t>
      </w:r>
      <w:r w:rsidR="00AE2ECC" w:rsidRPr="00C11123">
        <w:rPr>
          <w:sz w:val="16"/>
          <w:szCs w:val="16"/>
        </w:rPr>
        <w:t xml:space="preserve"> </w:t>
      </w:r>
    </w:p>
  </w:footnote>
  <w:footnote w:id="122">
    <w:p w14:paraId="5461813A" w14:textId="5DA9F550"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A854D7" w:rsidRPr="00C11123">
        <w:rPr>
          <w:sz w:val="16"/>
          <w:szCs w:val="16"/>
        </w:rPr>
        <w:t xml:space="preserve">Caraballo C, Massey D, Mahajan S, et al. </w:t>
      </w:r>
      <w:hyperlink r:id="rId147" w:history="1">
        <w:r w:rsidR="00A854D7" w:rsidRPr="001464EC">
          <w:rPr>
            <w:rStyle w:val="Hyperlink"/>
            <w:sz w:val="16"/>
            <w:szCs w:val="16"/>
          </w:rPr>
          <w:t>Racial and Ethnic Disparities in Access to Health Care Among Adults in the United States: A 20-Year National Health Interview Survey Analysis</w:t>
        </w:r>
      </w:hyperlink>
      <w:r w:rsidR="00A854D7" w:rsidRPr="00C11123">
        <w:rPr>
          <w:sz w:val="16"/>
          <w:szCs w:val="16"/>
        </w:rPr>
        <w:t xml:space="preserve">, 1999–2018. </w:t>
      </w:r>
      <w:proofErr w:type="spellStart"/>
      <w:r w:rsidR="00A854D7" w:rsidRPr="00C11123">
        <w:rPr>
          <w:i/>
          <w:iCs/>
          <w:sz w:val="16"/>
          <w:szCs w:val="16"/>
        </w:rPr>
        <w:t>medRxiv</w:t>
      </w:r>
      <w:proofErr w:type="spellEnd"/>
      <w:r w:rsidR="00A854D7" w:rsidRPr="00C11123">
        <w:rPr>
          <w:sz w:val="16"/>
          <w:szCs w:val="16"/>
        </w:rPr>
        <w:t>. Published online November 4, 2020:2020.10.30.20223420. doi:10.1101/2020.10.30.20223420</w:t>
      </w:r>
      <w:r w:rsidR="00AE2ECC" w:rsidRPr="00C11123">
        <w:rPr>
          <w:sz w:val="16"/>
          <w:szCs w:val="16"/>
        </w:rPr>
        <w:t xml:space="preserve">. Accessed February 22, 2026. </w:t>
      </w:r>
      <w:hyperlink r:id="rId148" w:history="1">
        <w:r w:rsidR="00AA4E59" w:rsidRPr="00387ED4">
          <w:rPr>
            <w:rStyle w:val="Hyperlink"/>
            <w:sz w:val="16"/>
            <w:szCs w:val="16"/>
          </w:rPr>
          <w:t>https://pmc.ncbi.nlm.nih.gov/articles/PMC7654899/pdf/nihpp-2020.10.30.20223420.pdf</w:t>
        </w:r>
      </w:hyperlink>
      <w:r w:rsidR="00AA4E59">
        <w:rPr>
          <w:sz w:val="16"/>
          <w:szCs w:val="16"/>
        </w:rPr>
        <w:t xml:space="preserve"> </w:t>
      </w:r>
      <w:r w:rsidR="00A854D7" w:rsidRPr="00C11123">
        <w:rPr>
          <w:sz w:val="16"/>
          <w:szCs w:val="16"/>
        </w:rPr>
        <w:t xml:space="preserve">; </w:t>
      </w:r>
      <w:r w:rsidRPr="00C11123">
        <w:rPr>
          <w:sz w:val="16"/>
          <w:szCs w:val="16"/>
        </w:rPr>
        <w:t xml:space="preserve">see also </w:t>
      </w:r>
      <w:hyperlink r:id="rId149" w:history="1">
        <w:r w:rsidR="00A854D7" w:rsidRPr="00AA4E59">
          <w:rPr>
            <w:rStyle w:val="Hyperlink"/>
            <w:sz w:val="16"/>
            <w:szCs w:val="16"/>
          </w:rPr>
          <w:t>Americans’ Challenges with Health Care Costs</w:t>
        </w:r>
      </w:hyperlink>
      <w:r w:rsidR="00A854D7" w:rsidRPr="00C11123">
        <w:rPr>
          <w:sz w:val="16"/>
          <w:szCs w:val="16"/>
        </w:rPr>
        <w:t xml:space="preserve"> | KFF. Accessed February 17, 2026. </w:t>
      </w:r>
      <w:hyperlink r:id="rId150" w:history="1">
        <w:r w:rsidR="00AA4E59" w:rsidRPr="00387ED4">
          <w:rPr>
            <w:rStyle w:val="Hyperlink"/>
            <w:sz w:val="16"/>
            <w:szCs w:val="16"/>
          </w:rPr>
          <w:t>https://www.kff.org/health-costs/americans-challenges-with-health-care-costs/</w:t>
        </w:r>
      </w:hyperlink>
      <w:r w:rsidR="00AA4E59">
        <w:rPr>
          <w:sz w:val="16"/>
          <w:szCs w:val="16"/>
        </w:rPr>
        <w:t xml:space="preserve"> </w:t>
      </w:r>
      <w:r w:rsidR="0048674A" w:rsidRPr="00C11123">
        <w:rPr>
          <w:sz w:val="16"/>
          <w:szCs w:val="16"/>
        </w:rPr>
        <w:t xml:space="preserve"> </w:t>
      </w:r>
      <w:r w:rsidRPr="00C11123">
        <w:rPr>
          <w:sz w:val="16"/>
          <w:szCs w:val="16"/>
          <w:lang w:val="x-none"/>
        </w:rPr>
        <w:t>(</w:t>
      </w:r>
      <w:r w:rsidRPr="00C11123">
        <w:rPr>
          <w:sz w:val="16"/>
          <w:szCs w:val="16"/>
        </w:rPr>
        <w:t xml:space="preserve">Black and Hispanic adults, those with lower incomes, and the uninsured are particularly likely to report problems affording health care. </w:t>
      </w:r>
      <w:r w:rsidR="0048674A" w:rsidRPr="00C11123">
        <w:rPr>
          <w:sz w:val="16"/>
          <w:szCs w:val="16"/>
        </w:rPr>
        <w:t>“</w:t>
      </w:r>
      <w:r w:rsidRPr="00C11123">
        <w:rPr>
          <w:sz w:val="16"/>
          <w:szCs w:val="16"/>
        </w:rPr>
        <w:t>The cost of health care can lead some to put off needed care.</w:t>
      </w:r>
      <w:r w:rsidR="0048674A" w:rsidRPr="00C11123">
        <w:rPr>
          <w:sz w:val="16"/>
          <w:szCs w:val="16"/>
        </w:rPr>
        <w:t>”</w:t>
      </w:r>
      <w:r w:rsidRPr="00C11123">
        <w:rPr>
          <w:sz w:val="16"/>
          <w:szCs w:val="16"/>
        </w:rPr>
        <w:t>)</w:t>
      </w:r>
    </w:p>
  </w:footnote>
  <w:footnote w:id="123">
    <w:p w14:paraId="3BA77C24" w14:textId="5B6B3089"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See generally, </w:t>
      </w:r>
      <w:hyperlink r:id="rId151" w:history="1">
        <w:r w:rsidR="00A854D7" w:rsidRPr="00E37BAD">
          <w:rPr>
            <w:rStyle w:val="Hyperlink"/>
            <w:sz w:val="16"/>
            <w:szCs w:val="16"/>
          </w:rPr>
          <w:t>Massachusetts Health Care Equity Dashboard</w:t>
        </w:r>
      </w:hyperlink>
      <w:r w:rsidR="00A854D7" w:rsidRPr="00C11123">
        <w:rPr>
          <w:sz w:val="16"/>
          <w:szCs w:val="16"/>
        </w:rPr>
        <w:t xml:space="preserve">. Accessed February 17, 2026. </w:t>
      </w:r>
      <w:hyperlink r:id="rId152" w:history="1">
        <w:r w:rsidR="00E37BAD" w:rsidRPr="00387ED4">
          <w:rPr>
            <w:rStyle w:val="Hyperlink"/>
            <w:sz w:val="16"/>
            <w:szCs w:val="16"/>
          </w:rPr>
          <w:t>https://www.chiamass.gov/health-care-equity-dashboard</w:t>
        </w:r>
      </w:hyperlink>
      <w:r w:rsidR="00E37BAD">
        <w:rPr>
          <w:sz w:val="16"/>
          <w:szCs w:val="16"/>
        </w:rPr>
        <w:t xml:space="preserve"> </w:t>
      </w:r>
      <w:r w:rsidR="00A854D7" w:rsidRPr="00C11123">
        <w:rPr>
          <w:sz w:val="16"/>
          <w:szCs w:val="16"/>
        </w:rPr>
        <w:t xml:space="preserve">; </w:t>
      </w:r>
      <w:r w:rsidRPr="00C11123">
        <w:rPr>
          <w:sz w:val="16"/>
          <w:szCs w:val="16"/>
        </w:rPr>
        <w:t xml:space="preserve">see also </w:t>
      </w:r>
      <w:hyperlink r:id="rId153" w:history="1">
        <w:r w:rsidR="000B076F" w:rsidRPr="00E37BAD">
          <w:rPr>
            <w:rStyle w:val="Hyperlink"/>
            <w:sz w:val="16"/>
            <w:szCs w:val="16"/>
          </w:rPr>
          <w:t>CHIA, Health Care Equity in Massachusetts, Publication Number 25-149-CHIA-01 Rev. 02</w:t>
        </w:r>
      </w:hyperlink>
      <w:r w:rsidRPr="00C11123">
        <w:rPr>
          <w:sz w:val="16"/>
          <w:szCs w:val="16"/>
        </w:rPr>
        <w:t xml:space="preserve">, </w:t>
      </w:r>
      <w:hyperlink r:id="rId154" w:history="1">
        <w:r w:rsidR="00E37BAD" w:rsidRPr="00387ED4">
          <w:rPr>
            <w:rStyle w:val="Hyperlink"/>
            <w:sz w:val="16"/>
            <w:szCs w:val="16"/>
          </w:rPr>
          <w:t>https://www.chiamass.gov/assets/docs/r/pubs/2025/Health-Care-Equity-Dashboard-May-2025-Rev2.pdf</w:t>
        </w:r>
      </w:hyperlink>
      <w:r w:rsidR="00E37BAD">
        <w:rPr>
          <w:sz w:val="16"/>
          <w:szCs w:val="16"/>
        </w:rPr>
        <w:t xml:space="preserve"> </w:t>
      </w:r>
      <w:r w:rsidR="009918CF" w:rsidRPr="00C11123">
        <w:rPr>
          <w:sz w:val="16"/>
          <w:szCs w:val="16"/>
        </w:rPr>
        <w:t xml:space="preserve"> </w:t>
      </w:r>
      <w:r w:rsidRPr="00C11123">
        <w:rPr>
          <w:sz w:val="16"/>
          <w:szCs w:val="16"/>
        </w:rPr>
        <w:t>(Last Accessed: December 8, 2025).</w:t>
      </w:r>
    </w:p>
  </w:footnote>
  <w:footnote w:id="124">
    <w:p w14:paraId="23524467" w14:textId="63FBA06F"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F353E2" w:rsidRPr="00C11123">
        <w:rPr>
          <w:i/>
          <w:iCs/>
          <w:sz w:val="16"/>
          <w:szCs w:val="16"/>
        </w:rPr>
        <w:t>Id.</w:t>
      </w:r>
      <w:r w:rsidRPr="00C11123">
        <w:rPr>
          <w:sz w:val="16"/>
          <w:szCs w:val="16"/>
        </w:rPr>
        <w:t xml:space="preserve"> </w:t>
      </w:r>
    </w:p>
  </w:footnote>
  <w:footnote w:id="125">
    <w:p w14:paraId="2616D64C" w14:textId="40D0B252"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00F353E2" w:rsidRPr="00C11123">
        <w:rPr>
          <w:i/>
          <w:iCs/>
          <w:sz w:val="16"/>
          <w:szCs w:val="16"/>
        </w:rPr>
        <w:t>Id.</w:t>
      </w:r>
      <w:r w:rsidRPr="00C11123">
        <w:rPr>
          <w:sz w:val="16"/>
          <w:szCs w:val="16"/>
        </w:rPr>
        <w:t xml:space="preserve"> </w:t>
      </w:r>
    </w:p>
  </w:footnote>
  <w:footnote w:id="126">
    <w:p w14:paraId="5527E1E6" w14:textId="587536D4" w:rsidR="000B076F" w:rsidRPr="00C11123" w:rsidRDefault="00000000" w:rsidP="000B076F">
      <w:pPr>
        <w:pStyle w:val="FootnoteText"/>
        <w:rPr>
          <w:sz w:val="16"/>
          <w:szCs w:val="16"/>
        </w:rPr>
      </w:pPr>
      <w:r w:rsidRPr="00C11123">
        <w:rPr>
          <w:rStyle w:val="FootnoteReference"/>
          <w:sz w:val="16"/>
          <w:szCs w:val="16"/>
        </w:rPr>
        <w:footnoteRef/>
      </w:r>
      <w:r w:rsidRPr="00C11123">
        <w:rPr>
          <w:sz w:val="16"/>
          <w:szCs w:val="16"/>
        </w:rPr>
        <w:t xml:space="preserve"> </w:t>
      </w:r>
      <w:r w:rsidRPr="00C11123">
        <w:rPr>
          <w:i/>
          <w:iCs/>
          <w:sz w:val="16"/>
          <w:szCs w:val="16"/>
        </w:rPr>
        <w:t>I</w:t>
      </w:r>
      <w:r w:rsidR="00F353E2" w:rsidRPr="00C11123">
        <w:rPr>
          <w:i/>
          <w:iCs/>
          <w:sz w:val="16"/>
          <w:szCs w:val="16"/>
        </w:rPr>
        <w:t>d</w:t>
      </w:r>
      <w:r w:rsidR="00F353E2" w:rsidRPr="00C11123">
        <w:rPr>
          <w:sz w:val="16"/>
          <w:szCs w:val="16"/>
        </w:rPr>
        <w:t>.</w:t>
      </w:r>
      <w:r w:rsidRPr="00C11123">
        <w:rPr>
          <w:sz w:val="16"/>
          <w:szCs w:val="16"/>
        </w:rPr>
        <w:t xml:space="preserve">; see also </w:t>
      </w:r>
      <w:r w:rsidR="00B6624C" w:rsidRPr="00C11123">
        <w:rPr>
          <w:sz w:val="16"/>
          <w:szCs w:val="16"/>
        </w:rPr>
        <w:t xml:space="preserve">Bartlett J. </w:t>
      </w:r>
      <w:hyperlink r:id="rId155" w:history="1">
        <w:r w:rsidR="00AD3C93" w:rsidRPr="00E37BAD">
          <w:rPr>
            <w:rStyle w:val="Hyperlink"/>
            <w:sz w:val="16"/>
            <w:szCs w:val="16"/>
          </w:rPr>
          <w:t>Black and Hispanic patients admitted and return to the hospital in higher rates than others, study finds</w:t>
        </w:r>
      </w:hyperlink>
      <w:r w:rsidR="00B6624C" w:rsidRPr="00C11123">
        <w:rPr>
          <w:sz w:val="16"/>
          <w:szCs w:val="16"/>
        </w:rPr>
        <w:t>,</w:t>
      </w:r>
      <w:r w:rsidR="00AD3C93" w:rsidRPr="00C11123">
        <w:rPr>
          <w:sz w:val="16"/>
          <w:szCs w:val="16"/>
        </w:rPr>
        <w:t xml:space="preserve"> The Boston Globe. Accessed February 17, 2026. </w:t>
      </w:r>
      <w:hyperlink r:id="rId156" w:history="1">
        <w:r w:rsidR="008B5EBC" w:rsidRPr="00387ED4">
          <w:rPr>
            <w:rStyle w:val="Hyperlink"/>
            <w:sz w:val="16"/>
            <w:szCs w:val="16"/>
          </w:rPr>
          <w:t>https://www.chiamass.gov/black-and-hispanic-patients-admitted-and-return-to-the-hospital-in-higher-rates-than-others-study-finds</w:t>
        </w:r>
      </w:hyperlink>
      <w:r w:rsidR="008B5EBC">
        <w:rPr>
          <w:sz w:val="16"/>
          <w:szCs w:val="16"/>
        </w:rPr>
        <w:t xml:space="preserve"> </w:t>
      </w:r>
      <w:r w:rsidR="00F353E2" w:rsidRPr="00C11123">
        <w:rPr>
          <w:sz w:val="16"/>
          <w:szCs w:val="16"/>
        </w:rPr>
        <w:t>.</w:t>
      </w:r>
    </w:p>
  </w:footnote>
  <w:footnote w:id="127">
    <w:p w14:paraId="14C41419" w14:textId="105AA1B6" w:rsidR="000B076F" w:rsidRPr="00C11123" w:rsidRDefault="00000000" w:rsidP="000E5F9C">
      <w:pPr>
        <w:pStyle w:val="FootnoteText"/>
        <w:rPr>
          <w:sz w:val="16"/>
          <w:szCs w:val="16"/>
        </w:rPr>
      </w:pPr>
      <w:r w:rsidRPr="00C11123">
        <w:rPr>
          <w:rStyle w:val="FootnoteReference"/>
          <w:sz w:val="16"/>
          <w:szCs w:val="16"/>
        </w:rPr>
        <w:footnoteRef/>
      </w:r>
      <w:r w:rsidRPr="00C11123">
        <w:rPr>
          <w:sz w:val="16"/>
          <w:szCs w:val="16"/>
        </w:rPr>
        <w:t xml:space="preserve"> See e.g., </w:t>
      </w:r>
      <w:r w:rsidR="00AD3C93" w:rsidRPr="00C11123">
        <w:rPr>
          <w:sz w:val="16"/>
          <w:szCs w:val="16"/>
        </w:rPr>
        <w:t xml:space="preserve">Radhakrishnan A, Subramanian L, Rankin AJ, et al. </w:t>
      </w:r>
      <w:hyperlink r:id="rId157" w:history="1">
        <w:r w:rsidR="00AD3C93" w:rsidRPr="00C05EFD">
          <w:rPr>
            <w:rStyle w:val="Hyperlink"/>
            <w:sz w:val="16"/>
            <w:szCs w:val="16"/>
          </w:rPr>
          <w:t>Primary Care Physician and Urologist Perspectives on Optimizing Active Surveillance for Low-Risk Prostate Cancer.</w:t>
        </w:r>
      </w:hyperlink>
      <w:r w:rsidR="00AD3C93" w:rsidRPr="00C11123">
        <w:rPr>
          <w:sz w:val="16"/>
          <w:szCs w:val="16"/>
        </w:rPr>
        <w:t xml:space="preserve"> </w:t>
      </w:r>
      <w:r w:rsidR="00AD3C93" w:rsidRPr="00C11123">
        <w:rPr>
          <w:i/>
          <w:iCs/>
          <w:sz w:val="16"/>
          <w:szCs w:val="16"/>
        </w:rPr>
        <w:t>Ann Fam Med</w:t>
      </w:r>
      <w:r w:rsidR="00AD3C93" w:rsidRPr="00C11123">
        <w:rPr>
          <w:sz w:val="16"/>
          <w:szCs w:val="16"/>
        </w:rPr>
        <w:t>. 2024;22(1):5-11. doi:10.1370/afm.3057</w:t>
      </w:r>
      <w:r w:rsidR="00D126B8" w:rsidRPr="00C11123">
        <w:rPr>
          <w:sz w:val="16"/>
          <w:szCs w:val="16"/>
        </w:rPr>
        <w:t xml:space="preserve">. Accessed February 22, 2026. </w:t>
      </w:r>
      <w:hyperlink r:id="rId158" w:history="1">
        <w:r w:rsidR="00C05EFD" w:rsidRPr="00387ED4">
          <w:rPr>
            <w:rStyle w:val="Hyperlink"/>
            <w:sz w:val="16"/>
            <w:szCs w:val="16"/>
          </w:rPr>
          <w:t>https://pmc.ncbi.nlm.nih.gov/articles/PMC11233078/pdf/0220005.pdf</w:t>
        </w:r>
      </w:hyperlink>
      <w:r w:rsidR="00C05EFD">
        <w:rPr>
          <w:sz w:val="16"/>
          <w:szCs w:val="16"/>
        </w:rPr>
        <w:t xml:space="preserve"> </w:t>
      </w:r>
      <w:r w:rsidR="00AD3C93" w:rsidRPr="00C11123">
        <w:rPr>
          <w:sz w:val="16"/>
          <w:szCs w:val="16"/>
        </w:rPr>
        <w:t xml:space="preserve">; </w:t>
      </w:r>
      <w:r w:rsidRPr="00C11123">
        <w:rPr>
          <w:sz w:val="16"/>
          <w:szCs w:val="16"/>
        </w:rPr>
        <w:t xml:space="preserve">see also </w:t>
      </w:r>
      <w:r w:rsidR="00AD3C93" w:rsidRPr="00C11123">
        <w:rPr>
          <w:sz w:val="16"/>
          <w:szCs w:val="16"/>
        </w:rPr>
        <w:t xml:space="preserve">Radhakrishnan A, Grande D, Ross M, et al. </w:t>
      </w:r>
      <w:hyperlink r:id="rId159" w:history="1">
        <w:r w:rsidR="00AD3C93" w:rsidRPr="00C05EFD">
          <w:rPr>
            <w:rStyle w:val="Hyperlink"/>
            <w:sz w:val="16"/>
            <w:szCs w:val="16"/>
          </w:rPr>
          <w:t>When Primary Care Providers (PCPs) Help Patients Choose Prostate Cancer Treatment</w:t>
        </w:r>
      </w:hyperlink>
      <w:r w:rsidR="00AD3C93" w:rsidRPr="00C11123">
        <w:rPr>
          <w:sz w:val="16"/>
          <w:szCs w:val="16"/>
        </w:rPr>
        <w:t xml:space="preserve">. </w:t>
      </w:r>
      <w:r w:rsidR="00AD3C93" w:rsidRPr="00C11123">
        <w:rPr>
          <w:i/>
          <w:iCs/>
          <w:sz w:val="16"/>
          <w:szCs w:val="16"/>
        </w:rPr>
        <w:t>J Am Board Fam Med</w:t>
      </w:r>
      <w:r w:rsidR="00AD3C93" w:rsidRPr="00C11123">
        <w:rPr>
          <w:sz w:val="16"/>
          <w:szCs w:val="16"/>
        </w:rPr>
        <w:t>. 2017;30(3):298-307. doi:10.3122/jabfm.2017.03.160359</w:t>
      </w:r>
      <w:r w:rsidR="00D126B8" w:rsidRPr="00C11123">
        <w:rPr>
          <w:sz w:val="16"/>
          <w:szCs w:val="16"/>
        </w:rPr>
        <w:t xml:space="preserve">. Accessed February 22, 2026. </w:t>
      </w:r>
      <w:hyperlink r:id="rId160" w:history="1">
        <w:r w:rsidR="00C05EFD" w:rsidRPr="00387ED4">
          <w:rPr>
            <w:rStyle w:val="Hyperlink"/>
            <w:sz w:val="16"/>
            <w:szCs w:val="16"/>
          </w:rPr>
          <w:t>https://pmc.ncbi.nlm.nih.gov/articles/PMC5870832/pdf/nihms881334.pdf</w:t>
        </w:r>
      </w:hyperlink>
      <w:r w:rsidR="00C05EFD">
        <w:rPr>
          <w:sz w:val="16"/>
          <w:szCs w:val="16"/>
        </w:rPr>
        <w:t xml:space="preserve"> </w:t>
      </w:r>
      <w:r w:rsidR="00D126B8" w:rsidRPr="00C11123">
        <w:rPr>
          <w:sz w:val="16"/>
          <w:szCs w:val="16"/>
        </w:rPr>
        <w:t xml:space="preserve"> </w:t>
      </w:r>
      <w:r w:rsidRPr="00C11123">
        <w:rPr>
          <w:sz w:val="16"/>
          <w:szCs w:val="16"/>
        </w:rPr>
        <w:t>(“PCPs may be in an ideal position to help men with prostate cancer make treatment decisions. First, compared to specialists, PCPs are more likely to have longitudinal relationships with their patients and often act as trusted sources of information and provide emotional support for their patients. In this role, they may be better suited to elicit patient preferences and consider patient comorbidities in clinical decision-making.”).</w:t>
      </w:r>
    </w:p>
  </w:footnote>
  <w:footnote w:id="128">
    <w:p w14:paraId="181D9570" w14:textId="2CDB7A75" w:rsidR="00DB7370" w:rsidRPr="00C11123" w:rsidRDefault="00000000" w:rsidP="00587A1F">
      <w:pPr>
        <w:spacing w:after="0" w:line="240" w:lineRule="auto"/>
        <w:jc w:val="both"/>
        <w:rPr>
          <w:b/>
          <w:bCs/>
          <w:sz w:val="16"/>
          <w:szCs w:val="16"/>
        </w:rPr>
      </w:pPr>
      <w:r w:rsidRPr="00C11123">
        <w:rPr>
          <w:rStyle w:val="FootnoteReference"/>
          <w:sz w:val="16"/>
          <w:szCs w:val="16"/>
        </w:rPr>
        <w:footnoteRef/>
      </w:r>
      <w:r w:rsidRPr="00C11123">
        <w:rPr>
          <w:sz w:val="16"/>
          <w:szCs w:val="16"/>
        </w:rPr>
        <w:t xml:space="preserve"> </w:t>
      </w:r>
      <w:r w:rsidR="00250078" w:rsidRPr="00C11123">
        <w:rPr>
          <w:sz w:val="16"/>
          <w:szCs w:val="16"/>
        </w:rPr>
        <w:t xml:space="preserve">See e.g., </w:t>
      </w:r>
      <w:hyperlink r:id="rId161" w:history="1">
        <w:r w:rsidR="00250078" w:rsidRPr="006F2C9C">
          <w:rPr>
            <w:rStyle w:val="Hyperlink"/>
            <w:sz w:val="16"/>
            <w:szCs w:val="16"/>
          </w:rPr>
          <w:t>Key Statistics for Prostate Cancer | Prostate Cancer Facts.</w:t>
        </w:r>
      </w:hyperlink>
      <w:r w:rsidR="00250078" w:rsidRPr="00C11123">
        <w:rPr>
          <w:sz w:val="16"/>
          <w:szCs w:val="16"/>
        </w:rPr>
        <w:t xml:space="preserve"> </w:t>
      </w:r>
      <w:r w:rsidR="00250078" w:rsidRPr="00C11123">
        <w:rPr>
          <w:rFonts w:cs="Arial"/>
          <w:sz w:val="16"/>
          <w:szCs w:val="16"/>
        </w:rPr>
        <w:t>American Cancer Society</w:t>
      </w:r>
      <w:r w:rsidR="00250078" w:rsidRPr="00C11123">
        <w:rPr>
          <w:sz w:val="16"/>
          <w:szCs w:val="16"/>
        </w:rPr>
        <w:t xml:space="preserve">. Accessed February 16, 2026. </w:t>
      </w:r>
      <w:hyperlink r:id="rId162" w:history="1">
        <w:r w:rsidR="00F65660" w:rsidRPr="00387ED4">
          <w:rPr>
            <w:rStyle w:val="Hyperlink"/>
            <w:sz w:val="16"/>
            <w:szCs w:val="16"/>
          </w:rPr>
          <w:t>https://www.cancer.org/cancer/types/prostate-cancer/about/key-statistics.html</w:t>
        </w:r>
      </w:hyperlink>
      <w:r w:rsidR="00F65660">
        <w:rPr>
          <w:sz w:val="16"/>
          <w:szCs w:val="16"/>
        </w:rPr>
        <w:t xml:space="preserve"> </w:t>
      </w:r>
      <w:r w:rsidR="00250078" w:rsidRPr="00C11123">
        <w:rPr>
          <w:sz w:val="16"/>
          <w:szCs w:val="16"/>
        </w:rPr>
        <w:t xml:space="preserve"> </w:t>
      </w:r>
    </w:p>
  </w:footnote>
  <w:footnote w:id="129">
    <w:p w14:paraId="1CBF512F" w14:textId="6BA2D0F3" w:rsidR="00416C53" w:rsidRPr="00C11123" w:rsidRDefault="00000000" w:rsidP="000464C1">
      <w:pPr>
        <w:pStyle w:val="FootnoteText"/>
        <w:rPr>
          <w:sz w:val="16"/>
          <w:szCs w:val="16"/>
        </w:rPr>
      </w:pPr>
      <w:r w:rsidRPr="00C11123">
        <w:rPr>
          <w:rStyle w:val="FootnoteReference"/>
          <w:sz w:val="16"/>
          <w:szCs w:val="16"/>
        </w:rPr>
        <w:footnoteRef/>
      </w:r>
      <w:r w:rsidRPr="00C11123">
        <w:rPr>
          <w:sz w:val="16"/>
          <w:szCs w:val="16"/>
        </w:rPr>
        <w:t xml:space="preserve"> </w:t>
      </w:r>
      <w:r w:rsidR="00F353E2" w:rsidRPr="00C11123">
        <w:rPr>
          <w:i/>
          <w:iCs/>
          <w:sz w:val="16"/>
          <w:szCs w:val="16"/>
        </w:rPr>
        <w:t>Id.</w:t>
      </w:r>
    </w:p>
  </w:footnote>
  <w:footnote w:id="130">
    <w:p w14:paraId="729A2E52" w14:textId="65426D38" w:rsidR="00416C53" w:rsidRPr="00C11123" w:rsidRDefault="00000000" w:rsidP="00416C53">
      <w:pPr>
        <w:pStyle w:val="FootnoteText"/>
        <w:rPr>
          <w:b/>
          <w:bCs/>
          <w:sz w:val="16"/>
          <w:szCs w:val="16"/>
        </w:rPr>
      </w:pPr>
      <w:r w:rsidRPr="00C11123">
        <w:rPr>
          <w:rStyle w:val="FootnoteReference"/>
          <w:sz w:val="16"/>
          <w:szCs w:val="16"/>
        </w:rPr>
        <w:footnoteRef/>
      </w:r>
      <w:r w:rsidRPr="00C11123">
        <w:rPr>
          <w:sz w:val="16"/>
          <w:szCs w:val="16"/>
        </w:rPr>
        <w:t xml:space="preserve"> </w:t>
      </w:r>
      <w:hyperlink r:id="rId163" w:history="1">
        <w:r w:rsidR="003603BC" w:rsidRPr="00F65660">
          <w:rPr>
            <w:rStyle w:val="Hyperlink"/>
            <w:sz w:val="16"/>
            <w:szCs w:val="16"/>
          </w:rPr>
          <w:t>What Are the Survival Rates for Prostate Cancer?</w:t>
        </w:r>
        <w:r w:rsidR="00F63AA6" w:rsidRPr="00F65660">
          <w:rPr>
            <w:rStyle w:val="Hyperlink"/>
            <w:sz w:val="16"/>
            <w:szCs w:val="16"/>
          </w:rPr>
          <w:t>, American Cancer Society.</w:t>
        </w:r>
      </w:hyperlink>
      <w:r w:rsidR="003603BC" w:rsidRPr="00C11123">
        <w:rPr>
          <w:sz w:val="16"/>
          <w:szCs w:val="16"/>
        </w:rPr>
        <w:t xml:space="preserve"> Accessed February 17, 2026. </w:t>
      </w:r>
      <w:hyperlink r:id="rId164" w:history="1">
        <w:r w:rsidR="00F65660" w:rsidRPr="00387ED4">
          <w:rPr>
            <w:rStyle w:val="Hyperlink"/>
            <w:sz w:val="16"/>
            <w:szCs w:val="16"/>
          </w:rPr>
          <w:t>https://www.cancer.org/cancer/types/prostate-cancer/detection-diagnosis-staging/survival-rates.html</w:t>
        </w:r>
      </w:hyperlink>
      <w:r w:rsidR="00F65660">
        <w:rPr>
          <w:sz w:val="16"/>
          <w:szCs w:val="16"/>
        </w:rPr>
        <w:t xml:space="preserve"> </w:t>
      </w:r>
      <w:r w:rsidR="00250078" w:rsidRPr="00C11123">
        <w:rPr>
          <w:sz w:val="16"/>
          <w:szCs w:val="16"/>
        </w:rPr>
        <w:t xml:space="preserve"> </w:t>
      </w:r>
    </w:p>
  </w:footnote>
  <w:footnote w:id="131">
    <w:p w14:paraId="2DFADF4C" w14:textId="0204B875" w:rsidR="00B51681" w:rsidRPr="00C11123" w:rsidRDefault="00000000" w:rsidP="00340542">
      <w:pPr>
        <w:autoSpaceDE w:val="0"/>
        <w:autoSpaceDN w:val="0"/>
        <w:adjustRightInd w:val="0"/>
        <w:spacing w:after="0" w:line="240" w:lineRule="auto"/>
        <w:jc w:val="both"/>
        <w:rPr>
          <w:rFonts w:cs="Arial"/>
          <w:b/>
          <w:bCs/>
          <w:color w:val="45B0E1" w:themeColor="accent1" w:themeTint="99"/>
          <w:kern w:val="0"/>
          <w:sz w:val="16"/>
          <w:szCs w:val="16"/>
          <w14:ligatures w14:val="none"/>
        </w:rPr>
      </w:pPr>
      <w:r w:rsidRPr="00C11123">
        <w:rPr>
          <w:rStyle w:val="FootnoteReference"/>
          <w:rFonts w:cs="Arial"/>
          <w:sz w:val="16"/>
          <w:szCs w:val="16"/>
        </w:rPr>
        <w:footnoteRef/>
      </w:r>
      <w:r w:rsidRPr="00C11123">
        <w:rPr>
          <w:rFonts w:cs="Arial"/>
          <w:sz w:val="16"/>
          <w:szCs w:val="16"/>
        </w:rPr>
        <w:t xml:space="preserve"> See</w:t>
      </w:r>
      <w:r w:rsidR="00213C92" w:rsidRPr="00C11123">
        <w:rPr>
          <w:rFonts w:cs="Arial"/>
          <w:sz w:val="16"/>
          <w:szCs w:val="16"/>
        </w:rPr>
        <w:t xml:space="preserve"> e.g.,</w:t>
      </w:r>
      <w:r w:rsidRPr="00C11123">
        <w:rPr>
          <w:rFonts w:cs="Arial"/>
          <w:sz w:val="16"/>
          <w:szCs w:val="16"/>
        </w:rPr>
        <w:t xml:space="preserve"> </w:t>
      </w:r>
      <w:r w:rsidR="00213C92" w:rsidRPr="00C11123">
        <w:rPr>
          <w:rFonts w:cs="Arial"/>
          <w:sz w:val="16"/>
          <w:szCs w:val="16"/>
        </w:rPr>
        <w:t xml:space="preserve">Levin D. </w:t>
      </w:r>
      <w:hyperlink r:id="rId165" w:history="1">
        <w:r w:rsidR="00AD3C93" w:rsidRPr="00F65660">
          <w:rPr>
            <w:rStyle w:val="Hyperlink"/>
            <w:rFonts w:cs="Arial"/>
            <w:sz w:val="16"/>
            <w:szCs w:val="16"/>
          </w:rPr>
          <w:t>2024 Outlook: Diagnostic Imaging Centers and Radiology Practices.</w:t>
        </w:r>
      </w:hyperlink>
      <w:r w:rsidR="00AD3C93" w:rsidRPr="00C11123">
        <w:rPr>
          <w:rFonts w:cs="Arial"/>
          <w:sz w:val="16"/>
          <w:szCs w:val="16"/>
        </w:rPr>
        <w:t xml:space="preserve"> Accessed February 17, 2026. </w:t>
      </w:r>
      <w:hyperlink r:id="rId166" w:history="1">
        <w:r w:rsidR="00F65660" w:rsidRPr="00387ED4">
          <w:rPr>
            <w:rStyle w:val="Hyperlink"/>
            <w:rFonts w:cs="Arial"/>
            <w:sz w:val="16"/>
            <w:szCs w:val="16"/>
          </w:rPr>
          <w:t>https://www.stout.com/en/insights/article/2024-outlook-diagnostic-imaging-centers-radiology-practices</w:t>
        </w:r>
      </w:hyperlink>
      <w:r w:rsidR="00F65660">
        <w:rPr>
          <w:rFonts w:cs="Arial"/>
          <w:sz w:val="16"/>
          <w:szCs w:val="16"/>
        </w:rPr>
        <w:t xml:space="preserve"> </w:t>
      </w:r>
      <w:r w:rsidR="00213C92" w:rsidRPr="00C11123">
        <w:rPr>
          <w:rFonts w:cs="Arial"/>
          <w:sz w:val="16"/>
          <w:szCs w:val="16"/>
        </w:rPr>
        <w:t xml:space="preserve"> </w:t>
      </w:r>
    </w:p>
  </w:footnote>
  <w:footnote w:id="132">
    <w:p w14:paraId="615420AD" w14:textId="02F2E7EB" w:rsidR="0028219D" w:rsidRPr="00C11123" w:rsidRDefault="00000000">
      <w:pPr>
        <w:pStyle w:val="FootnoteText"/>
        <w:rPr>
          <w:sz w:val="16"/>
          <w:szCs w:val="16"/>
        </w:rPr>
      </w:pPr>
      <w:r w:rsidRPr="00C11123">
        <w:rPr>
          <w:rStyle w:val="FootnoteReference"/>
          <w:rFonts w:cs="Arial"/>
          <w:sz w:val="16"/>
          <w:szCs w:val="16"/>
        </w:rPr>
        <w:footnoteRef/>
      </w:r>
      <w:r w:rsidRPr="00C11123">
        <w:rPr>
          <w:sz w:val="16"/>
          <w:szCs w:val="16"/>
        </w:rPr>
        <w:t xml:space="preserve"> </w:t>
      </w:r>
      <w:r w:rsidR="00213C92" w:rsidRPr="00C11123">
        <w:rPr>
          <w:rFonts w:cs="Arial"/>
          <w:i/>
          <w:iCs/>
          <w:sz w:val="16"/>
          <w:szCs w:val="16"/>
        </w:rPr>
        <w:t>I</w:t>
      </w:r>
      <w:r w:rsidR="00F353E2" w:rsidRPr="00C11123">
        <w:rPr>
          <w:rFonts w:cs="Arial"/>
          <w:i/>
          <w:iCs/>
          <w:sz w:val="16"/>
          <w:szCs w:val="16"/>
        </w:rPr>
        <w:t>d.</w:t>
      </w:r>
    </w:p>
  </w:footnote>
  <w:footnote w:id="133">
    <w:p w14:paraId="7A090D93" w14:textId="7DB70CBC" w:rsidR="00416CFD"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213C92" w:rsidRPr="00C11123">
        <w:rPr>
          <w:rFonts w:cs="Arial"/>
          <w:i/>
          <w:iCs/>
          <w:sz w:val="16"/>
          <w:szCs w:val="16"/>
        </w:rPr>
        <w:t>I</w:t>
      </w:r>
      <w:r w:rsidR="00F353E2" w:rsidRPr="00C11123">
        <w:rPr>
          <w:rFonts w:cs="Arial"/>
          <w:i/>
          <w:iCs/>
          <w:sz w:val="16"/>
          <w:szCs w:val="16"/>
        </w:rPr>
        <w:t>d</w:t>
      </w:r>
      <w:r w:rsidR="00213C92" w:rsidRPr="00C11123">
        <w:rPr>
          <w:rFonts w:cs="Arial"/>
          <w:i/>
          <w:iCs/>
          <w:sz w:val="16"/>
          <w:szCs w:val="16"/>
        </w:rPr>
        <w:t>.</w:t>
      </w:r>
    </w:p>
  </w:footnote>
  <w:footnote w:id="134">
    <w:p w14:paraId="0B421860" w14:textId="234BD3F5" w:rsidR="00850FE8"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w:t>
      </w:r>
      <w:r w:rsidR="00213C92" w:rsidRPr="00C11123">
        <w:rPr>
          <w:rFonts w:cs="Arial"/>
          <w:i/>
          <w:iCs/>
          <w:sz w:val="16"/>
          <w:szCs w:val="16"/>
        </w:rPr>
        <w:t>Id.</w:t>
      </w:r>
    </w:p>
  </w:footnote>
  <w:footnote w:id="135">
    <w:p w14:paraId="3A79695C" w14:textId="5621C2CE" w:rsidR="0019068A"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w:t>
      </w:r>
      <w:r w:rsidRPr="00C11123">
        <w:rPr>
          <w:i/>
          <w:iCs/>
          <w:sz w:val="16"/>
          <w:szCs w:val="16"/>
        </w:rPr>
        <w:t xml:space="preserve"> </w:t>
      </w:r>
      <w:r w:rsidR="00AD3C93" w:rsidRPr="00C11123">
        <w:rPr>
          <w:sz w:val="16"/>
          <w:szCs w:val="16"/>
        </w:rPr>
        <w:t xml:space="preserve">Saif MW, </w:t>
      </w:r>
      <w:proofErr w:type="spellStart"/>
      <w:r w:rsidR="00AD3C93" w:rsidRPr="00C11123">
        <w:rPr>
          <w:sz w:val="16"/>
          <w:szCs w:val="16"/>
        </w:rPr>
        <w:t>Tzannou</w:t>
      </w:r>
      <w:proofErr w:type="spellEnd"/>
      <w:r w:rsidR="00AD3C93" w:rsidRPr="00C11123">
        <w:rPr>
          <w:sz w:val="16"/>
          <w:szCs w:val="16"/>
        </w:rPr>
        <w:t xml:space="preserve"> I, </w:t>
      </w:r>
      <w:proofErr w:type="spellStart"/>
      <w:r w:rsidR="00AD3C93" w:rsidRPr="00C11123">
        <w:rPr>
          <w:sz w:val="16"/>
          <w:szCs w:val="16"/>
        </w:rPr>
        <w:t>Makrilia</w:t>
      </w:r>
      <w:proofErr w:type="spellEnd"/>
      <w:r w:rsidR="00AD3C93" w:rsidRPr="00C11123">
        <w:rPr>
          <w:sz w:val="16"/>
          <w:szCs w:val="16"/>
        </w:rPr>
        <w:t xml:space="preserve"> N, Syrigos K. </w:t>
      </w:r>
      <w:hyperlink r:id="rId167" w:history="1">
        <w:r w:rsidR="00AD3C93" w:rsidRPr="00F65660">
          <w:rPr>
            <w:rStyle w:val="Hyperlink"/>
            <w:sz w:val="16"/>
            <w:szCs w:val="16"/>
          </w:rPr>
          <w:t>Role and Cost Effectiveness of PET/CT in Management of Patients with Cancer</w:t>
        </w:r>
      </w:hyperlink>
      <w:r w:rsidR="00AD3C93" w:rsidRPr="00C11123">
        <w:rPr>
          <w:sz w:val="16"/>
          <w:szCs w:val="16"/>
        </w:rPr>
        <w:t xml:space="preserve">. </w:t>
      </w:r>
      <w:r w:rsidR="00AD3C93" w:rsidRPr="00C11123">
        <w:rPr>
          <w:i/>
          <w:iCs/>
          <w:sz w:val="16"/>
          <w:szCs w:val="16"/>
        </w:rPr>
        <w:t>Yale J Biol Med</w:t>
      </w:r>
      <w:r w:rsidR="00AD3C93" w:rsidRPr="00C11123">
        <w:rPr>
          <w:sz w:val="16"/>
          <w:szCs w:val="16"/>
        </w:rPr>
        <w:t>. 2010;83(2):53-65.</w:t>
      </w:r>
      <w:r w:rsidR="00FE6E74" w:rsidRPr="00C11123">
        <w:rPr>
          <w:sz w:val="16"/>
          <w:szCs w:val="16"/>
        </w:rPr>
        <w:t xml:space="preserve"> Accessed February 22, 2026. </w:t>
      </w:r>
      <w:hyperlink r:id="rId168" w:history="1">
        <w:r w:rsidR="00F65660" w:rsidRPr="00387ED4">
          <w:rPr>
            <w:rStyle w:val="Hyperlink"/>
            <w:sz w:val="16"/>
            <w:szCs w:val="16"/>
          </w:rPr>
          <w:t>https://pmc.ncbi.nlm.nih.gov/articles/PMC2892773/pdf/yjbm_83_2_53.pdf</w:t>
        </w:r>
      </w:hyperlink>
      <w:r w:rsidR="00F65660">
        <w:rPr>
          <w:sz w:val="16"/>
          <w:szCs w:val="16"/>
        </w:rPr>
        <w:t xml:space="preserve"> </w:t>
      </w:r>
      <w:r w:rsidR="00FE6E74" w:rsidRPr="00C11123">
        <w:rPr>
          <w:sz w:val="16"/>
          <w:szCs w:val="16"/>
        </w:rPr>
        <w:t xml:space="preserve"> </w:t>
      </w:r>
    </w:p>
  </w:footnote>
  <w:footnote w:id="136">
    <w:p w14:paraId="4F683385" w14:textId="46B12F1E" w:rsidR="002F4CCA" w:rsidRPr="00C11123" w:rsidRDefault="00000000" w:rsidP="002F4CCA">
      <w:pPr>
        <w:pStyle w:val="FootnoteText"/>
        <w:rPr>
          <w:sz w:val="16"/>
          <w:szCs w:val="16"/>
        </w:rPr>
      </w:pPr>
      <w:r w:rsidRPr="00C11123">
        <w:rPr>
          <w:rStyle w:val="FootnoteReference"/>
          <w:sz w:val="16"/>
          <w:szCs w:val="16"/>
        </w:rPr>
        <w:footnoteRef/>
      </w:r>
      <w:r w:rsidRPr="00C11123">
        <w:rPr>
          <w:sz w:val="16"/>
          <w:szCs w:val="16"/>
        </w:rPr>
        <w:t xml:space="preserve"> </w:t>
      </w:r>
      <w:r w:rsidRPr="00C11123">
        <w:rPr>
          <w:rFonts w:cs="Arial"/>
          <w:sz w:val="16"/>
          <w:szCs w:val="16"/>
        </w:rPr>
        <w:t>See</w:t>
      </w:r>
      <w:r w:rsidRPr="00C11123">
        <w:rPr>
          <w:rFonts w:cs="Arial"/>
          <w:i/>
          <w:iCs/>
          <w:sz w:val="16"/>
          <w:szCs w:val="16"/>
        </w:rPr>
        <w:t xml:space="preserve"> </w:t>
      </w:r>
      <w:r w:rsidR="00F353E2" w:rsidRPr="00C11123">
        <w:rPr>
          <w:rFonts w:cs="Arial"/>
          <w:i/>
          <w:iCs/>
          <w:sz w:val="16"/>
          <w:szCs w:val="16"/>
        </w:rPr>
        <w:t>Id.</w:t>
      </w:r>
      <w:r w:rsidR="00AD3C93" w:rsidRPr="00C11123">
        <w:rPr>
          <w:rFonts w:cs="Arial"/>
          <w:sz w:val="16"/>
          <w:szCs w:val="16"/>
        </w:rPr>
        <w:t xml:space="preserve"> </w:t>
      </w:r>
      <w:r w:rsidRPr="00C11123">
        <w:rPr>
          <w:rFonts w:cs="Arial"/>
          <w:sz w:val="16"/>
          <w:szCs w:val="16"/>
        </w:rPr>
        <w:t>(Discussing that “PET/CT is more accurate in tumor localization and cancer staging as compared to PET alone, CT alone, or CT plus PET . . . Cost calculations show that there are savings from the integration of PET and CT in one system”).</w:t>
      </w:r>
    </w:p>
    <w:p w14:paraId="6A54A055" w14:textId="6B8D6209" w:rsidR="002F4CCA" w:rsidRPr="00C11123" w:rsidRDefault="002F4CCA">
      <w:pPr>
        <w:pStyle w:val="FootnoteText"/>
        <w:rPr>
          <w:sz w:val="16"/>
          <w:szCs w:val="16"/>
        </w:rPr>
      </w:pPr>
    </w:p>
  </w:footnote>
  <w:footnote w:id="137">
    <w:p w14:paraId="363640C4" w14:textId="1B92E4D7" w:rsidR="00294D85" w:rsidRPr="00C11123" w:rsidRDefault="00000000" w:rsidP="0068286A">
      <w:pPr>
        <w:pStyle w:val="FootnoteText"/>
        <w:rPr>
          <w:sz w:val="16"/>
          <w:szCs w:val="16"/>
        </w:rPr>
      </w:pPr>
      <w:r w:rsidRPr="00C11123">
        <w:rPr>
          <w:rStyle w:val="FootnoteReference"/>
          <w:sz w:val="16"/>
          <w:szCs w:val="16"/>
        </w:rPr>
        <w:footnoteRef/>
      </w:r>
      <w:r w:rsidRPr="00C11123">
        <w:rPr>
          <w:sz w:val="16"/>
          <w:szCs w:val="16"/>
        </w:rPr>
        <w:t xml:space="preserve"> </w:t>
      </w:r>
      <w:r w:rsidR="00F353E2" w:rsidRPr="00C11123">
        <w:rPr>
          <w:sz w:val="16"/>
          <w:szCs w:val="16"/>
        </w:rPr>
        <w:t xml:space="preserve">Sinsky, </w:t>
      </w:r>
      <w:r w:rsidR="00F353E2" w:rsidRPr="00C11123">
        <w:rPr>
          <w:i/>
          <w:iCs/>
          <w:sz w:val="16"/>
          <w:szCs w:val="16"/>
        </w:rPr>
        <w:t xml:space="preserve">supra </w:t>
      </w:r>
      <w:r w:rsidR="00F353E2" w:rsidRPr="00C11123">
        <w:rPr>
          <w:sz w:val="16"/>
          <w:szCs w:val="16"/>
        </w:rPr>
        <w:t>note 120.</w:t>
      </w:r>
    </w:p>
  </w:footnote>
  <w:footnote w:id="138">
    <w:p w14:paraId="36F3737D" w14:textId="7CCD6CBD" w:rsidR="00F54403" w:rsidRPr="00C11123" w:rsidRDefault="00000000">
      <w:pPr>
        <w:pStyle w:val="FootnoteText"/>
        <w:rPr>
          <w:sz w:val="16"/>
          <w:szCs w:val="16"/>
        </w:rPr>
      </w:pPr>
      <w:r w:rsidRPr="00C11123">
        <w:rPr>
          <w:rStyle w:val="FootnoteReference"/>
          <w:sz w:val="16"/>
          <w:szCs w:val="16"/>
        </w:rPr>
        <w:footnoteRef/>
      </w:r>
      <w:r w:rsidRPr="00C11123">
        <w:rPr>
          <w:sz w:val="16"/>
          <w:szCs w:val="16"/>
        </w:rPr>
        <w:t xml:space="preserve"> See e.g., </w:t>
      </w:r>
      <w:r w:rsidR="000C08E5" w:rsidRPr="00C11123">
        <w:rPr>
          <w:sz w:val="16"/>
          <w:szCs w:val="16"/>
        </w:rPr>
        <w:t xml:space="preserve">Alie R. </w:t>
      </w:r>
      <w:hyperlink r:id="rId169" w:history="1">
        <w:r w:rsidR="00AD3C93" w:rsidRPr="00F65660">
          <w:rPr>
            <w:rStyle w:val="Hyperlink"/>
            <w:sz w:val="16"/>
            <w:szCs w:val="16"/>
          </w:rPr>
          <w:t>Massachusetts Medical Society: Focusing on Social Determinants to Improve Health.</w:t>
        </w:r>
      </w:hyperlink>
      <w:r w:rsidR="00AD3C93" w:rsidRPr="00C11123">
        <w:rPr>
          <w:sz w:val="16"/>
          <w:szCs w:val="16"/>
        </w:rPr>
        <w:t xml:space="preserve"> Accessed February 17, 2026. </w:t>
      </w:r>
      <w:hyperlink r:id="rId170" w:history="1">
        <w:r w:rsidR="00F65660" w:rsidRPr="00387ED4">
          <w:rPr>
            <w:rStyle w:val="Hyperlink"/>
            <w:sz w:val="16"/>
            <w:szCs w:val="16"/>
          </w:rPr>
          <w:t>https://www.massmed.org/Templates/VitalSigns.aspx?id=4294983148</w:t>
        </w:r>
      </w:hyperlink>
      <w:r w:rsidR="00F65660">
        <w:rPr>
          <w:sz w:val="16"/>
          <w:szCs w:val="16"/>
        </w:rPr>
        <w:t xml:space="preserve"> </w:t>
      </w:r>
      <w:r w:rsidR="000C08E5" w:rsidRPr="00C11123">
        <w:rPr>
          <w:sz w:val="16"/>
          <w:szCs w:val="16"/>
        </w:rPr>
        <w:t xml:space="preserve"> </w:t>
      </w:r>
    </w:p>
  </w:footnote>
  <w:footnote w:id="139">
    <w:p w14:paraId="4D610889" w14:textId="7A900E89" w:rsidR="000B5B17" w:rsidRPr="00C11123" w:rsidRDefault="00000000" w:rsidP="000B5B17">
      <w:pPr>
        <w:pStyle w:val="FootnoteText"/>
        <w:rPr>
          <w:sz w:val="16"/>
          <w:szCs w:val="16"/>
        </w:rPr>
      </w:pPr>
      <w:r w:rsidRPr="00C11123">
        <w:rPr>
          <w:rStyle w:val="FootnoteReference"/>
          <w:sz w:val="16"/>
          <w:szCs w:val="16"/>
        </w:rPr>
        <w:footnoteRef/>
      </w:r>
      <w:r w:rsidRPr="00C11123">
        <w:rPr>
          <w:sz w:val="16"/>
          <w:szCs w:val="16"/>
        </w:rPr>
        <w:t xml:space="preserve"> See </w:t>
      </w:r>
      <w:hyperlink r:id="rId171" w:history="1">
        <w:r w:rsidR="00AD3C93" w:rsidRPr="00F65660">
          <w:rPr>
            <w:rStyle w:val="Hyperlink"/>
            <w:sz w:val="16"/>
            <w:szCs w:val="16"/>
          </w:rPr>
          <w:t>Social Determinants of Health | Mass.gov.</w:t>
        </w:r>
      </w:hyperlink>
      <w:r w:rsidR="00AD3C93" w:rsidRPr="00C11123">
        <w:rPr>
          <w:sz w:val="16"/>
          <w:szCs w:val="16"/>
        </w:rPr>
        <w:t xml:space="preserve"> Accessed February 17, 2026. </w:t>
      </w:r>
      <w:hyperlink r:id="rId172" w:history="1">
        <w:r w:rsidR="00F65660" w:rsidRPr="00387ED4">
          <w:rPr>
            <w:rStyle w:val="Hyperlink"/>
            <w:sz w:val="16"/>
            <w:szCs w:val="16"/>
          </w:rPr>
          <w:t>https://www.mass.gov/info-details/social-determinants-of-health</w:t>
        </w:r>
      </w:hyperlink>
      <w:r w:rsidR="00F65660">
        <w:rPr>
          <w:sz w:val="16"/>
          <w:szCs w:val="16"/>
        </w:rPr>
        <w:t xml:space="preserve"> </w:t>
      </w:r>
      <w:r w:rsidR="00AD3C93" w:rsidRPr="00C11123">
        <w:rPr>
          <w:sz w:val="16"/>
          <w:szCs w:val="16"/>
        </w:rPr>
        <w:t>.</w:t>
      </w:r>
      <w:r w:rsidR="000C08E5" w:rsidRPr="00C11123">
        <w:rPr>
          <w:sz w:val="16"/>
          <w:szCs w:val="16"/>
        </w:rPr>
        <w:t xml:space="preserve"> </w:t>
      </w:r>
    </w:p>
  </w:footnote>
  <w:footnote w:id="140">
    <w:p w14:paraId="0398E2E2" w14:textId="7D5052D1" w:rsidR="00E46A31" w:rsidRPr="00C11123" w:rsidRDefault="00000000" w:rsidP="00E46A31">
      <w:pPr>
        <w:pStyle w:val="FootnoteText"/>
        <w:rPr>
          <w:sz w:val="16"/>
          <w:szCs w:val="16"/>
        </w:rPr>
      </w:pPr>
      <w:r w:rsidRPr="00C11123">
        <w:rPr>
          <w:rStyle w:val="FootnoteReference"/>
          <w:sz w:val="16"/>
          <w:szCs w:val="16"/>
        </w:rPr>
        <w:footnoteRef/>
      </w:r>
      <w:r w:rsidRPr="00C11123">
        <w:rPr>
          <w:sz w:val="16"/>
          <w:szCs w:val="16"/>
        </w:rPr>
        <w:t xml:space="preserve"> See e.g., </w:t>
      </w:r>
      <w:r w:rsidR="000C08E5" w:rsidRPr="00C11123">
        <w:rPr>
          <w:sz w:val="16"/>
          <w:szCs w:val="16"/>
        </w:rPr>
        <w:t xml:space="preserve">Alie R. </w:t>
      </w:r>
      <w:hyperlink r:id="rId173" w:history="1">
        <w:r w:rsidR="00AD3C93" w:rsidRPr="00F65660">
          <w:rPr>
            <w:rStyle w:val="Hyperlink"/>
            <w:sz w:val="16"/>
            <w:szCs w:val="16"/>
          </w:rPr>
          <w:t>Massachusetts Medical Society: Focusing on Social Determinants to Improve Health</w:t>
        </w:r>
      </w:hyperlink>
      <w:r w:rsidR="00AD3C93" w:rsidRPr="00C11123">
        <w:rPr>
          <w:sz w:val="16"/>
          <w:szCs w:val="16"/>
        </w:rPr>
        <w:t xml:space="preserve">. Accessed February 17, 2026. </w:t>
      </w:r>
      <w:hyperlink r:id="rId174" w:history="1">
        <w:r w:rsidR="00F65660" w:rsidRPr="00387ED4">
          <w:rPr>
            <w:rStyle w:val="Hyperlink"/>
            <w:sz w:val="16"/>
            <w:szCs w:val="16"/>
          </w:rPr>
          <w:t>https://www.massmed.org/Templates/VitalSigns.aspx?id=4294983148</w:t>
        </w:r>
      </w:hyperlink>
      <w:r w:rsidR="00F65660">
        <w:rPr>
          <w:sz w:val="16"/>
          <w:szCs w:val="16"/>
        </w:rPr>
        <w:t xml:space="preserve"> </w:t>
      </w:r>
      <w:r w:rsidR="000C08E5" w:rsidRPr="00C11123">
        <w:rPr>
          <w:sz w:val="16"/>
          <w:szCs w:val="16"/>
        </w:rPr>
        <w:t xml:space="preserve"> </w:t>
      </w:r>
    </w:p>
  </w:footnote>
  <w:footnote w:id="141">
    <w:p w14:paraId="3FFEF901" w14:textId="553F9E3D" w:rsidR="008E017B" w:rsidRPr="00C11123" w:rsidRDefault="00000000" w:rsidP="008E017B">
      <w:pPr>
        <w:pStyle w:val="FootnoteText"/>
        <w:rPr>
          <w:sz w:val="16"/>
          <w:szCs w:val="16"/>
        </w:rPr>
      </w:pPr>
      <w:r w:rsidRPr="00C11123">
        <w:rPr>
          <w:rStyle w:val="FootnoteReference"/>
          <w:sz w:val="16"/>
          <w:szCs w:val="16"/>
        </w:rPr>
        <w:footnoteRef/>
      </w:r>
      <w:r w:rsidRPr="00C11123">
        <w:rPr>
          <w:sz w:val="16"/>
          <w:szCs w:val="16"/>
        </w:rPr>
        <w:t xml:space="preserve"> See e.g., </w:t>
      </w:r>
      <w:r w:rsidR="00AD3C93" w:rsidRPr="00C11123">
        <w:rPr>
          <w:sz w:val="16"/>
          <w:szCs w:val="16"/>
        </w:rPr>
        <w:t xml:space="preserve">Smith T, Harper M. </w:t>
      </w:r>
      <w:hyperlink r:id="rId175" w:history="1">
        <w:r w:rsidR="00AD3C93" w:rsidRPr="00F65660">
          <w:rPr>
            <w:rStyle w:val="Hyperlink"/>
            <w:sz w:val="16"/>
            <w:szCs w:val="16"/>
          </w:rPr>
          <w:t>Prostate-Specific Membrane Antigen (PSMA) PET-CT: Revolutionizing Staging, Restaging, and Treatment Response Assessment.</w:t>
        </w:r>
      </w:hyperlink>
      <w:r w:rsidR="00AD3C93" w:rsidRPr="00C11123">
        <w:rPr>
          <w:sz w:val="16"/>
          <w:szCs w:val="16"/>
        </w:rPr>
        <w:t xml:space="preserve"> </w:t>
      </w:r>
      <w:r w:rsidR="00AD3C93" w:rsidRPr="00C11123">
        <w:rPr>
          <w:i/>
          <w:iCs/>
          <w:sz w:val="16"/>
          <w:szCs w:val="16"/>
        </w:rPr>
        <w:t xml:space="preserve">Ann </w:t>
      </w:r>
      <w:proofErr w:type="spellStart"/>
      <w:r w:rsidR="00AD3C93" w:rsidRPr="00C11123">
        <w:rPr>
          <w:i/>
          <w:iCs/>
          <w:sz w:val="16"/>
          <w:szCs w:val="16"/>
        </w:rPr>
        <w:t>Urol</w:t>
      </w:r>
      <w:proofErr w:type="spellEnd"/>
      <w:r w:rsidR="00AD3C93" w:rsidRPr="00C11123">
        <w:rPr>
          <w:i/>
          <w:iCs/>
          <w:sz w:val="16"/>
          <w:szCs w:val="16"/>
        </w:rPr>
        <w:t xml:space="preserve"> Oncol</w:t>
      </w:r>
      <w:r w:rsidR="00AD3C93" w:rsidRPr="00C11123">
        <w:rPr>
          <w:sz w:val="16"/>
          <w:szCs w:val="16"/>
        </w:rPr>
        <w:t>. Published online December 28, 2025. doi:10.32948/auo.2025.12.15</w:t>
      </w:r>
      <w:r w:rsidR="00C90598" w:rsidRPr="00C11123">
        <w:rPr>
          <w:sz w:val="16"/>
          <w:szCs w:val="16"/>
        </w:rPr>
        <w:t xml:space="preserve">. Accessed February 22, 2026. </w:t>
      </w:r>
      <w:hyperlink r:id="rId176" w:history="1">
        <w:r w:rsidR="00F65660" w:rsidRPr="00387ED4">
          <w:rPr>
            <w:rStyle w:val="Hyperlink"/>
            <w:sz w:val="16"/>
            <w:szCs w:val="16"/>
          </w:rPr>
          <w:t>https://auo.asmepress.com/Uploads/file/20251231/20251231182141_75484.pdf</w:t>
        </w:r>
      </w:hyperlink>
      <w:r w:rsidR="00F65660">
        <w:rPr>
          <w:sz w:val="16"/>
          <w:szCs w:val="16"/>
        </w:rPr>
        <w:t xml:space="preserve"> </w:t>
      </w:r>
      <w:r w:rsidR="00C90598" w:rsidRPr="00C11123">
        <w:rPr>
          <w:sz w:val="16"/>
          <w:szCs w:val="16"/>
        </w:rPr>
        <w:t xml:space="preserve"> </w:t>
      </w:r>
      <w:r w:rsidRPr="00C11123">
        <w:rPr>
          <w:sz w:val="16"/>
          <w:szCs w:val="16"/>
        </w:rPr>
        <w:t xml:space="preserve">(Explaining that PSMA PET/CT provides physicians with greater precision in determining the extent of prostate cancer with highly accurate staging that can impact treatment decisions about whether to pursue surgical procedures or radiation </w:t>
      </w:r>
      <w:proofErr w:type="gramStart"/>
      <w:r w:rsidRPr="00C11123">
        <w:rPr>
          <w:sz w:val="16"/>
          <w:szCs w:val="16"/>
        </w:rPr>
        <w:t>planning, and</w:t>
      </w:r>
      <w:proofErr w:type="gramEnd"/>
      <w:r w:rsidRPr="00C11123">
        <w:rPr>
          <w:sz w:val="16"/>
          <w:szCs w:val="16"/>
        </w:rPr>
        <w:t xml:space="preserve"> can help avoid unnecessary aggressive treatment. Its ability to pinpoint both occult and oligometastatic disease enables clinicians to choose the most appropriate strategy—whether curative local therapy, systemic therapy, or targeted metastasis</w:t>
      </w:r>
      <w:r w:rsidRPr="00C11123">
        <w:rPr>
          <w:sz w:val="16"/>
          <w:szCs w:val="16"/>
        </w:rPr>
        <w:noBreakHyphen/>
        <w:t>directed treatment—tailored to each patient’s exact disease pattern</w:t>
      </w:r>
      <w:r w:rsidR="00117A44" w:rsidRPr="00C11123">
        <w:rPr>
          <w:sz w:val="16"/>
          <w:szCs w:val="16"/>
        </w:rPr>
        <w:t>)</w:t>
      </w:r>
      <w:r w:rsidRPr="00C11123">
        <w:rPr>
          <w:sz w:val="16"/>
          <w:szCs w:val="16"/>
        </w:rPr>
        <w:t>.</w:t>
      </w:r>
    </w:p>
  </w:footnote>
  <w:footnote w:id="142">
    <w:p w14:paraId="226C4B33" w14:textId="29486E32" w:rsidR="008E017B" w:rsidRPr="00C11123" w:rsidRDefault="00000000" w:rsidP="008E017B">
      <w:pPr>
        <w:pStyle w:val="FootnoteText"/>
        <w:rPr>
          <w:sz w:val="16"/>
          <w:szCs w:val="16"/>
        </w:rPr>
      </w:pPr>
      <w:r w:rsidRPr="00C11123">
        <w:rPr>
          <w:rStyle w:val="FootnoteReference"/>
          <w:sz w:val="16"/>
          <w:szCs w:val="16"/>
        </w:rPr>
        <w:footnoteRef/>
      </w:r>
      <w:r w:rsidRPr="00C11123">
        <w:rPr>
          <w:sz w:val="16"/>
          <w:szCs w:val="16"/>
        </w:rPr>
        <w:t xml:space="preserve"> </w:t>
      </w:r>
      <w:r w:rsidR="00451C36" w:rsidRPr="00C11123">
        <w:rPr>
          <w:i/>
          <w:iCs/>
          <w:sz w:val="16"/>
          <w:szCs w:val="16"/>
        </w:rPr>
        <w:t>I</w:t>
      </w:r>
      <w:r w:rsidR="00F353E2" w:rsidRPr="00C11123">
        <w:rPr>
          <w:i/>
          <w:iCs/>
          <w:sz w:val="16"/>
          <w:szCs w:val="16"/>
        </w:rPr>
        <w:t>d.</w:t>
      </w:r>
    </w:p>
  </w:footnote>
  <w:footnote w:id="143">
    <w:p w14:paraId="2F8DB32D" w14:textId="19E74A43" w:rsidR="008E017B" w:rsidRPr="00C11123" w:rsidRDefault="00000000" w:rsidP="008E017B">
      <w:pPr>
        <w:pStyle w:val="FootnoteText"/>
        <w:rPr>
          <w:sz w:val="16"/>
          <w:szCs w:val="16"/>
        </w:rPr>
      </w:pPr>
      <w:r w:rsidRPr="00C11123">
        <w:rPr>
          <w:rStyle w:val="FootnoteReference"/>
          <w:sz w:val="16"/>
          <w:szCs w:val="16"/>
        </w:rPr>
        <w:footnoteRef/>
      </w:r>
      <w:r w:rsidRPr="00C11123">
        <w:rPr>
          <w:sz w:val="16"/>
          <w:szCs w:val="16"/>
        </w:rPr>
        <w:t xml:space="preserve"> </w:t>
      </w:r>
      <w:r w:rsidR="00451C36" w:rsidRPr="00C11123">
        <w:rPr>
          <w:i/>
          <w:iCs/>
          <w:sz w:val="16"/>
          <w:szCs w:val="16"/>
        </w:rPr>
        <w:t>I</w:t>
      </w:r>
      <w:r w:rsidR="00F353E2" w:rsidRPr="00C11123">
        <w:rPr>
          <w:i/>
          <w:iCs/>
          <w:sz w:val="16"/>
          <w:szCs w:val="16"/>
        </w:rPr>
        <w:t>d</w:t>
      </w:r>
      <w:r w:rsidR="00451C36" w:rsidRPr="00C11123">
        <w:rPr>
          <w:sz w:val="16"/>
          <w:szCs w:val="16"/>
        </w:rPr>
        <w:t>.</w:t>
      </w:r>
    </w:p>
  </w:footnote>
  <w:footnote w:id="144">
    <w:p w14:paraId="6A1FA268" w14:textId="2A8B80B2" w:rsidR="008E017B" w:rsidRPr="00C11123" w:rsidRDefault="00000000" w:rsidP="008E017B">
      <w:pPr>
        <w:pStyle w:val="FootnoteText"/>
        <w:rPr>
          <w:sz w:val="16"/>
          <w:szCs w:val="16"/>
        </w:rPr>
      </w:pPr>
      <w:r w:rsidRPr="00C11123">
        <w:rPr>
          <w:rStyle w:val="FootnoteReference"/>
          <w:sz w:val="16"/>
          <w:szCs w:val="16"/>
        </w:rPr>
        <w:footnoteRef/>
      </w:r>
      <w:r w:rsidRPr="00C11123">
        <w:rPr>
          <w:sz w:val="16"/>
          <w:szCs w:val="16"/>
        </w:rPr>
        <w:t xml:space="preserve"> See e.g., </w:t>
      </w:r>
      <w:hyperlink r:id="rId177" w:history="1">
        <w:r w:rsidR="00831FEB" w:rsidRPr="00874766">
          <w:rPr>
            <w:rStyle w:val="Hyperlink"/>
            <w:sz w:val="16"/>
            <w:szCs w:val="16"/>
          </w:rPr>
          <w:t>Survival Rates for Prostate Cancer, American Cancer Society</w:t>
        </w:r>
      </w:hyperlink>
      <w:r w:rsidR="00831FEB" w:rsidRPr="00C11123">
        <w:rPr>
          <w:sz w:val="16"/>
          <w:szCs w:val="16"/>
        </w:rPr>
        <w:t>.</w:t>
      </w:r>
      <w:r w:rsidR="00AD3C93" w:rsidRPr="00C11123">
        <w:rPr>
          <w:sz w:val="16"/>
          <w:szCs w:val="16"/>
        </w:rPr>
        <w:t xml:space="preserve"> Accessed February 17, 2026. </w:t>
      </w:r>
      <w:hyperlink r:id="rId178" w:history="1">
        <w:r w:rsidR="009D0261" w:rsidRPr="00387ED4">
          <w:rPr>
            <w:rStyle w:val="Hyperlink"/>
            <w:sz w:val="16"/>
            <w:szCs w:val="16"/>
          </w:rPr>
          <w:t>https://www.cancer.org/cancer/types/prostate-cancer/detection-diagnosis-staging/survival-rates.html</w:t>
        </w:r>
      </w:hyperlink>
      <w:r w:rsidR="009D0261">
        <w:rPr>
          <w:sz w:val="16"/>
          <w:szCs w:val="16"/>
        </w:rPr>
        <w:t xml:space="preserve"> </w:t>
      </w:r>
      <w:r w:rsidRPr="00C11123">
        <w:rPr>
          <w:sz w:val="16"/>
          <w:szCs w:val="16"/>
        </w:rPr>
        <w:t xml:space="preserve">; see also </w:t>
      </w:r>
      <w:proofErr w:type="spellStart"/>
      <w:r w:rsidR="00AD3C93" w:rsidRPr="00C11123">
        <w:rPr>
          <w:sz w:val="16"/>
          <w:szCs w:val="16"/>
        </w:rPr>
        <w:t>avalere_wp</w:t>
      </w:r>
      <w:proofErr w:type="spellEnd"/>
      <w:r w:rsidR="00AD3C93" w:rsidRPr="00C11123">
        <w:rPr>
          <w:sz w:val="16"/>
          <w:szCs w:val="16"/>
        </w:rPr>
        <w:t xml:space="preserve">. </w:t>
      </w:r>
      <w:hyperlink r:id="rId179" w:history="1">
        <w:r w:rsidR="00AD3C93" w:rsidRPr="00874766">
          <w:rPr>
            <w:rStyle w:val="Hyperlink"/>
            <w:sz w:val="16"/>
            <w:szCs w:val="16"/>
          </w:rPr>
          <w:t>Earlier Cancer Detection Improves Quality of Life and Patient Outcomes</w:t>
        </w:r>
      </w:hyperlink>
      <w:r w:rsidR="00AD3C93" w:rsidRPr="00C11123">
        <w:rPr>
          <w:sz w:val="16"/>
          <w:szCs w:val="16"/>
        </w:rPr>
        <w:t xml:space="preserve">. Avalere Health Advisory. July 29, 2021. Accessed February 17, 2026. </w:t>
      </w:r>
      <w:hyperlink r:id="rId180" w:history="1">
        <w:r w:rsidR="00874766" w:rsidRPr="00387ED4">
          <w:rPr>
            <w:rStyle w:val="Hyperlink"/>
            <w:sz w:val="16"/>
            <w:szCs w:val="16"/>
          </w:rPr>
          <w:t>https://advisory.avalerehealth.com/insights/earlier-cancer-detection-improves-quality-of-life-and-patient-outcomes</w:t>
        </w:r>
      </w:hyperlink>
      <w:r w:rsidR="00874766">
        <w:rPr>
          <w:sz w:val="16"/>
          <w:szCs w:val="16"/>
        </w:rPr>
        <w:t xml:space="preserve"> </w:t>
      </w:r>
      <w:r w:rsidR="00831FEB" w:rsidRPr="00C11123">
        <w:rPr>
          <w:sz w:val="16"/>
          <w:szCs w:val="16"/>
        </w:rPr>
        <w:t xml:space="preserve"> </w:t>
      </w:r>
    </w:p>
  </w:footnote>
  <w:footnote w:id="145">
    <w:p w14:paraId="732DFB82" w14:textId="0150BCC5" w:rsidR="009F12E4" w:rsidRPr="00C11123" w:rsidRDefault="00000000">
      <w:pPr>
        <w:pStyle w:val="FootnoteText"/>
        <w:rPr>
          <w:rFonts w:cs="Arial"/>
          <w:sz w:val="16"/>
          <w:szCs w:val="16"/>
        </w:rPr>
      </w:pPr>
      <w:r w:rsidRPr="00C11123">
        <w:rPr>
          <w:rStyle w:val="FootnoteReference"/>
          <w:sz w:val="16"/>
          <w:szCs w:val="16"/>
        </w:rPr>
        <w:footnoteRef/>
      </w:r>
      <w:r w:rsidRPr="00C11123">
        <w:rPr>
          <w:sz w:val="16"/>
          <w:szCs w:val="16"/>
        </w:rPr>
        <w:t xml:space="preserve"> </w:t>
      </w:r>
      <w:r w:rsidR="00BD4CC3" w:rsidRPr="00C11123">
        <w:rPr>
          <w:sz w:val="16"/>
          <w:szCs w:val="16"/>
        </w:rPr>
        <w:t xml:space="preserve">See e.g., </w:t>
      </w:r>
      <w:r w:rsidR="003603BC" w:rsidRPr="00C11123">
        <w:rPr>
          <w:rFonts w:cs="Arial"/>
          <w:sz w:val="16"/>
          <w:szCs w:val="16"/>
        </w:rPr>
        <w:t>Subramanian</w:t>
      </w:r>
      <w:r w:rsidR="00F353E2" w:rsidRPr="00C11123">
        <w:rPr>
          <w:rFonts w:cs="Arial"/>
          <w:sz w:val="16"/>
          <w:szCs w:val="16"/>
        </w:rPr>
        <w:t xml:space="preserve">, </w:t>
      </w:r>
      <w:r w:rsidR="00F353E2" w:rsidRPr="00C11123">
        <w:rPr>
          <w:rFonts w:cs="Arial"/>
          <w:i/>
          <w:iCs/>
          <w:sz w:val="16"/>
          <w:szCs w:val="16"/>
        </w:rPr>
        <w:t>supra</w:t>
      </w:r>
      <w:r w:rsidR="00F353E2" w:rsidRPr="00C11123">
        <w:rPr>
          <w:rFonts w:cs="Arial"/>
          <w:sz w:val="16"/>
          <w:szCs w:val="16"/>
        </w:rPr>
        <w:t xml:space="preserve"> note 15</w:t>
      </w:r>
      <w:r w:rsidR="00BD4CC3" w:rsidRPr="00C11123">
        <w:rPr>
          <w:rFonts w:cs="Arial"/>
          <w:sz w:val="16"/>
          <w:szCs w:val="16"/>
        </w:rPr>
        <w:t xml:space="preserve">; </w:t>
      </w:r>
      <w:r w:rsidR="00BD4CC3" w:rsidRPr="00C11123">
        <w:rPr>
          <w:sz w:val="16"/>
          <w:szCs w:val="16"/>
        </w:rPr>
        <w:t>See e.g., Smith</w:t>
      </w:r>
      <w:r w:rsidR="00F353E2" w:rsidRPr="00C11123">
        <w:rPr>
          <w:sz w:val="16"/>
          <w:szCs w:val="16"/>
        </w:rPr>
        <w:t xml:space="preserve">, </w:t>
      </w:r>
      <w:r w:rsidR="00F353E2" w:rsidRPr="00C11123">
        <w:rPr>
          <w:i/>
          <w:iCs/>
          <w:sz w:val="16"/>
          <w:szCs w:val="16"/>
        </w:rPr>
        <w:t>supra</w:t>
      </w:r>
      <w:r w:rsidR="00F353E2" w:rsidRPr="00C11123">
        <w:rPr>
          <w:sz w:val="16"/>
          <w:szCs w:val="16"/>
        </w:rPr>
        <w:t xml:space="preserve"> note 145 </w:t>
      </w:r>
      <w:r w:rsidR="000003F3" w:rsidRPr="00C11123">
        <w:rPr>
          <w:rFonts w:cs="Arial"/>
          <w:sz w:val="16"/>
          <w:szCs w:val="16"/>
        </w:rPr>
        <w:t>(Discussing that PSMA PET/CT is a clinical game</w:t>
      </w:r>
      <w:r w:rsidR="000003F3" w:rsidRPr="00C11123">
        <w:rPr>
          <w:rFonts w:cs="Arial"/>
          <w:sz w:val="16"/>
          <w:szCs w:val="16"/>
        </w:rPr>
        <w:noBreakHyphen/>
        <w:t>changer because its unparalleled sensitivity and specificity allow prostate cancer to be detected, staged, and restaged earlier and more accurately than conventional imaging—often at very low PSA levels—thereby enabling more precise, individualized treatment</w:t>
      </w:r>
      <w:r w:rsidR="007A3BFC" w:rsidRPr="00C11123">
        <w:rPr>
          <w:rFonts w:cs="Arial"/>
          <w:sz w:val="16"/>
          <w:szCs w:val="16"/>
        </w:rPr>
        <w:t>; “Significantly, this enhanced diagnostic accuracy has been demonstrated to have a direct impact on clinical management with changes in surgical planning, radiation therapy treatment volumes and systemic treatment plans.”).</w:t>
      </w:r>
    </w:p>
  </w:footnote>
  <w:footnote w:id="146">
    <w:p w14:paraId="5AA6608C" w14:textId="2A79F755" w:rsidR="008E017B" w:rsidRPr="00C11123" w:rsidRDefault="00000000" w:rsidP="008E017B">
      <w:pPr>
        <w:pStyle w:val="FootnoteText"/>
        <w:rPr>
          <w:i/>
          <w:iCs/>
          <w:sz w:val="16"/>
          <w:szCs w:val="16"/>
        </w:rPr>
      </w:pPr>
      <w:r w:rsidRPr="00C11123">
        <w:rPr>
          <w:rStyle w:val="FootnoteReference"/>
          <w:sz w:val="16"/>
          <w:szCs w:val="16"/>
        </w:rPr>
        <w:footnoteRef/>
      </w:r>
      <w:r w:rsidRPr="00C11123">
        <w:rPr>
          <w:sz w:val="16"/>
          <w:szCs w:val="16"/>
        </w:rPr>
        <w:t xml:space="preserve"> </w:t>
      </w:r>
      <w:r w:rsidR="00F353E2" w:rsidRPr="00C11123">
        <w:rPr>
          <w:i/>
          <w:iCs/>
          <w:sz w:val="16"/>
          <w:szCs w:val="16"/>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C6E0" w14:textId="0C51EBF8" w:rsidR="00A80CA3" w:rsidRPr="00EB3C32" w:rsidRDefault="00000000" w:rsidP="00A80CA3">
    <w:pPr>
      <w:spacing w:after="0" w:line="240" w:lineRule="auto"/>
      <w:jc w:val="both"/>
      <w:rPr>
        <w:rFonts w:cs="Arial"/>
        <w:sz w:val="22"/>
        <w:szCs w:val="22"/>
      </w:rPr>
    </w:pPr>
    <w:r w:rsidRPr="00EB3C32">
      <w:rPr>
        <w:rFonts w:cs="Arial"/>
        <w:sz w:val="22"/>
        <w:szCs w:val="22"/>
      </w:rPr>
      <w:t>Greater Boston Urology, LLC</w:t>
    </w:r>
    <w:r w:rsidRPr="00EB3C32">
      <w:rPr>
        <w:rFonts w:cs="Arial"/>
        <w:sz w:val="22"/>
        <w:szCs w:val="22"/>
      </w:rPr>
      <w:tab/>
    </w:r>
    <w:r w:rsidRPr="00EB3C32">
      <w:rPr>
        <w:rFonts w:cs="Arial"/>
        <w:sz w:val="22"/>
        <w:szCs w:val="22"/>
      </w:rPr>
      <w:tab/>
    </w:r>
    <w:r w:rsidRPr="00EB3C32">
      <w:rPr>
        <w:rFonts w:cs="Arial"/>
        <w:sz w:val="22"/>
        <w:szCs w:val="22"/>
      </w:rPr>
      <w:tab/>
    </w:r>
    <w:r w:rsidR="00EB3C32">
      <w:rPr>
        <w:rFonts w:cs="Arial"/>
        <w:sz w:val="22"/>
        <w:szCs w:val="22"/>
      </w:rPr>
      <w:tab/>
    </w:r>
    <w:r w:rsidR="00EB3C32">
      <w:rPr>
        <w:rFonts w:cs="Arial"/>
        <w:sz w:val="22"/>
        <w:szCs w:val="22"/>
      </w:rPr>
      <w:tab/>
    </w:r>
    <w:r w:rsidRPr="00EB3C32">
      <w:rPr>
        <w:rFonts w:cs="Arial"/>
        <w:sz w:val="22"/>
        <w:szCs w:val="22"/>
      </w:rPr>
      <w:t xml:space="preserve">DON Application # </w:t>
    </w:r>
    <w:r w:rsidRPr="00EB3C32">
      <w:rPr>
        <w:rFonts w:cs="Arial"/>
        <w:bCs/>
        <w:sz w:val="22"/>
        <w:szCs w:val="22"/>
      </w:rPr>
      <w:t>GBU-25090411-RE</w:t>
    </w:r>
  </w:p>
  <w:p w14:paraId="037864A4" w14:textId="77777777" w:rsidR="000C75F0" w:rsidRDefault="000C7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C3D"/>
    <w:multiLevelType w:val="hybridMultilevel"/>
    <w:tmpl w:val="23E0C0E4"/>
    <w:lvl w:ilvl="0" w:tplc="79AAFBF0">
      <w:start w:val="1"/>
      <w:numFmt w:val="bullet"/>
      <w:lvlText w:val=""/>
      <w:lvlJc w:val="left"/>
      <w:pPr>
        <w:ind w:left="0" w:hanging="360"/>
      </w:pPr>
      <w:rPr>
        <w:rFonts w:ascii="Symbol" w:hAnsi="Symbol" w:hint="default"/>
      </w:rPr>
    </w:lvl>
    <w:lvl w:ilvl="1" w:tplc="E44E22B6" w:tentative="1">
      <w:start w:val="1"/>
      <w:numFmt w:val="bullet"/>
      <w:lvlText w:val="o"/>
      <w:lvlJc w:val="left"/>
      <w:pPr>
        <w:ind w:left="720" w:hanging="360"/>
      </w:pPr>
      <w:rPr>
        <w:rFonts w:ascii="Courier New" w:hAnsi="Courier New" w:cs="Courier New" w:hint="default"/>
      </w:rPr>
    </w:lvl>
    <w:lvl w:ilvl="2" w:tplc="27D2F972" w:tentative="1">
      <w:start w:val="1"/>
      <w:numFmt w:val="bullet"/>
      <w:lvlText w:val=""/>
      <w:lvlJc w:val="left"/>
      <w:pPr>
        <w:ind w:left="1440" w:hanging="360"/>
      </w:pPr>
      <w:rPr>
        <w:rFonts w:ascii="Wingdings" w:hAnsi="Wingdings" w:hint="default"/>
      </w:rPr>
    </w:lvl>
    <w:lvl w:ilvl="3" w:tplc="50043F84" w:tentative="1">
      <w:start w:val="1"/>
      <w:numFmt w:val="bullet"/>
      <w:lvlText w:val=""/>
      <w:lvlJc w:val="left"/>
      <w:pPr>
        <w:ind w:left="2160" w:hanging="360"/>
      </w:pPr>
      <w:rPr>
        <w:rFonts w:ascii="Symbol" w:hAnsi="Symbol" w:hint="default"/>
      </w:rPr>
    </w:lvl>
    <w:lvl w:ilvl="4" w:tplc="372AA4A8" w:tentative="1">
      <w:start w:val="1"/>
      <w:numFmt w:val="bullet"/>
      <w:lvlText w:val="o"/>
      <w:lvlJc w:val="left"/>
      <w:pPr>
        <w:ind w:left="2880" w:hanging="360"/>
      </w:pPr>
      <w:rPr>
        <w:rFonts w:ascii="Courier New" w:hAnsi="Courier New" w:cs="Courier New" w:hint="default"/>
      </w:rPr>
    </w:lvl>
    <w:lvl w:ilvl="5" w:tplc="29D66952" w:tentative="1">
      <w:start w:val="1"/>
      <w:numFmt w:val="bullet"/>
      <w:lvlText w:val=""/>
      <w:lvlJc w:val="left"/>
      <w:pPr>
        <w:ind w:left="3600" w:hanging="360"/>
      </w:pPr>
      <w:rPr>
        <w:rFonts w:ascii="Wingdings" w:hAnsi="Wingdings" w:hint="default"/>
      </w:rPr>
    </w:lvl>
    <w:lvl w:ilvl="6" w:tplc="FE78E478" w:tentative="1">
      <w:start w:val="1"/>
      <w:numFmt w:val="bullet"/>
      <w:lvlText w:val=""/>
      <w:lvlJc w:val="left"/>
      <w:pPr>
        <w:ind w:left="4320" w:hanging="360"/>
      </w:pPr>
      <w:rPr>
        <w:rFonts w:ascii="Symbol" w:hAnsi="Symbol" w:hint="default"/>
      </w:rPr>
    </w:lvl>
    <w:lvl w:ilvl="7" w:tplc="67C8DCCA" w:tentative="1">
      <w:start w:val="1"/>
      <w:numFmt w:val="bullet"/>
      <w:lvlText w:val="o"/>
      <w:lvlJc w:val="left"/>
      <w:pPr>
        <w:ind w:left="5040" w:hanging="360"/>
      </w:pPr>
      <w:rPr>
        <w:rFonts w:ascii="Courier New" w:hAnsi="Courier New" w:cs="Courier New" w:hint="default"/>
      </w:rPr>
    </w:lvl>
    <w:lvl w:ilvl="8" w:tplc="C6261E4A" w:tentative="1">
      <w:start w:val="1"/>
      <w:numFmt w:val="bullet"/>
      <w:lvlText w:val=""/>
      <w:lvlJc w:val="left"/>
      <w:pPr>
        <w:ind w:left="5760" w:hanging="360"/>
      </w:pPr>
      <w:rPr>
        <w:rFonts w:ascii="Wingdings" w:hAnsi="Wingdings" w:hint="default"/>
      </w:rPr>
    </w:lvl>
  </w:abstractNum>
  <w:abstractNum w:abstractNumId="1" w15:restartNumberingAfterBreak="0">
    <w:nsid w:val="07C962EE"/>
    <w:multiLevelType w:val="hybridMultilevel"/>
    <w:tmpl w:val="9C223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77691"/>
    <w:multiLevelType w:val="hybridMultilevel"/>
    <w:tmpl w:val="481CBA96"/>
    <w:lvl w:ilvl="0" w:tplc="87485738">
      <w:start w:val="1"/>
      <w:numFmt w:val="bullet"/>
      <w:lvlText w:val=""/>
      <w:lvlJc w:val="left"/>
      <w:pPr>
        <w:ind w:left="360" w:hanging="360"/>
      </w:pPr>
      <w:rPr>
        <w:rFonts w:ascii="Symbol" w:hAnsi="Symbol" w:hint="default"/>
      </w:rPr>
    </w:lvl>
    <w:lvl w:ilvl="1" w:tplc="65887C92" w:tentative="1">
      <w:start w:val="1"/>
      <w:numFmt w:val="bullet"/>
      <w:lvlText w:val="o"/>
      <w:lvlJc w:val="left"/>
      <w:pPr>
        <w:ind w:left="1080" w:hanging="360"/>
      </w:pPr>
      <w:rPr>
        <w:rFonts w:ascii="Courier New" w:hAnsi="Courier New" w:cs="Courier New" w:hint="default"/>
      </w:rPr>
    </w:lvl>
    <w:lvl w:ilvl="2" w:tplc="4E86BBF2" w:tentative="1">
      <w:start w:val="1"/>
      <w:numFmt w:val="bullet"/>
      <w:lvlText w:val=""/>
      <w:lvlJc w:val="left"/>
      <w:pPr>
        <w:ind w:left="1800" w:hanging="360"/>
      </w:pPr>
      <w:rPr>
        <w:rFonts w:ascii="Wingdings" w:hAnsi="Wingdings" w:hint="default"/>
      </w:rPr>
    </w:lvl>
    <w:lvl w:ilvl="3" w:tplc="AFF4B832" w:tentative="1">
      <w:start w:val="1"/>
      <w:numFmt w:val="bullet"/>
      <w:lvlText w:val=""/>
      <w:lvlJc w:val="left"/>
      <w:pPr>
        <w:ind w:left="2520" w:hanging="360"/>
      </w:pPr>
      <w:rPr>
        <w:rFonts w:ascii="Symbol" w:hAnsi="Symbol" w:hint="default"/>
      </w:rPr>
    </w:lvl>
    <w:lvl w:ilvl="4" w:tplc="05226176" w:tentative="1">
      <w:start w:val="1"/>
      <w:numFmt w:val="bullet"/>
      <w:lvlText w:val="o"/>
      <w:lvlJc w:val="left"/>
      <w:pPr>
        <w:ind w:left="3240" w:hanging="360"/>
      </w:pPr>
      <w:rPr>
        <w:rFonts w:ascii="Courier New" w:hAnsi="Courier New" w:cs="Courier New" w:hint="default"/>
      </w:rPr>
    </w:lvl>
    <w:lvl w:ilvl="5" w:tplc="789C66BA" w:tentative="1">
      <w:start w:val="1"/>
      <w:numFmt w:val="bullet"/>
      <w:lvlText w:val=""/>
      <w:lvlJc w:val="left"/>
      <w:pPr>
        <w:ind w:left="3960" w:hanging="360"/>
      </w:pPr>
      <w:rPr>
        <w:rFonts w:ascii="Wingdings" w:hAnsi="Wingdings" w:hint="default"/>
      </w:rPr>
    </w:lvl>
    <w:lvl w:ilvl="6" w:tplc="5F943852" w:tentative="1">
      <w:start w:val="1"/>
      <w:numFmt w:val="bullet"/>
      <w:lvlText w:val=""/>
      <w:lvlJc w:val="left"/>
      <w:pPr>
        <w:ind w:left="4680" w:hanging="360"/>
      </w:pPr>
      <w:rPr>
        <w:rFonts w:ascii="Symbol" w:hAnsi="Symbol" w:hint="default"/>
      </w:rPr>
    </w:lvl>
    <w:lvl w:ilvl="7" w:tplc="F29C1344" w:tentative="1">
      <w:start w:val="1"/>
      <w:numFmt w:val="bullet"/>
      <w:lvlText w:val="o"/>
      <w:lvlJc w:val="left"/>
      <w:pPr>
        <w:ind w:left="5400" w:hanging="360"/>
      </w:pPr>
      <w:rPr>
        <w:rFonts w:ascii="Courier New" w:hAnsi="Courier New" w:cs="Courier New" w:hint="default"/>
      </w:rPr>
    </w:lvl>
    <w:lvl w:ilvl="8" w:tplc="80B2BF30" w:tentative="1">
      <w:start w:val="1"/>
      <w:numFmt w:val="bullet"/>
      <w:lvlText w:val=""/>
      <w:lvlJc w:val="left"/>
      <w:pPr>
        <w:ind w:left="6120" w:hanging="360"/>
      </w:pPr>
      <w:rPr>
        <w:rFonts w:ascii="Wingdings" w:hAnsi="Wingdings" w:hint="default"/>
      </w:rPr>
    </w:lvl>
  </w:abstractNum>
  <w:abstractNum w:abstractNumId="3" w15:restartNumberingAfterBreak="0">
    <w:nsid w:val="0F9C79EE"/>
    <w:multiLevelType w:val="hybridMultilevel"/>
    <w:tmpl w:val="D8C4682E"/>
    <w:lvl w:ilvl="0" w:tplc="5218D15E">
      <w:start w:val="1"/>
      <w:numFmt w:val="decimal"/>
      <w:lvlText w:val="%1."/>
      <w:lvlJc w:val="left"/>
      <w:pPr>
        <w:ind w:left="720" w:hanging="360"/>
      </w:pPr>
      <w:rPr>
        <w:rFonts w:hint="default"/>
      </w:rPr>
    </w:lvl>
    <w:lvl w:ilvl="1" w:tplc="C25E44C4" w:tentative="1">
      <w:start w:val="1"/>
      <w:numFmt w:val="lowerLetter"/>
      <w:lvlText w:val="%2."/>
      <w:lvlJc w:val="left"/>
      <w:pPr>
        <w:ind w:left="1440" w:hanging="360"/>
      </w:pPr>
    </w:lvl>
    <w:lvl w:ilvl="2" w:tplc="8870B74C" w:tentative="1">
      <w:start w:val="1"/>
      <w:numFmt w:val="lowerRoman"/>
      <w:lvlText w:val="%3."/>
      <w:lvlJc w:val="right"/>
      <w:pPr>
        <w:ind w:left="2160" w:hanging="180"/>
      </w:pPr>
    </w:lvl>
    <w:lvl w:ilvl="3" w:tplc="50D21E96" w:tentative="1">
      <w:start w:val="1"/>
      <w:numFmt w:val="decimal"/>
      <w:lvlText w:val="%4."/>
      <w:lvlJc w:val="left"/>
      <w:pPr>
        <w:ind w:left="2880" w:hanging="360"/>
      </w:pPr>
    </w:lvl>
    <w:lvl w:ilvl="4" w:tplc="A16660FE" w:tentative="1">
      <w:start w:val="1"/>
      <w:numFmt w:val="lowerLetter"/>
      <w:lvlText w:val="%5."/>
      <w:lvlJc w:val="left"/>
      <w:pPr>
        <w:ind w:left="3600" w:hanging="360"/>
      </w:pPr>
    </w:lvl>
    <w:lvl w:ilvl="5" w:tplc="500682EA" w:tentative="1">
      <w:start w:val="1"/>
      <w:numFmt w:val="lowerRoman"/>
      <w:lvlText w:val="%6."/>
      <w:lvlJc w:val="right"/>
      <w:pPr>
        <w:ind w:left="4320" w:hanging="180"/>
      </w:pPr>
    </w:lvl>
    <w:lvl w:ilvl="6" w:tplc="EB32762C" w:tentative="1">
      <w:start w:val="1"/>
      <w:numFmt w:val="decimal"/>
      <w:lvlText w:val="%7."/>
      <w:lvlJc w:val="left"/>
      <w:pPr>
        <w:ind w:left="5040" w:hanging="360"/>
      </w:pPr>
    </w:lvl>
    <w:lvl w:ilvl="7" w:tplc="ED18551E" w:tentative="1">
      <w:start w:val="1"/>
      <w:numFmt w:val="lowerLetter"/>
      <w:lvlText w:val="%8."/>
      <w:lvlJc w:val="left"/>
      <w:pPr>
        <w:ind w:left="5760" w:hanging="360"/>
      </w:pPr>
    </w:lvl>
    <w:lvl w:ilvl="8" w:tplc="C7A45D58" w:tentative="1">
      <w:start w:val="1"/>
      <w:numFmt w:val="lowerRoman"/>
      <w:lvlText w:val="%9."/>
      <w:lvlJc w:val="right"/>
      <w:pPr>
        <w:ind w:left="6480" w:hanging="180"/>
      </w:pPr>
    </w:lvl>
  </w:abstractNum>
  <w:abstractNum w:abstractNumId="4" w15:restartNumberingAfterBreak="0">
    <w:nsid w:val="13C51CDC"/>
    <w:multiLevelType w:val="hybridMultilevel"/>
    <w:tmpl w:val="4F68DD70"/>
    <w:lvl w:ilvl="0" w:tplc="63B23A38">
      <w:start w:val="1"/>
      <w:numFmt w:val="decimal"/>
      <w:lvlText w:val="(%1)"/>
      <w:lvlJc w:val="left"/>
      <w:pPr>
        <w:ind w:left="1800" w:hanging="360"/>
      </w:pPr>
      <w:rPr>
        <w:rFonts w:hint="default"/>
      </w:rPr>
    </w:lvl>
    <w:lvl w:ilvl="1" w:tplc="F7AE8D08" w:tentative="1">
      <w:start w:val="1"/>
      <w:numFmt w:val="lowerLetter"/>
      <w:lvlText w:val="%2."/>
      <w:lvlJc w:val="left"/>
      <w:pPr>
        <w:ind w:left="2520" w:hanging="360"/>
      </w:pPr>
    </w:lvl>
    <w:lvl w:ilvl="2" w:tplc="E17A8976" w:tentative="1">
      <w:start w:val="1"/>
      <w:numFmt w:val="lowerRoman"/>
      <w:lvlText w:val="%3."/>
      <w:lvlJc w:val="right"/>
      <w:pPr>
        <w:ind w:left="3240" w:hanging="180"/>
      </w:pPr>
    </w:lvl>
    <w:lvl w:ilvl="3" w:tplc="FFFC164A" w:tentative="1">
      <w:start w:val="1"/>
      <w:numFmt w:val="decimal"/>
      <w:lvlText w:val="%4."/>
      <w:lvlJc w:val="left"/>
      <w:pPr>
        <w:ind w:left="3960" w:hanging="360"/>
      </w:pPr>
    </w:lvl>
    <w:lvl w:ilvl="4" w:tplc="7E3A13DC" w:tentative="1">
      <w:start w:val="1"/>
      <w:numFmt w:val="lowerLetter"/>
      <w:lvlText w:val="%5."/>
      <w:lvlJc w:val="left"/>
      <w:pPr>
        <w:ind w:left="4680" w:hanging="360"/>
      </w:pPr>
    </w:lvl>
    <w:lvl w:ilvl="5" w:tplc="61B4952E" w:tentative="1">
      <w:start w:val="1"/>
      <w:numFmt w:val="lowerRoman"/>
      <w:lvlText w:val="%6."/>
      <w:lvlJc w:val="right"/>
      <w:pPr>
        <w:ind w:left="5400" w:hanging="180"/>
      </w:pPr>
    </w:lvl>
    <w:lvl w:ilvl="6" w:tplc="9FCE3834" w:tentative="1">
      <w:start w:val="1"/>
      <w:numFmt w:val="decimal"/>
      <w:lvlText w:val="%7."/>
      <w:lvlJc w:val="left"/>
      <w:pPr>
        <w:ind w:left="6120" w:hanging="360"/>
      </w:pPr>
    </w:lvl>
    <w:lvl w:ilvl="7" w:tplc="7A3A74B2" w:tentative="1">
      <w:start w:val="1"/>
      <w:numFmt w:val="lowerLetter"/>
      <w:lvlText w:val="%8."/>
      <w:lvlJc w:val="left"/>
      <w:pPr>
        <w:ind w:left="6840" w:hanging="360"/>
      </w:pPr>
    </w:lvl>
    <w:lvl w:ilvl="8" w:tplc="37D8B7E0" w:tentative="1">
      <w:start w:val="1"/>
      <w:numFmt w:val="lowerRoman"/>
      <w:lvlText w:val="%9."/>
      <w:lvlJc w:val="right"/>
      <w:pPr>
        <w:ind w:left="7560" w:hanging="180"/>
      </w:pPr>
    </w:lvl>
  </w:abstractNum>
  <w:abstractNum w:abstractNumId="5" w15:restartNumberingAfterBreak="0">
    <w:nsid w:val="15F2084F"/>
    <w:multiLevelType w:val="hybridMultilevel"/>
    <w:tmpl w:val="99A870D4"/>
    <w:lvl w:ilvl="0" w:tplc="6DF4B38C">
      <w:start w:val="1"/>
      <w:numFmt w:val="bullet"/>
      <w:lvlText w:val="-"/>
      <w:lvlJc w:val="left"/>
      <w:pPr>
        <w:ind w:left="720" w:hanging="360"/>
      </w:pPr>
      <w:rPr>
        <w:rFonts w:ascii="Aptos" w:eastAsiaTheme="minorHAnsi" w:hAnsi="Aptos" w:cstheme="minorBidi" w:hint="default"/>
      </w:rPr>
    </w:lvl>
    <w:lvl w:ilvl="1" w:tplc="A3EC08C8" w:tentative="1">
      <w:start w:val="1"/>
      <w:numFmt w:val="bullet"/>
      <w:lvlText w:val="o"/>
      <w:lvlJc w:val="left"/>
      <w:pPr>
        <w:ind w:left="1440" w:hanging="360"/>
      </w:pPr>
      <w:rPr>
        <w:rFonts w:ascii="Courier New" w:hAnsi="Courier New" w:cs="Courier New" w:hint="default"/>
      </w:rPr>
    </w:lvl>
    <w:lvl w:ilvl="2" w:tplc="2556D684" w:tentative="1">
      <w:start w:val="1"/>
      <w:numFmt w:val="bullet"/>
      <w:lvlText w:val=""/>
      <w:lvlJc w:val="left"/>
      <w:pPr>
        <w:ind w:left="2160" w:hanging="360"/>
      </w:pPr>
      <w:rPr>
        <w:rFonts w:ascii="Wingdings" w:hAnsi="Wingdings" w:hint="default"/>
      </w:rPr>
    </w:lvl>
    <w:lvl w:ilvl="3" w:tplc="2AAEB51C" w:tentative="1">
      <w:start w:val="1"/>
      <w:numFmt w:val="bullet"/>
      <w:lvlText w:val=""/>
      <w:lvlJc w:val="left"/>
      <w:pPr>
        <w:ind w:left="2880" w:hanging="360"/>
      </w:pPr>
      <w:rPr>
        <w:rFonts w:ascii="Symbol" w:hAnsi="Symbol" w:hint="default"/>
      </w:rPr>
    </w:lvl>
    <w:lvl w:ilvl="4" w:tplc="A26A5750" w:tentative="1">
      <w:start w:val="1"/>
      <w:numFmt w:val="bullet"/>
      <w:lvlText w:val="o"/>
      <w:lvlJc w:val="left"/>
      <w:pPr>
        <w:ind w:left="3600" w:hanging="360"/>
      </w:pPr>
      <w:rPr>
        <w:rFonts w:ascii="Courier New" w:hAnsi="Courier New" w:cs="Courier New" w:hint="default"/>
      </w:rPr>
    </w:lvl>
    <w:lvl w:ilvl="5" w:tplc="296202CC" w:tentative="1">
      <w:start w:val="1"/>
      <w:numFmt w:val="bullet"/>
      <w:lvlText w:val=""/>
      <w:lvlJc w:val="left"/>
      <w:pPr>
        <w:ind w:left="4320" w:hanging="360"/>
      </w:pPr>
      <w:rPr>
        <w:rFonts w:ascii="Wingdings" w:hAnsi="Wingdings" w:hint="default"/>
      </w:rPr>
    </w:lvl>
    <w:lvl w:ilvl="6" w:tplc="A8ECEFE2" w:tentative="1">
      <w:start w:val="1"/>
      <w:numFmt w:val="bullet"/>
      <w:lvlText w:val=""/>
      <w:lvlJc w:val="left"/>
      <w:pPr>
        <w:ind w:left="5040" w:hanging="360"/>
      </w:pPr>
      <w:rPr>
        <w:rFonts w:ascii="Symbol" w:hAnsi="Symbol" w:hint="default"/>
      </w:rPr>
    </w:lvl>
    <w:lvl w:ilvl="7" w:tplc="3704E5C0" w:tentative="1">
      <w:start w:val="1"/>
      <w:numFmt w:val="bullet"/>
      <w:lvlText w:val="o"/>
      <w:lvlJc w:val="left"/>
      <w:pPr>
        <w:ind w:left="5760" w:hanging="360"/>
      </w:pPr>
      <w:rPr>
        <w:rFonts w:ascii="Courier New" w:hAnsi="Courier New" w:cs="Courier New" w:hint="default"/>
      </w:rPr>
    </w:lvl>
    <w:lvl w:ilvl="8" w:tplc="9EA01206" w:tentative="1">
      <w:start w:val="1"/>
      <w:numFmt w:val="bullet"/>
      <w:lvlText w:val=""/>
      <w:lvlJc w:val="left"/>
      <w:pPr>
        <w:ind w:left="6480" w:hanging="360"/>
      </w:pPr>
      <w:rPr>
        <w:rFonts w:ascii="Wingdings" w:hAnsi="Wingdings" w:hint="default"/>
      </w:rPr>
    </w:lvl>
  </w:abstractNum>
  <w:abstractNum w:abstractNumId="6" w15:restartNumberingAfterBreak="0">
    <w:nsid w:val="16487EA2"/>
    <w:multiLevelType w:val="hybridMultilevel"/>
    <w:tmpl w:val="3AB486A8"/>
    <w:lvl w:ilvl="0" w:tplc="B73057FC">
      <w:start w:val="1"/>
      <w:numFmt w:val="upperLetter"/>
      <w:lvlText w:val="%1."/>
      <w:lvlJc w:val="left"/>
      <w:pPr>
        <w:ind w:left="1800" w:hanging="360"/>
      </w:pPr>
      <w:rPr>
        <w:rFonts w:hint="default"/>
      </w:rPr>
    </w:lvl>
    <w:lvl w:ilvl="1" w:tplc="FAA09660" w:tentative="1">
      <w:start w:val="1"/>
      <w:numFmt w:val="lowerLetter"/>
      <w:lvlText w:val="%2."/>
      <w:lvlJc w:val="left"/>
      <w:pPr>
        <w:ind w:left="2520" w:hanging="360"/>
      </w:pPr>
    </w:lvl>
    <w:lvl w:ilvl="2" w:tplc="62CA6A84" w:tentative="1">
      <w:start w:val="1"/>
      <w:numFmt w:val="lowerRoman"/>
      <w:lvlText w:val="%3."/>
      <w:lvlJc w:val="right"/>
      <w:pPr>
        <w:ind w:left="3240" w:hanging="180"/>
      </w:pPr>
    </w:lvl>
    <w:lvl w:ilvl="3" w:tplc="EACA0BB2" w:tentative="1">
      <w:start w:val="1"/>
      <w:numFmt w:val="decimal"/>
      <w:lvlText w:val="%4."/>
      <w:lvlJc w:val="left"/>
      <w:pPr>
        <w:ind w:left="3960" w:hanging="360"/>
      </w:pPr>
    </w:lvl>
    <w:lvl w:ilvl="4" w:tplc="FDD0D5E0" w:tentative="1">
      <w:start w:val="1"/>
      <w:numFmt w:val="lowerLetter"/>
      <w:lvlText w:val="%5."/>
      <w:lvlJc w:val="left"/>
      <w:pPr>
        <w:ind w:left="4680" w:hanging="360"/>
      </w:pPr>
    </w:lvl>
    <w:lvl w:ilvl="5" w:tplc="81504820" w:tentative="1">
      <w:start w:val="1"/>
      <w:numFmt w:val="lowerRoman"/>
      <w:lvlText w:val="%6."/>
      <w:lvlJc w:val="right"/>
      <w:pPr>
        <w:ind w:left="5400" w:hanging="180"/>
      </w:pPr>
    </w:lvl>
    <w:lvl w:ilvl="6" w:tplc="54CEB2F6" w:tentative="1">
      <w:start w:val="1"/>
      <w:numFmt w:val="decimal"/>
      <w:lvlText w:val="%7."/>
      <w:lvlJc w:val="left"/>
      <w:pPr>
        <w:ind w:left="6120" w:hanging="360"/>
      </w:pPr>
    </w:lvl>
    <w:lvl w:ilvl="7" w:tplc="31A26D2E" w:tentative="1">
      <w:start w:val="1"/>
      <w:numFmt w:val="lowerLetter"/>
      <w:lvlText w:val="%8."/>
      <w:lvlJc w:val="left"/>
      <w:pPr>
        <w:ind w:left="6840" w:hanging="360"/>
      </w:pPr>
    </w:lvl>
    <w:lvl w:ilvl="8" w:tplc="1CFE8450" w:tentative="1">
      <w:start w:val="1"/>
      <w:numFmt w:val="lowerRoman"/>
      <w:lvlText w:val="%9."/>
      <w:lvlJc w:val="right"/>
      <w:pPr>
        <w:ind w:left="7560" w:hanging="180"/>
      </w:pPr>
    </w:lvl>
  </w:abstractNum>
  <w:abstractNum w:abstractNumId="7" w15:restartNumberingAfterBreak="0">
    <w:nsid w:val="19063C6E"/>
    <w:multiLevelType w:val="hybridMultilevel"/>
    <w:tmpl w:val="F5D80124"/>
    <w:lvl w:ilvl="0" w:tplc="021EA0B4">
      <w:start w:val="18"/>
      <w:numFmt w:val="bullet"/>
      <w:lvlText w:val=""/>
      <w:lvlJc w:val="left"/>
      <w:pPr>
        <w:ind w:left="720" w:hanging="360"/>
      </w:pPr>
      <w:rPr>
        <w:rFonts w:ascii="Symbol" w:eastAsiaTheme="minorHAnsi" w:hAnsi="Symbol" w:cs="Arial" w:hint="default"/>
      </w:rPr>
    </w:lvl>
    <w:lvl w:ilvl="1" w:tplc="B87AA0C0">
      <w:start w:val="1"/>
      <w:numFmt w:val="bullet"/>
      <w:lvlText w:val="o"/>
      <w:lvlJc w:val="left"/>
      <w:pPr>
        <w:ind w:left="1440" w:hanging="360"/>
      </w:pPr>
      <w:rPr>
        <w:rFonts w:ascii="Courier New" w:hAnsi="Courier New" w:cs="Courier New" w:hint="default"/>
      </w:rPr>
    </w:lvl>
    <w:lvl w:ilvl="2" w:tplc="76CCD220" w:tentative="1">
      <w:start w:val="1"/>
      <w:numFmt w:val="bullet"/>
      <w:lvlText w:val=""/>
      <w:lvlJc w:val="left"/>
      <w:pPr>
        <w:ind w:left="2160" w:hanging="360"/>
      </w:pPr>
      <w:rPr>
        <w:rFonts w:ascii="Wingdings" w:hAnsi="Wingdings" w:hint="default"/>
      </w:rPr>
    </w:lvl>
    <w:lvl w:ilvl="3" w:tplc="C3AAD146" w:tentative="1">
      <w:start w:val="1"/>
      <w:numFmt w:val="bullet"/>
      <w:lvlText w:val=""/>
      <w:lvlJc w:val="left"/>
      <w:pPr>
        <w:ind w:left="2880" w:hanging="360"/>
      </w:pPr>
      <w:rPr>
        <w:rFonts w:ascii="Symbol" w:hAnsi="Symbol" w:hint="default"/>
      </w:rPr>
    </w:lvl>
    <w:lvl w:ilvl="4" w:tplc="1070FDF8" w:tentative="1">
      <w:start w:val="1"/>
      <w:numFmt w:val="bullet"/>
      <w:lvlText w:val="o"/>
      <w:lvlJc w:val="left"/>
      <w:pPr>
        <w:ind w:left="3600" w:hanging="360"/>
      </w:pPr>
      <w:rPr>
        <w:rFonts w:ascii="Courier New" w:hAnsi="Courier New" w:cs="Courier New" w:hint="default"/>
      </w:rPr>
    </w:lvl>
    <w:lvl w:ilvl="5" w:tplc="A100EADC" w:tentative="1">
      <w:start w:val="1"/>
      <w:numFmt w:val="bullet"/>
      <w:lvlText w:val=""/>
      <w:lvlJc w:val="left"/>
      <w:pPr>
        <w:ind w:left="4320" w:hanging="360"/>
      </w:pPr>
      <w:rPr>
        <w:rFonts w:ascii="Wingdings" w:hAnsi="Wingdings" w:hint="default"/>
      </w:rPr>
    </w:lvl>
    <w:lvl w:ilvl="6" w:tplc="9B3A7172" w:tentative="1">
      <w:start w:val="1"/>
      <w:numFmt w:val="bullet"/>
      <w:lvlText w:val=""/>
      <w:lvlJc w:val="left"/>
      <w:pPr>
        <w:ind w:left="5040" w:hanging="360"/>
      </w:pPr>
      <w:rPr>
        <w:rFonts w:ascii="Symbol" w:hAnsi="Symbol" w:hint="default"/>
      </w:rPr>
    </w:lvl>
    <w:lvl w:ilvl="7" w:tplc="95AE9924" w:tentative="1">
      <w:start w:val="1"/>
      <w:numFmt w:val="bullet"/>
      <w:lvlText w:val="o"/>
      <w:lvlJc w:val="left"/>
      <w:pPr>
        <w:ind w:left="5760" w:hanging="360"/>
      </w:pPr>
      <w:rPr>
        <w:rFonts w:ascii="Courier New" w:hAnsi="Courier New" w:cs="Courier New" w:hint="default"/>
      </w:rPr>
    </w:lvl>
    <w:lvl w:ilvl="8" w:tplc="72B28658" w:tentative="1">
      <w:start w:val="1"/>
      <w:numFmt w:val="bullet"/>
      <w:lvlText w:val=""/>
      <w:lvlJc w:val="left"/>
      <w:pPr>
        <w:ind w:left="6480" w:hanging="360"/>
      </w:pPr>
      <w:rPr>
        <w:rFonts w:ascii="Wingdings" w:hAnsi="Wingdings" w:hint="default"/>
      </w:rPr>
    </w:lvl>
  </w:abstractNum>
  <w:abstractNum w:abstractNumId="8" w15:restartNumberingAfterBreak="0">
    <w:nsid w:val="1C2276FB"/>
    <w:multiLevelType w:val="hybridMultilevel"/>
    <w:tmpl w:val="F1E69518"/>
    <w:lvl w:ilvl="0" w:tplc="5606750E">
      <w:start w:val="1"/>
      <w:numFmt w:val="decimal"/>
      <w:lvlText w:val="%1."/>
      <w:lvlJc w:val="left"/>
      <w:pPr>
        <w:ind w:left="720" w:hanging="360"/>
      </w:pPr>
      <w:rPr>
        <w:rFonts w:hint="default"/>
        <w:b w:val="0"/>
        <w:bCs w:val="0"/>
      </w:rPr>
    </w:lvl>
    <w:lvl w:ilvl="1" w:tplc="1DF6A63C">
      <w:start w:val="1"/>
      <w:numFmt w:val="lowerLetter"/>
      <w:lvlText w:val="%2."/>
      <w:lvlJc w:val="left"/>
      <w:pPr>
        <w:ind w:left="1440" w:hanging="360"/>
      </w:pPr>
    </w:lvl>
    <w:lvl w:ilvl="2" w:tplc="CD70E4AC" w:tentative="1">
      <w:start w:val="1"/>
      <w:numFmt w:val="lowerRoman"/>
      <w:lvlText w:val="%3."/>
      <w:lvlJc w:val="right"/>
      <w:pPr>
        <w:ind w:left="2160" w:hanging="180"/>
      </w:pPr>
    </w:lvl>
    <w:lvl w:ilvl="3" w:tplc="2806B38E" w:tentative="1">
      <w:start w:val="1"/>
      <w:numFmt w:val="decimal"/>
      <w:lvlText w:val="%4."/>
      <w:lvlJc w:val="left"/>
      <w:pPr>
        <w:ind w:left="2880" w:hanging="360"/>
      </w:pPr>
    </w:lvl>
    <w:lvl w:ilvl="4" w:tplc="E8C4537E" w:tentative="1">
      <w:start w:val="1"/>
      <w:numFmt w:val="lowerLetter"/>
      <w:lvlText w:val="%5."/>
      <w:lvlJc w:val="left"/>
      <w:pPr>
        <w:ind w:left="3600" w:hanging="360"/>
      </w:pPr>
    </w:lvl>
    <w:lvl w:ilvl="5" w:tplc="91A867E0" w:tentative="1">
      <w:start w:val="1"/>
      <w:numFmt w:val="lowerRoman"/>
      <w:lvlText w:val="%6."/>
      <w:lvlJc w:val="right"/>
      <w:pPr>
        <w:ind w:left="4320" w:hanging="180"/>
      </w:pPr>
    </w:lvl>
    <w:lvl w:ilvl="6" w:tplc="6B727B48" w:tentative="1">
      <w:start w:val="1"/>
      <w:numFmt w:val="decimal"/>
      <w:lvlText w:val="%7."/>
      <w:lvlJc w:val="left"/>
      <w:pPr>
        <w:ind w:left="5040" w:hanging="360"/>
      </w:pPr>
    </w:lvl>
    <w:lvl w:ilvl="7" w:tplc="15EAEEEE" w:tentative="1">
      <w:start w:val="1"/>
      <w:numFmt w:val="lowerLetter"/>
      <w:lvlText w:val="%8."/>
      <w:lvlJc w:val="left"/>
      <w:pPr>
        <w:ind w:left="5760" w:hanging="360"/>
      </w:pPr>
    </w:lvl>
    <w:lvl w:ilvl="8" w:tplc="AD5291D4" w:tentative="1">
      <w:start w:val="1"/>
      <w:numFmt w:val="lowerRoman"/>
      <w:lvlText w:val="%9."/>
      <w:lvlJc w:val="right"/>
      <w:pPr>
        <w:ind w:left="6480" w:hanging="180"/>
      </w:pPr>
    </w:lvl>
  </w:abstractNum>
  <w:abstractNum w:abstractNumId="9" w15:restartNumberingAfterBreak="0">
    <w:nsid w:val="1E531EF0"/>
    <w:multiLevelType w:val="hybridMultilevel"/>
    <w:tmpl w:val="87AC7938"/>
    <w:lvl w:ilvl="0" w:tplc="ECB2055A">
      <w:start w:val="1"/>
      <w:numFmt w:val="upperLetter"/>
      <w:lvlText w:val="%1."/>
      <w:lvlJc w:val="left"/>
      <w:pPr>
        <w:ind w:left="720" w:hanging="360"/>
      </w:pPr>
      <w:rPr>
        <w:rFonts w:hint="default"/>
      </w:rPr>
    </w:lvl>
    <w:lvl w:ilvl="1" w:tplc="A490C48E" w:tentative="1">
      <w:start w:val="1"/>
      <w:numFmt w:val="lowerLetter"/>
      <w:lvlText w:val="%2."/>
      <w:lvlJc w:val="left"/>
      <w:pPr>
        <w:ind w:left="1440" w:hanging="360"/>
      </w:pPr>
    </w:lvl>
    <w:lvl w:ilvl="2" w:tplc="240C6A42" w:tentative="1">
      <w:start w:val="1"/>
      <w:numFmt w:val="lowerRoman"/>
      <w:lvlText w:val="%3."/>
      <w:lvlJc w:val="right"/>
      <w:pPr>
        <w:ind w:left="2160" w:hanging="180"/>
      </w:pPr>
    </w:lvl>
    <w:lvl w:ilvl="3" w:tplc="E78206FA" w:tentative="1">
      <w:start w:val="1"/>
      <w:numFmt w:val="decimal"/>
      <w:lvlText w:val="%4."/>
      <w:lvlJc w:val="left"/>
      <w:pPr>
        <w:ind w:left="2880" w:hanging="360"/>
      </w:pPr>
    </w:lvl>
    <w:lvl w:ilvl="4" w:tplc="1C6E1D8A" w:tentative="1">
      <w:start w:val="1"/>
      <w:numFmt w:val="lowerLetter"/>
      <w:lvlText w:val="%5."/>
      <w:lvlJc w:val="left"/>
      <w:pPr>
        <w:ind w:left="3600" w:hanging="360"/>
      </w:pPr>
    </w:lvl>
    <w:lvl w:ilvl="5" w:tplc="90D60900" w:tentative="1">
      <w:start w:val="1"/>
      <w:numFmt w:val="lowerRoman"/>
      <w:lvlText w:val="%6."/>
      <w:lvlJc w:val="right"/>
      <w:pPr>
        <w:ind w:left="4320" w:hanging="180"/>
      </w:pPr>
    </w:lvl>
    <w:lvl w:ilvl="6" w:tplc="8AF43A72" w:tentative="1">
      <w:start w:val="1"/>
      <w:numFmt w:val="decimal"/>
      <w:lvlText w:val="%7."/>
      <w:lvlJc w:val="left"/>
      <w:pPr>
        <w:ind w:left="5040" w:hanging="360"/>
      </w:pPr>
    </w:lvl>
    <w:lvl w:ilvl="7" w:tplc="A8B83784" w:tentative="1">
      <w:start w:val="1"/>
      <w:numFmt w:val="lowerLetter"/>
      <w:lvlText w:val="%8."/>
      <w:lvlJc w:val="left"/>
      <w:pPr>
        <w:ind w:left="5760" w:hanging="360"/>
      </w:pPr>
    </w:lvl>
    <w:lvl w:ilvl="8" w:tplc="3C24BE56" w:tentative="1">
      <w:start w:val="1"/>
      <w:numFmt w:val="lowerRoman"/>
      <w:lvlText w:val="%9."/>
      <w:lvlJc w:val="right"/>
      <w:pPr>
        <w:ind w:left="6480" w:hanging="180"/>
      </w:pPr>
    </w:lvl>
  </w:abstractNum>
  <w:abstractNum w:abstractNumId="10" w15:restartNumberingAfterBreak="0">
    <w:nsid w:val="1E822379"/>
    <w:multiLevelType w:val="hybridMultilevel"/>
    <w:tmpl w:val="BD0A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F258E"/>
    <w:multiLevelType w:val="hybridMultilevel"/>
    <w:tmpl w:val="F5AEA658"/>
    <w:lvl w:ilvl="0" w:tplc="A09886E2">
      <w:start w:val="1"/>
      <w:numFmt w:val="bullet"/>
      <w:lvlText w:val=""/>
      <w:lvlJc w:val="left"/>
      <w:pPr>
        <w:ind w:left="720" w:hanging="360"/>
      </w:pPr>
      <w:rPr>
        <w:rFonts w:ascii="Symbol" w:hAnsi="Symbol" w:hint="default"/>
      </w:rPr>
    </w:lvl>
    <w:lvl w:ilvl="1" w:tplc="F4A043D6" w:tentative="1">
      <w:start w:val="1"/>
      <w:numFmt w:val="bullet"/>
      <w:lvlText w:val="o"/>
      <w:lvlJc w:val="left"/>
      <w:pPr>
        <w:ind w:left="1440" w:hanging="360"/>
      </w:pPr>
      <w:rPr>
        <w:rFonts w:ascii="Courier New" w:hAnsi="Courier New" w:cs="Courier New" w:hint="default"/>
      </w:rPr>
    </w:lvl>
    <w:lvl w:ilvl="2" w:tplc="B4326040" w:tentative="1">
      <w:start w:val="1"/>
      <w:numFmt w:val="bullet"/>
      <w:lvlText w:val=""/>
      <w:lvlJc w:val="left"/>
      <w:pPr>
        <w:ind w:left="2160" w:hanging="360"/>
      </w:pPr>
      <w:rPr>
        <w:rFonts w:ascii="Wingdings" w:hAnsi="Wingdings" w:hint="default"/>
      </w:rPr>
    </w:lvl>
    <w:lvl w:ilvl="3" w:tplc="14CAC664" w:tentative="1">
      <w:start w:val="1"/>
      <w:numFmt w:val="bullet"/>
      <w:lvlText w:val=""/>
      <w:lvlJc w:val="left"/>
      <w:pPr>
        <w:ind w:left="2880" w:hanging="360"/>
      </w:pPr>
      <w:rPr>
        <w:rFonts w:ascii="Symbol" w:hAnsi="Symbol" w:hint="default"/>
      </w:rPr>
    </w:lvl>
    <w:lvl w:ilvl="4" w:tplc="95C2BB8E" w:tentative="1">
      <w:start w:val="1"/>
      <w:numFmt w:val="bullet"/>
      <w:lvlText w:val="o"/>
      <w:lvlJc w:val="left"/>
      <w:pPr>
        <w:ind w:left="3600" w:hanging="360"/>
      </w:pPr>
      <w:rPr>
        <w:rFonts w:ascii="Courier New" w:hAnsi="Courier New" w:cs="Courier New" w:hint="default"/>
      </w:rPr>
    </w:lvl>
    <w:lvl w:ilvl="5" w:tplc="A7D64280" w:tentative="1">
      <w:start w:val="1"/>
      <w:numFmt w:val="bullet"/>
      <w:lvlText w:val=""/>
      <w:lvlJc w:val="left"/>
      <w:pPr>
        <w:ind w:left="4320" w:hanging="360"/>
      </w:pPr>
      <w:rPr>
        <w:rFonts w:ascii="Wingdings" w:hAnsi="Wingdings" w:hint="default"/>
      </w:rPr>
    </w:lvl>
    <w:lvl w:ilvl="6" w:tplc="AFF252CE" w:tentative="1">
      <w:start w:val="1"/>
      <w:numFmt w:val="bullet"/>
      <w:lvlText w:val=""/>
      <w:lvlJc w:val="left"/>
      <w:pPr>
        <w:ind w:left="5040" w:hanging="360"/>
      </w:pPr>
      <w:rPr>
        <w:rFonts w:ascii="Symbol" w:hAnsi="Symbol" w:hint="default"/>
      </w:rPr>
    </w:lvl>
    <w:lvl w:ilvl="7" w:tplc="03BCA6F4" w:tentative="1">
      <w:start w:val="1"/>
      <w:numFmt w:val="bullet"/>
      <w:lvlText w:val="o"/>
      <w:lvlJc w:val="left"/>
      <w:pPr>
        <w:ind w:left="5760" w:hanging="360"/>
      </w:pPr>
      <w:rPr>
        <w:rFonts w:ascii="Courier New" w:hAnsi="Courier New" w:cs="Courier New" w:hint="default"/>
      </w:rPr>
    </w:lvl>
    <w:lvl w:ilvl="8" w:tplc="8026A4BC" w:tentative="1">
      <w:start w:val="1"/>
      <w:numFmt w:val="bullet"/>
      <w:lvlText w:val=""/>
      <w:lvlJc w:val="left"/>
      <w:pPr>
        <w:ind w:left="6480" w:hanging="360"/>
      </w:pPr>
      <w:rPr>
        <w:rFonts w:ascii="Wingdings" w:hAnsi="Wingdings" w:hint="default"/>
      </w:rPr>
    </w:lvl>
  </w:abstractNum>
  <w:abstractNum w:abstractNumId="12" w15:restartNumberingAfterBreak="0">
    <w:nsid w:val="20191F68"/>
    <w:multiLevelType w:val="hybridMultilevel"/>
    <w:tmpl w:val="5B6255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4680E"/>
    <w:multiLevelType w:val="multilevel"/>
    <w:tmpl w:val="78F2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52154"/>
    <w:multiLevelType w:val="hybridMultilevel"/>
    <w:tmpl w:val="8E82924C"/>
    <w:lvl w:ilvl="0" w:tplc="9432CB62">
      <w:start w:val="1"/>
      <w:numFmt w:val="decimal"/>
      <w:lvlText w:val="%1)"/>
      <w:lvlJc w:val="left"/>
      <w:pPr>
        <w:ind w:left="720" w:hanging="360"/>
      </w:pPr>
      <w:rPr>
        <w:rFonts w:hint="default"/>
      </w:rPr>
    </w:lvl>
    <w:lvl w:ilvl="1" w:tplc="09A8CCC6" w:tentative="1">
      <w:start w:val="1"/>
      <w:numFmt w:val="lowerLetter"/>
      <w:lvlText w:val="%2."/>
      <w:lvlJc w:val="left"/>
      <w:pPr>
        <w:ind w:left="1440" w:hanging="360"/>
      </w:pPr>
    </w:lvl>
    <w:lvl w:ilvl="2" w:tplc="52945782" w:tentative="1">
      <w:start w:val="1"/>
      <w:numFmt w:val="lowerRoman"/>
      <w:lvlText w:val="%3."/>
      <w:lvlJc w:val="right"/>
      <w:pPr>
        <w:ind w:left="2160" w:hanging="180"/>
      </w:pPr>
    </w:lvl>
    <w:lvl w:ilvl="3" w:tplc="B256243E" w:tentative="1">
      <w:start w:val="1"/>
      <w:numFmt w:val="decimal"/>
      <w:lvlText w:val="%4."/>
      <w:lvlJc w:val="left"/>
      <w:pPr>
        <w:ind w:left="2880" w:hanging="360"/>
      </w:pPr>
    </w:lvl>
    <w:lvl w:ilvl="4" w:tplc="A6D24402" w:tentative="1">
      <w:start w:val="1"/>
      <w:numFmt w:val="lowerLetter"/>
      <w:lvlText w:val="%5."/>
      <w:lvlJc w:val="left"/>
      <w:pPr>
        <w:ind w:left="3600" w:hanging="360"/>
      </w:pPr>
    </w:lvl>
    <w:lvl w:ilvl="5" w:tplc="8620E00C" w:tentative="1">
      <w:start w:val="1"/>
      <w:numFmt w:val="lowerRoman"/>
      <w:lvlText w:val="%6."/>
      <w:lvlJc w:val="right"/>
      <w:pPr>
        <w:ind w:left="4320" w:hanging="180"/>
      </w:pPr>
    </w:lvl>
    <w:lvl w:ilvl="6" w:tplc="C610CA72" w:tentative="1">
      <w:start w:val="1"/>
      <w:numFmt w:val="decimal"/>
      <w:lvlText w:val="%7."/>
      <w:lvlJc w:val="left"/>
      <w:pPr>
        <w:ind w:left="5040" w:hanging="360"/>
      </w:pPr>
    </w:lvl>
    <w:lvl w:ilvl="7" w:tplc="EC90D112" w:tentative="1">
      <w:start w:val="1"/>
      <w:numFmt w:val="lowerLetter"/>
      <w:lvlText w:val="%8."/>
      <w:lvlJc w:val="left"/>
      <w:pPr>
        <w:ind w:left="5760" w:hanging="360"/>
      </w:pPr>
    </w:lvl>
    <w:lvl w:ilvl="8" w:tplc="378A2FC0" w:tentative="1">
      <w:start w:val="1"/>
      <w:numFmt w:val="lowerRoman"/>
      <w:lvlText w:val="%9."/>
      <w:lvlJc w:val="right"/>
      <w:pPr>
        <w:ind w:left="6480" w:hanging="180"/>
      </w:pPr>
    </w:lvl>
  </w:abstractNum>
  <w:abstractNum w:abstractNumId="15" w15:restartNumberingAfterBreak="0">
    <w:nsid w:val="29B4092D"/>
    <w:multiLevelType w:val="hybridMultilevel"/>
    <w:tmpl w:val="E5DA6298"/>
    <w:lvl w:ilvl="0" w:tplc="9E468182">
      <w:start w:val="1"/>
      <w:numFmt w:val="decimal"/>
      <w:lvlText w:val="%1)"/>
      <w:lvlJc w:val="left"/>
      <w:pPr>
        <w:ind w:left="360" w:hanging="360"/>
      </w:pPr>
      <w:rPr>
        <w:rFonts w:hint="default"/>
      </w:rPr>
    </w:lvl>
    <w:lvl w:ilvl="1" w:tplc="E31C3082" w:tentative="1">
      <w:start w:val="1"/>
      <w:numFmt w:val="lowerLetter"/>
      <w:lvlText w:val="%2."/>
      <w:lvlJc w:val="left"/>
      <w:pPr>
        <w:ind w:left="1080" w:hanging="360"/>
      </w:pPr>
    </w:lvl>
    <w:lvl w:ilvl="2" w:tplc="70AAC3E0">
      <w:start w:val="1"/>
      <w:numFmt w:val="lowerRoman"/>
      <w:lvlText w:val="%3."/>
      <w:lvlJc w:val="right"/>
      <w:pPr>
        <w:ind w:left="1800" w:hanging="180"/>
      </w:pPr>
    </w:lvl>
    <w:lvl w:ilvl="3" w:tplc="0862DA3C" w:tentative="1">
      <w:start w:val="1"/>
      <w:numFmt w:val="decimal"/>
      <w:lvlText w:val="%4."/>
      <w:lvlJc w:val="left"/>
      <w:pPr>
        <w:ind w:left="2520" w:hanging="360"/>
      </w:pPr>
    </w:lvl>
    <w:lvl w:ilvl="4" w:tplc="B1B87894" w:tentative="1">
      <w:start w:val="1"/>
      <w:numFmt w:val="lowerLetter"/>
      <w:lvlText w:val="%5."/>
      <w:lvlJc w:val="left"/>
      <w:pPr>
        <w:ind w:left="3240" w:hanging="360"/>
      </w:pPr>
    </w:lvl>
    <w:lvl w:ilvl="5" w:tplc="2AA674C2" w:tentative="1">
      <w:start w:val="1"/>
      <w:numFmt w:val="lowerRoman"/>
      <w:lvlText w:val="%6."/>
      <w:lvlJc w:val="right"/>
      <w:pPr>
        <w:ind w:left="3960" w:hanging="180"/>
      </w:pPr>
    </w:lvl>
    <w:lvl w:ilvl="6" w:tplc="AD0630D2" w:tentative="1">
      <w:start w:val="1"/>
      <w:numFmt w:val="decimal"/>
      <w:lvlText w:val="%7."/>
      <w:lvlJc w:val="left"/>
      <w:pPr>
        <w:ind w:left="4680" w:hanging="360"/>
      </w:pPr>
    </w:lvl>
    <w:lvl w:ilvl="7" w:tplc="3E140EF6" w:tentative="1">
      <w:start w:val="1"/>
      <w:numFmt w:val="lowerLetter"/>
      <w:lvlText w:val="%8."/>
      <w:lvlJc w:val="left"/>
      <w:pPr>
        <w:ind w:left="5400" w:hanging="360"/>
      </w:pPr>
    </w:lvl>
    <w:lvl w:ilvl="8" w:tplc="60BA4014" w:tentative="1">
      <w:start w:val="1"/>
      <w:numFmt w:val="lowerRoman"/>
      <w:lvlText w:val="%9."/>
      <w:lvlJc w:val="right"/>
      <w:pPr>
        <w:ind w:left="6120" w:hanging="180"/>
      </w:pPr>
    </w:lvl>
  </w:abstractNum>
  <w:abstractNum w:abstractNumId="16" w15:restartNumberingAfterBreak="0">
    <w:nsid w:val="29F84536"/>
    <w:multiLevelType w:val="hybridMultilevel"/>
    <w:tmpl w:val="CAA0D4B4"/>
    <w:lvl w:ilvl="0" w:tplc="83F85CDA">
      <w:start w:val="1"/>
      <w:numFmt w:val="upperLetter"/>
      <w:lvlText w:val="%1."/>
      <w:lvlJc w:val="left"/>
      <w:pPr>
        <w:ind w:left="360" w:hanging="360"/>
      </w:pPr>
      <w:rPr>
        <w:rFonts w:hint="default"/>
      </w:rPr>
    </w:lvl>
    <w:lvl w:ilvl="1" w:tplc="898AFE1E">
      <w:start w:val="1"/>
      <w:numFmt w:val="lowerLetter"/>
      <w:lvlText w:val="%2."/>
      <w:lvlJc w:val="left"/>
      <w:pPr>
        <w:ind w:left="1080" w:hanging="360"/>
      </w:pPr>
    </w:lvl>
    <w:lvl w:ilvl="2" w:tplc="7BC24662" w:tentative="1">
      <w:start w:val="1"/>
      <w:numFmt w:val="lowerRoman"/>
      <w:lvlText w:val="%3."/>
      <w:lvlJc w:val="right"/>
      <w:pPr>
        <w:ind w:left="1800" w:hanging="180"/>
      </w:pPr>
    </w:lvl>
    <w:lvl w:ilvl="3" w:tplc="80ACEE9C" w:tentative="1">
      <w:start w:val="1"/>
      <w:numFmt w:val="decimal"/>
      <w:lvlText w:val="%4."/>
      <w:lvlJc w:val="left"/>
      <w:pPr>
        <w:ind w:left="2520" w:hanging="360"/>
      </w:pPr>
    </w:lvl>
    <w:lvl w:ilvl="4" w:tplc="9A36A1DE" w:tentative="1">
      <w:start w:val="1"/>
      <w:numFmt w:val="lowerLetter"/>
      <w:lvlText w:val="%5."/>
      <w:lvlJc w:val="left"/>
      <w:pPr>
        <w:ind w:left="3240" w:hanging="360"/>
      </w:pPr>
    </w:lvl>
    <w:lvl w:ilvl="5" w:tplc="602281BA" w:tentative="1">
      <w:start w:val="1"/>
      <w:numFmt w:val="lowerRoman"/>
      <w:lvlText w:val="%6."/>
      <w:lvlJc w:val="right"/>
      <w:pPr>
        <w:ind w:left="3960" w:hanging="180"/>
      </w:pPr>
    </w:lvl>
    <w:lvl w:ilvl="6" w:tplc="33328A12" w:tentative="1">
      <w:start w:val="1"/>
      <w:numFmt w:val="decimal"/>
      <w:lvlText w:val="%7."/>
      <w:lvlJc w:val="left"/>
      <w:pPr>
        <w:ind w:left="4680" w:hanging="360"/>
      </w:pPr>
    </w:lvl>
    <w:lvl w:ilvl="7" w:tplc="41DADEA6" w:tentative="1">
      <w:start w:val="1"/>
      <w:numFmt w:val="lowerLetter"/>
      <w:lvlText w:val="%8."/>
      <w:lvlJc w:val="left"/>
      <w:pPr>
        <w:ind w:left="5400" w:hanging="360"/>
      </w:pPr>
    </w:lvl>
    <w:lvl w:ilvl="8" w:tplc="2C84518E" w:tentative="1">
      <w:start w:val="1"/>
      <w:numFmt w:val="lowerRoman"/>
      <w:lvlText w:val="%9."/>
      <w:lvlJc w:val="right"/>
      <w:pPr>
        <w:ind w:left="6120" w:hanging="180"/>
      </w:pPr>
    </w:lvl>
  </w:abstractNum>
  <w:abstractNum w:abstractNumId="17" w15:restartNumberingAfterBreak="0">
    <w:nsid w:val="2CFC6F92"/>
    <w:multiLevelType w:val="hybridMultilevel"/>
    <w:tmpl w:val="24A63D5A"/>
    <w:lvl w:ilvl="0" w:tplc="8DD258C4">
      <w:start w:val="1"/>
      <w:numFmt w:val="upperLetter"/>
      <w:lvlText w:val="%1."/>
      <w:lvlJc w:val="left"/>
      <w:pPr>
        <w:ind w:left="720" w:hanging="360"/>
      </w:pPr>
      <w:rPr>
        <w:rFonts w:hint="default"/>
      </w:rPr>
    </w:lvl>
    <w:lvl w:ilvl="1" w:tplc="DA4ACAB2">
      <w:start w:val="1"/>
      <w:numFmt w:val="lowerLetter"/>
      <w:lvlText w:val="%2."/>
      <w:lvlJc w:val="left"/>
      <w:pPr>
        <w:ind w:left="1440" w:hanging="360"/>
      </w:pPr>
    </w:lvl>
    <w:lvl w:ilvl="2" w:tplc="AA8C4F3C" w:tentative="1">
      <w:start w:val="1"/>
      <w:numFmt w:val="lowerRoman"/>
      <w:lvlText w:val="%3."/>
      <w:lvlJc w:val="right"/>
      <w:pPr>
        <w:ind w:left="2160" w:hanging="180"/>
      </w:pPr>
    </w:lvl>
    <w:lvl w:ilvl="3" w:tplc="48565986" w:tentative="1">
      <w:start w:val="1"/>
      <w:numFmt w:val="decimal"/>
      <w:lvlText w:val="%4."/>
      <w:lvlJc w:val="left"/>
      <w:pPr>
        <w:ind w:left="2880" w:hanging="360"/>
      </w:pPr>
    </w:lvl>
    <w:lvl w:ilvl="4" w:tplc="FC3C55AE" w:tentative="1">
      <w:start w:val="1"/>
      <w:numFmt w:val="lowerLetter"/>
      <w:lvlText w:val="%5."/>
      <w:lvlJc w:val="left"/>
      <w:pPr>
        <w:ind w:left="3600" w:hanging="360"/>
      </w:pPr>
    </w:lvl>
    <w:lvl w:ilvl="5" w:tplc="8F2E4286" w:tentative="1">
      <w:start w:val="1"/>
      <w:numFmt w:val="lowerRoman"/>
      <w:lvlText w:val="%6."/>
      <w:lvlJc w:val="right"/>
      <w:pPr>
        <w:ind w:left="4320" w:hanging="180"/>
      </w:pPr>
    </w:lvl>
    <w:lvl w:ilvl="6" w:tplc="9948E58A" w:tentative="1">
      <w:start w:val="1"/>
      <w:numFmt w:val="decimal"/>
      <w:lvlText w:val="%7."/>
      <w:lvlJc w:val="left"/>
      <w:pPr>
        <w:ind w:left="5040" w:hanging="360"/>
      </w:pPr>
    </w:lvl>
    <w:lvl w:ilvl="7" w:tplc="70A4A7FE" w:tentative="1">
      <w:start w:val="1"/>
      <w:numFmt w:val="lowerLetter"/>
      <w:lvlText w:val="%8."/>
      <w:lvlJc w:val="left"/>
      <w:pPr>
        <w:ind w:left="5760" w:hanging="360"/>
      </w:pPr>
    </w:lvl>
    <w:lvl w:ilvl="8" w:tplc="386CD572" w:tentative="1">
      <w:start w:val="1"/>
      <w:numFmt w:val="lowerRoman"/>
      <w:lvlText w:val="%9."/>
      <w:lvlJc w:val="right"/>
      <w:pPr>
        <w:ind w:left="6480" w:hanging="180"/>
      </w:pPr>
    </w:lvl>
  </w:abstractNum>
  <w:abstractNum w:abstractNumId="18" w15:restartNumberingAfterBreak="0">
    <w:nsid w:val="2DD86B1F"/>
    <w:multiLevelType w:val="hybridMultilevel"/>
    <w:tmpl w:val="10B2F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523B9"/>
    <w:multiLevelType w:val="hybridMultilevel"/>
    <w:tmpl w:val="5F281EC2"/>
    <w:lvl w:ilvl="0" w:tplc="A02A1928">
      <w:start w:val="8"/>
      <w:numFmt w:val="bullet"/>
      <w:lvlText w:val="-"/>
      <w:lvlJc w:val="left"/>
      <w:pPr>
        <w:ind w:left="720" w:hanging="360"/>
      </w:pPr>
      <w:rPr>
        <w:rFonts w:ascii="Aptos Narrow" w:eastAsiaTheme="minorHAnsi" w:hAnsi="Aptos Narrow" w:cstheme="minorBidi" w:hint="default"/>
      </w:rPr>
    </w:lvl>
    <w:lvl w:ilvl="1" w:tplc="650CE040" w:tentative="1">
      <w:start w:val="1"/>
      <w:numFmt w:val="bullet"/>
      <w:lvlText w:val="o"/>
      <w:lvlJc w:val="left"/>
      <w:pPr>
        <w:ind w:left="1440" w:hanging="360"/>
      </w:pPr>
      <w:rPr>
        <w:rFonts w:ascii="Courier New" w:hAnsi="Courier New" w:cs="Courier New" w:hint="default"/>
      </w:rPr>
    </w:lvl>
    <w:lvl w:ilvl="2" w:tplc="B0BCB44C" w:tentative="1">
      <w:start w:val="1"/>
      <w:numFmt w:val="bullet"/>
      <w:lvlText w:val=""/>
      <w:lvlJc w:val="left"/>
      <w:pPr>
        <w:ind w:left="2160" w:hanging="360"/>
      </w:pPr>
      <w:rPr>
        <w:rFonts w:ascii="Wingdings" w:hAnsi="Wingdings" w:hint="default"/>
      </w:rPr>
    </w:lvl>
    <w:lvl w:ilvl="3" w:tplc="352062DE" w:tentative="1">
      <w:start w:val="1"/>
      <w:numFmt w:val="bullet"/>
      <w:lvlText w:val=""/>
      <w:lvlJc w:val="left"/>
      <w:pPr>
        <w:ind w:left="2880" w:hanging="360"/>
      </w:pPr>
      <w:rPr>
        <w:rFonts w:ascii="Symbol" w:hAnsi="Symbol" w:hint="default"/>
      </w:rPr>
    </w:lvl>
    <w:lvl w:ilvl="4" w:tplc="3D685136" w:tentative="1">
      <w:start w:val="1"/>
      <w:numFmt w:val="bullet"/>
      <w:lvlText w:val="o"/>
      <w:lvlJc w:val="left"/>
      <w:pPr>
        <w:ind w:left="3600" w:hanging="360"/>
      </w:pPr>
      <w:rPr>
        <w:rFonts w:ascii="Courier New" w:hAnsi="Courier New" w:cs="Courier New" w:hint="default"/>
      </w:rPr>
    </w:lvl>
    <w:lvl w:ilvl="5" w:tplc="D42063FA" w:tentative="1">
      <w:start w:val="1"/>
      <w:numFmt w:val="bullet"/>
      <w:lvlText w:val=""/>
      <w:lvlJc w:val="left"/>
      <w:pPr>
        <w:ind w:left="4320" w:hanging="360"/>
      </w:pPr>
      <w:rPr>
        <w:rFonts w:ascii="Wingdings" w:hAnsi="Wingdings" w:hint="default"/>
      </w:rPr>
    </w:lvl>
    <w:lvl w:ilvl="6" w:tplc="FE803DB8" w:tentative="1">
      <w:start w:val="1"/>
      <w:numFmt w:val="bullet"/>
      <w:lvlText w:val=""/>
      <w:lvlJc w:val="left"/>
      <w:pPr>
        <w:ind w:left="5040" w:hanging="360"/>
      </w:pPr>
      <w:rPr>
        <w:rFonts w:ascii="Symbol" w:hAnsi="Symbol" w:hint="default"/>
      </w:rPr>
    </w:lvl>
    <w:lvl w:ilvl="7" w:tplc="176E5DC6" w:tentative="1">
      <w:start w:val="1"/>
      <w:numFmt w:val="bullet"/>
      <w:lvlText w:val="o"/>
      <w:lvlJc w:val="left"/>
      <w:pPr>
        <w:ind w:left="5760" w:hanging="360"/>
      </w:pPr>
      <w:rPr>
        <w:rFonts w:ascii="Courier New" w:hAnsi="Courier New" w:cs="Courier New" w:hint="default"/>
      </w:rPr>
    </w:lvl>
    <w:lvl w:ilvl="8" w:tplc="CF36DA30" w:tentative="1">
      <w:start w:val="1"/>
      <w:numFmt w:val="bullet"/>
      <w:lvlText w:val=""/>
      <w:lvlJc w:val="left"/>
      <w:pPr>
        <w:ind w:left="6480" w:hanging="360"/>
      </w:pPr>
      <w:rPr>
        <w:rFonts w:ascii="Wingdings" w:hAnsi="Wingdings" w:hint="default"/>
      </w:rPr>
    </w:lvl>
  </w:abstractNum>
  <w:abstractNum w:abstractNumId="20" w15:restartNumberingAfterBreak="0">
    <w:nsid w:val="39220DFD"/>
    <w:multiLevelType w:val="hybridMultilevel"/>
    <w:tmpl w:val="3EE8D026"/>
    <w:lvl w:ilvl="0" w:tplc="6C521D66">
      <w:start w:val="1"/>
      <w:numFmt w:val="decimal"/>
      <w:lvlText w:val="%1."/>
      <w:lvlJc w:val="left"/>
      <w:pPr>
        <w:ind w:left="720" w:hanging="360"/>
      </w:pPr>
      <w:rPr>
        <w:rFonts w:hint="default"/>
      </w:rPr>
    </w:lvl>
    <w:lvl w:ilvl="1" w:tplc="3E3E49A4" w:tentative="1">
      <w:start w:val="1"/>
      <w:numFmt w:val="lowerLetter"/>
      <w:lvlText w:val="%2."/>
      <w:lvlJc w:val="left"/>
      <w:pPr>
        <w:ind w:left="1440" w:hanging="360"/>
      </w:pPr>
    </w:lvl>
    <w:lvl w:ilvl="2" w:tplc="8B42E8A6" w:tentative="1">
      <w:start w:val="1"/>
      <w:numFmt w:val="lowerRoman"/>
      <w:lvlText w:val="%3."/>
      <w:lvlJc w:val="right"/>
      <w:pPr>
        <w:ind w:left="2160" w:hanging="180"/>
      </w:pPr>
    </w:lvl>
    <w:lvl w:ilvl="3" w:tplc="A7AE33C6" w:tentative="1">
      <w:start w:val="1"/>
      <w:numFmt w:val="decimal"/>
      <w:lvlText w:val="%4."/>
      <w:lvlJc w:val="left"/>
      <w:pPr>
        <w:ind w:left="2880" w:hanging="360"/>
      </w:pPr>
    </w:lvl>
    <w:lvl w:ilvl="4" w:tplc="8200999E" w:tentative="1">
      <w:start w:val="1"/>
      <w:numFmt w:val="lowerLetter"/>
      <w:lvlText w:val="%5."/>
      <w:lvlJc w:val="left"/>
      <w:pPr>
        <w:ind w:left="3600" w:hanging="360"/>
      </w:pPr>
    </w:lvl>
    <w:lvl w:ilvl="5" w:tplc="B3CAC2EA" w:tentative="1">
      <w:start w:val="1"/>
      <w:numFmt w:val="lowerRoman"/>
      <w:lvlText w:val="%6."/>
      <w:lvlJc w:val="right"/>
      <w:pPr>
        <w:ind w:left="4320" w:hanging="180"/>
      </w:pPr>
    </w:lvl>
    <w:lvl w:ilvl="6" w:tplc="444A3134" w:tentative="1">
      <w:start w:val="1"/>
      <w:numFmt w:val="decimal"/>
      <w:lvlText w:val="%7."/>
      <w:lvlJc w:val="left"/>
      <w:pPr>
        <w:ind w:left="5040" w:hanging="360"/>
      </w:pPr>
    </w:lvl>
    <w:lvl w:ilvl="7" w:tplc="DE8AF570" w:tentative="1">
      <w:start w:val="1"/>
      <w:numFmt w:val="lowerLetter"/>
      <w:lvlText w:val="%8."/>
      <w:lvlJc w:val="left"/>
      <w:pPr>
        <w:ind w:left="5760" w:hanging="360"/>
      </w:pPr>
    </w:lvl>
    <w:lvl w:ilvl="8" w:tplc="59663340" w:tentative="1">
      <w:start w:val="1"/>
      <w:numFmt w:val="lowerRoman"/>
      <w:lvlText w:val="%9."/>
      <w:lvlJc w:val="right"/>
      <w:pPr>
        <w:ind w:left="6480" w:hanging="180"/>
      </w:pPr>
    </w:lvl>
  </w:abstractNum>
  <w:abstractNum w:abstractNumId="21" w15:restartNumberingAfterBreak="0">
    <w:nsid w:val="3C251E7D"/>
    <w:multiLevelType w:val="multilevel"/>
    <w:tmpl w:val="955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74456"/>
    <w:multiLevelType w:val="hybridMultilevel"/>
    <w:tmpl w:val="4F68DD70"/>
    <w:lvl w:ilvl="0" w:tplc="44C217BA">
      <w:start w:val="1"/>
      <w:numFmt w:val="decimal"/>
      <w:lvlText w:val="(%1)"/>
      <w:lvlJc w:val="left"/>
      <w:pPr>
        <w:ind w:left="1800" w:hanging="360"/>
      </w:pPr>
      <w:rPr>
        <w:rFonts w:hint="default"/>
      </w:rPr>
    </w:lvl>
    <w:lvl w:ilvl="1" w:tplc="98EAE87E" w:tentative="1">
      <w:start w:val="1"/>
      <w:numFmt w:val="lowerLetter"/>
      <w:lvlText w:val="%2."/>
      <w:lvlJc w:val="left"/>
      <w:pPr>
        <w:ind w:left="2520" w:hanging="360"/>
      </w:pPr>
    </w:lvl>
    <w:lvl w:ilvl="2" w:tplc="E74AC71C" w:tentative="1">
      <w:start w:val="1"/>
      <w:numFmt w:val="lowerRoman"/>
      <w:lvlText w:val="%3."/>
      <w:lvlJc w:val="right"/>
      <w:pPr>
        <w:ind w:left="3240" w:hanging="180"/>
      </w:pPr>
    </w:lvl>
    <w:lvl w:ilvl="3" w:tplc="2D5A3C56" w:tentative="1">
      <w:start w:val="1"/>
      <w:numFmt w:val="decimal"/>
      <w:lvlText w:val="%4."/>
      <w:lvlJc w:val="left"/>
      <w:pPr>
        <w:ind w:left="3960" w:hanging="360"/>
      </w:pPr>
    </w:lvl>
    <w:lvl w:ilvl="4" w:tplc="14C2DE12" w:tentative="1">
      <w:start w:val="1"/>
      <w:numFmt w:val="lowerLetter"/>
      <w:lvlText w:val="%5."/>
      <w:lvlJc w:val="left"/>
      <w:pPr>
        <w:ind w:left="4680" w:hanging="360"/>
      </w:pPr>
    </w:lvl>
    <w:lvl w:ilvl="5" w:tplc="D898BF80" w:tentative="1">
      <w:start w:val="1"/>
      <w:numFmt w:val="lowerRoman"/>
      <w:lvlText w:val="%6."/>
      <w:lvlJc w:val="right"/>
      <w:pPr>
        <w:ind w:left="5400" w:hanging="180"/>
      </w:pPr>
    </w:lvl>
    <w:lvl w:ilvl="6" w:tplc="47ECA3F2" w:tentative="1">
      <w:start w:val="1"/>
      <w:numFmt w:val="decimal"/>
      <w:lvlText w:val="%7."/>
      <w:lvlJc w:val="left"/>
      <w:pPr>
        <w:ind w:left="6120" w:hanging="360"/>
      </w:pPr>
    </w:lvl>
    <w:lvl w:ilvl="7" w:tplc="2A9E402E" w:tentative="1">
      <w:start w:val="1"/>
      <w:numFmt w:val="lowerLetter"/>
      <w:lvlText w:val="%8."/>
      <w:lvlJc w:val="left"/>
      <w:pPr>
        <w:ind w:left="6840" w:hanging="360"/>
      </w:pPr>
    </w:lvl>
    <w:lvl w:ilvl="8" w:tplc="8C56235A" w:tentative="1">
      <w:start w:val="1"/>
      <w:numFmt w:val="lowerRoman"/>
      <w:lvlText w:val="%9."/>
      <w:lvlJc w:val="right"/>
      <w:pPr>
        <w:ind w:left="7560" w:hanging="180"/>
      </w:pPr>
    </w:lvl>
  </w:abstractNum>
  <w:abstractNum w:abstractNumId="23" w15:restartNumberingAfterBreak="0">
    <w:nsid w:val="3E603404"/>
    <w:multiLevelType w:val="hybridMultilevel"/>
    <w:tmpl w:val="6C068586"/>
    <w:lvl w:ilvl="0" w:tplc="AF606532">
      <w:start w:val="1"/>
      <w:numFmt w:val="decimal"/>
      <w:lvlText w:val="%1."/>
      <w:lvlJc w:val="left"/>
      <w:pPr>
        <w:ind w:left="720" w:hanging="360"/>
      </w:pPr>
      <w:rPr>
        <w:rFonts w:hint="default"/>
      </w:rPr>
    </w:lvl>
    <w:lvl w:ilvl="1" w:tplc="AC5A6E02" w:tentative="1">
      <w:start w:val="1"/>
      <w:numFmt w:val="lowerLetter"/>
      <w:lvlText w:val="%2."/>
      <w:lvlJc w:val="left"/>
      <w:pPr>
        <w:ind w:left="1440" w:hanging="360"/>
      </w:pPr>
    </w:lvl>
    <w:lvl w:ilvl="2" w:tplc="C4581792" w:tentative="1">
      <w:start w:val="1"/>
      <w:numFmt w:val="lowerRoman"/>
      <w:lvlText w:val="%3."/>
      <w:lvlJc w:val="right"/>
      <w:pPr>
        <w:ind w:left="2160" w:hanging="180"/>
      </w:pPr>
    </w:lvl>
    <w:lvl w:ilvl="3" w:tplc="A75E6C5E" w:tentative="1">
      <w:start w:val="1"/>
      <w:numFmt w:val="decimal"/>
      <w:lvlText w:val="%4."/>
      <w:lvlJc w:val="left"/>
      <w:pPr>
        <w:ind w:left="2880" w:hanging="360"/>
      </w:pPr>
    </w:lvl>
    <w:lvl w:ilvl="4" w:tplc="CD12A820" w:tentative="1">
      <w:start w:val="1"/>
      <w:numFmt w:val="lowerLetter"/>
      <w:lvlText w:val="%5."/>
      <w:lvlJc w:val="left"/>
      <w:pPr>
        <w:ind w:left="3600" w:hanging="360"/>
      </w:pPr>
    </w:lvl>
    <w:lvl w:ilvl="5" w:tplc="85324ABC" w:tentative="1">
      <w:start w:val="1"/>
      <w:numFmt w:val="lowerRoman"/>
      <w:lvlText w:val="%6."/>
      <w:lvlJc w:val="right"/>
      <w:pPr>
        <w:ind w:left="4320" w:hanging="180"/>
      </w:pPr>
    </w:lvl>
    <w:lvl w:ilvl="6" w:tplc="9492288A" w:tentative="1">
      <w:start w:val="1"/>
      <w:numFmt w:val="decimal"/>
      <w:lvlText w:val="%7."/>
      <w:lvlJc w:val="left"/>
      <w:pPr>
        <w:ind w:left="5040" w:hanging="360"/>
      </w:pPr>
    </w:lvl>
    <w:lvl w:ilvl="7" w:tplc="BF4C3AC0" w:tentative="1">
      <w:start w:val="1"/>
      <w:numFmt w:val="lowerLetter"/>
      <w:lvlText w:val="%8."/>
      <w:lvlJc w:val="left"/>
      <w:pPr>
        <w:ind w:left="5760" w:hanging="360"/>
      </w:pPr>
    </w:lvl>
    <w:lvl w:ilvl="8" w:tplc="38D0F48A" w:tentative="1">
      <w:start w:val="1"/>
      <w:numFmt w:val="lowerRoman"/>
      <w:lvlText w:val="%9."/>
      <w:lvlJc w:val="right"/>
      <w:pPr>
        <w:ind w:left="6480" w:hanging="180"/>
      </w:pPr>
    </w:lvl>
  </w:abstractNum>
  <w:abstractNum w:abstractNumId="24" w15:restartNumberingAfterBreak="0">
    <w:nsid w:val="3F3C1755"/>
    <w:multiLevelType w:val="hybridMultilevel"/>
    <w:tmpl w:val="1358839C"/>
    <w:lvl w:ilvl="0" w:tplc="19148ED8">
      <w:start w:val="1"/>
      <w:numFmt w:val="bullet"/>
      <w:lvlText w:val="-"/>
      <w:lvlJc w:val="left"/>
      <w:pPr>
        <w:ind w:left="720" w:hanging="360"/>
      </w:pPr>
      <w:rPr>
        <w:rFonts w:ascii="Arial" w:eastAsiaTheme="minorHAnsi" w:hAnsi="Arial" w:cs="Arial" w:hint="default"/>
      </w:rPr>
    </w:lvl>
    <w:lvl w:ilvl="1" w:tplc="5B2C36E2" w:tentative="1">
      <w:start w:val="1"/>
      <w:numFmt w:val="bullet"/>
      <w:lvlText w:val="o"/>
      <w:lvlJc w:val="left"/>
      <w:pPr>
        <w:ind w:left="1440" w:hanging="360"/>
      </w:pPr>
      <w:rPr>
        <w:rFonts w:ascii="Courier New" w:hAnsi="Courier New" w:cs="Courier New" w:hint="default"/>
      </w:rPr>
    </w:lvl>
    <w:lvl w:ilvl="2" w:tplc="EFA4075C" w:tentative="1">
      <w:start w:val="1"/>
      <w:numFmt w:val="bullet"/>
      <w:lvlText w:val=""/>
      <w:lvlJc w:val="left"/>
      <w:pPr>
        <w:ind w:left="2160" w:hanging="360"/>
      </w:pPr>
      <w:rPr>
        <w:rFonts w:ascii="Wingdings" w:hAnsi="Wingdings" w:hint="default"/>
      </w:rPr>
    </w:lvl>
    <w:lvl w:ilvl="3" w:tplc="A6349D94" w:tentative="1">
      <w:start w:val="1"/>
      <w:numFmt w:val="bullet"/>
      <w:lvlText w:val=""/>
      <w:lvlJc w:val="left"/>
      <w:pPr>
        <w:ind w:left="2880" w:hanging="360"/>
      </w:pPr>
      <w:rPr>
        <w:rFonts w:ascii="Symbol" w:hAnsi="Symbol" w:hint="default"/>
      </w:rPr>
    </w:lvl>
    <w:lvl w:ilvl="4" w:tplc="9E3C00BA" w:tentative="1">
      <w:start w:val="1"/>
      <w:numFmt w:val="bullet"/>
      <w:lvlText w:val="o"/>
      <w:lvlJc w:val="left"/>
      <w:pPr>
        <w:ind w:left="3600" w:hanging="360"/>
      </w:pPr>
      <w:rPr>
        <w:rFonts w:ascii="Courier New" w:hAnsi="Courier New" w:cs="Courier New" w:hint="default"/>
      </w:rPr>
    </w:lvl>
    <w:lvl w:ilvl="5" w:tplc="3AE6EDAE" w:tentative="1">
      <w:start w:val="1"/>
      <w:numFmt w:val="bullet"/>
      <w:lvlText w:val=""/>
      <w:lvlJc w:val="left"/>
      <w:pPr>
        <w:ind w:left="4320" w:hanging="360"/>
      </w:pPr>
      <w:rPr>
        <w:rFonts w:ascii="Wingdings" w:hAnsi="Wingdings" w:hint="default"/>
      </w:rPr>
    </w:lvl>
    <w:lvl w:ilvl="6" w:tplc="E57AFC84" w:tentative="1">
      <w:start w:val="1"/>
      <w:numFmt w:val="bullet"/>
      <w:lvlText w:val=""/>
      <w:lvlJc w:val="left"/>
      <w:pPr>
        <w:ind w:left="5040" w:hanging="360"/>
      </w:pPr>
      <w:rPr>
        <w:rFonts w:ascii="Symbol" w:hAnsi="Symbol" w:hint="default"/>
      </w:rPr>
    </w:lvl>
    <w:lvl w:ilvl="7" w:tplc="F4F2AAEA" w:tentative="1">
      <w:start w:val="1"/>
      <w:numFmt w:val="bullet"/>
      <w:lvlText w:val="o"/>
      <w:lvlJc w:val="left"/>
      <w:pPr>
        <w:ind w:left="5760" w:hanging="360"/>
      </w:pPr>
      <w:rPr>
        <w:rFonts w:ascii="Courier New" w:hAnsi="Courier New" w:cs="Courier New" w:hint="default"/>
      </w:rPr>
    </w:lvl>
    <w:lvl w:ilvl="8" w:tplc="85D01134" w:tentative="1">
      <w:start w:val="1"/>
      <w:numFmt w:val="bullet"/>
      <w:lvlText w:val=""/>
      <w:lvlJc w:val="left"/>
      <w:pPr>
        <w:ind w:left="6480" w:hanging="360"/>
      </w:pPr>
      <w:rPr>
        <w:rFonts w:ascii="Wingdings" w:hAnsi="Wingdings" w:hint="default"/>
      </w:rPr>
    </w:lvl>
  </w:abstractNum>
  <w:abstractNum w:abstractNumId="25" w15:restartNumberingAfterBreak="0">
    <w:nsid w:val="4213147D"/>
    <w:multiLevelType w:val="hybridMultilevel"/>
    <w:tmpl w:val="636805E2"/>
    <w:lvl w:ilvl="0" w:tplc="E9365D84">
      <w:start w:val="1"/>
      <w:numFmt w:val="bullet"/>
      <w:lvlText w:val=""/>
      <w:lvlJc w:val="left"/>
      <w:pPr>
        <w:ind w:left="1440" w:hanging="360"/>
      </w:pPr>
      <w:rPr>
        <w:rFonts w:ascii="Symbol" w:hAnsi="Symbol" w:hint="default"/>
      </w:rPr>
    </w:lvl>
    <w:lvl w:ilvl="1" w:tplc="09404D46" w:tentative="1">
      <w:start w:val="1"/>
      <w:numFmt w:val="bullet"/>
      <w:lvlText w:val="o"/>
      <w:lvlJc w:val="left"/>
      <w:pPr>
        <w:ind w:left="2160" w:hanging="360"/>
      </w:pPr>
      <w:rPr>
        <w:rFonts w:ascii="Courier New" w:hAnsi="Courier New" w:cs="Courier New" w:hint="default"/>
      </w:rPr>
    </w:lvl>
    <w:lvl w:ilvl="2" w:tplc="CD70EDFE" w:tentative="1">
      <w:start w:val="1"/>
      <w:numFmt w:val="bullet"/>
      <w:lvlText w:val=""/>
      <w:lvlJc w:val="left"/>
      <w:pPr>
        <w:ind w:left="2880" w:hanging="360"/>
      </w:pPr>
      <w:rPr>
        <w:rFonts w:ascii="Wingdings" w:hAnsi="Wingdings" w:hint="default"/>
      </w:rPr>
    </w:lvl>
    <w:lvl w:ilvl="3" w:tplc="C3FC16E0" w:tentative="1">
      <w:start w:val="1"/>
      <w:numFmt w:val="bullet"/>
      <w:lvlText w:val=""/>
      <w:lvlJc w:val="left"/>
      <w:pPr>
        <w:ind w:left="3600" w:hanging="360"/>
      </w:pPr>
      <w:rPr>
        <w:rFonts w:ascii="Symbol" w:hAnsi="Symbol" w:hint="default"/>
      </w:rPr>
    </w:lvl>
    <w:lvl w:ilvl="4" w:tplc="F88A485A" w:tentative="1">
      <w:start w:val="1"/>
      <w:numFmt w:val="bullet"/>
      <w:lvlText w:val="o"/>
      <w:lvlJc w:val="left"/>
      <w:pPr>
        <w:ind w:left="4320" w:hanging="360"/>
      </w:pPr>
      <w:rPr>
        <w:rFonts w:ascii="Courier New" w:hAnsi="Courier New" w:cs="Courier New" w:hint="default"/>
      </w:rPr>
    </w:lvl>
    <w:lvl w:ilvl="5" w:tplc="216227F8" w:tentative="1">
      <w:start w:val="1"/>
      <w:numFmt w:val="bullet"/>
      <w:lvlText w:val=""/>
      <w:lvlJc w:val="left"/>
      <w:pPr>
        <w:ind w:left="5040" w:hanging="360"/>
      </w:pPr>
      <w:rPr>
        <w:rFonts w:ascii="Wingdings" w:hAnsi="Wingdings" w:hint="default"/>
      </w:rPr>
    </w:lvl>
    <w:lvl w:ilvl="6" w:tplc="ACB66FD8" w:tentative="1">
      <w:start w:val="1"/>
      <w:numFmt w:val="bullet"/>
      <w:lvlText w:val=""/>
      <w:lvlJc w:val="left"/>
      <w:pPr>
        <w:ind w:left="5760" w:hanging="360"/>
      </w:pPr>
      <w:rPr>
        <w:rFonts w:ascii="Symbol" w:hAnsi="Symbol" w:hint="default"/>
      </w:rPr>
    </w:lvl>
    <w:lvl w:ilvl="7" w:tplc="2CC27D6E" w:tentative="1">
      <w:start w:val="1"/>
      <w:numFmt w:val="bullet"/>
      <w:lvlText w:val="o"/>
      <w:lvlJc w:val="left"/>
      <w:pPr>
        <w:ind w:left="6480" w:hanging="360"/>
      </w:pPr>
      <w:rPr>
        <w:rFonts w:ascii="Courier New" w:hAnsi="Courier New" w:cs="Courier New" w:hint="default"/>
      </w:rPr>
    </w:lvl>
    <w:lvl w:ilvl="8" w:tplc="74C424DC" w:tentative="1">
      <w:start w:val="1"/>
      <w:numFmt w:val="bullet"/>
      <w:lvlText w:val=""/>
      <w:lvlJc w:val="left"/>
      <w:pPr>
        <w:ind w:left="7200" w:hanging="360"/>
      </w:pPr>
      <w:rPr>
        <w:rFonts w:ascii="Wingdings" w:hAnsi="Wingdings" w:hint="default"/>
      </w:rPr>
    </w:lvl>
  </w:abstractNum>
  <w:abstractNum w:abstractNumId="26" w15:restartNumberingAfterBreak="0">
    <w:nsid w:val="4402517B"/>
    <w:multiLevelType w:val="multilevel"/>
    <w:tmpl w:val="4D1C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93DBA"/>
    <w:multiLevelType w:val="hybridMultilevel"/>
    <w:tmpl w:val="8332B584"/>
    <w:lvl w:ilvl="0" w:tplc="B85052DA">
      <w:start w:val="1"/>
      <w:numFmt w:val="bullet"/>
      <w:lvlText w:val=""/>
      <w:lvlJc w:val="left"/>
      <w:pPr>
        <w:ind w:left="720" w:hanging="360"/>
      </w:pPr>
      <w:rPr>
        <w:rFonts w:ascii="Wingdings" w:eastAsiaTheme="minorHAnsi" w:hAnsi="Wingdings" w:cs="Arial" w:hint="default"/>
      </w:rPr>
    </w:lvl>
    <w:lvl w:ilvl="1" w:tplc="D45679E8" w:tentative="1">
      <w:start w:val="1"/>
      <w:numFmt w:val="bullet"/>
      <w:lvlText w:val="o"/>
      <w:lvlJc w:val="left"/>
      <w:pPr>
        <w:ind w:left="1440" w:hanging="360"/>
      </w:pPr>
      <w:rPr>
        <w:rFonts w:ascii="Courier New" w:hAnsi="Courier New" w:cs="Courier New" w:hint="default"/>
      </w:rPr>
    </w:lvl>
    <w:lvl w:ilvl="2" w:tplc="29169E80" w:tentative="1">
      <w:start w:val="1"/>
      <w:numFmt w:val="bullet"/>
      <w:lvlText w:val=""/>
      <w:lvlJc w:val="left"/>
      <w:pPr>
        <w:ind w:left="2160" w:hanging="360"/>
      </w:pPr>
      <w:rPr>
        <w:rFonts w:ascii="Wingdings" w:hAnsi="Wingdings" w:hint="default"/>
      </w:rPr>
    </w:lvl>
    <w:lvl w:ilvl="3" w:tplc="0736EB2C" w:tentative="1">
      <w:start w:val="1"/>
      <w:numFmt w:val="bullet"/>
      <w:lvlText w:val=""/>
      <w:lvlJc w:val="left"/>
      <w:pPr>
        <w:ind w:left="2880" w:hanging="360"/>
      </w:pPr>
      <w:rPr>
        <w:rFonts w:ascii="Symbol" w:hAnsi="Symbol" w:hint="default"/>
      </w:rPr>
    </w:lvl>
    <w:lvl w:ilvl="4" w:tplc="90E402C4" w:tentative="1">
      <w:start w:val="1"/>
      <w:numFmt w:val="bullet"/>
      <w:lvlText w:val="o"/>
      <w:lvlJc w:val="left"/>
      <w:pPr>
        <w:ind w:left="3600" w:hanging="360"/>
      </w:pPr>
      <w:rPr>
        <w:rFonts w:ascii="Courier New" w:hAnsi="Courier New" w:cs="Courier New" w:hint="default"/>
      </w:rPr>
    </w:lvl>
    <w:lvl w:ilvl="5" w:tplc="66E037CC" w:tentative="1">
      <w:start w:val="1"/>
      <w:numFmt w:val="bullet"/>
      <w:lvlText w:val=""/>
      <w:lvlJc w:val="left"/>
      <w:pPr>
        <w:ind w:left="4320" w:hanging="360"/>
      </w:pPr>
      <w:rPr>
        <w:rFonts w:ascii="Wingdings" w:hAnsi="Wingdings" w:hint="default"/>
      </w:rPr>
    </w:lvl>
    <w:lvl w:ilvl="6" w:tplc="F8C4245C" w:tentative="1">
      <w:start w:val="1"/>
      <w:numFmt w:val="bullet"/>
      <w:lvlText w:val=""/>
      <w:lvlJc w:val="left"/>
      <w:pPr>
        <w:ind w:left="5040" w:hanging="360"/>
      </w:pPr>
      <w:rPr>
        <w:rFonts w:ascii="Symbol" w:hAnsi="Symbol" w:hint="default"/>
      </w:rPr>
    </w:lvl>
    <w:lvl w:ilvl="7" w:tplc="5A6C6EA8" w:tentative="1">
      <w:start w:val="1"/>
      <w:numFmt w:val="bullet"/>
      <w:lvlText w:val="o"/>
      <w:lvlJc w:val="left"/>
      <w:pPr>
        <w:ind w:left="5760" w:hanging="360"/>
      </w:pPr>
      <w:rPr>
        <w:rFonts w:ascii="Courier New" w:hAnsi="Courier New" w:cs="Courier New" w:hint="default"/>
      </w:rPr>
    </w:lvl>
    <w:lvl w:ilvl="8" w:tplc="7ECCE990" w:tentative="1">
      <w:start w:val="1"/>
      <w:numFmt w:val="bullet"/>
      <w:lvlText w:val=""/>
      <w:lvlJc w:val="left"/>
      <w:pPr>
        <w:ind w:left="6480" w:hanging="360"/>
      </w:pPr>
      <w:rPr>
        <w:rFonts w:ascii="Wingdings" w:hAnsi="Wingdings" w:hint="default"/>
      </w:rPr>
    </w:lvl>
  </w:abstractNum>
  <w:abstractNum w:abstractNumId="28" w15:restartNumberingAfterBreak="0">
    <w:nsid w:val="4C146C97"/>
    <w:multiLevelType w:val="hybridMultilevel"/>
    <w:tmpl w:val="60368284"/>
    <w:lvl w:ilvl="0" w:tplc="D37CE436">
      <w:numFmt w:val="bullet"/>
      <w:lvlText w:val=""/>
      <w:lvlJc w:val="left"/>
      <w:pPr>
        <w:ind w:left="499" w:hanging="361"/>
      </w:pPr>
      <w:rPr>
        <w:rFonts w:ascii="Symbol" w:eastAsia="Symbol" w:hAnsi="Symbol" w:cs="Symbol" w:hint="default"/>
        <w:b w:val="0"/>
        <w:bCs w:val="0"/>
        <w:i w:val="0"/>
        <w:iCs w:val="0"/>
        <w:w w:val="100"/>
        <w:sz w:val="22"/>
        <w:szCs w:val="22"/>
        <w:lang w:val="en-US" w:eastAsia="en-US" w:bidi="ar-SA"/>
      </w:rPr>
    </w:lvl>
    <w:lvl w:ilvl="1" w:tplc="AC549C16">
      <w:numFmt w:val="bullet"/>
      <w:lvlText w:val="•"/>
      <w:lvlJc w:val="left"/>
      <w:pPr>
        <w:ind w:left="1414" w:hanging="361"/>
      </w:pPr>
      <w:rPr>
        <w:rFonts w:hint="default"/>
        <w:lang w:val="en-US" w:eastAsia="en-US" w:bidi="ar-SA"/>
      </w:rPr>
    </w:lvl>
    <w:lvl w:ilvl="2" w:tplc="97B0E08A">
      <w:numFmt w:val="bullet"/>
      <w:lvlText w:val="•"/>
      <w:lvlJc w:val="left"/>
      <w:pPr>
        <w:ind w:left="2328" w:hanging="361"/>
      </w:pPr>
      <w:rPr>
        <w:rFonts w:hint="default"/>
        <w:lang w:val="en-US" w:eastAsia="en-US" w:bidi="ar-SA"/>
      </w:rPr>
    </w:lvl>
    <w:lvl w:ilvl="3" w:tplc="8B56ED5A">
      <w:numFmt w:val="bullet"/>
      <w:lvlText w:val="•"/>
      <w:lvlJc w:val="left"/>
      <w:pPr>
        <w:ind w:left="3242" w:hanging="361"/>
      </w:pPr>
      <w:rPr>
        <w:rFonts w:hint="default"/>
        <w:lang w:val="en-US" w:eastAsia="en-US" w:bidi="ar-SA"/>
      </w:rPr>
    </w:lvl>
    <w:lvl w:ilvl="4" w:tplc="4226003E">
      <w:numFmt w:val="bullet"/>
      <w:lvlText w:val="•"/>
      <w:lvlJc w:val="left"/>
      <w:pPr>
        <w:ind w:left="4156" w:hanging="361"/>
      </w:pPr>
      <w:rPr>
        <w:rFonts w:hint="default"/>
        <w:lang w:val="en-US" w:eastAsia="en-US" w:bidi="ar-SA"/>
      </w:rPr>
    </w:lvl>
    <w:lvl w:ilvl="5" w:tplc="A35EE652">
      <w:numFmt w:val="bullet"/>
      <w:lvlText w:val="•"/>
      <w:lvlJc w:val="left"/>
      <w:pPr>
        <w:ind w:left="5070" w:hanging="361"/>
      </w:pPr>
      <w:rPr>
        <w:rFonts w:hint="default"/>
        <w:lang w:val="en-US" w:eastAsia="en-US" w:bidi="ar-SA"/>
      </w:rPr>
    </w:lvl>
    <w:lvl w:ilvl="6" w:tplc="5B38E956">
      <w:numFmt w:val="bullet"/>
      <w:lvlText w:val="•"/>
      <w:lvlJc w:val="left"/>
      <w:pPr>
        <w:ind w:left="5984" w:hanging="361"/>
      </w:pPr>
      <w:rPr>
        <w:rFonts w:hint="default"/>
        <w:lang w:val="en-US" w:eastAsia="en-US" w:bidi="ar-SA"/>
      </w:rPr>
    </w:lvl>
    <w:lvl w:ilvl="7" w:tplc="167CEAEC">
      <w:numFmt w:val="bullet"/>
      <w:lvlText w:val="•"/>
      <w:lvlJc w:val="left"/>
      <w:pPr>
        <w:ind w:left="6898" w:hanging="361"/>
      </w:pPr>
      <w:rPr>
        <w:rFonts w:hint="default"/>
        <w:lang w:val="en-US" w:eastAsia="en-US" w:bidi="ar-SA"/>
      </w:rPr>
    </w:lvl>
    <w:lvl w:ilvl="8" w:tplc="1FE27FD4">
      <w:numFmt w:val="bullet"/>
      <w:lvlText w:val="•"/>
      <w:lvlJc w:val="left"/>
      <w:pPr>
        <w:ind w:left="7812" w:hanging="361"/>
      </w:pPr>
      <w:rPr>
        <w:rFonts w:hint="default"/>
        <w:lang w:val="en-US" w:eastAsia="en-US" w:bidi="ar-SA"/>
      </w:rPr>
    </w:lvl>
  </w:abstractNum>
  <w:abstractNum w:abstractNumId="29" w15:restartNumberingAfterBreak="0">
    <w:nsid w:val="562F054D"/>
    <w:multiLevelType w:val="hybridMultilevel"/>
    <w:tmpl w:val="A3CE9CE4"/>
    <w:lvl w:ilvl="0" w:tplc="4342C464">
      <w:start w:val="1"/>
      <w:numFmt w:val="decimal"/>
      <w:lvlText w:val="%1)"/>
      <w:lvlJc w:val="left"/>
      <w:pPr>
        <w:ind w:left="1800" w:hanging="360"/>
      </w:pPr>
      <w:rPr>
        <w:rFonts w:hint="default"/>
      </w:rPr>
    </w:lvl>
    <w:lvl w:ilvl="1" w:tplc="E454EE9A" w:tentative="1">
      <w:start w:val="1"/>
      <w:numFmt w:val="lowerLetter"/>
      <w:lvlText w:val="%2."/>
      <w:lvlJc w:val="left"/>
      <w:pPr>
        <w:ind w:left="2520" w:hanging="360"/>
      </w:pPr>
    </w:lvl>
    <w:lvl w:ilvl="2" w:tplc="253CC78A" w:tentative="1">
      <w:start w:val="1"/>
      <w:numFmt w:val="lowerRoman"/>
      <w:lvlText w:val="%3."/>
      <w:lvlJc w:val="right"/>
      <w:pPr>
        <w:ind w:left="3240" w:hanging="180"/>
      </w:pPr>
    </w:lvl>
    <w:lvl w:ilvl="3" w:tplc="8E8C32C8" w:tentative="1">
      <w:start w:val="1"/>
      <w:numFmt w:val="decimal"/>
      <w:lvlText w:val="%4."/>
      <w:lvlJc w:val="left"/>
      <w:pPr>
        <w:ind w:left="3960" w:hanging="360"/>
      </w:pPr>
    </w:lvl>
    <w:lvl w:ilvl="4" w:tplc="8C1ECA3C" w:tentative="1">
      <w:start w:val="1"/>
      <w:numFmt w:val="lowerLetter"/>
      <w:lvlText w:val="%5."/>
      <w:lvlJc w:val="left"/>
      <w:pPr>
        <w:ind w:left="4680" w:hanging="360"/>
      </w:pPr>
    </w:lvl>
    <w:lvl w:ilvl="5" w:tplc="E326E3E0" w:tentative="1">
      <w:start w:val="1"/>
      <w:numFmt w:val="lowerRoman"/>
      <w:lvlText w:val="%6."/>
      <w:lvlJc w:val="right"/>
      <w:pPr>
        <w:ind w:left="5400" w:hanging="180"/>
      </w:pPr>
    </w:lvl>
    <w:lvl w:ilvl="6" w:tplc="933C0F36" w:tentative="1">
      <w:start w:val="1"/>
      <w:numFmt w:val="decimal"/>
      <w:lvlText w:val="%7."/>
      <w:lvlJc w:val="left"/>
      <w:pPr>
        <w:ind w:left="6120" w:hanging="360"/>
      </w:pPr>
    </w:lvl>
    <w:lvl w:ilvl="7" w:tplc="E132E568" w:tentative="1">
      <w:start w:val="1"/>
      <w:numFmt w:val="lowerLetter"/>
      <w:lvlText w:val="%8."/>
      <w:lvlJc w:val="left"/>
      <w:pPr>
        <w:ind w:left="6840" w:hanging="360"/>
      </w:pPr>
    </w:lvl>
    <w:lvl w:ilvl="8" w:tplc="42E6C5B4" w:tentative="1">
      <w:start w:val="1"/>
      <w:numFmt w:val="lowerRoman"/>
      <w:lvlText w:val="%9."/>
      <w:lvlJc w:val="right"/>
      <w:pPr>
        <w:ind w:left="7560" w:hanging="180"/>
      </w:pPr>
    </w:lvl>
  </w:abstractNum>
  <w:abstractNum w:abstractNumId="30" w15:restartNumberingAfterBreak="0">
    <w:nsid w:val="59042A08"/>
    <w:multiLevelType w:val="hybridMultilevel"/>
    <w:tmpl w:val="DAA8D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502656"/>
    <w:multiLevelType w:val="hybridMultilevel"/>
    <w:tmpl w:val="4F68DD70"/>
    <w:lvl w:ilvl="0" w:tplc="0978A6D4">
      <w:start w:val="1"/>
      <w:numFmt w:val="decimal"/>
      <w:lvlText w:val="(%1)"/>
      <w:lvlJc w:val="left"/>
      <w:pPr>
        <w:ind w:left="1800" w:hanging="360"/>
      </w:pPr>
      <w:rPr>
        <w:rFonts w:hint="default"/>
      </w:rPr>
    </w:lvl>
    <w:lvl w:ilvl="1" w:tplc="C700DB26" w:tentative="1">
      <w:start w:val="1"/>
      <w:numFmt w:val="lowerLetter"/>
      <w:lvlText w:val="%2."/>
      <w:lvlJc w:val="left"/>
      <w:pPr>
        <w:ind w:left="2520" w:hanging="360"/>
      </w:pPr>
    </w:lvl>
    <w:lvl w:ilvl="2" w:tplc="E9F27B4C" w:tentative="1">
      <w:start w:val="1"/>
      <w:numFmt w:val="lowerRoman"/>
      <w:lvlText w:val="%3."/>
      <w:lvlJc w:val="right"/>
      <w:pPr>
        <w:ind w:left="3240" w:hanging="180"/>
      </w:pPr>
    </w:lvl>
    <w:lvl w:ilvl="3" w:tplc="8C54FFB6" w:tentative="1">
      <w:start w:val="1"/>
      <w:numFmt w:val="decimal"/>
      <w:lvlText w:val="%4."/>
      <w:lvlJc w:val="left"/>
      <w:pPr>
        <w:ind w:left="3960" w:hanging="360"/>
      </w:pPr>
    </w:lvl>
    <w:lvl w:ilvl="4" w:tplc="788622B0" w:tentative="1">
      <w:start w:val="1"/>
      <w:numFmt w:val="lowerLetter"/>
      <w:lvlText w:val="%5."/>
      <w:lvlJc w:val="left"/>
      <w:pPr>
        <w:ind w:left="4680" w:hanging="360"/>
      </w:pPr>
    </w:lvl>
    <w:lvl w:ilvl="5" w:tplc="425C15DA" w:tentative="1">
      <w:start w:val="1"/>
      <w:numFmt w:val="lowerRoman"/>
      <w:lvlText w:val="%6."/>
      <w:lvlJc w:val="right"/>
      <w:pPr>
        <w:ind w:left="5400" w:hanging="180"/>
      </w:pPr>
    </w:lvl>
    <w:lvl w:ilvl="6" w:tplc="D1EA9CA6" w:tentative="1">
      <w:start w:val="1"/>
      <w:numFmt w:val="decimal"/>
      <w:lvlText w:val="%7."/>
      <w:lvlJc w:val="left"/>
      <w:pPr>
        <w:ind w:left="6120" w:hanging="360"/>
      </w:pPr>
    </w:lvl>
    <w:lvl w:ilvl="7" w:tplc="23ACE406" w:tentative="1">
      <w:start w:val="1"/>
      <w:numFmt w:val="lowerLetter"/>
      <w:lvlText w:val="%8."/>
      <w:lvlJc w:val="left"/>
      <w:pPr>
        <w:ind w:left="6840" w:hanging="360"/>
      </w:pPr>
    </w:lvl>
    <w:lvl w:ilvl="8" w:tplc="50AC47EC" w:tentative="1">
      <w:start w:val="1"/>
      <w:numFmt w:val="lowerRoman"/>
      <w:lvlText w:val="%9."/>
      <w:lvlJc w:val="right"/>
      <w:pPr>
        <w:ind w:left="7560" w:hanging="180"/>
      </w:pPr>
    </w:lvl>
  </w:abstractNum>
  <w:abstractNum w:abstractNumId="32" w15:restartNumberingAfterBreak="0">
    <w:nsid w:val="5C03327F"/>
    <w:multiLevelType w:val="hybridMultilevel"/>
    <w:tmpl w:val="4F68DD70"/>
    <w:lvl w:ilvl="0" w:tplc="3C564218">
      <w:start w:val="1"/>
      <w:numFmt w:val="decimal"/>
      <w:lvlText w:val="(%1)"/>
      <w:lvlJc w:val="left"/>
      <w:pPr>
        <w:ind w:left="1800" w:hanging="360"/>
      </w:pPr>
      <w:rPr>
        <w:rFonts w:hint="default"/>
      </w:rPr>
    </w:lvl>
    <w:lvl w:ilvl="1" w:tplc="100E61DA" w:tentative="1">
      <w:start w:val="1"/>
      <w:numFmt w:val="lowerLetter"/>
      <w:lvlText w:val="%2."/>
      <w:lvlJc w:val="left"/>
      <w:pPr>
        <w:ind w:left="2520" w:hanging="360"/>
      </w:pPr>
    </w:lvl>
    <w:lvl w:ilvl="2" w:tplc="43BA9152" w:tentative="1">
      <w:start w:val="1"/>
      <w:numFmt w:val="lowerRoman"/>
      <w:lvlText w:val="%3."/>
      <w:lvlJc w:val="right"/>
      <w:pPr>
        <w:ind w:left="3240" w:hanging="180"/>
      </w:pPr>
    </w:lvl>
    <w:lvl w:ilvl="3" w:tplc="90383F8C" w:tentative="1">
      <w:start w:val="1"/>
      <w:numFmt w:val="decimal"/>
      <w:lvlText w:val="%4."/>
      <w:lvlJc w:val="left"/>
      <w:pPr>
        <w:ind w:left="3960" w:hanging="360"/>
      </w:pPr>
    </w:lvl>
    <w:lvl w:ilvl="4" w:tplc="588A2370" w:tentative="1">
      <w:start w:val="1"/>
      <w:numFmt w:val="lowerLetter"/>
      <w:lvlText w:val="%5."/>
      <w:lvlJc w:val="left"/>
      <w:pPr>
        <w:ind w:left="4680" w:hanging="360"/>
      </w:pPr>
    </w:lvl>
    <w:lvl w:ilvl="5" w:tplc="DA2AFC18" w:tentative="1">
      <w:start w:val="1"/>
      <w:numFmt w:val="lowerRoman"/>
      <w:lvlText w:val="%6."/>
      <w:lvlJc w:val="right"/>
      <w:pPr>
        <w:ind w:left="5400" w:hanging="180"/>
      </w:pPr>
    </w:lvl>
    <w:lvl w:ilvl="6" w:tplc="E07C885E" w:tentative="1">
      <w:start w:val="1"/>
      <w:numFmt w:val="decimal"/>
      <w:lvlText w:val="%7."/>
      <w:lvlJc w:val="left"/>
      <w:pPr>
        <w:ind w:left="6120" w:hanging="360"/>
      </w:pPr>
    </w:lvl>
    <w:lvl w:ilvl="7" w:tplc="FE104B84" w:tentative="1">
      <w:start w:val="1"/>
      <w:numFmt w:val="lowerLetter"/>
      <w:lvlText w:val="%8."/>
      <w:lvlJc w:val="left"/>
      <w:pPr>
        <w:ind w:left="6840" w:hanging="360"/>
      </w:pPr>
    </w:lvl>
    <w:lvl w:ilvl="8" w:tplc="65FCD3FE" w:tentative="1">
      <w:start w:val="1"/>
      <w:numFmt w:val="lowerRoman"/>
      <w:lvlText w:val="%9."/>
      <w:lvlJc w:val="right"/>
      <w:pPr>
        <w:ind w:left="7560" w:hanging="180"/>
      </w:pPr>
    </w:lvl>
  </w:abstractNum>
  <w:abstractNum w:abstractNumId="33" w15:restartNumberingAfterBreak="0">
    <w:nsid w:val="5C4D4509"/>
    <w:multiLevelType w:val="hybridMultilevel"/>
    <w:tmpl w:val="3A8A1582"/>
    <w:lvl w:ilvl="0" w:tplc="3AD0C69A">
      <w:start w:val="1"/>
      <w:numFmt w:val="bullet"/>
      <w:lvlText w:val=""/>
      <w:lvlJc w:val="left"/>
      <w:pPr>
        <w:ind w:left="2160" w:hanging="360"/>
      </w:pPr>
      <w:rPr>
        <w:rFonts w:ascii="Symbol" w:hAnsi="Symbol" w:hint="default"/>
      </w:rPr>
    </w:lvl>
    <w:lvl w:ilvl="1" w:tplc="7FB0EF80" w:tentative="1">
      <w:start w:val="1"/>
      <w:numFmt w:val="bullet"/>
      <w:lvlText w:val="o"/>
      <w:lvlJc w:val="left"/>
      <w:pPr>
        <w:ind w:left="2880" w:hanging="360"/>
      </w:pPr>
      <w:rPr>
        <w:rFonts w:ascii="Courier New" w:hAnsi="Courier New" w:cs="Courier New" w:hint="default"/>
      </w:rPr>
    </w:lvl>
    <w:lvl w:ilvl="2" w:tplc="8522CBF8" w:tentative="1">
      <w:start w:val="1"/>
      <w:numFmt w:val="bullet"/>
      <w:lvlText w:val=""/>
      <w:lvlJc w:val="left"/>
      <w:pPr>
        <w:ind w:left="3600" w:hanging="360"/>
      </w:pPr>
      <w:rPr>
        <w:rFonts w:ascii="Wingdings" w:hAnsi="Wingdings" w:hint="default"/>
      </w:rPr>
    </w:lvl>
    <w:lvl w:ilvl="3" w:tplc="98B86CF0" w:tentative="1">
      <w:start w:val="1"/>
      <w:numFmt w:val="bullet"/>
      <w:lvlText w:val=""/>
      <w:lvlJc w:val="left"/>
      <w:pPr>
        <w:ind w:left="4320" w:hanging="360"/>
      </w:pPr>
      <w:rPr>
        <w:rFonts w:ascii="Symbol" w:hAnsi="Symbol" w:hint="default"/>
      </w:rPr>
    </w:lvl>
    <w:lvl w:ilvl="4" w:tplc="C5723166" w:tentative="1">
      <w:start w:val="1"/>
      <w:numFmt w:val="bullet"/>
      <w:lvlText w:val="o"/>
      <w:lvlJc w:val="left"/>
      <w:pPr>
        <w:ind w:left="5040" w:hanging="360"/>
      </w:pPr>
      <w:rPr>
        <w:rFonts w:ascii="Courier New" w:hAnsi="Courier New" w:cs="Courier New" w:hint="default"/>
      </w:rPr>
    </w:lvl>
    <w:lvl w:ilvl="5" w:tplc="71900414" w:tentative="1">
      <w:start w:val="1"/>
      <w:numFmt w:val="bullet"/>
      <w:lvlText w:val=""/>
      <w:lvlJc w:val="left"/>
      <w:pPr>
        <w:ind w:left="5760" w:hanging="360"/>
      </w:pPr>
      <w:rPr>
        <w:rFonts w:ascii="Wingdings" w:hAnsi="Wingdings" w:hint="default"/>
      </w:rPr>
    </w:lvl>
    <w:lvl w:ilvl="6" w:tplc="EFC01CAA" w:tentative="1">
      <w:start w:val="1"/>
      <w:numFmt w:val="bullet"/>
      <w:lvlText w:val=""/>
      <w:lvlJc w:val="left"/>
      <w:pPr>
        <w:ind w:left="6480" w:hanging="360"/>
      </w:pPr>
      <w:rPr>
        <w:rFonts w:ascii="Symbol" w:hAnsi="Symbol" w:hint="default"/>
      </w:rPr>
    </w:lvl>
    <w:lvl w:ilvl="7" w:tplc="01E27F50" w:tentative="1">
      <w:start w:val="1"/>
      <w:numFmt w:val="bullet"/>
      <w:lvlText w:val="o"/>
      <w:lvlJc w:val="left"/>
      <w:pPr>
        <w:ind w:left="7200" w:hanging="360"/>
      </w:pPr>
      <w:rPr>
        <w:rFonts w:ascii="Courier New" w:hAnsi="Courier New" w:cs="Courier New" w:hint="default"/>
      </w:rPr>
    </w:lvl>
    <w:lvl w:ilvl="8" w:tplc="BFBC22A4" w:tentative="1">
      <w:start w:val="1"/>
      <w:numFmt w:val="bullet"/>
      <w:lvlText w:val=""/>
      <w:lvlJc w:val="left"/>
      <w:pPr>
        <w:ind w:left="7920" w:hanging="360"/>
      </w:pPr>
      <w:rPr>
        <w:rFonts w:ascii="Wingdings" w:hAnsi="Wingdings" w:hint="default"/>
      </w:rPr>
    </w:lvl>
  </w:abstractNum>
  <w:abstractNum w:abstractNumId="34" w15:restartNumberingAfterBreak="0">
    <w:nsid w:val="5CBA24D0"/>
    <w:multiLevelType w:val="hybridMultilevel"/>
    <w:tmpl w:val="20360A42"/>
    <w:lvl w:ilvl="0" w:tplc="CEA88428">
      <w:start w:val="1"/>
      <w:numFmt w:val="bullet"/>
      <w:lvlText w:val="-"/>
      <w:lvlJc w:val="left"/>
      <w:pPr>
        <w:ind w:left="720" w:hanging="360"/>
      </w:pPr>
      <w:rPr>
        <w:rFonts w:ascii="Aptos" w:eastAsiaTheme="minorHAnsi" w:hAnsi="Aptos" w:cstheme="minorBidi" w:hint="default"/>
      </w:rPr>
    </w:lvl>
    <w:lvl w:ilvl="1" w:tplc="9B5EFEE2">
      <w:start w:val="1"/>
      <w:numFmt w:val="bullet"/>
      <w:lvlText w:val="o"/>
      <w:lvlJc w:val="left"/>
      <w:pPr>
        <w:ind w:left="1440" w:hanging="360"/>
      </w:pPr>
      <w:rPr>
        <w:rFonts w:ascii="Courier New" w:hAnsi="Courier New" w:cs="Courier New" w:hint="default"/>
      </w:rPr>
    </w:lvl>
    <w:lvl w:ilvl="2" w:tplc="A92A30A4" w:tentative="1">
      <w:start w:val="1"/>
      <w:numFmt w:val="bullet"/>
      <w:lvlText w:val=""/>
      <w:lvlJc w:val="left"/>
      <w:pPr>
        <w:ind w:left="2160" w:hanging="360"/>
      </w:pPr>
      <w:rPr>
        <w:rFonts w:ascii="Wingdings" w:hAnsi="Wingdings" w:hint="default"/>
      </w:rPr>
    </w:lvl>
    <w:lvl w:ilvl="3" w:tplc="6E02D2C0" w:tentative="1">
      <w:start w:val="1"/>
      <w:numFmt w:val="bullet"/>
      <w:lvlText w:val=""/>
      <w:lvlJc w:val="left"/>
      <w:pPr>
        <w:ind w:left="2880" w:hanging="360"/>
      </w:pPr>
      <w:rPr>
        <w:rFonts w:ascii="Symbol" w:hAnsi="Symbol" w:hint="default"/>
      </w:rPr>
    </w:lvl>
    <w:lvl w:ilvl="4" w:tplc="9270506E" w:tentative="1">
      <w:start w:val="1"/>
      <w:numFmt w:val="bullet"/>
      <w:lvlText w:val="o"/>
      <w:lvlJc w:val="left"/>
      <w:pPr>
        <w:ind w:left="3600" w:hanging="360"/>
      </w:pPr>
      <w:rPr>
        <w:rFonts w:ascii="Courier New" w:hAnsi="Courier New" w:cs="Courier New" w:hint="default"/>
      </w:rPr>
    </w:lvl>
    <w:lvl w:ilvl="5" w:tplc="0A7EE864" w:tentative="1">
      <w:start w:val="1"/>
      <w:numFmt w:val="bullet"/>
      <w:lvlText w:val=""/>
      <w:lvlJc w:val="left"/>
      <w:pPr>
        <w:ind w:left="4320" w:hanging="360"/>
      </w:pPr>
      <w:rPr>
        <w:rFonts w:ascii="Wingdings" w:hAnsi="Wingdings" w:hint="default"/>
      </w:rPr>
    </w:lvl>
    <w:lvl w:ilvl="6" w:tplc="ECA4E312" w:tentative="1">
      <w:start w:val="1"/>
      <w:numFmt w:val="bullet"/>
      <w:lvlText w:val=""/>
      <w:lvlJc w:val="left"/>
      <w:pPr>
        <w:ind w:left="5040" w:hanging="360"/>
      </w:pPr>
      <w:rPr>
        <w:rFonts w:ascii="Symbol" w:hAnsi="Symbol" w:hint="default"/>
      </w:rPr>
    </w:lvl>
    <w:lvl w:ilvl="7" w:tplc="D76CC31E" w:tentative="1">
      <w:start w:val="1"/>
      <w:numFmt w:val="bullet"/>
      <w:lvlText w:val="o"/>
      <w:lvlJc w:val="left"/>
      <w:pPr>
        <w:ind w:left="5760" w:hanging="360"/>
      </w:pPr>
      <w:rPr>
        <w:rFonts w:ascii="Courier New" w:hAnsi="Courier New" w:cs="Courier New" w:hint="default"/>
      </w:rPr>
    </w:lvl>
    <w:lvl w:ilvl="8" w:tplc="E444A008" w:tentative="1">
      <w:start w:val="1"/>
      <w:numFmt w:val="bullet"/>
      <w:lvlText w:val=""/>
      <w:lvlJc w:val="left"/>
      <w:pPr>
        <w:ind w:left="6480" w:hanging="360"/>
      </w:pPr>
      <w:rPr>
        <w:rFonts w:ascii="Wingdings" w:hAnsi="Wingdings" w:hint="default"/>
      </w:rPr>
    </w:lvl>
  </w:abstractNum>
  <w:abstractNum w:abstractNumId="35" w15:restartNumberingAfterBreak="0">
    <w:nsid w:val="5EC61209"/>
    <w:multiLevelType w:val="hybridMultilevel"/>
    <w:tmpl w:val="2EF60BC2"/>
    <w:lvl w:ilvl="0" w:tplc="2D464BAE">
      <w:start w:val="1"/>
      <w:numFmt w:val="decimal"/>
      <w:pStyle w:val="Heading4"/>
      <w:lvlText w:val="%1."/>
      <w:lvlJc w:val="left"/>
      <w:pPr>
        <w:ind w:left="720" w:hanging="360"/>
      </w:pPr>
      <w:rPr>
        <w:rFonts w:hint="default"/>
      </w:rPr>
    </w:lvl>
    <w:lvl w:ilvl="1" w:tplc="8786AEAA" w:tentative="1">
      <w:start w:val="1"/>
      <w:numFmt w:val="lowerLetter"/>
      <w:lvlText w:val="%2."/>
      <w:lvlJc w:val="left"/>
      <w:pPr>
        <w:ind w:left="1440" w:hanging="360"/>
      </w:pPr>
    </w:lvl>
    <w:lvl w:ilvl="2" w:tplc="3D44DC5A" w:tentative="1">
      <w:start w:val="1"/>
      <w:numFmt w:val="lowerRoman"/>
      <w:lvlText w:val="%3."/>
      <w:lvlJc w:val="right"/>
      <w:pPr>
        <w:ind w:left="2160" w:hanging="180"/>
      </w:pPr>
    </w:lvl>
    <w:lvl w:ilvl="3" w:tplc="F1AA98A6" w:tentative="1">
      <w:start w:val="1"/>
      <w:numFmt w:val="decimal"/>
      <w:lvlText w:val="%4."/>
      <w:lvlJc w:val="left"/>
      <w:pPr>
        <w:ind w:left="2880" w:hanging="360"/>
      </w:pPr>
    </w:lvl>
    <w:lvl w:ilvl="4" w:tplc="B16ABF20" w:tentative="1">
      <w:start w:val="1"/>
      <w:numFmt w:val="lowerLetter"/>
      <w:lvlText w:val="%5."/>
      <w:lvlJc w:val="left"/>
      <w:pPr>
        <w:ind w:left="3600" w:hanging="360"/>
      </w:pPr>
    </w:lvl>
    <w:lvl w:ilvl="5" w:tplc="B6149C82" w:tentative="1">
      <w:start w:val="1"/>
      <w:numFmt w:val="lowerRoman"/>
      <w:lvlText w:val="%6."/>
      <w:lvlJc w:val="right"/>
      <w:pPr>
        <w:ind w:left="4320" w:hanging="180"/>
      </w:pPr>
    </w:lvl>
    <w:lvl w:ilvl="6" w:tplc="A488A79E" w:tentative="1">
      <w:start w:val="1"/>
      <w:numFmt w:val="decimal"/>
      <w:lvlText w:val="%7."/>
      <w:lvlJc w:val="left"/>
      <w:pPr>
        <w:ind w:left="5040" w:hanging="360"/>
      </w:pPr>
    </w:lvl>
    <w:lvl w:ilvl="7" w:tplc="0936D14C" w:tentative="1">
      <w:start w:val="1"/>
      <w:numFmt w:val="lowerLetter"/>
      <w:lvlText w:val="%8."/>
      <w:lvlJc w:val="left"/>
      <w:pPr>
        <w:ind w:left="5760" w:hanging="360"/>
      </w:pPr>
    </w:lvl>
    <w:lvl w:ilvl="8" w:tplc="E6584988" w:tentative="1">
      <w:start w:val="1"/>
      <w:numFmt w:val="lowerRoman"/>
      <w:lvlText w:val="%9."/>
      <w:lvlJc w:val="right"/>
      <w:pPr>
        <w:ind w:left="6480" w:hanging="180"/>
      </w:pPr>
    </w:lvl>
  </w:abstractNum>
  <w:abstractNum w:abstractNumId="36" w15:restartNumberingAfterBreak="0">
    <w:nsid w:val="62226FD9"/>
    <w:multiLevelType w:val="hybridMultilevel"/>
    <w:tmpl w:val="D7AECA7C"/>
    <w:lvl w:ilvl="0" w:tplc="6A4EAACA">
      <w:start w:val="1"/>
      <w:numFmt w:val="decimal"/>
      <w:lvlText w:val="%1)"/>
      <w:lvlJc w:val="left"/>
      <w:pPr>
        <w:ind w:left="360" w:hanging="360"/>
      </w:pPr>
      <w:rPr>
        <w:rFonts w:hint="default"/>
      </w:rPr>
    </w:lvl>
    <w:lvl w:ilvl="1" w:tplc="A36E3146">
      <w:start w:val="1"/>
      <w:numFmt w:val="lowerLetter"/>
      <w:lvlText w:val="%2."/>
      <w:lvlJc w:val="left"/>
      <w:pPr>
        <w:ind w:left="1080" w:hanging="360"/>
      </w:pPr>
    </w:lvl>
    <w:lvl w:ilvl="2" w:tplc="AE98A2B2">
      <w:start w:val="1"/>
      <w:numFmt w:val="lowerRoman"/>
      <w:lvlText w:val="%3."/>
      <w:lvlJc w:val="right"/>
      <w:pPr>
        <w:ind w:left="1800" w:hanging="180"/>
      </w:pPr>
    </w:lvl>
    <w:lvl w:ilvl="3" w:tplc="30EAC746">
      <w:start w:val="1"/>
      <w:numFmt w:val="decimal"/>
      <w:lvlText w:val="%4."/>
      <w:lvlJc w:val="left"/>
      <w:pPr>
        <w:ind w:left="2520" w:hanging="360"/>
      </w:pPr>
    </w:lvl>
    <w:lvl w:ilvl="4" w:tplc="71BEF0CE" w:tentative="1">
      <w:start w:val="1"/>
      <w:numFmt w:val="lowerLetter"/>
      <w:lvlText w:val="%5."/>
      <w:lvlJc w:val="left"/>
      <w:pPr>
        <w:ind w:left="3240" w:hanging="360"/>
      </w:pPr>
    </w:lvl>
    <w:lvl w:ilvl="5" w:tplc="BBD43AD0" w:tentative="1">
      <w:start w:val="1"/>
      <w:numFmt w:val="lowerRoman"/>
      <w:lvlText w:val="%6."/>
      <w:lvlJc w:val="right"/>
      <w:pPr>
        <w:ind w:left="3960" w:hanging="180"/>
      </w:pPr>
    </w:lvl>
    <w:lvl w:ilvl="6" w:tplc="AB627BE6" w:tentative="1">
      <w:start w:val="1"/>
      <w:numFmt w:val="decimal"/>
      <w:lvlText w:val="%7."/>
      <w:lvlJc w:val="left"/>
      <w:pPr>
        <w:ind w:left="4680" w:hanging="360"/>
      </w:pPr>
    </w:lvl>
    <w:lvl w:ilvl="7" w:tplc="96CA6FF8" w:tentative="1">
      <w:start w:val="1"/>
      <w:numFmt w:val="lowerLetter"/>
      <w:lvlText w:val="%8."/>
      <w:lvlJc w:val="left"/>
      <w:pPr>
        <w:ind w:left="5400" w:hanging="360"/>
      </w:pPr>
    </w:lvl>
    <w:lvl w:ilvl="8" w:tplc="0E96F58A" w:tentative="1">
      <w:start w:val="1"/>
      <w:numFmt w:val="lowerRoman"/>
      <w:lvlText w:val="%9."/>
      <w:lvlJc w:val="right"/>
      <w:pPr>
        <w:ind w:left="6120" w:hanging="180"/>
      </w:pPr>
    </w:lvl>
  </w:abstractNum>
  <w:abstractNum w:abstractNumId="37" w15:restartNumberingAfterBreak="0">
    <w:nsid w:val="66DD7381"/>
    <w:multiLevelType w:val="hybridMultilevel"/>
    <w:tmpl w:val="70CCB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058CD"/>
    <w:multiLevelType w:val="multilevel"/>
    <w:tmpl w:val="E05A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B5D01"/>
    <w:multiLevelType w:val="hybridMultilevel"/>
    <w:tmpl w:val="62364F84"/>
    <w:lvl w:ilvl="0" w:tplc="7AF8194C">
      <w:start w:val="1"/>
      <w:numFmt w:val="bullet"/>
      <w:lvlText w:val=""/>
      <w:lvlJc w:val="left"/>
      <w:pPr>
        <w:ind w:left="720" w:hanging="360"/>
      </w:pPr>
      <w:rPr>
        <w:rFonts w:ascii="Symbol" w:hAnsi="Symbol" w:hint="default"/>
      </w:rPr>
    </w:lvl>
    <w:lvl w:ilvl="1" w:tplc="FE548E40">
      <w:start w:val="1"/>
      <w:numFmt w:val="bullet"/>
      <w:lvlText w:val="o"/>
      <w:lvlJc w:val="left"/>
      <w:pPr>
        <w:ind w:left="1440" w:hanging="360"/>
      </w:pPr>
      <w:rPr>
        <w:rFonts w:ascii="Courier New" w:hAnsi="Courier New" w:cs="Courier New" w:hint="default"/>
      </w:rPr>
    </w:lvl>
    <w:lvl w:ilvl="2" w:tplc="907C78E2" w:tentative="1">
      <w:start w:val="1"/>
      <w:numFmt w:val="bullet"/>
      <w:lvlText w:val=""/>
      <w:lvlJc w:val="left"/>
      <w:pPr>
        <w:ind w:left="2160" w:hanging="360"/>
      </w:pPr>
      <w:rPr>
        <w:rFonts w:ascii="Wingdings" w:hAnsi="Wingdings" w:hint="default"/>
      </w:rPr>
    </w:lvl>
    <w:lvl w:ilvl="3" w:tplc="19DA0BBC" w:tentative="1">
      <w:start w:val="1"/>
      <w:numFmt w:val="bullet"/>
      <w:lvlText w:val=""/>
      <w:lvlJc w:val="left"/>
      <w:pPr>
        <w:ind w:left="2880" w:hanging="360"/>
      </w:pPr>
      <w:rPr>
        <w:rFonts w:ascii="Symbol" w:hAnsi="Symbol" w:hint="default"/>
      </w:rPr>
    </w:lvl>
    <w:lvl w:ilvl="4" w:tplc="8A8A4DAC" w:tentative="1">
      <w:start w:val="1"/>
      <w:numFmt w:val="bullet"/>
      <w:lvlText w:val="o"/>
      <w:lvlJc w:val="left"/>
      <w:pPr>
        <w:ind w:left="3600" w:hanging="360"/>
      </w:pPr>
      <w:rPr>
        <w:rFonts w:ascii="Courier New" w:hAnsi="Courier New" w:cs="Courier New" w:hint="default"/>
      </w:rPr>
    </w:lvl>
    <w:lvl w:ilvl="5" w:tplc="1562AEB2" w:tentative="1">
      <w:start w:val="1"/>
      <w:numFmt w:val="bullet"/>
      <w:lvlText w:val=""/>
      <w:lvlJc w:val="left"/>
      <w:pPr>
        <w:ind w:left="4320" w:hanging="360"/>
      </w:pPr>
      <w:rPr>
        <w:rFonts w:ascii="Wingdings" w:hAnsi="Wingdings" w:hint="default"/>
      </w:rPr>
    </w:lvl>
    <w:lvl w:ilvl="6" w:tplc="71ECF626" w:tentative="1">
      <w:start w:val="1"/>
      <w:numFmt w:val="bullet"/>
      <w:lvlText w:val=""/>
      <w:lvlJc w:val="left"/>
      <w:pPr>
        <w:ind w:left="5040" w:hanging="360"/>
      </w:pPr>
      <w:rPr>
        <w:rFonts w:ascii="Symbol" w:hAnsi="Symbol" w:hint="default"/>
      </w:rPr>
    </w:lvl>
    <w:lvl w:ilvl="7" w:tplc="C356670C" w:tentative="1">
      <w:start w:val="1"/>
      <w:numFmt w:val="bullet"/>
      <w:lvlText w:val="o"/>
      <w:lvlJc w:val="left"/>
      <w:pPr>
        <w:ind w:left="5760" w:hanging="360"/>
      </w:pPr>
      <w:rPr>
        <w:rFonts w:ascii="Courier New" w:hAnsi="Courier New" w:cs="Courier New" w:hint="default"/>
      </w:rPr>
    </w:lvl>
    <w:lvl w:ilvl="8" w:tplc="ADBE063E" w:tentative="1">
      <w:start w:val="1"/>
      <w:numFmt w:val="bullet"/>
      <w:lvlText w:val=""/>
      <w:lvlJc w:val="left"/>
      <w:pPr>
        <w:ind w:left="6480" w:hanging="360"/>
      </w:pPr>
      <w:rPr>
        <w:rFonts w:ascii="Wingdings" w:hAnsi="Wingdings" w:hint="default"/>
      </w:rPr>
    </w:lvl>
  </w:abstractNum>
  <w:abstractNum w:abstractNumId="40" w15:restartNumberingAfterBreak="0">
    <w:nsid w:val="7A4A3619"/>
    <w:multiLevelType w:val="hybridMultilevel"/>
    <w:tmpl w:val="9F3430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169A1"/>
    <w:multiLevelType w:val="hybridMultilevel"/>
    <w:tmpl w:val="E83032E8"/>
    <w:lvl w:ilvl="0" w:tplc="144040A0">
      <w:start w:val="1"/>
      <w:numFmt w:val="decimal"/>
      <w:lvlText w:val="%1."/>
      <w:lvlJc w:val="left"/>
      <w:pPr>
        <w:ind w:left="720" w:hanging="360"/>
      </w:pPr>
      <w:rPr>
        <w:rFonts w:hint="default"/>
        <w:b w:val="0"/>
        <w:bCs w:val="0"/>
      </w:rPr>
    </w:lvl>
    <w:lvl w:ilvl="1" w:tplc="BB4A9FD4" w:tentative="1">
      <w:start w:val="1"/>
      <w:numFmt w:val="lowerLetter"/>
      <w:lvlText w:val="%2."/>
      <w:lvlJc w:val="left"/>
      <w:pPr>
        <w:ind w:left="1440" w:hanging="360"/>
      </w:pPr>
    </w:lvl>
    <w:lvl w:ilvl="2" w:tplc="317A9232" w:tentative="1">
      <w:start w:val="1"/>
      <w:numFmt w:val="lowerRoman"/>
      <w:lvlText w:val="%3."/>
      <w:lvlJc w:val="right"/>
      <w:pPr>
        <w:ind w:left="2160" w:hanging="180"/>
      </w:pPr>
    </w:lvl>
    <w:lvl w:ilvl="3" w:tplc="1C288D72" w:tentative="1">
      <w:start w:val="1"/>
      <w:numFmt w:val="decimal"/>
      <w:lvlText w:val="%4."/>
      <w:lvlJc w:val="left"/>
      <w:pPr>
        <w:ind w:left="2880" w:hanging="360"/>
      </w:pPr>
    </w:lvl>
    <w:lvl w:ilvl="4" w:tplc="B2027246" w:tentative="1">
      <w:start w:val="1"/>
      <w:numFmt w:val="lowerLetter"/>
      <w:lvlText w:val="%5."/>
      <w:lvlJc w:val="left"/>
      <w:pPr>
        <w:ind w:left="3600" w:hanging="360"/>
      </w:pPr>
    </w:lvl>
    <w:lvl w:ilvl="5" w:tplc="838C2D44" w:tentative="1">
      <w:start w:val="1"/>
      <w:numFmt w:val="lowerRoman"/>
      <w:lvlText w:val="%6."/>
      <w:lvlJc w:val="right"/>
      <w:pPr>
        <w:ind w:left="4320" w:hanging="180"/>
      </w:pPr>
    </w:lvl>
    <w:lvl w:ilvl="6" w:tplc="FC2E1216" w:tentative="1">
      <w:start w:val="1"/>
      <w:numFmt w:val="decimal"/>
      <w:lvlText w:val="%7."/>
      <w:lvlJc w:val="left"/>
      <w:pPr>
        <w:ind w:left="5040" w:hanging="360"/>
      </w:pPr>
    </w:lvl>
    <w:lvl w:ilvl="7" w:tplc="559253AE" w:tentative="1">
      <w:start w:val="1"/>
      <w:numFmt w:val="lowerLetter"/>
      <w:lvlText w:val="%8."/>
      <w:lvlJc w:val="left"/>
      <w:pPr>
        <w:ind w:left="5760" w:hanging="360"/>
      </w:pPr>
    </w:lvl>
    <w:lvl w:ilvl="8" w:tplc="9BDCB82C" w:tentative="1">
      <w:start w:val="1"/>
      <w:numFmt w:val="lowerRoman"/>
      <w:lvlText w:val="%9."/>
      <w:lvlJc w:val="right"/>
      <w:pPr>
        <w:ind w:left="6480" w:hanging="180"/>
      </w:pPr>
    </w:lvl>
  </w:abstractNum>
  <w:num w:numId="1" w16cid:durableId="1889412907">
    <w:abstractNumId w:val="17"/>
  </w:num>
  <w:num w:numId="2" w16cid:durableId="136923490">
    <w:abstractNumId w:val="32"/>
  </w:num>
  <w:num w:numId="3" w16cid:durableId="1041133887">
    <w:abstractNumId w:val="33"/>
  </w:num>
  <w:num w:numId="4" w16cid:durableId="1251043771">
    <w:abstractNumId w:val="6"/>
  </w:num>
  <w:num w:numId="5" w16cid:durableId="1690520417">
    <w:abstractNumId w:val="2"/>
  </w:num>
  <w:num w:numId="6" w16cid:durableId="1575628992">
    <w:abstractNumId w:val="25"/>
  </w:num>
  <w:num w:numId="7" w16cid:durableId="890700712">
    <w:abstractNumId w:val="5"/>
  </w:num>
  <w:num w:numId="8" w16cid:durableId="816533291">
    <w:abstractNumId w:val="24"/>
  </w:num>
  <w:num w:numId="9" w16cid:durableId="24259924">
    <w:abstractNumId w:val="28"/>
  </w:num>
  <w:num w:numId="10" w16cid:durableId="1650788941">
    <w:abstractNumId w:val="0"/>
  </w:num>
  <w:num w:numId="11" w16cid:durableId="224025301">
    <w:abstractNumId w:val="29"/>
  </w:num>
  <w:num w:numId="12" w16cid:durableId="865945318">
    <w:abstractNumId w:val="21"/>
  </w:num>
  <w:num w:numId="13" w16cid:durableId="1010331435">
    <w:abstractNumId w:val="13"/>
  </w:num>
  <w:num w:numId="14" w16cid:durableId="1638760193">
    <w:abstractNumId w:val="3"/>
  </w:num>
  <w:num w:numId="15" w16cid:durableId="2056807351">
    <w:abstractNumId w:val="41"/>
  </w:num>
  <w:num w:numId="16" w16cid:durableId="1421024832">
    <w:abstractNumId w:val="36"/>
  </w:num>
  <w:num w:numId="17" w16cid:durableId="113406230">
    <w:abstractNumId w:val="15"/>
  </w:num>
  <w:num w:numId="18" w16cid:durableId="414860512">
    <w:abstractNumId w:val="20"/>
  </w:num>
  <w:num w:numId="19" w16cid:durableId="1310211695">
    <w:abstractNumId w:val="9"/>
  </w:num>
  <w:num w:numId="20" w16cid:durableId="632254414">
    <w:abstractNumId w:val="8"/>
  </w:num>
  <w:num w:numId="21" w16cid:durableId="2057968526">
    <w:abstractNumId w:val="38"/>
  </w:num>
  <w:num w:numId="22" w16cid:durableId="644775529">
    <w:abstractNumId w:val="14"/>
  </w:num>
  <w:num w:numId="23" w16cid:durableId="1474172230">
    <w:abstractNumId w:val="27"/>
  </w:num>
  <w:num w:numId="24" w16cid:durableId="484317989">
    <w:abstractNumId w:val="26"/>
  </w:num>
  <w:num w:numId="25" w16cid:durableId="381052834">
    <w:abstractNumId w:val="22"/>
  </w:num>
  <w:num w:numId="26" w16cid:durableId="197668872">
    <w:abstractNumId w:val="4"/>
  </w:num>
  <w:num w:numId="27" w16cid:durableId="292253962">
    <w:abstractNumId w:val="31"/>
  </w:num>
  <w:num w:numId="28" w16cid:durableId="1414204123">
    <w:abstractNumId w:val="7"/>
  </w:num>
  <w:num w:numId="29" w16cid:durableId="218789599">
    <w:abstractNumId w:val="34"/>
  </w:num>
  <w:num w:numId="30" w16cid:durableId="1304313553">
    <w:abstractNumId w:val="39"/>
  </w:num>
  <w:num w:numId="31" w16cid:durableId="743066261">
    <w:abstractNumId w:val="16"/>
  </w:num>
  <w:num w:numId="32" w16cid:durableId="331102133">
    <w:abstractNumId w:val="35"/>
  </w:num>
  <w:num w:numId="33" w16cid:durableId="210456930">
    <w:abstractNumId w:val="11"/>
  </w:num>
  <w:num w:numId="34" w16cid:durableId="421344241">
    <w:abstractNumId w:val="19"/>
  </w:num>
  <w:num w:numId="35" w16cid:durableId="71784790">
    <w:abstractNumId w:val="23"/>
  </w:num>
  <w:num w:numId="36" w16cid:durableId="1403794292">
    <w:abstractNumId w:val="12"/>
  </w:num>
  <w:num w:numId="37" w16cid:durableId="286281039">
    <w:abstractNumId w:val="10"/>
  </w:num>
  <w:num w:numId="38" w16cid:durableId="49769555">
    <w:abstractNumId w:val="1"/>
  </w:num>
  <w:num w:numId="39" w16cid:durableId="1217929575">
    <w:abstractNumId w:val="35"/>
    <w:lvlOverride w:ilvl="0">
      <w:startOverride w:val="1"/>
    </w:lvlOverride>
  </w:num>
  <w:num w:numId="40" w16cid:durableId="1291664519">
    <w:abstractNumId w:val="35"/>
    <w:lvlOverride w:ilvl="0">
      <w:startOverride w:val="1"/>
    </w:lvlOverride>
  </w:num>
  <w:num w:numId="41" w16cid:durableId="1707480752">
    <w:abstractNumId w:val="37"/>
  </w:num>
  <w:num w:numId="42" w16cid:durableId="909197807">
    <w:abstractNumId w:val="30"/>
  </w:num>
  <w:num w:numId="43" w16cid:durableId="1405570209">
    <w:abstractNumId w:val="40"/>
  </w:num>
  <w:num w:numId="44" w16cid:durableId="16694755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F0"/>
    <w:rsid w:val="000003F3"/>
    <w:rsid w:val="00000A51"/>
    <w:rsid w:val="0000386C"/>
    <w:rsid w:val="000048BB"/>
    <w:rsid w:val="00005914"/>
    <w:rsid w:val="00006320"/>
    <w:rsid w:val="00006A93"/>
    <w:rsid w:val="00006ABB"/>
    <w:rsid w:val="00006D15"/>
    <w:rsid w:val="000073EC"/>
    <w:rsid w:val="000074BA"/>
    <w:rsid w:val="000076F4"/>
    <w:rsid w:val="00007C55"/>
    <w:rsid w:val="00010745"/>
    <w:rsid w:val="000108F7"/>
    <w:rsid w:val="0001348B"/>
    <w:rsid w:val="00013AE6"/>
    <w:rsid w:val="00015721"/>
    <w:rsid w:val="000157A3"/>
    <w:rsid w:val="00015B2F"/>
    <w:rsid w:val="000160FA"/>
    <w:rsid w:val="00016ED8"/>
    <w:rsid w:val="000173BB"/>
    <w:rsid w:val="00020253"/>
    <w:rsid w:val="000214E6"/>
    <w:rsid w:val="000216A8"/>
    <w:rsid w:val="00021DCC"/>
    <w:rsid w:val="00021DEC"/>
    <w:rsid w:val="000224F5"/>
    <w:rsid w:val="000225E7"/>
    <w:rsid w:val="000234D6"/>
    <w:rsid w:val="00023664"/>
    <w:rsid w:val="000236EE"/>
    <w:rsid w:val="000238B8"/>
    <w:rsid w:val="0002422A"/>
    <w:rsid w:val="00026E1D"/>
    <w:rsid w:val="00027541"/>
    <w:rsid w:val="00027A43"/>
    <w:rsid w:val="00030024"/>
    <w:rsid w:val="000300AF"/>
    <w:rsid w:val="00031D44"/>
    <w:rsid w:val="00031FB6"/>
    <w:rsid w:val="00034643"/>
    <w:rsid w:val="00034CB1"/>
    <w:rsid w:val="00034D45"/>
    <w:rsid w:val="00035C93"/>
    <w:rsid w:val="0003773C"/>
    <w:rsid w:val="0004088B"/>
    <w:rsid w:val="00040F9F"/>
    <w:rsid w:val="00041868"/>
    <w:rsid w:val="000432C5"/>
    <w:rsid w:val="000447BF"/>
    <w:rsid w:val="00045085"/>
    <w:rsid w:val="000455E4"/>
    <w:rsid w:val="00045992"/>
    <w:rsid w:val="000464C1"/>
    <w:rsid w:val="00046CF3"/>
    <w:rsid w:val="0004700C"/>
    <w:rsid w:val="00047022"/>
    <w:rsid w:val="0004752F"/>
    <w:rsid w:val="0004786C"/>
    <w:rsid w:val="00050C2B"/>
    <w:rsid w:val="000515C8"/>
    <w:rsid w:val="00054945"/>
    <w:rsid w:val="00055073"/>
    <w:rsid w:val="000556E0"/>
    <w:rsid w:val="00055BA4"/>
    <w:rsid w:val="000561FA"/>
    <w:rsid w:val="0005659E"/>
    <w:rsid w:val="000573B6"/>
    <w:rsid w:val="00057DB3"/>
    <w:rsid w:val="000618ED"/>
    <w:rsid w:val="0006285D"/>
    <w:rsid w:val="00063200"/>
    <w:rsid w:val="000634A6"/>
    <w:rsid w:val="0006373E"/>
    <w:rsid w:val="0006523F"/>
    <w:rsid w:val="0007267A"/>
    <w:rsid w:val="00073660"/>
    <w:rsid w:val="0007395F"/>
    <w:rsid w:val="00073EEC"/>
    <w:rsid w:val="000746E7"/>
    <w:rsid w:val="00075628"/>
    <w:rsid w:val="00077140"/>
    <w:rsid w:val="000800E8"/>
    <w:rsid w:val="00080587"/>
    <w:rsid w:val="00080A71"/>
    <w:rsid w:val="00081095"/>
    <w:rsid w:val="00081E0C"/>
    <w:rsid w:val="00087997"/>
    <w:rsid w:val="000908F9"/>
    <w:rsid w:val="00092B1E"/>
    <w:rsid w:val="0009343B"/>
    <w:rsid w:val="000943AF"/>
    <w:rsid w:val="00094699"/>
    <w:rsid w:val="00094BE8"/>
    <w:rsid w:val="00097974"/>
    <w:rsid w:val="000A05ED"/>
    <w:rsid w:val="000A0DD9"/>
    <w:rsid w:val="000A0E6A"/>
    <w:rsid w:val="000A10CB"/>
    <w:rsid w:val="000A1FBF"/>
    <w:rsid w:val="000A3630"/>
    <w:rsid w:val="000A52C3"/>
    <w:rsid w:val="000B076F"/>
    <w:rsid w:val="000B09FB"/>
    <w:rsid w:val="000B0ECD"/>
    <w:rsid w:val="000B21D2"/>
    <w:rsid w:val="000B24C5"/>
    <w:rsid w:val="000B2DE2"/>
    <w:rsid w:val="000B37E7"/>
    <w:rsid w:val="000B43DE"/>
    <w:rsid w:val="000B4769"/>
    <w:rsid w:val="000B479F"/>
    <w:rsid w:val="000B5B17"/>
    <w:rsid w:val="000B5CFB"/>
    <w:rsid w:val="000B650A"/>
    <w:rsid w:val="000B6C46"/>
    <w:rsid w:val="000C024D"/>
    <w:rsid w:val="000C08E5"/>
    <w:rsid w:val="000C08F0"/>
    <w:rsid w:val="000C265D"/>
    <w:rsid w:val="000C3042"/>
    <w:rsid w:val="000C35EF"/>
    <w:rsid w:val="000C3DD7"/>
    <w:rsid w:val="000C4C75"/>
    <w:rsid w:val="000C75F0"/>
    <w:rsid w:val="000D0DD2"/>
    <w:rsid w:val="000D1AAB"/>
    <w:rsid w:val="000D23F8"/>
    <w:rsid w:val="000D4600"/>
    <w:rsid w:val="000D5BED"/>
    <w:rsid w:val="000D7B02"/>
    <w:rsid w:val="000E059B"/>
    <w:rsid w:val="000E0A61"/>
    <w:rsid w:val="000E1A49"/>
    <w:rsid w:val="000E3700"/>
    <w:rsid w:val="000E3A8C"/>
    <w:rsid w:val="000E5347"/>
    <w:rsid w:val="000E5C34"/>
    <w:rsid w:val="000E5F9C"/>
    <w:rsid w:val="000E7831"/>
    <w:rsid w:val="000F0E3F"/>
    <w:rsid w:val="000F1F2A"/>
    <w:rsid w:val="000F2053"/>
    <w:rsid w:val="000F6446"/>
    <w:rsid w:val="0010202E"/>
    <w:rsid w:val="0010204C"/>
    <w:rsid w:val="00102328"/>
    <w:rsid w:val="0010243F"/>
    <w:rsid w:val="00103481"/>
    <w:rsid w:val="00105321"/>
    <w:rsid w:val="001054DB"/>
    <w:rsid w:val="00105857"/>
    <w:rsid w:val="001058A5"/>
    <w:rsid w:val="0010593B"/>
    <w:rsid w:val="00105F14"/>
    <w:rsid w:val="00106AAD"/>
    <w:rsid w:val="00106E26"/>
    <w:rsid w:val="001077E9"/>
    <w:rsid w:val="001108EB"/>
    <w:rsid w:val="00110F00"/>
    <w:rsid w:val="001125DB"/>
    <w:rsid w:val="001131F5"/>
    <w:rsid w:val="00114E83"/>
    <w:rsid w:val="00115676"/>
    <w:rsid w:val="00115986"/>
    <w:rsid w:val="00115B19"/>
    <w:rsid w:val="0011736A"/>
    <w:rsid w:val="00117A44"/>
    <w:rsid w:val="0012052C"/>
    <w:rsid w:val="00121AFB"/>
    <w:rsid w:val="001226A6"/>
    <w:rsid w:val="00123FD0"/>
    <w:rsid w:val="00127541"/>
    <w:rsid w:val="00131BC2"/>
    <w:rsid w:val="00131F40"/>
    <w:rsid w:val="0013237B"/>
    <w:rsid w:val="0013322B"/>
    <w:rsid w:val="00133539"/>
    <w:rsid w:val="001400BE"/>
    <w:rsid w:val="00140DE9"/>
    <w:rsid w:val="00143A76"/>
    <w:rsid w:val="0014455D"/>
    <w:rsid w:val="0014458D"/>
    <w:rsid w:val="00144811"/>
    <w:rsid w:val="001453A3"/>
    <w:rsid w:val="001454DD"/>
    <w:rsid w:val="001464EC"/>
    <w:rsid w:val="00146794"/>
    <w:rsid w:val="00147533"/>
    <w:rsid w:val="001477CB"/>
    <w:rsid w:val="00147A39"/>
    <w:rsid w:val="00147C92"/>
    <w:rsid w:val="00150551"/>
    <w:rsid w:val="00152913"/>
    <w:rsid w:val="00152FFB"/>
    <w:rsid w:val="00153B38"/>
    <w:rsid w:val="00155322"/>
    <w:rsid w:val="00156580"/>
    <w:rsid w:val="00157C23"/>
    <w:rsid w:val="00160208"/>
    <w:rsid w:val="00162252"/>
    <w:rsid w:val="0016271B"/>
    <w:rsid w:val="0016321E"/>
    <w:rsid w:val="001639C2"/>
    <w:rsid w:val="00164BD2"/>
    <w:rsid w:val="00165038"/>
    <w:rsid w:val="0016566F"/>
    <w:rsid w:val="00167466"/>
    <w:rsid w:val="00167687"/>
    <w:rsid w:val="001676B8"/>
    <w:rsid w:val="00167A0E"/>
    <w:rsid w:val="00167CDD"/>
    <w:rsid w:val="0017159B"/>
    <w:rsid w:val="00172E3A"/>
    <w:rsid w:val="00173A5E"/>
    <w:rsid w:val="00175675"/>
    <w:rsid w:val="0017633E"/>
    <w:rsid w:val="00176F0A"/>
    <w:rsid w:val="00182152"/>
    <w:rsid w:val="00182B47"/>
    <w:rsid w:val="00183C5A"/>
    <w:rsid w:val="00183EB9"/>
    <w:rsid w:val="00184201"/>
    <w:rsid w:val="001848BC"/>
    <w:rsid w:val="001853D2"/>
    <w:rsid w:val="00186C45"/>
    <w:rsid w:val="0018772E"/>
    <w:rsid w:val="0019068A"/>
    <w:rsid w:val="001920CF"/>
    <w:rsid w:val="00192284"/>
    <w:rsid w:val="00192BC2"/>
    <w:rsid w:val="001944EF"/>
    <w:rsid w:val="001951BD"/>
    <w:rsid w:val="00195265"/>
    <w:rsid w:val="0019629B"/>
    <w:rsid w:val="00196D4A"/>
    <w:rsid w:val="001978EE"/>
    <w:rsid w:val="00197BC0"/>
    <w:rsid w:val="001A0439"/>
    <w:rsid w:val="001A090E"/>
    <w:rsid w:val="001A0C6B"/>
    <w:rsid w:val="001A3231"/>
    <w:rsid w:val="001A4AC1"/>
    <w:rsid w:val="001A5E60"/>
    <w:rsid w:val="001A625D"/>
    <w:rsid w:val="001A7D73"/>
    <w:rsid w:val="001B0635"/>
    <w:rsid w:val="001B216E"/>
    <w:rsid w:val="001B240A"/>
    <w:rsid w:val="001B2BD5"/>
    <w:rsid w:val="001B37A9"/>
    <w:rsid w:val="001B4293"/>
    <w:rsid w:val="001B4AC7"/>
    <w:rsid w:val="001B5C30"/>
    <w:rsid w:val="001B70AC"/>
    <w:rsid w:val="001C12C2"/>
    <w:rsid w:val="001C2024"/>
    <w:rsid w:val="001C28F9"/>
    <w:rsid w:val="001C4314"/>
    <w:rsid w:val="001C4E66"/>
    <w:rsid w:val="001C4F41"/>
    <w:rsid w:val="001C64B3"/>
    <w:rsid w:val="001C69D4"/>
    <w:rsid w:val="001C7172"/>
    <w:rsid w:val="001D0354"/>
    <w:rsid w:val="001D051E"/>
    <w:rsid w:val="001D10D8"/>
    <w:rsid w:val="001D12CB"/>
    <w:rsid w:val="001D179E"/>
    <w:rsid w:val="001D1D3F"/>
    <w:rsid w:val="001D2193"/>
    <w:rsid w:val="001D2373"/>
    <w:rsid w:val="001D2A5D"/>
    <w:rsid w:val="001D35CB"/>
    <w:rsid w:val="001D5C7C"/>
    <w:rsid w:val="001D5FEF"/>
    <w:rsid w:val="001D63DE"/>
    <w:rsid w:val="001D6BD9"/>
    <w:rsid w:val="001D6E6B"/>
    <w:rsid w:val="001D77DA"/>
    <w:rsid w:val="001D7FA7"/>
    <w:rsid w:val="001E0DF3"/>
    <w:rsid w:val="001E1315"/>
    <w:rsid w:val="001E20FB"/>
    <w:rsid w:val="001E3ABE"/>
    <w:rsid w:val="001E3E15"/>
    <w:rsid w:val="001E554D"/>
    <w:rsid w:val="001F213F"/>
    <w:rsid w:val="001F238D"/>
    <w:rsid w:val="001F387F"/>
    <w:rsid w:val="001F516D"/>
    <w:rsid w:val="001F53A7"/>
    <w:rsid w:val="001F578D"/>
    <w:rsid w:val="001F5DF5"/>
    <w:rsid w:val="001F76FE"/>
    <w:rsid w:val="002006E0"/>
    <w:rsid w:val="00200CB0"/>
    <w:rsid w:val="002015D1"/>
    <w:rsid w:val="00201690"/>
    <w:rsid w:val="002025CE"/>
    <w:rsid w:val="00202A39"/>
    <w:rsid w:val="00202C9B"/>
    <w:rsid w:val="00203AAB"/>
    <w:rsid w:val="00204310"/>
    <w:rsid w:val="00204E10"/>
    <w:rsid w:val="0020540A"/>
    <w:rsid w:val="00205E0C"/>
    <w:rsid w:val="00206B3B"/>
    <w:rsid w:val="00206E82"/>
    <w:rsid w:val="00207784"/>
    <w:rsid w:val="00207F00"/>
    <w:rsid w:val="00210FF4"/>
    <w:rsid w:val="0021179F"/>
    <w:rsid w:val="002125AD"/>
    <w:rsid w:val="00212DEB"/>
    <w:rsid w:val="002132D6"/>
    <w:rsid w:val="00213C92"/>
    <w:rsid w:val="00214437"/>
    <w:rsid w:val="00215759"/>
    <w:rsid w:val="002169A0"/>
    <w:rsid w:val="0021707C"/>
    <w:rsid w:val="002179BC"/>
    <w:rsid w:val="002215B0"/>
    <w:rsid w:val="00222538"/>
    <w:rsid w:val="002227C8"/>
    <w:rsid w:val="00223A26"/>
    <w:rsid w:val="00224391"/>
    <w:rsid w:val="00224453"/>
    <w:rsid w:val="00224501"/>
    <w:rsid w:val="00224914"/>
    <w:rsid w:val="00224C08"/>
    <w:rsid w:val="0022522F"/>
    <w:rsid w:val="0022720F"/>
    <w:rsid w:val="0022780F"/>
    <w:rsid w:val="002303F8"/>
    <w:rsid w:val="0023416E"/>
    <w:rsid w:val="00234C97"/>
    <w:rsid w:val="00234CDE"/>
    <w:rsid w:val="00234E09"/>
    <w:rsid w:val="00235106"/>
    <w:rsid w:val="0023753F"/>
    <w:rsid w:val="00237CBE"/>
    <w:rsid w:val="00240283"/>
    <w:rsid w:val="002418E1"/>
    <w:rsid w:val="00242A01"/>
    <w:rsid w:val="002448BD"/>
    <w:rsid w:val="00244A70"/>
    <w:rsid w:val="00245957"/>
    <w:rsid w:val="00247110"/>
    <w:rsid w:val="00247CF5"/>
    <w:rsid w:val="00250078"/>
    <w:rsid w:val="0025134A"/>
    <w:rsid w:val="00251B63"/>
    <w:rsid w:val="00252430"/>
    <w:rsid w:val="0025273A"/>
    <w:rsid w:val="00254449"/>
    <w:rsid w:val="002545BB"/>
    <w:rsid w:val="0025542F"/>
    <w:rsid w:val="00255B18"/>
    <w:rsid w:val="00256CFC"/>
    <w:rsid w:val="00260180"/>
    <w:rsid w:val="002601D6"/>
    <w:rsid w:val="002607B5"/>
    <w:rsid w:val="002609F1"/>
    <w:rsid w:val="00260D2E"/>
    <w:rsid w:val="00262C92"/>
    <w:rsid w:val="0026394E"/>
    <w:rsid w:val="002642F4"/>
    <w:rsid w:val="002644CB"/>
    <w:rsid w:val="00264E21"/>
    <w:rsid w:val="002665BE"/>
    <w:rsid w:val="00266B27"/>
    <w:rsid w:val="002670C6"/>
    <w:rsid w:val="0026774E"/>
    <w:rsid w:val="00267C72"/>
    <w:rsid w:val="00270922"/>
    <w:rsid w:val="00270CCC"/>
    <w:rsid w:val="00271512"/>
    <w:rsid w:val="00271EBD"/>
    <w:rsid w:val="0027208B"/>
    <w:rsid w:val="0027345F"/>
    <w:rsid w:val="002742FF"/>
    <w:rsid w:val="00274641"/>
    <w:rsid w:val="00274EA6"/>
    <w:rsid w:val="00275AF5"/>
    <w:rsid w:val="002764B2"/>
    <w:rsid w:val="0027685B"/>
    <w:rsid w:val="00276E39"/>
    <w:rsid w:val="00277654"/>
    <w:rsid w:val="00280941"/>
    <w:rsid w:val="002809F2"/>
    <w:rsid w:val="00280C95"/>
    <w:rsid w:val="00281CEE"/>
    <w:rsid w:val="0028219D"/>
    <w:rsid w:val="00286368"/>
    <w:rsid w:val="00286647"/>
    <w:rsid w:val="00290772"/>
    <w:rsid w:val="00291A25"/>
    <w:rsid w:val="002938B2"/>
    <w:rsid w:val="00294D85"/>
    <w:rsid w:val="00295C6D"/>
    <w:rsid w:val="00297684"/>
    <w:rsid w:val="002A037D"/>
    <w:rsid w:val="002A3A28"/>
    <w:rsid w:val="002A429E"/>
    <w:rsid w:val="002A4695"/>
    <w:rsid w:val="002A5FD5"/>
    <w:rsid w:val="002A6313"/>
    <w:rsid w:val="002A6CFC"/>
    <w:rsid w:val="002A7B97"/>
    <w:rsid w:val="002A7F96"/>
    <w:rsid w:val="002B1495"/>
    <w:rsid w:val="002B2AB3"/>
    <w:rsid w:val="002B2BDC"/>
    <w:rsid w:val="002B3297"/>
    <w:rsid w:val="002B5A0D"/>
    <w:rsid w:val="002B6B00"/>
    <w:rsid w:val="002B6FF6"/>
    <w:rsid w:val="002B7911"/>
    <w:rsid w:val="002B7AC7"/>
    <w:rsid w:val="002C010A"/>
    <w:rsid w:val="002C0D6F"/>
    <w:rsid w:val="002C21AC"/>
    <w:rsid w:val="002C28E1"/>
    <w:rsid w:val="002C4D66"/>
    <w:rsid w:val="002C5462"/>
    <w:rsid w:val="002C63D2"/>
    <w:rsid w:val="002C761D"/>
    <w:rsid w:val="002C7DDF"/>
    <w:rsid w:val="002D0BE5"/>
    <w:rsid w:val="002D2DC9"/>
    <w:rsid w:val="002D3D01"/>
    <w:rsid w:val="002D49FA"/>
    <w:rsid w:val="002D4CED"/>
    <w:rsid w:val="002D706A"/>
    <w:rsid w:val="002D7549"/>
    <w:rsid w:val="002D7EED"/>
    <w:rsid w:val="002E0E26"/>
    <w:rsid w:val="002E156E"/>
    <w:rsid w:val="002E1748"/>
    <w:rsid w:val="002E44BA"/>
    <w:rsid w:val="002E4712"/>
    <w:rsid w:val="002E4762"/>
    <w:rsid w:val="002E4D6A"/>
    <w:rsid w:val="002E563F"/>
    <w:rsid w:val="002E616F"/>
    <w:rsid w:val="002E644B"/>
    <w:rsid w:val="002F10BF"/>
    <w:rsid w:val="002F10D2"/>
    <w:rsid w:val="002F1B3B"/>
    <w:rsid w:val="002F4CCA"/>
    <w:rsid w:val="0030052B"/>
    <w:rsid w:val="003005D4"/>
    <w:rsid w:val="0030073F"/>
    <w:rsid w:val="00300F24"/>
    <w:rsid w:val="003013C5"/>
    <w:rsid w:val="0030174C"/>
    <w:rsid w:val="00301BF1"/>
    <w:rsid w:val="003046E4"/>
    <w:rsid w:val="00304D79"/>
    <w:rsid w:val="00305820"/>
    <w:rsid w:val="003069FB"/>
    <w:rsid w:val="00310886"/>
    <w:rsid w:val="00311473"/>
    <w:rsid w:val="0031160F"/>
    <w:rsid w:val="003123DA"/>
    <w:rsid w:val="00312835"/>
    <w:rsid w:val="00312F86"/>
    <w:rsid w:val="00313AD5"/>
    <w:rsid w:val="00314277"/>
    <w:rsid w:val="00315D5E"/>
    <w:rsid w:val="00317A22"/>
    <w:rsid w:val="0032014C"/>
    <w:rsid w:val="0032087B"/>
    <w:rsid w:val="00320985"/>
    <w:rsid w:val="0032100E"/>
    <w:rsid w:val="003213EB"/>
    <w:rsid w:val="00321547"/>
    <w:rsid w:val="003221AA"/>
    <w:rsid w:val="00322E3C"/>
    <w:rsid w:val="00323587"/>
    <w:rsid w:val="0032375B"/>
    <w:rsid w:val="00324981"/>
    <w:rsid w:val="00324984"/>
    <w:rsid w:val="00324C55"/>
    <w:rsid w:val="00325386"/>
    <w:rsid w:val="003266F4"/>
    <w:rsid w:val="00326A25"/>
    <w:rsid w:val="00330068"/>
    <w:rsid w:val="00330C60"/>
    <w:rsid w:val="0033155B"/>
    <w:rsid w:val="00331895"/>
    <w:rsid w:val="00332AE1"/>
    <w:rsid w:val="00333220"/>
    <w:rsid w:val="003332E6"/>
    <w:rsid w:val="0033506C"/>
    <w:rsid w:val="00335ECD"/>
    <w:rsid w:val="00340542"/>
    <w:rsid w:val="00340A45"/>
    <w:rsid w:val="003423A3"/>
    <w:rsid w:val="00342C44"/>
    <w:rsid w:val="00342CB0"/>
    <w:rsid w:val="00343086"/>
    <w:rsid w:val="003430A2"/>
    <w:rsid w:val="00350B8D"/>
    <w:rsid w:val="00350FB0"/>
    <w:rsid w:val="00352811"/>
    <w:rsid w:val="003528E3"/>
    <w:rsid w:val="00352E08"/>
    <w:rsid w:val="00353BFB"/>
    <w:rsid w:val="00354837"/>
    <w:rsid w:val="00354AEA"/>
    <w:rsid w:val="00355C3F"/>
    <w:rsid w:val="003571AF"/>
    <w:rsid w:val="003571F6"/>
    <w:rsid w:val="003579B5"/>
    <w:rsid w:val="003603BC"/>
    <w:rsid w:val="00360A80"/>
    <w:rsid w:val="00362535"/>
    <w:rsid w:val="00362B7B"/>
    <w:rsid w:val="00362E18"/>
    <w:rsid w:val="00364552"/>
    <w:rsid w:val="00364E32"/>
    <w:rsid w:val="0036623F"/>
    <w:rsid w:val="00366C68"/>
    <w:rsid w:val="0036747B"/>
    <w:rsid w:val="00372272"/>
    <w:rsid w:val="003726E9"/>
    <w:rsid w:val="0037362D"/>
    <w:rsid w:val="00374B8D"/>
    <w:rsid w:val="00374DA0"/>
    <w:rsid w:val="0037531A"/>
    <w:rsid w:val="00375D8E"/>
    <w:rsid w:val="00376392"/>
    <w:rsid w:val="00376430"/>
    <w:rsid w:val="003772E6"/>
    <w:rsid w:val="0037751E"/>
    <w:rsid w:val="00380B49"/>
    <w:rsid w:val="00380C83"/>
    <w:rsid w:val="00383CDD"/>
    <w:rsid w:val="00384372"/>
    <w:rsid w:val="00385652"/>
    <w:rsid w:val="00386AD4"/>
    <w:rsid w:val="00386E23"/>
    <w:rsid w:val="00387764"/>
    <w:rsid w:val="0038798A"/>
    <w:rsid w:val="00390272"/>
    <w:rsid w:val="00390A0B"/>
    <w:rsid w:val="003911EF"/>
    <w:rsid w:val="00391613"/>
    <w:rsid w:val="003927F8"/>
    <w:rsid w:val="0039329C"/>
    <w:rsid w:val="00394083"/>
    <w:rsid w:val="003945CF"/>
    <w:rsid w:val="00395AD6"/>
    <w:rsid w:val="00397E04"/>
    <w:rsid w:val="003A21B3"/>
    <w:rsid w:val="003A2733"/>
    <w:rsid w:val="003A4BDE"/>
    <w:rsid w:val="003A593C"/>
    <w:rsid w:val="003A695E"/>
    <w:rsid w:val="003A6CF2"/>
    <w:rsid w:val="003A6FF4"/>
    <w:rsid w:val="003A7F24"/>
    <w:rsid w:val="003B3C65"/>
    <w:rsid w:val="003B4BE1"/>
    <w:rsid w:val="003B5281"/>
    <w:rsid w:val="003B6343"/>
    <w:rsid w:val="003C11D2"/>
    <w:rsid w:val="003C1296"/>
    <w:rsid w:val="003C388B"/>
    <w:rsid w:val="003C3F01"/>
    <w:rsid w:val="003C4031"/>
    <w:rsid w:val="003C423D"/>
    <w:rsid w:val="003C4256"/>
    <w:rsid w:val="003C42D5"/>
    <w:rsid w:val="003C5EF5"/>
    <w:rsid w:val="003C6820"/>
    <w:rsid w:val="003C6947"/>
    <w:rsid w:val="003C6BF5"/>
    <w:rsid w:val="003C71D3"/>
    <w:rsid w:val="003C7D6C"/>
    <w:rsid w:val="003D0769"/>
    <w:rsid w:val="003D11E1"/>
    <w:rsid w:val="003D11FA"/>
    <w:rsid w:val="003D11FB"/>
    <w:rsid w:val="003D1204"/>
    <w:rsid w:val="003D15DE"/>
    <w:rsid w:val="003D1815"/>
    <w:rsid w:val="003D18DD"/>
    <w:rsid w:val="003D22E7"/>
    <w:rsid w:val="003D2C36"/>
    <w:rsid w:val="003D33E8"/>
    <w:rsid w:val="003D38EF"/>
    <w:rsid w:val="003D3D9F"/>
    <w:rsid w:val="003D71C0"/>
    <w:rsid w:val="003D7348"/>
    <w:rsid w:val="003D758B"/>
    <w:rsid w:val="003D75A2"/>
    <w:rsid w:val="003E0948"/>
    <w:rsid w:val="003E309D"/>
    <w:rsid w:val="003E30AC"/>
    <w:rsid w:val="003E3E7F"/>
    <w:rsid w:val="003E7D96"/>
    <w:rsid w:val="003F05D0"/>
    <w:rsid w:val="003F30E0"/>
    <w:rsid w:val="003F317C"/>
    <w:rsid w:val="003F4E9A"/>
    <w:rsid w:val="003F5C05"/>
    <w:rsid w:val="003F6A09"/>
    <w:rsid w:val="003F7AC6"/>
    <w:rsid w:val="003F7D96"/>
    <w:rsid w:val="00401B08"/>
    <w:rsid w:val="0040319F"/>
    <w:rsid w:val="004057B1"/>
    <w:rsid w:val="004067A4"/>
    <w:rsid w:val="00406A36"/>
    <w:rsid w:val="00406C9C"/>
    <w:rsid w:val="00407C3F"/>
    <w:rsid w:val="004104BB"/>
    <w:rsid w:val="00412314"/>
    <w:rsid w:val="00412AA7"/>
    <w:rsid w:val="00414B03"/>
    <w:rsid w:val="00414DC3"/>
    <w:rsid w:val="00414FC4"/>
    <w:rsid w:val="00416715"/>
    <w:rsid w:val="00416C53"/>
    <w:rsid w:val="00416CFD"/>
    <w:rsid w:val="0041763E"/>
    <w:rsid w:val="00420197"/>
    <w:rsid w:val="0042106C"/>
    <w:rsid w:val="004214B1"/>
    <w:rsid w:val="00421722"/>
    <w:rsid w:val="004235CD"/>
    <w:rsid w:val="004237BD"/>
    <w:rsid w:val="00424F00"/>
    <w:rsid w:val="00427119"/>
    <w:rsid w:val="004272E6"/>
    <w:rsid w:val="004276DC"/>
    <w:rsid w:val="00430192"/>
    <w:rsid w:val="0043033B"/>
    <w:rsid w:val="004304A8"/>
    <w:rsid w:val="0043270A"/>
    <w:rsid w:val="00434922"/>
    <w:rsid w:val="00434BE4"/>
    <w:rsid w:val="00435CE9"/>
    <w:rsid w:val="004376D1"/>
    <w:rsid w:val="004379E8"/>
    <w:rsid w:val="00437FC2"/>
    <w:rsid w:val="004404B4"/>
    <w:rsid w:val="00440BE8"/>
    <w:rsid w:val="00441298"/>
    <w:rsid w:val="0044155D"/>
    <w:rsid w:val="00443EF7"/>
    <w:rsid w:val="00444973"/>
    <w:rsid w:val="0044539C"/>
    <w:rsid w:val="00446360"/>
    <w:rsid w:val="004467A8"/>
    <w:rsid w:val="0044740E"/>
    <w:rsid w:val="00450AC8"/>
    <w:rsid w:val="00450D2E"/>
    <w:rsid w:val="00451C36"/>
    <w:rsid w:val="00453075"/>
    <w:rsid w:val="00453E46"/>
    <w:rsid w:val="00453E5B"/>
    <w:rsid w:val="004540DF"/>
    <w:rsid w:val="004547A1"/>
    <w:rsid w:val="004550A2"/>
    <w:rsid w:val="00455D6B"/>
    <w:rsid w:val="00455EF4"/>
    <w:rsid w:val="00456456"/>
    <w:rsid w:val="004574BD"/>
    <w:rsid w:val="00457F27"/>
    <w:rsid w:val="004600D9"/>
    <w:rsid w:val="00460365"/>
    <w:rsid w:val="004607E2"/>
    <w:rsid w:val="00461D5F"/>
    <w:rsid w:val="0046308F"/>
    <w:rsid w:val="00464BA2"/>
    <w:rsid w:val="00467E19"/>
    <w:rsid w:val="00471276"/>
    <w:rsid w:val="00471CFB"/>
    <w:rsid w:val="0047205C"/>
    <w:rsid w:val="00472AB4"/>
    <w:rsid w:val="00473E4B"/>
    <w:rsid w:val="004748C8"/>
    <w:rsid w:val="00474D6F"/>
    <w:rsid w:val="00476400"/>
    <w:rsid w:val="00476478"/>
    <w:rsid w:val="00476625"/>
    <w:rsid w:val="004770CE"/>
    <w:rsid w:val="004772D5"/>
    <w:rsid w:val="00477535"/>
    <w:rsid w:val="004818E6"/>
    <w:rsid w:val="00482237"/>
    <w:rsid w:val="00482868"/>
    <w:rsid w:val="00483397"/>
    <w:rsid w:val="00483F4C"/>
    <w:rsid w:val="00484059"/>
    <w:rsid w:val="0048674A"/>
    <w:rsid w:val="004868E8"/>
    <w:rsid w:val="00486B60"/>
    <w:rsid w:val="00487498"/>
    <w:rsid w:val="004902B7"/>
    <w:rsid w:val="00492B43"/>
    <w:rsid w:val="00492DA7"/>
    <w:rsid w:val="004933AF"/>
    <w:rsid w:val="00494B45"/>
    <w:rsid w:val="004958E2"/>
    <w:rsid w:val="00495BB2"/>
    <w:rsid w:val="00496684"/>
    <w:rsid w:val="00496AAC"/>
    <w:rsid w:val="00496E4F"/>
    <w:rsid w:val="00497CBA"/>
    <w:rsid w:val="00497CDB"/>
    <w:rsid w:val="004A06C9"/>
    <w:rsid w:val="004A21B1"/>
    <w:rsid w:val="004A2B27"/>
    <w:rsid w:val="004A398C"/>
    <w:rsid w:val="004A3B5F"/>
    <w:rsid w:val="004A4179"/>
    <w:rsid w:val="004A4FE6"/>
    <w:rsid w:val="004A7096"/>
    <w:rsid w:val="004A7348"/>
    <w:rsid w:val="004A7620"/>
    <w:rsid w:val="004A7B79"/>
    <w:rsid w:val="004B06B8"/>
    <w:rsid w:val="004B2056"/>
    <w:rsid w:val="004B2218"/>
    <w:rsid w:val="004B3DB0"/>
    <w:rsid w:val="004B4855"/>
    <w:rsid w:val="004B572E"/>
    <w:rsid w:val="004B5CAF"/>
    <w:rsid w:val="004B5E78"/>
    <w:rsid w:val="004B6BDF"/>
    <w:rsid w:val="004B6DB5"/>
    <w:rsid w:val="004C219F"/>
    <w:rsid w:val="004C4796"/>
    <w:rsid w:val="004C4BBD"/>
    <w:rsid w:val="004C77F0"/>
    <w:rsid w:val="004D0C1F"/>
    <w:rsid w:val="004D1370"/>
    <w:rsid w:val="004D2D32"/>
    <w:rsid w:val="004D2E70"/>
    <w:rsid w:val="004D3D93"/>
    <w:rsid w:val="004D5834"/>
    <w:rsid w:val="004D78E7"/>
    <w:rsid w:val="004D78FC"/>
    <w:rsid w:val="004E0842"/>
    <w:rsid w:val="004E0E16"/>
    <w:rsid w:val="004E0EFC"/>
    <w:rsid w:val="004E12DC"/>
    <w:rsid w:val="004E165B"/>
    <w:rsid w:val="004E3D85"/>
    <w:rsid w:val="004E3DBA"/>
    <w:rsid w:val="004E4ADD"/>
    <w:rsid w:val="004E5C36"/>
    <w:rsid w:val="004E5C7F"/>
    <w:rsid w:val="004E6183"/>
    <w:rsid w:val="004E7B6A"/>
    <w:rsid w:val="004F107A"/>
    <w:rsid w:val="004F1437"/>
    <w:rsid w:val="004F14C3"/>
    <w:rsid w:val="004F2E06"/>
    <w:rsid w:val="004F5EA5"/>
    <w:rsid w:val="004F7553"/>
    <w:rsid w:val="004F7BF9"/>
    <w:rsid w:val="004F7CE0"/>
    <w:rsid w:val="0050031E"/>
    <w:rsid w:val="00500742"/>
    <w:rsid w:val="00500D94"/>
    <w:rsid w:val="005023C6"/>
    <w:rsid w:val="00503807"/>
    <w:rsid w:val="005038BA"/>
    <w:rsid w:val="0050490A"/>
    <w:rsid w:val="00506AFF"/>
    <w:rsid w:val="00507404"/>
    <w:rsid w:val="005075BE"/>
    <w:rsid w:val="00507820"/>
    <w:rsid w:val="005100FD"/>
    <w:rsid w:val="00511F02"/>
    <w:rsid w:val="0051475C"/>
    <w:rsid w:val="00514DF3"/>
    <w:rsid w:val="005158BA"/>
    <w:rsid w:val="00516AA3"/>
    <w:rsid w:val="00516FE3"/>
    <w:rsid w:val="005173E7"/>
    <w:rsid w:val="00520E52"/>
    <w:rsid w:val="00521166"/>
    <w:rsid w:val="005218FD"/>
    <w:rsid w:val="0052249A"/>
    <w:rsid w:val="005228D4"/>
    <w:rsid w:val="00522B63"/>
    <w:rsid w:val="005236EB"/>
    <w:rsid w:val="00524B21"/>
    <w:rsid w:val="00526246"/>
    <w:rsid w:val="0052750F"/>
    <w:rsid w:val="00530783"/>
    <w:rsid w:val="00531093"/>
    <w:rsid w:val="00531E33"/>
    <w:rsid w:val="00531F87"/>
    <w:rsid w:val="00532E1B"/>
    <w:rsid w:val="00533D26"/>
    <w:rsid w:val="005340A7"/>
    <w:rsid w:val="00535CEA"/>
    <w:rsid w:val="00536281"/>
    <w:rsid w:val="00536CE5"/>
    <w:rsid w:val="0053781C"/>
    <w:rsid w:val="00541635"/>
    <w:rsid w:val="00541BF1"/>
    <w:rsid w:val="00542BE2"/>
    <w:rsid w:val="00544AED"/>
    <w:rsid w:val="005459DD"/>
    <w:rsid w:val="00545FF1"/>
    <w:rsid w:val="005465BB"/>
    <w:rsid w:val="00546DAF"/>
    <w:rsid w:val="0054782E"/>
    <w:rsid w:val="00551AC1"/>
    <w:rsid w:val="00551CD3"/>
    <w:rsid w:val="00551D63"/>
    <w:rsid w:val="00552204"/>
    <w:rsid w:val="00552C8A"/>
    <w:rsid w:val="00555948"/>
    <w:rsid w:val="005567EF"/>
    <w:rsid w:val="00557102"/>
    <w:rsid w:val="005572E8"/>
    <w:rsid w:val="00557718"/>
    <w:rsid w:val="00557FC9"/>
    <w:rsid w:val="0056113F"/>
    <w:rsid w:val="005647E8"/>
    <w:rsid w:val="00565279"/>
    <w:rsid w:val="005657F1"/>
    <w:rsid w:val="0057086A"/>
    <w:rsid w:val="005727FB"/>
    <w:rsid w:val="00581204"/>
    <w:rsid w:val="00581331"/>
    <w:rsid w:val="005814D3"/>
    <w:rsid w:val="00581C88"/>
    <w:rsid w:val="00581F9A"/>
    <w:rsid w:val="00583FB4"/>
    <w:rsid w:val="0058423C"/>
    <w:rsid w:val="00584946"/>
    <w:rsid w:val="00584C5E"/>
    <w:rsid w:val="00585878"/>
    <w:rsid w:val="00585CEA"/>
    <w:rsid w:val="00585E08"/>
    <w:rsid w:val="0058600F"/>
    <w:rsid w:val="00587A1F"/>
    <w:rsid w:val="0059246A"/>
    <w:rsid w:val="00595343"/>
    <w:rsid w:val="005954D3"/>
    <w:rsid w:val="00595AC7"/>
    <w:rsid w:val="005974D7"/>
    <w:rsid w:val="00597CBE"/>
    <w:rsid w:val="005A03AE"/>
    <w:rsid w:val="005A0531"/>
    <w:rsid w:val="005A0B0A"/>
    <w:rsid w:val="005A124F"/>
    <w:rsid w:val="005A1B38"/>
    <w:rsid w:val="005A2CF5"/>
    <w:rsid w:val="005A466A"/>
    <w:rsid w:val="005A4C96"/>
    <w:rsid w:val="005A5991"/>
    <w:rsid w:val="005A6030"/>
    <w:rsid w:val="005A7AB1"/>
    <w:rsid w:val="005A7AEC"/>
    <w:rsid w:val="005A7E95"/>
    <w:rsid w:val="005B064A"/>
    <w:rsid w:val="005B0AA3"/>
    <w:rsid w:val="005B29B9"/>
    <w:rsid w:val="005B3740"/>
    <w:rsid w:val="005B4F92"/>
    <w:rsid w:val="005B715F"/>
    <w:rsid w:val="005C144A"/>
    <w:rsid w:val="005C1A2B"/>
    <w:rsid w:val="005C1DB2"/>
    <w:rsid w:val="005C2072"/>
    <w:rsid w:val="005C2176"/>
    <w:rsid w:val="005C21E8"/>
    <w:rsid w:val="005C2DB3"/>
    <w:rsid w:val="005C39F2"/>
    <w:rsid w:val="005C3CF6"/>
    <w:rsid w:val="005C4844"/>
    <w:rsid w:val="005C5109"/>
    <w:rsid w:val="005C697D"/>
    <w:rsid w:val="005C76C6"/>
    <w:rsid w:val="005D07D2"/>
    <w:rsid w:val="005D165A"/>
    <w:rsid w:val="005D18C8"/>
    <w:rsid w:val="005D272A"/>
    <w:rsid w:val="005D28A6"/>
    <w:rsid w:val="005D295A"/>
    <w:rsid w:val="005D621D"/>
    <w:rsid w:val="005D7B1F"/>
    <w:rsid w:val="005E094D"/>
    <w:rsid w:val="005E0F24"/>
    <w:rsid w:val="005E25E9"/>
    <w:rsid w:val="005E4FC8"/>
    <w:rsid w:val="005E5186"/>
    <w:rsid w:val="005E59E1"/>
    <w:rsid w:val="005F00FD"/>
    <w:rsid w:val="005F50B6"/>
    <w:rsid w:val="005F5951"/>
    <w:rsid w:val="005F5E62"/>
    <w:rsid w:val="005F7A94"/>
    <w:rsid w:val="0060462A"/>
    <w:rsid w:val="00604DB8"/>
    <w:rsid w:val="00605196"/>
    <w:rsid w:val="006065DC"/>
    <w:rsid w:val="0060710C"/>
    <w:rsid w:val="006078EE"/>
    <w:rsid w:val="00607BF8"/>
    <w:rsid w:val="00610145"/>
    <w:rsid w:val="0061042F"/>
    <w:rsid w:val="00610712"/>
    <w:rsid w:val="006129BD"/>
    <w:rsid w:val="00614E29"/>
    <w:rsid w:val="00617A12"/>
    <w:rsid w:val="00617BC7"/>
    <w:rsid w:val="006203B7"/>
    <w:rsid w:val="00622F25"/>
    <w:rsid w:val="0062343E"/>
    <w:rsid w:val="006244E2"/>
    <w:rsid w:val="006252E6"/>
    <w:rsid w:val="00627999"/>
    <w:rsid w:val="006318A1"/>
    <w:rsid w:val="00631AD0"/>
    <w:rsid w:val="0063442A"/>
    <w:rsid w:val="00634514"/>
    <w:rsid w:val="00634C38"/>
    <w:rsid w:val="006352D7"/>
    <w:rsid w:val="00635C04"/>
    <w:rsid w:val="00640F25"/>
    <w:rsid w:val="006432C7"/>
    <w:rsid w:val="0064352E"/>
    <w:rsid w:val="00643E0D"/>
    <w:rsid w:val="00643FE7"/>
    <w:rsid w:val="006445D9"/>
    <w:rsid w:val="0064486D"/>
    <w:rsid w:val="00645390"/>
    <w:rsid w:val="00646BF1"/>
    <w:rsid w:val="006470CC"/>
    <w:rsid w:val="00650514"/>
    <w:rsid w:val="0065155D"/>
    <w:rsid w:val="00651A88"/>
    <w:rsid w:val="00651D85"/>
    <w:rsid w:val="00652EA9"/>
    <w:rsid w:val="00653E00"/>
    <w:rsid w:val="00655149"/>
    <w:rsid w:val="0065597A"/>
    <w:rsid w:val="00655B10"/>
    <w:rsid w:val="00655DEE"/>
    <w:rsid w:val="0065694E"/>
    <w:rsid w:val="00656E68"/>
    <w:rsid w:val="00657395"/>
    <w:rsid w:val="00660271"/>
    <w:rsid w:val="00660D2B"/>
    <w:rsid w:val="00660DB0"/>
    <w:rsid w:val="006626E8"/>
    <w:rsid w:val="00663992"/>
    <w:rsid w:val="006647D3"/>
    <w:rsid w:val="006649B9"/>
    <w:rsid w:val="00664DF7"/>
    <w:rsid w:val="0066567D"/>
    <w:rsid w:val="006669AF"/>
    <w:rsid w:val="006701EC"/>
    <w:rsid w:val="006707D5"/>
    <w:rsid w:val="0067545B"/>
    <w:rsid w:val="00676363"/>
    <w:rsid w:val="006763E9"/>
    <w:rsid w:val="00676939"/>
    <w:rsid w:val="00676B2C"/>
    <w:rsid w:val="00680013"/>
    <w:rsid w:val="006818C5"/>
    <w:rsid w:val="006824D5"/>
    <w:rsid w:val="00682594"/>
    <w:rsid w:val="0068286A"/>
    <w:rsid w:val="00684ACD"/>
    <w:rsid w:val="00684E0F"/>
    <w:rsid w:val="00684F29"/>
    <w:rsid w:val="00685003"/>
    <w:rsid w:val="00685990"/>
    <w:rsid w:val="00687A14"/>
    <w:rsid w:val="00687AE0"/>
    <w:rsid w:val="00690163"/>
    <w:rsid w:val="00693284"/>
    <w:rsid w:val="00693DE1"/>
    <w:rsid w:val="006959AF"/>
    <w:rsid w:val="00696508"/>
    <w:rsid w:val="00697472"/>
    <w:rsid w:val="00697E79"/>
    <w:rsid w:val="006A1BAE"/>
    <w:rsid w:val="006A404E"/>
    <w:rsid w:val="006A5450"/>
    <w:rsid w:val="006A55A9"/>
    <w:rsid w:val="006A65EC"/>
    <w:rsid w:val="006A6AAB"/>
    <w:rsid w:val="006A71A1"/>
    <w:rsid w:val="006B03C3"/>
    <w:rsid w:val="006B1E8F"/>
    <w:rsid w:val="006B21B6"/>
    <w:rsid w:val="006B2DAD"/>
    <w:rsid w:val="006B3740"/>
    <w:rsid w:val="006B458E"/>
    <w:rsid w:val="006B4843"/>
    <w:rsid w:val="006B57E8"/>
    <w:rsid w:val="006B59B5"/>
    <w:rsid w:val="006B7F07"/>
    <w:rsid w:val="006C0C0A"/>
    <w:rsid w:val="006C2AAF"/>
    <w:rsid w:val="006C3CDF"/>
    <w:rsid w:val="006C44A5"/>
    <w:rsid w:val="006C671B"/>
    <w:rsid w:val="006D2BF1"/>
    <w:rsid w:val="006D304D"/>
    <w:rsid w:val="006D3C48"/>
    <w:rsid w:val="006D44F9"/>
    <w:rsid w:val="006D64F5"/>
    <w:rsid w:val="006D6E8D"/>
    <w:rsid w:val="006E0A6F"/>
    <w:rsid w:val="006E285B"/>
    <w:rsid w:val="006E296F"/>
    <w:rsid w:val="006E5BC8"/>
    <w:rsid w:val="006E6144"/>
    <w:rsid w:val="006E6519"/>
    <w:rsid w:val="006E6936"/>
    <w:rsid w:val="006F2078"/>
    <w:rsid w:val="006F226C"/>
    <w:rsid w:val="006F2743"/>
    <w:rsid w:val="006F2C9C"/>
    <w:rsid w:val="006F4D71"/>
    <w:rsid w:val="006F60A0"/>
    <w:rsid w:val="006F618C"/>
    <w:rsid w:val="00700E0E"/>
    <w:rsid w:val="00701ACD"/>
    <w:rsid w:val="00702B72"/>
    <w:rsid w:val="007042ED"/>
    <w:rsid w:val="00704DE0"/>
    <w:rsid w:val="00705766"/>
    <w:rsid w:val="00707046"/>
    <w:rsid w:val="0071039A"/>
    <w:rsid w:val="007105E0"/>
    <w:rsid w:val="0071128D"/>
    <w:rsid w:val="007127AF"/>
    <w:rsid w:val="007132F9"/>
    <w:rsid w:val="0071435E"/>
    <w:rsid w:val="007144E6"/>
    <w:rsid w:val="00714888"/>
    <w:rsid w:val="007157C8"/>
    <w:rsid w:val="00716016"/>
    <w:rsid w:val="00716425"/>
    <w:rsid w:val="0071743C"/>
    <w:rsid w:val="00722763"/>
    <w:rsid w:val="00723000"/>
    <w:rsid w:val="00723B8D"/>
    <w:rsid w:val="00723BF8"/>
    <w:rsid w:val="0072423F"/>
    <w:rsid w:val="00724EFA"/>
    <w:rsid w:val="00733696"/>
    <w:rsid w:val="00734516"/>
    <w:rsid w:val="00734814"/>
    <w:rsid w:val="00737374"/>
    <w:rsid w:val="00740B67"/>
    <w:rsid w:val="007422EB"/>
    <w:rsid w:val="00743782"/>
    <w:rsid w:val="0074385E"/>
    <w:rsid w:val="00745489"/>
    <w:rsid w:val="0074754C"/>
    <w:rsid w:val="007500F6"/>
    <w:rsid w:val="00752800"/>
    <w:rsid w:val="00753685"/>
    <w:rsid w:val="00754854"/>
    <w:rsid w:val="00754C1C"/>
    <w:rsid w:val="00755BDF"/>
    <w:rsid w:val="00755D84"/>
    <w:rsid w:val="00755DB1"/>
    <w:rsid w:val="00756A9E"/>
    <w:rsid w:val="00760431"/>
    <w:rsid w:val="0076189C"/>
    <w:rsid w:val="00762B1A"/>
    <w:rsid w:val="00764C37"/>
    <w:rsid w:val="007659D1"/>
    <w:rsid w:val="00766062"/>
    <w:rsid w:val="00767447"/>
    <w:rsid w:val="00770C2A"/>
    <w:rsid w:val="00770D37"/>
    <w:rsid w:val="007736FE"/>
    <w:rsid w:val="00774493"/>
    <w:rsid w:val="0077543E"/>
    <w:rsid w:val="00775CC6"/>
    <w:rsid w:val="00777E38"/>
    <w:rsid w:val="00777FCA"/>
    <w:rsid w:val="0078050B"/>
    <w:rsid w:val="00781D4C"/>
    <w:rsid w:val="00782617"/>
    <w:rsid w:val="007827EC"/>
    <w:rsid w:val="00783113"/>
    <w:rsid w:val="007845C8"/>
    <w:rsid w:val="00787F06"/>
    <w:rsid w:val="00790B00"/>
    <w:rsid w:val="00791025"/>
    <w:rsid w:val="00795262"/>
    <w:rsid w:val="00795B0D"/>
    <w:rsid w:val="00795D63"/>
    <w:rsid w:val="0079620E"/>
    <w:rsid w:val="007964C3"/>
    <w:rsid w:val="007965F7"/>
    <w:rsid w:val="00796DEE"/>
    <w:rsid w:val="00797126"/>
    <w:rsid w:val="00797A66"/>
    <w:rsid w:val="007A1F61"/>
    <w:rsid w:val="007A3BFC"/>
    <w:rsid w:val="007A576B"/>
    <w:rsid w:val="007A66C8"/>
    <w:rsid w:val="007A685F"/>
    <w:rsid w:val="007A6CA5"/>
    <w:rsid w:val="007B0047"/>
    <w:rsid w:val="007B13F1"/>
    <w:rsid w:val="007B36F7"/>
    <w:rsid w:val="007B3B8C"/>
    <w:rsid w:val="007B52BC"/>
    <w:rsid w:val="007B537D"/>
    <w:rsid w:val="007B546E"/>
    <w:rsid w:val="007B61D3"/>
    <w:rsid w:val="007B7C59"/>
    <w:rsid w:val="007C16AD"/>
    <w:rsid w:val="007C1A09"/>
    <w:rsid w:val="007C2CE4"/>
    <w:rsid w:val="007C2D2D"/>
    <w:rsid w:val="007C30D5"/>
    <w:rsid w:val="007C38FF"/>
    <w:rsid w:val="007C4427"/>
    <w:rsid w:val="007C7EE0"/>
    <w:rsid w:val="007D049D"/>
    <w:rsid w:val="007D1469"/>
    <w:rsid w:val="007D24AF"/>
    <w:rsid w:val="007D3AA1"/>
    <w:rsid w:val="007D3B34"/>
    <w:rsid w:val="007D3D24"/>
    <w:rsid w:val="007D3E26"/>
    <w:rsid w:val="007D6C68"/>
    <w:rsid w:val="007D6FAC"/>
    <w:rsid w:val="007E059D"/>
    <w:rsid w:val="007E1212"/>
    <w:rsid w:val="007E2943"/>
    <w:rsid w:val="007E37DA"/>
    <w:rsid w:val="007E3B0C"/>
    <w:rsid w:val="007E4014"/>
    <w:rsid w:val="007E45D3"/>
    <w:rsid w:val="007E51B6"/>
    <w:rsid w:val="007E52AC"/>
    <w:rsid w:val="007E69ED"/>
    <w:rsid w:val="007E6C9B"/>
    <w:rsid w:val="007F11AD"/>
    <w:rsid w:val="007F1CBB"/>
    <w:rsid w:val="007F2FE5"/>
    <w:rsid w:val="007F3485"/>
    <w:rsid w:val="007F3C1C"/>
    <w:rsid w:val="007F51C6"/>
    <w:rsid w:val="007F5FA2"/>
    <w:rsid w:val="007F6354"/>
    <w:rsid w:val="007F7DD2"/>
    <w:rsid w:val="00800724"/>
    <w:rsid w:val="00801CF6"/>
    <w:rsid w:val="00801D37"/>
    <w:rsid w:val="00802BFB"/>
    <w:rsid w:val="00803646"/>
    <w:rsid w:val="00804D69"/>
    <w:rsid w:val="0080504D"/>
    <w:rsid w:val="00806016"/>
    <w:rsid w:val="0080684D"/>
    <w:rsid w:val="00807EFE"/>
    <w:rsid w:val="0081107A"/>
    <w:rsid w:val="008119EC"/>
    <w:rsid w:val="00811BE6"/>
    <w:rsid w:val="00812140"/>
    <w:rsid w:val="0081235E"/>
    <w:rsid w:val="00812EA4"/>
    <w:rsid w:val="00813395"/>
    <w:rsid w:val="008149CF"/>
    <w:rsid w:val="00815235"/>
    <w:rsid w:val="008159EC"/>
    <w:rsid w:val="00817150"/>
    <w:rsid w:val="0081741A"/>
    <w:rsid w:val="008179FE"/>
    <w:rsid w:val="00817F1B"/>
    <w:rsid w:val="00821132"/>
    <w:rsid w:val="008219EA"/>
    <w:rsid w:val="00824169"/>
    <w:rsid w:val="0082639C"/>
    <w:rsid w:val="008274E0"/>
    <w:rsid w:val="008279F1"/>
    <w:rsid w:val="00827F08"/>
    <w:rsid w:val="008307CE"/>
    <w:rsid w:val="00831FEB"/>
    <w:rsid w:val="00833E47"/>
    <w:rsid w:val="00833FB1"/>
    <w:rsid w:val="008343F7"/>
    <w:rsid w:val="008346AB"/>
    <w:rsid w:val="00835571"/>
    <w:rsid w:val="008417B8"/>
    <w:rsid w:val="00846007"/>
    <w:rsid w:val="00846C55"/>
    <w:rsid w:val="0084708C"/>
    <w:rsid w:val="008477CA"/>
    <w:rsid w:val="008509D7"/>
    <w:rsid w:val="00850FE8"/>
    <w:rsid w:val="00851C1F"/>
    <w:rsid w:val="008527AF"/>
    <w:rsid w:val="00852F65"/>
    <w:rsid w:val="0085457B"/>
    <w:rsid w:val="00855B52"/>
    <w:rsid w:val="00862752"/>
    <w:rsid w:val="00863460"/>
    <w:rsid w:val="008649CE"/>
    <w:rsid w:val="00864C76"/>
    <w:rsid w:val="00866257"/>
    <w:rsid w:val="0086739F"/>
    <w:rsid w:val="00867EBB"/>
    <w:rsid w:val="008700C3"/>
    <w:rsid w:val="00870AE8"/>
    <w:rsid w:val="008715F0"/>
    <w:rsid w:val="00871857"/>
    <w:rsid w:val="00871F35"/>
    <w:rsid w:val="0087300E"/>
    <w:rsid w:val="00874766"/>
    <w:rsid w:val="008749A7"/>
    <w:rsid w:val="008751CF"/>
    <w:rsid w:val="00875522"/>
    <w:rsid w:val="00875C23"/>
    <w:rsid w:val="00876C9A"/>
    <w:rsid w:val="0087732C"/>
    <w:rsid w:val="00877D04"/>
    <w:rsid w:val="008838F0"/>
    <w:rsid w:val="008839CF"/>
    <w:rsid w:val="00883A9C"/>
    <w:rsid w:val="008900DA"/>
    <w:rsid w:val="0089028C"/>
    <w:rsid w:val="00890C44"/>
    <w:rsid w:val="00890EB7"/>
    <w:rsid w:val="00891FFE"/>
    <w:rsid w:val="0089287D"/>
    <w:rsid w:val="00892F0D"/>
    <w:rsid w:val="00893572"/>
    <w:rsid w:val="0089469C"/>
    <w:rsid w:val="00894A1A"/>
    <w:rsid w:val="00894F8C"/>
    <w:rsid w:val="008958B4"/>
    <w:rsid w:val="008A0233"/>
    <w:rsid w:val="008A3F8B"/>
    <w:rsid w:val="008A3FFD"/>
    <w:rsid w:val="008A55DE"/>
    <w:rsid w:val="008A579B"/>
    <w:rsid w:val="008A5AE9"/>
    <w:rsid w:val="008A6011"/>
    <w:rsid w:val="008A6C2C"/>
    <w:rsid w:val="008B0A5D"/>
    <w:rsid w:val="008B13F5"/>
    <w:rsid w:val="008B2571"/>
    <w:rsid w:val="008B25A2"/>
    <w:rsid w:val="008B2819"/>
    <w:rsid w:val="008B2D93"/>
    <w:rsid w:val="008B3A96"/>
    <w:rsid w:val="008B3AD5"/>
    <w:rsid w:val="008B5538"/>
    <w:rsid w:val="008B5B61"/>
    <w:rsid w:val="008B5EBC"/>
    <w:rsid w:val="008B623C"/>
    <w:rsid w:val="008B7656"/>
    <w:rsid w:val="008C0DB3"/>
    <w:rsid w:val="008C1411"/>
    <w:rsid w:val="008C1960"/>
    <w:rsid w:val="008C351D"/>
    <w:rsid w:val="008C398B"/>
    <w:rsid w:val="008C3A1C"/>
    <w:rsid w:val="008C40E4"/>
    <w:rsid w:val="008C4BD7"/>
    <w:rsid w:val="008C4EF6"/>
    <w:rsid w:val="008C748F"/>
    <w:rsid w:val="008C7DE4"/>
    <w:rsid w:val="008D1036"/>
    <w:rsid w:val="008D1FDF"/>
    <w:rsid w:val="008D2C29"/>
    <w:rsid w:val="008D34F1"/>
    <w:rsid w:val="008D454C"/>
    <w:rsid w:val="008D49A6"/>
    <w:rsid w:val="008D6595"/>
    <w:rsid w:val="008D6611"/>
    <w:rsid w:val="008D7081"/>
    <w:rsid w:val="008E00EC"/>
    <w:rsid w:val="008E017B"/>
    <w:rsid w:val="008E12E9"/>
    <w:rsid w:val="008E1CDC"/>
    <w:rsid w:val="008E3855"/>
    <w:rsid w:val="008E5105"/>
    <w:rsid w:val="008E57EB"/>
    <w:rsid w:val="008E5D35"/>
    <w:rsid w:val="008E5DF8"/>
    <w:rsid w:val="008E6440"/>
    <w:rsid w:val="008F0242"/>
    <w:rsid w:val="008F10E6"/>
    <w:rsid w:val="008F268F"/>
    <w:rsid w:val="008F2A08"/>
    <w:rsid w:val="008F326D"/>
    <w:rsid w:val="008F378B"/>
    <w:rsid w:val="008F4E5C"/>
    <w:rsid w:val="008F4F37"/>
    <w:rsid w:val="008F5FCD"/>
    <w:rsid w:val="008F6B84"/>
    <w:rsid w:val="008F7070"/>
    <w:rsid w:val="008F7B1E"/>
    <w:rsid w:val="00900F63"/>
    <w:rsid w:val="009034A2"/>
    <w:rsid w:val="00903F69"/>
    <w:rsid w:val="00904613"/>
    <w:rsid w:val="00904BCE"/>
    <w:rsid w:val="0090598B"/>
    <w:rsid w:val="009059AE"/>
    <w:rsid w:val="00906D38"/>
    <w:rsid w:val="00911808"/>
    <w:rsid w:val="00911F2F"/>
    <w:rsid w:val="0091433F"/>
    <w:rsid w:val="00920156"/>
    <w:rsid w:val="0092224B"/>
    <w:rsid w:val="009238F4"/>
    <w:rsid w:val="009239F9"/>
    <w:rsid w:val="009245EF"/>
    <w:rsid w:val="00924D7E"/>
    <w:rsid w:val="00924E47"/>
    <w:rsid w:val="00924E8F"/>
    <w:rsid w:val="0092623B"/>
    <w:rsid w:val="00927783"/>
    <w:rsid w:val="009279B1"/>
    <w:rsid w:val="009319C9"/>
    <w:rsid w:val="00934634"/>
    <w:rsid w:val="009351D9"/>
    <w:rsid w:val="009353D5"/>
    <w:rsid w:val="00935673"/>
    <w:rsid w:val="009358F8"/>
    <w:rsid w:val="0093649A"/>
    <w:rsid w:val="0093741A"/>
    <w:rsid w:val="00940946"/>
    <w:rsid w:val="00940D38"/>
    <w:rsid w:val="00941045"/>
    <w:rsid w:val="0094151D"/>
    <w:rsid w:val="00942BA7"/>
    <w:rsid w:val="00942BCC"/>
    <w:rsid w:val="00943330"/>
    <w:rsid w:val="00944CDB"/>
    <w:rsid w:val="00945964"/>
    <w:rsid w:val="009467A3"/>
    <w:rsid w:val="00951E66"/>
    <w:rsid w:val="0095228C"/>
    <w:rsid w:val="00952E03"/>
    <w:rsid w:val="0095324A"/>
    <w:rsid w:val="00954791"/>
    <w:rsid w:val="009554F8"/>
    <w:rsid w:val="009558A0"/>
    <w:rsid w:val="00957120"/>
    <w:rsid w:val="00957C90"/>
    <w:rsid w:val="00960311"/>
    <w:rsid w:val="00960B17"/>
    <w:rsid w:val="00962B8C"/>
    <w:rsid w:val="009632E7"/>
    <w:rsid w:val="009648CA"/>
    <w:rsid w:val="00966F67"/>
    <w:rsid w:val="00967557"/>
    <w:rsid w:val="009679B9"/>
    <w:rsid w:val="00970342"/>
    <w:rsid w:val="00971A08"/>
    <w:rsid w:val="0097283A"/>
    <w:rsid w:val="00972CEC"/>
    <w:rsid w:val="009745A7"/>
    <w:rsid w:val="009756A9"/>
    <w:rsid w:val="00976D34"/>
    <w:rsid w:val="0097753D"/>
    <w:rsid w:val="009777A8"/>
    <w:rsid w:val="00977B69"/>
    <w:rsid w:val="00980166"/>
    <w:rsid w:val="009803D7"/>
    <w:rsid w:val="00980A30"/>
    <w:rsid w:val="0098213E"/>
    <w:rsid w:val="0098355F"/>
    <w:rsid w:val="009841E3"/>
    <w:rsid w:val="00985199"/>
    <w:rsid w:val="00985A0E"/>
    <w:rsid w:val="00986752"/>
    <w:rsid w:val="00986B22"/>
    <w:rsid w:val="00987A6B"/>
    <w:rsid w:val="009918CF"/>
    <w:rsid w:val="00992539"/>
    <w:rsid w:val="00992601"/>
    <w:rsid w:val="00993B74"/>
    <w:rsid w:val="009962D8"/>
    <w:rsid w:val="009968AB"/>
    <w:rsid w:val="00996E9E"/>
    <w:rsid w:val="009A0D0B"/>
    <w:rsid w:val="009A1827"/>
    <w:rsid w:val="009A276D"/>
    <w:rsid w:val="009A2DB3"/>
    <w:rsid w:val="009A303D"/>
    <w:rsid w:val="009A33F8"/>
    <w:rsid w:val="009A3578"/>
    <w:rsid w:val="009A422D"/>
    <w:rsid w:val="009A4CB0"/>
    <w:rsid w:val="009A73A6"/>
    <w:rsid w:val="009A7A54"/>
    <w:rsid w:val="009B0486"/>
    <w:rsid w:val="009B10E0"/>
    <w:rsid w:val="009B1AE1"/>
    <w:rsid w:val="009B2F33"/>
    <w:rsid w:val="009B42EA"/>
    <w:rsid w:val="009B5E2E"/>
    <w:rsid w:val="009B6A25"/>
    <w:rsid w:val="009B739E"/>
    <w:rsid w:val="009B7C4F"/>
    <w:rsid w:val="009C01E3"/>
    <w:rsid w:val="009C14A7"/>
    <w:rsid w:val="009C1850"/>
    <w:rsid w:val="009C1B5B"/>
    <w:rsid w:val="009C2992"/>
    <w:rsid w:val="009C3246"/>
    <w:rsid w:val="009C3C30"/>
    <w:rsid w:val="009C462B"/>
    <w:rsid w:val="009C63FB"/>
    <w:rsid w:val="009C6430"/>
    <w:rsid w:val="009C7A25"/>
    <w:rsid w:val="009D024B"/>
    <w:rsid w:val="009D0261"/>
    <w:rsid w:val="009D1E9E"/>
    <w:rsid w:val="009D30B1"/>
    <w:rsid w:val="009D34AC"/>
    <w:rsid w:val="009D47A5"/>
    <w:rsid w:val="009D525E"/>
    <w:rsid w:val="009D6104"/>
    <w:rsid w:val="009D6A3B"/>
    <w:rsid w:val="009D6DB2"/>
    <w:rsid w:val="009D7EFC"/>
    <w:rsid w:val="009E0190"/>
    <w:rsid w:val="009E244C"/>
    <w:rsid w:val="009E25BC"/>
    <w:rsid w:val="009E2D41"/>
    <w:rsid w:val="009E317D"/>
    <w:rsid w:val="009E4110"/>
    <w:rsid w:val="009E77E3"/>
    <w:rsid w:val="009F12E4"/>
    <w:rsid w:val="009F1C4A"/>
    <w:rsid w:val="009F38C4"/>
    <w:rsid w:val="009F415E"/>
    <w:rsid w:val="009F54AD"/>
    <w:rsid w:val="009F5A7E"/>
    <w:rsid w:val="009F666D"/>
    <w:rsid w:val="009F71A1"/>
    <w:rsid w:val="009F7435"/>
    <w:rsid w:val="009F7A41"/>
    <w:rsid w:val="00A005B4"/>
    <w:rsid w:val="00A00917"/>
    <w:rsid w:val="00A01398"/>
    <w:rsid w:val="00A01A2F"/>
    <w:rsid w:val="00A01F76"/>
    <w:rsid w:val="00A01FAB"/>
    <w:rsid w:val="00A0206C"/>
    <w:rsid w:val="00A0341C"/>
    <w:rsid w:val="00A03715"/>
    <w:rsid w:val="00A03FEE"/>
    <w:rsid w:val="00A05CD4"/>
    <w:rsid w:val="00A06218"/>
    <w:rsid w:val="00A07955"/>
    <w:rsid w:val="00A10DB5"/>
    <w:rsid w:val="00A1117A"/>
    <w:rsid w:val="00A13FCB"/>
    <w:rsid w:val="00A14159"/>
    <w:rsid w:val="00A14270"/>
    <w:rsid w:val="00A14E6E"/>
    <w:rsid w:val="00A157ED"/>
    <w:rsid w:val="00A16248"/>
    <w:rsid w:val="00A162C6"/>
    <w:rsid w:val="00A21A60"/>
    <w:rsid w:val="00A23203"/>
    <w:rsid w:val="00A23683"/>
    <w:rsid w:val="00A23B8A"/>
    <w:rsid w:val="00A24C29"/>
    <w:rsid w:val="00A265E5"/>
    <w:rsid w:val="00A26D8E"/>
    <w:rsid w:val="00A27053"/>
    <w:rsid w:val="00A27D04"/>
    <w:rsid w:val="00A27FB6"/>
    <w:rsid w:val="00A27FDE"/>
    <w:rsid w:val="00A3101A"/>
    <w:rsid w:val="00A310B3"/>
    <w:rsid w:val="00A33CB7"/>
    <w:rsid w:val="00A34713"/>
    <w:rsid w:val="00A34DFB"/>
    <w:rsid w:val="00A36022"/>
    <w:rsid w:val="00A3690B"/>
    <w:rsid w:val="00A375F7"/>
    <w:rsid w:val="00A40134"/>
    <w:rsid w:val="00A4014A"/>
    <w:rsid w:val="00A4073D"/>
    <w:rsid w:val="00A41BB4"/>
    <w:rsid w:val="00A4398E"/>
    <w:rsid w:val="00A439DB"/>
    <w:rsid w:val="00A43E2B"/>
    <w:rsid w:val="00A4467E"/>
    <w:rsid w:val="00A45A65"/>
    <w:rsid w:val="00A46FA5"/>
    <w:rsid w:val="00A474AB"/>
    <w:rsid w:val="00A47B42"/>
    <w:rsid w:val="00A503CB"/>
    <w:rsid w:val="00A5084E"/>
    <w:rsid w:val="00A5189C"/>
    <w:rsid w:val="00A52144"/>
    <w:rsid w:val="00A52F06"/>
    <w:rsid w:val="00A545F2"/>
    <w:rsid w:val="00A54946"/>
    <w:rsid w:val="00A55BED"/>
    <w:rsid w:val="00A55C2E"/>
    <w:rsid w:val="00A55D07"/>
    <w:rsid w:val="00A561E4"/>
    <w:rsid w:val="00A570AD"/>
    <w:rsid w:val="00A5715A"/>
    <w:rsid w:val="00A5723E"/>
    <w:rsid w:val="00A57B6A"/>
    <w:rsid w:val="00A6045D"/>
    <w:rsid w:val="00A6050C"/>
    <w:rsid w:val="00A60595"/>
    <w:rsid w:val="00A61484"/>
    <w:rsid w:val="00A6156E"/>
    <w:rsid w:val="00A6284C"/>
    <w:rsid w:val="00A64672"/>
    <w:rsid w:val="00A64902"/>
    <w:rsid w:val="00A65854"/>
    <w:rsid w:val="00A667CF"/>
    <w:rsid w:val="00A70BF0"/>
    <w:rsid w:val="00A71013"/>
    <w:rsid w:val="00A71402"/>
    <w:rsid w:val="00A72DED"/>
    <w:rsid w:val="00A741A3"/>
    <w:rsid w:val="00A74C5A"/>
    <w:rsid w:val="00A75119"/>
    <w:rsid w:val="00A776FA"/>
    <w:rsid w:val="00A777DD"/>
    <w:rsid w:val="00A80CA3"/>
    <w:rsid w:val="00A854D7"/>
    <w:rsid w:val="00A869D1"/>
    <w:rsid w:val="00A87AE5"/>
    <w:rsid w:val="00A90A2D"/>
    <w:rsid w:val="00A920E6"/>
    <w:rsid w:val="00A925CB"/>
    <w:rsid w:val="00A92F9B"/>
    <w:rsid w:val="00A94049"/>
    <w:rsid w:val="00A96147"/>
    <w:rsid w:val="00A962DF"/>
    <w:rsid w:val="00A979E0"/>
    <w:rsid w:val="00A97A86"/>
    <w:rsid w:val="00A97E48"/>
    <w:rsid w:val="00AA106E"/>
    <w:rsid w:val="00AA2D9F"/>
    <w:rsid w:val="00AA36DE"/>
    <w:rsid w:val="00AA4E59"/>
    <w:rsid w:val="00AA5E8C"/>
    <w:rsid w:val="00AA60DE"/>
    <w:rsid w:val="00AA6344"/>
    <w:rsid w:val="00AA7458"/>
    <w:rsid w:val="00AB1205"/>
    <w:rsid w:val="00AB1C97"/>
    <w:rsid w:val="00AB39B6"/>
    <w:rsid w:val="00AB4220"/>
    <w:rsid w:val="00AB5710"/>
    <w:rsid w:val="00AB594D"/>
    <w:rsid w:val="00AB6DDC"/>
    <w:rsid w:val="00AB77BC"/>
    <w:rsid w:val="00AC03A2"/>
    <w:rsid w:val="00AC0DAE"/>
    <w:rsid w:val="00AC11FD"/>
    <w:rsid w:val="00AC16F7"/>
    <w:rsid w:val="00AC2FDD"/>
    <w:rsid w:val="00AC3C01"/>
    <w:rsid w:val="00AC45CF"/>
    <w:rsid w:val="00AC4AD9"/>
    <w:rsid w:val="00AC4F37"/>
    <w:rsid w:val="00AC57C7"/>
    <w:rsid w:val="00AC6C56"/>
    <w:rsid w:val="00AC6D25"/>
    <w:rsid w:val="00AC72B6"/>
    <w:rsid w:val="00AC7EBD"/>
    <w:rsid w:val="00AD067E"/>
    <w:rsid w:val="00AD0EA2"/>
    <w:rsid w:val="00AD1658"/>
    <w:rsid w:val="00AD1BBA"/>
    <w:rsid w:val="00AD27EE"/>
    <w:rsid w:val="00AD2BA3"/>
    <w:rsid w:val="00AD3AAE"/>
    <w:rsid w:val="00AD3C93"/>
    <w:rsid w:val="00AD533F"/>
    <w:rsid w:val="00AD53EF"/>
    <w:rsid w:val="00AD641C"/>
    <w:rsid w:val="00AD7603"/>
    <w:rsid w:val="00AD7BA5"/>
    <w:rsid w:val="00AE0E45"/>
    <w:rsid w:val="00AE1018"/>
    <w:rsid w:val="00AE13D9"/>
    <w:rsid w:val="00AE26AD"/>
    <w:rsid w:val="00AE2B7E"/>
    <w:rsid w:val="00AE2ECC"/>
    <w:rsid w:val="00AE2ECF"/>
    <w:rsid w:val="00AE31BE"/>
    <w:rsid w:val="00AE528F"/>
    <w:rsid w:val="00AE57A9"/>
    <w:rsid w:val="00AE6575"/>
    <w:rsid w:val="00AE6792"/>
    <w:rsid w:val="00AE6A6C"/>
    <w:rsid w:val="00AE6CB3"/>
    <w:rsid w:val="00AF057F"/>
    <w:rsid w:val="00AF2270"/>
    <w:rsid w:val="00AF422E"/>
    <w:rsid w:val="00AF50AD"/>
    <w:rsid w:val="00AF5421"/>
    <w:rsid w:val="00B00CB1"/>
    <w:rsid w:val="00B00E62"/>
    <w:rsid w:val="00B0463A"/>
    <w:rsid w:val="00B04D77"/>
    <w:rsid w:val="00B05AA8"/>
    <w:rsid w:val="00B072DE"/>
    <w:rsid w:val="00B07480"/>
    <w:rsid w:val="00B07896"/>
    <w:rsid w:val="00B10F5D"/>
    <w:rsid w:val="00B1303C"/>
    <w:rsid w:val="00B13B09"/>
    <w:rsid w:val="00B1425C"/>
    <w:rsid w:val="00B1492D"/>
    <w:rsid w:val="00B157EB"/>
    <w:rsid w:val="00B171B4"/>
    <w:rsid w:val="00B17454"/>
    <w:rsid w:val="00B1754D"/>
    <w:rsid w:val="00B17B01"/>
    <w:rsid w:val="00B20361"/>
    <w:rsid w:val="00B214D8"/>
    <w:rsid w:val="00B230F1"/>
    <w:rsid w:val="00B244B3"/>
    <w:rsid w:val="00B249DE"/>
    <w:rsid w:val="00B24DD0"/>
    <w:rsid w:val="00B26388"/>
    <w:rsid w:val="00B26FEB"/>
    <w:rsid w:val="00B273E0"/>
    <w:rsid w:val="00B3024D"/>
    <w:rsid w:val="00B309A6"/>
    <w:rsid w:val="00B33FAA"/>
    <w:rsid w:val="00B35404"/>
    <w:rsid w:val="00B37A01"/>
    <w:rsid w:val="00B37A54"/>
    <w:rsid w:val="00B4151F"/>
    <w:rsid w:val="00B432CB"/>
    <w:rsid w:val="00B433B0"/>
    <w:rsid w:val="00B435B0"/>
    <w:rsid w:val="00B44762"/>
    <w:rsid w:val="00B44A3E"/>
    <w:rsid w:val="00B461F4"/>
    <w:rsid w:val="00B46411"/>
    <w:rsid w:val="00B46946"/>
    <w:rsid w:val="00B47146"/>
    <w:rsid w:val="00B4739B"/>
    <w:rsid w:val="00B47543"/>
    <w:rsid w:val="00B47A66"/>
    <w:rsid w:val="00B51681"/>
    <w:rsid w:val="00B52452"/>
    <w:rsid w:val="00B5392A"/>
    <w:rsid w:val="00B53933"/>
    <w:rsid w:val="00B53F51"/>
    <w:rsid w:val="00B55097"/>
    <w:rsid w:val="00B55A12"/>
    <w:rsid w:val="00B55AC4"/>
    <w:rsid w:val="00B55B1A"/>
    <w:rsid w:val="00B55F13"/>
    <w:rsid w:val="00B6044D"/>
    <w:rsid w:val="00B62354"/>
    <w:rsid w:val="00B624AD"/>
    <w:rsid w:val="00B62DE6"/>
    <w:rsid w:val="00B64632"/>
    <w:rsid w:val="00B65533"/>
    <w:rsid w:val="00B65784"/>
    <w:rsid w:val="00B6624C"/>
    <w:rsid w:val="00B70BD9"/>
    <w:rsid w:val="00B716CA"/>
    <w:rsid w:val="00B719CC"/>
    <w:rsid w:val="00B71B60"/>
    <w:rsid w:val="00B71C49"/>
    <w:rsid w:val="00B738AA"/>
    <w:rsid w:val="00B73FCF"/>
    <w:rsid w:val="00B74FD5"/>
    <w:rsid w:val="00B75DCE"/>
    <w:rsid w:val="00B76953"/>
    <w:rsid w:val="00B803BD"/>
    <w:rsid w:val="00B82B09"/>
    <w:rsid w:val="00B831BD"/>
    <w:rsid w:val="00B83239"/>
    <w:rsid w:val="00B83CE6"/>
    <w:rsid w:val="00B85AE5"/>
    <w:rsid w:val="00B86742"/>
    <w:rsid w:val="00B91670"/>
    <w:rsid w:val="00B91EF4"/>
    <w:rsid w:val="00B9249E"/>
    <w:rsid w:val="00B93822"/>
    <w:rsid w:val="00B94D4A"/>
    <w:rsid w:val="00B95C0E"/>
    <w:rsid w:val="00B96CFD"/>
    <w:rsid w:val="00B97111"/>
    <w:rsid w:val="00B97791"/>
    <w:rsid w:val="00B97BD7"/>
    <w:rsid w:val="00B97C8B"/>
    <w:rsid w:val="00BA0158"/>
    <w:rsid w:val="00BA1082"/>
    <w:rsid w:val="00BA157C"/>
    <w:rsid w:val="00BA47CF"/>
    <w:rsid w:val="00BA4A25"/>
    <w:rsid w:val="00BA5F5B"/>
    <w:rsid w:val="00BA6758"/>
    <w:rsid w:val="00BB0668"/>
    <w:rsid w:val="00BB0890"/>
    <w:rsid w:val="00BB3C56"/>
    <w:rsid w:val="00BB412E"/>
    <w:rsid w:val="00BB45EB"/>
    <w:rsid w:val="00BB5502"/>
    <w:rsid w:val="00BB5819"/>
    <w:rsid w:val="00BB6176"/>
    <w:rsid w:val="00BB69CE"/>
    <w:rsid w:val="00BC06B7"/>
    <w:rsid w:val="00BC1628"/>
    <w:rsid w:val="00BC2797"/>
    <w:rsid w:val="00BC2B3E"/>
    <w:rsid w:val="00BC3EF6"/>
    <w:rsid w:val="00BC486B"/>
    <w:rsid w:val="00BC4F4F"/>
    <w:rsid w:val="00BC585E"/>
    <w:rsid w:val="00BC6AC6"/>
    <w:rsid w:val="00BC7380"/>
    <w:rsid w:val="00BC77A5"/>
    <w:rsid w:val="00BC7921"/>
    <w:rsid w:val="00BC7B8F"/>
    <w:rsid w:val="00BC7BF8"/>
    <w:rsid w:val="00BD0667"/>
    <w:rsid w:val="00BD13BF"/>
    <w:rsid w:val="00BD48D9"/>
    <w:rsid w:val="00BD4CC3"/>
    <w:rsid w:val="00BE0AF3"/>
    <w:rsid w:val="00BE1EC0"/>
    <w:rsid w:val="00BE2466"/>
    <w:rsid w:val="00BE25BC"/>
    <w:rsid w:val="00BE3461"/>
    <w:rsid w:val="00BE7390"/>
    <w:rsid w:val="00BE7E96"/>
    <w:rsid w:val="00BF0337"/>
    <w:rsid w:val="00BF0979"/>
    <w:rsid w:val="00BF175F"/>
    <w:rsid w:val="00BF19D1"/>
    <w:rsid w:val="00BF2F38"/>
    <w:rsid w:val="00BF3248"/>
    <w:rsid w:val="00BF4543"/>
    <w:rsid w:val="00BF5D77"/>
    <w:rsid w:val="00BF60B2"/>
    <w:rsid w:val="00BF687E"/>
    <w:rsid w:val="00BF7B0C"/>
    <w:rsid w:val="00BF7BB1"/>
    <w:rsid w:val="00BF7D8A"/>
    <w:rsid w:val="00C0001C"/>
    <w:rsid w:val="00C01025"/>
    <w:rsid w:val="00C01C6D"/>
    <w:rsid w:val="00C02FD1"/>
    <w:rsid w:val="00C03DAF"/>
    <w:rsid w:val="00C04E65"/>
    <w:rsid w:val="00C0508E"/>
    <w:rsid w:val="00C05829"/>
    <w:rsid w:val="00C05EFD"/>
    <w:rsid w:val="00C06554"/>
    <w:rsid w:val="00C107B8"/>
    <w:rsid w:val="00C10909"/>
    <w:rsid w:val="00C11123"/>
    <w:rsid w:val="00C117C0"/>
    <w:rsid w:val="00C12C4A"/>
    <w:rsid w:val="00C12E03"/>
    <w:rsid w:val="00C14164"/>
    <w:rsid w:val="00C14216"/>
    <w:rsid w:val="00C14BB1"/>
    <w:rsid w:val="00C14C53"/>
    <w:rsid w:val="00C15CD8"/>
    <w:rsid w:val="00C15E78"/>
    <w:rsid w:val="00C1668C"/>
    <w:rsid w:val="00C17DAD"/>
    <w:rsid w:val="00C21231"/>
    <w:rsid w:val="00C233AC"/>
    <w:rsid w:val="00C2390E"/>
    <w:rsid w:val="00C23EFC"/>
    <w:rsid w:val="00C243E0"/>
    <w:rsid w:val="00C255A4"/>
    <w:rsid w:val="00C25914"/>
    <w:rsid w:val="00C263D3"/>
    <w:rsid w:val="00C26AC4"/>
    <w:rsid w:val="00C27AFC"/>
    <w:rsid w:val="00C27BD6"/>
    <w:rsid w:val="00C30B35"/>
    <w:rsid w:val="00C31DF2"/>
    <w:rsid w:val="00C334FE"/>
    <w:rsid w:val="00C33B92"/>
    <w:rsid w:val="00C343EC"/>
    <w:rsid w:val="00C3518D"/>
    <w:rsid w:val="00C367F0"/>
    <w:rsid w:val="00C36FF0"/>
    <w:rsid w:val="00C37281"/>
    <w:rsid w:val="00C41517"/>
    <w:rsid w:val="00C423A7"/>
    <w:rsid w:val="00C431FF"/>
    <w:rsid w:val="00C43456"/>
    <w:rsid w:val="00C4499D"/>
    <w:rsid w:val="00C44A84"/>
    <w:rsid w:val="00C44CC0"/>
    <w:rsid w:val="00C44CFE"/>
    <w:rsid w:val="00C4530C"/>
    <w:rsid w:val="00C52455"/>
    <w:rsid w:val="00C53C7A"/>
    <w:rsid w:val="00C564BE"/>
    <w:rsid w:val="00C572CD"/>
    <w:rsid w:val="00C5748B"/>
    <w:rsid w:val="00C57EBF"/>
    <w:rsid w:val="00C60F2D"/>
    <w:rsid w:val="00C6314F"/>
    <w:rsid w:val="00C64A6C"/>
    <w:rsid w:val="00C650DA"/>
    <w:rsid w:val="00C65404"/>
    <w:rsid w:val="00C65500"/>
    <w:rsid w:val="00C661E3"/>
    <w:rsid w:val="00C66241"/>
    <w:rsid w:val="00C67E26"/>
    <w:rsid w:val="00C7073C"/>
    <w:rsid w:val="00C72894"/>
    <w:rsid w:val="00C741AF"/>
    <w:rsid w:val="00C75F13"/>
    <w:rsid w:val="00C762EF"/>
    <w:rsid w:val="00C766F1"/>
    <w:rsid w:val="00C771B0"/>
    <w:rsid w:val="00C77F62"/>
    <w:rsid w:val="00C8084D"/>
    <w:rsid w:val="00C827F5"/>
    <w:rsid w:val="00C8399F"/>
    <w:rsid w:val="00C83D9C"/>
    <w:rsid w:val="00C840D4"/>
    <w:rsid w:val="00C84432"/>
    <w:rsid w:val="00C848C4"/>
    <w:rsid w:val="00C85784"/>
    <w:rsid w:val="00C86066"/>
    <w:rsid w:val="00C8663C"/>
    <w:rsid w:val="00C86DF7"/>
    <w:rsid w:val="00C873E6"/>
    <w:rsid w:val="00C879AD"/>
    <w:rsid w:val="00C90598"/>
    <w:rsid w:val="00C9192C"/>
    <w:rsid w:val="00C91CB3"/>
    <w:rsid w:val="00C91FF5"/>
    <w:rsid w:val="00C933B0"/>
    <w:rsid w:val="00C940AE"/>
    <w:rsid w:val="00C941B6"/>
    <w:rsid w:val="00C948D3"/>
    <w:rsid w:val="00C949C1"/>
    <w:rsid w:val="00C94B9B"/>
    <w:rsid w:val="00C950F5"/>
    <w:rsid w:val="00C95E7C"/>
    <w:rsid w:val="00C967E1"/>
    <w:rsid w:val="00C9689E"/>
    <w:rsid w:val="00C9768C"/>
    <w:rsid w:val="00C97705"/>
    <w:rsid w:val="00CA0D7F"/>
    <w:rsid w:val="00CA10DF"/>
    <w:rsid w:val="00CA13EC"/>
    <w:rsid w:val="00CA1732"/>
    <w:rsid w:val="00CA1991"/>
    <w:rsid w:val="00CA1CE7"/>
    <w:rsid w:val="00CA26FC"/>
    <w:rsid w:val="00CA4123"/>
    <w:rsid w:val="00CA4688"/>
    <w:rsid w:val="00CA4966"/>
    <w:rsid w:val="00CA4A7E"/>
    <w:rsid w:val="00CA5454"/>
    <w:rsid w:val="00CA66B4"/>
    <w:rsid w:val="00CA75CF"/>
    <w:rsid w:val="00CA793A"/>
    <w:rsid w:val="00CA7A12"/>
    <w:rsid w:val="00CB039E"/>
    <w:rsid w:val="00CB0CEA"/>
    <w:rsid w:val="00CB0F78"/>
    <w:rsid w:val="00CB363C"/>
    <w:rsid w:val="00CB39E8"/>
    <w:rsid w:val="00CB4D1D"/>
    <w:rsid w:val="00CB5A8B"/>
    <w:rsid w:val="00CB5F0F"/>
    <w:rsid w:val="00CB6593"/>
    <w:rsid w:val="00CB7593"/>
    <w:rsid w:val="00CC04EF"/>
    <w:rsid w:val="00CC0648"/>
    <w:rsid w:val="00CC07B1"/>
    <w:rsid w:val="00CC3533"/>
    <w:rsid w:val="00CC35BE"/>
    <w:rsid w:val="00CC3B4D"/>
    <w:rsid w:val="00CC42F0"/>
    <w:rsid w:val="00CC4E29"/>
    <w:rsid w:val="00CC6024"/>
    <w:rsid w:val="00CC74A5"/>
    <w:rsid w:val="00CC7BDF"/>
    <w:rsid w:val="00CD04E1"/>
    <w:rsid w:val="00CD05D9"/>
    <w:rsid w:val="00CD05E5"/>
    <w:rsid w:val="00CD1484"/>
    <w:rsid w:val="00CD17F2"/>
    <w:rsid w:val="00CD18F3"/>
    <w:rsid w:val="00CD1C15"/>
    <w:rsid w:val="00CD36BB"/>
    <w:rsid w:val="00CD4853"/>
    <w:rsid w:val="00CD5F4D"/>
    <w:rsid w:val="00CD5F60"/>
    <w:rsid w:val="00CD7EF2"/>
    <w:rsid w:val="00CE1138"/>
    <w:rsid w:val="00CE128C"/>
    <w:rsid w:val="00CE164C"/>
    <w:rsid w:val="00CE18E3"/>
    <w:rsid w:val="00CE231A"/>
    <w:rsid w:val="00CE39FB"/>
    <w:rsid w:val="00CE5B71"/>
    <w:rsid w:val="00CE6077"/>
    <w:rsid w:val="00CE776F"/>
    <w:rsid w:val="00CF0415"/>
    <w:rsid w:val="00CF075C"/>
    <w:rsid w:val="00CF09F2"/>
    <w:rsid w:val="00CF0CAB"/>
    <w:rsid w:val="00CF27C0"/>
    <w:rsid w:val="00CF4870"/>
    <w:rsid w:val="00CF4B28"/>
    <w:rsid w:val="00CF4D0D"/>
    <w:rsid w:val="00CF5F01"/>
    <w:rsid w:val="00CF64FB"/>
    <w:rsid w:val="00CF684D"/>
    <w:rsid w:val="00CF6C05"/>
    <w:rsid w:val="00CF70C9"/>
    <w:rsid w:val="00CF72C1"/>
    <w:rsid w:val="00CF75F0"/>
    <w:rsid w:val="00D00C15"/>
    <w:rsid w:val="00D029F9"/>
    <w:rsid w:val="00D03176"/>
    <w:rsid w:val="00D03C9C"/>
    <w:rsid w:val="00D03F46"/>
    <w:rsid w:val="00D05AA4"/>
    <w:rsid w:val="00D06485"/>
    <w:rsid w:val="00D06DAB"/>
    <w:rsid w:val="00D10906"/>
    <w:rsid w:val="00D10E39"/>
    <w:rsid w:val="00D11C14"/>
    <w:rsid w:val="00D126B8"/>
    <w:rsid w:val="00D13BAB"/>
    <w:rsid w:val="00D141BC"/>
    <w:rsid w:val="00D16538"/>
    <w:rsid w:val="00D1689B"/>
    <w:rsid w:val="00D17B6C"/>
    <w:rsid w:val="00D17E67"/>
    <w:rsid w:val="00D209CB"/>
    <w:rsid w:val="00D2225A"/>
    <w:rsid w:val="00D22CF2"/>
    <w:rsid w:val="00D234C9"/>
    <w:rsid w:val="00D24705"/>
    <w:rsid w:val="00D24B67"/>
    <w:rsid w:val="00D25DB3"/>
    <w:rsid w:val="00D26153"/>
    <w:rsid w:val="00D27892"/>
    <w:rsid w:val="00D27D02"/>
    <w:rsid w:val="00D31547"/>
    <w:rsid w:val="00D321A8"/>
    <w:rsid w:val="00D32CCD"/>
    <w:rsid w:val="00D33EFC"/>
    <w:rsid w:val="00D3465B"/>
    <w:rsid w:val="00D366D3"/>
    <w:rsid w:val="00D3684B"/>
    <w:rsid w:val="00D3791D"/>
    <w:rsid w:val="00D3791F"/>
    <w:rsid w:val="00D412FA"/>
    <w:rsid w:val="00D41631"/>
    <w:rsid w:val="00D4229D"/>
    <w:rsid w:val="00D44E07"/>
    <w:rsid w:val="00D453B5"/>
    <w:rsid w:val="00D465E4"/>
    <w:rsid w:val="00D467D4"/>
    <w:rsid w:val="00D47A74"/>
    <w:rsid w:val="00D501AF"/>
    <w:rsid w:val="00D513CC"/>
    <w:rsid w:val="00D523F4"/>
    <w:rsid w:val="00D525D0"/>
    <w:rsid w:val="00D526BF"/>
    <w:rsid w:val="00D527FE"/>
    <w:rsid w:val="00D52B4B"/>
    <w:rsid w:val="00D531CB"/>
    <w:rsid w:val="00D5389E"/>
    <w:rsid w:val="00D54687"/>
    <w:rsid w:val="00D54CF2"/>
    <w:rsid w:val="00D54EDC"/>
    <w:rsid w:val="00D5553C"/>
    <w:rsid w:val="00D55E0A"/>
    <w:rsid w:val="00D56870"/>
    <w:rsid w:val="00D5719D"/>
    <w:rsid w:val="00D571EA"/>
    <w:rsid w:val="00D5753A"/>
    <w:rsid w:val="00D57B15"/>
    <w:rsid w:val="00D60146"/>
    <w:rsid w:val="00D60969"/>
    <w:rsid w:val="00D60E88"/>
    <w:rsid w:val="00D60F63"/>
    <w:rsid w:val="00D633AF"/>
    <w:rsid w:val="00D6370E"/>
    <w:rsid w:val="00D63B47"/>
    <w:rsid w:val="00D645BE"/>
    <w:rsid w:val="00D65525"/>
    <w:rsid w:val="00D65529"/>
    <w:rsid w:val="00D66A29"/>
    <w:rsid w:val="00D6708C"/>
    <w:rsid w:val="00D676C2"/>
    <w:rsid w:val="00D67DC6"/>
    <w:rsid w:val="00D702DC"/>
    <w:rsid w:val="00D70589"/>
    <w:rsid w:val="00D70747"/>
    <w:rsid w:val="00D70E1E"/>
    <w:rsid w:val="00D727F5"/>
    <w:rsid w:val="00D73305"/>
    <w:rsid w:val="00D763DC"/>
    <w:rsid w:val="00D76BBF"/>
    <w:rsid w:val="00D77F28"/>
    <w:rsid w:val="00D80DCE"/>
    <w:rsid w:val="00D8223D"/>
    <w:rsid w:val="00D8264D"/>
    <w:rsid w:val="00D82D69"/>
    <w:rsid w:val="00D83780"/>
    <w:rsid w:val="00D83D94"/>
    <w:rsid w:val="00D849FE"/>
    <w:rsid w:val="00D8526B"/>
    <w:rsid w:val="00D8682A"/>
    <w:rsid w:val="00D86C95"/>
    <w:rsid w:val="00D87015"/>
    <w:rsid w:val="00D87B29"/>
    <w:rsid w:val="00D90D7E"/>
    <w:rsid w:val="00D91AE1"/>
    <w:rsid w:val="00D932F9"/>
    <w:rsid w:val="00D947C3"/>
    <w:rsid w:val="00D94AB2"/>
    <w:rsid w:val="00D94B0E"/>
    <w:rsid w:val="00DA09F2"/>
    <w:rsid w:val="00DA0F36"/>
    <w:rsid w:val="00DA1989"/>
    <w:rsid w:val="00DA6B6D"/>
    <w:rsid w:val="00DA6CDA"/>
    <w:rsid w:val="00DA70A7"/>
    <w:rsid w:val="00DB1C88"/>
    <w:rsid w:val="00DB3079"/>
    <w:rsid w:val="00DB3698"/>
    <w:rsid w:val="00DB3E53"/>
    <w:rsid w:val="00DB408D"/>
    <w:rsid w:val="00DB4C57"/>
    <w:rsid w:val="00DB5FFE"/>
    <w:rsid w:val="00DB60DF"/>
    <w:rsid w:val="00DB6C73"/>
    <w:rsid w:val="00DB7370"/>
    <w:rsid w:val="00DC0C31"/>
    <w:rsid w:val="00DC3E5A"/>
    <w:rsid w:val="00DC4370"/>
    <w:rsid w:val="00DC52A5"/>
    <w:rsid w:val="00DC580A"/>
    <w:rsid w:val="00DC69F5"/>
    <w:rsid w:val="00DD0734"/>
    <w:rsid w:val="00DD265E"/>
    <w:rsid w:val="00DD2E08"/>
    <w:rsid w:val="00DD4864"/>
    <w:rsid w:val="00DD54E6"/>
    <w:rsid w:val="00DD5BB9"/>
    <w:rsid w:val="00DD679A"/>
    <w:rsid w:val="00DD67CE"/>
    <w:rsid w:val="00DD77D3"/>
    <w:rsid w:val="00DD7CC5"/>
    <w:rsid w:val="00DE1463"/>
    <w:rsid w:val="00DF0ED5"/>
    <w:rsid w:val="00DF107F"/>
    <w:rsid w:val="00DF3A20"/>
    <w:rsid w:val="00DF4521"/>
    <w:rsid w:val="00DF46D0"/>
    <w:rsid w:val="00DF72A5"/>
    <w:rsid w:val="00DF74D0"/>
    <w:rsid w:val="00DF7C65"/>
    <w:rsid w:val="00E005B6"/>
    <w:rsid w:val="00E0088F"/>
    <w:rsid w:val="00E00A16"/>
    <w:rsid w:val="00E01109"/>
    <w:rsid w:val="00E01E65"/>
    <w:rsid w:val="00E02BC5"/>
    <w:rsid w:val="00E02D32"/>
    <w:rsid w:val="00E04019"/>
    <w:rsid w:val="00E04E9E"/>
    <w:rsid w:val="00E05F2F"/>
    <w:rsid w:val="00E06337"/>
    <w:rsid w:val="00E07859"/>
    <w:rsid w:val="00E10304"/>
    <w:rsid w:val="00E109E6"/>
    <w:rsid w:val="00E10B68"/>
    <w:rsid w:val="00E11F63"/>
    <w:rsid w:val="00E124AD"/>
    <w:rsid w:val="00E124EA"/>
    <w:rsid w:val="00E14BA2"/>
    <w:rsid w:val="00E15B7C"/>
    <w:rsid w:val="00E15D0B"/>
    <w:rsid w:val="00E15F9C"/>
    <w:rsid w:val="00E20CB7"/>
    <w:rsid w:val="00E221AE"/>
    <w:rsid w:val="00E22CB9"/>
    <w:rsid w:val="00E22D20"/>
    <w:rsid w:val="00E24028"/>
    <w:rsid w:val="00E3010E"/>
    <w:rsid w:val="00E3025D"/>
    <w:rsid w:val="00E309AA"/>
    <w:rsid w:val="00E30A23"/>
    <w:rsid w:val="00E30E1D"/>
    <w:rsid w:val="00E319B9"/>
    <w:rsid w:val="00E31CBC"/>
    <w:rsid w:val="00E32362"/>
    <w:rsid w:val="00E332F3"/>
    <w:rsid w:val="00E33B17"/>
    <w:rsid w:val="00E348D6"/>
    <w:rsid w:val="00E35995"/>
    <w:rsid w:val="00E378B0"/>
    <w:rsid w:val="00E37BAD"/>
    <w:rsid w:val="00E37D55"/>
    <w:rsid w:val="00E4181F"/>
    <w:rsid w:val="00E418E7"/>
    <w:rsid w:val="00E41E55"/>
    <w:rsid w:val="00E42166"/>
    <w:rsid w:val="00E440E7"/>
    <w:rsid w:val="00E4467D"/>
    <w:rsid w:val="00E46219"/>
    <w:rsid w:val="00E464A4"/>
    <w:rsid w:val="00E46689"/>
    <w:rsid w:val="00E46A31"/>
    <w:rsid w:val="00E46FB9"/>
    <w:rsid w:val="00E4714C"/>
    <w:rsid w:val="00E47E63"/>
    <w:rsid w:val="00E506F7"/>
    <w:rsid w:val="00E527B6"/>
    <w:rsid w:val="00E53D93"/>
    <w:rsid w:val="00E54050"/>
    <w:rsid w:val="00E54238"/>
    <w:rsid w:val="00E549FD"/>
    <w:rsid w:val="00E55148"/>
    <w:rsid w:val="00E55F8D"/>
    <w:rsid w:val="00E60706"/>
    <w:rsid w:val="00E612AE"/>
    <w:rsid w:val="00E61555"/>
    <w:rsid w:val="00E64B16"/>
    <w:rsid w:val="00E651BB"/>
    <w:rsid w:val="00E65993"/>
    <w:rsid w:val="00E6752A"/>
    <w:rsid w:val="00E6780A"/>
    <w:rsid w:val="00E70204"/>
    <w:rsid w:val="00E71515"/>
    <w:rsid w:val="00E725D2"/>
    <w:rsid w:val="00E72B1B"/>
    <w:rsid w:val="00E736CF"/>
    <w:rsid w:val="00E7502F"/>
    <w:rsid w:val="00E75AF2"/>
    <w:rsid w:val="00E75CB2"/>
    <w:rsid w:val="00E762B4"/>
    <w:rsid w:val="00E763B3"/>
    <w:rsid w:val="00E76B68"/>
    <w:rsid w:val="00E8003A"/>
    <w:rsid w:val="00E80ACE"/>
    <w:rsid w:val="00E817F4"/>
    <w:rsid w:val="00E8193F"/>
    <w:rsid w:val="00E8467E"/>
    <w:rsid w:val="00E846F0"/>
    <w:rsid w:val="00E85223"/>
    <w:rsid w:val="00E85697"/>
    <w:rsid w:val="00E8587D"/>
    <w:rsid w:val="00E868DF"/>
    <w:rsid w:val="00E87294"/>
    <w:rsid w:val="00E8786F"/>
    <w:rsid w:val="00E90466"/>
    <w:rsid w:val="00E90C00"/>
    <w:rsid w:val="00E9143E"/>
    <w:rsid w:val="00E9227B"/>
    <w:rsid w:val="00E924FD"/>
    <w:rsid w:val="00E940DE"/>
    <w:rsid w:val="00E943BE"/>
    <w:rsid w:val="00E946EF"/>
    <w:rsid w:val="00E950E1"/>
    <w:rsid w:val="00E952EA"/>
    <w:rsid w:val="00E954C1"/>
    <w:rsid w:val="00E95912"/>
    <w:rsid w:val="00E97570"/>
    <w:rsid w:val="00E97EB5"/>
    <w:rsid w:val="00EA0885"/>
    <w:rsid w:val="00EA1A00"/>
    <w:rsid w:val="00EA2255"/>
    <w:rsid w:val="00EA3B55"/>
    <w:rsid w:val="00EA5D98"/>
    <w:rsid w:val="00EA77C0"/>
    <w:rsid w:val="00EA7E75"/>
    <w:rsid w:val="00EB06B5"/>
    <w:rsid w:val="00EB0772"/>
    <w:rsid w:val="00EB122E"/>
    <w:rsid w:val="00EB1EA4"/>
    <w:rsid w:val="00EB3C32"/>
    <w:rsid w:val="00EB4280"/>
    <w:rsid w:val="00EC0B09"/>
    <w:rsid w:val="00EC14F0"/>
    <w:rsid w:val="00EC337D"/>
    <w:rsid w:val="00EC38FA"/>
    <w:rsid w:val="00EC4DA0"/>
    <w:rsid w:val="00EC6D47"/>
    <w:rsid w:val="00EC7B05"/>
    <w:rsid w:val="00ED01A3"/>
    <w:rsid w:val="00ED1D12"/>
    <w:rsid w:val="00ED1F5D"/>
    <w:rsid w:val="00ED2E79"/>
    <w:rsid w:val="00ED322B"/>
    <w:rsid w:val="00ED3B79"/>
    <w:rsid w:val="00ED45D4"/>
    <w:rsid w:val="00ED5121"/>
    <w:rsid w:val="00ED6A3F"/>
    <w:rsid w:val="00ED78F8"/>
    <w:rsid w:val="00ED79FA"/>
    <w:rsid w:val="00ED7DE3"/>
    <w:rsid w:val="00EE00D0"/>
    <w:rsid w:val="00EE1100"/>
    <w:rsid w:val="00EE1BFC"/>
    <w:rsid w:val="00EE20B7"/>
    <w:rsid w:val="00EE42E9"/>
    <w:rsid w:val="00EE4E75"/>
    <w:rsid w:val="00EE688E"/>
    <w:rsid w:val="00EF03F8"/>
    <w:rsid w:val="00EF06C2"/>
    <w:rsid w:val="00EF11DA"/>
    <w:rsid w:val="00EF2533"/>
    <w:rsid w:val="00EF26CB"/>
    <w:rsid w:val="00EF2C7F"/>
    <w:rsid w:val="00EF7EA1"/>
    <w:rsid w:val="00EF7FAF"/>
    <w:rsid w:val="00F02833"/>
    <w:rsid w:val="00F029AD"/>
    <w:rsid w:val="00F0318A"/>
    <w:rsid w:val="00F04449"/>
    <w:rsid w:val="00F049EE"/>
    <w:rsid w:val="00F07951"/>
    <w:rsid w:val="00F07A4C"/>
    <w:rsid w:val="00F13355"/>
    <w:rsid w:val="00F146F1"/>
    <w:rsid w:val="00F1725E"/>
    <w:rsid w:val="00F204F0"/>
    <w:rsid w:val="00F21901"/>
    <w:rsid w:val="00F21A02"/>
    <w:rsid w:val="00F21D52"/>
    <w:rsid w:val="00F22084"/>
    <w:rsid w:val="00F22E25"/>
    <w:rsid w:val="00F23124"/>
    <w:rsid w:val="00F2379B"/>
    <w:rsid w:val="00F24AC1"/>
    <w:rsid w:val="00F24B37"/>
    <w:rsid w:val="00F24E42"/>
    <w:rsid w:val="00F24E78"/>
    <w:rsid w:val="00F256C0"/>
    <w:rsid w:val="00F25C48"/>
    <w:rsid w:val="00F2660E"/>
    <w:rsid w:val="00F27EF6"/>
    <w:rsid w:val="00F30C9F"/>
    <w:rsid w:val="00F31542"/>
    <w:rsid w:val="00F326D3"/>
    <w:rsid w:val="00F34612"/>
    <w:rsid w:val="00F34EF5"/>
    <w:rsid w:val="00F353E2"/>
    <w:rsid w:val="00F35614"/>
    <w:rsid w:val="00F36199"/>
    <w:rsid w:val="00F36B71"/>
    <w:rsid w:val="00F37704"/>
    <w:rsid w:val="00F4128E"/>
    <w:rsid w:val="00F45E05"/>
    <w:rsid w:val="00F46F6B"/>
    <w:rsid w:val="00F52915"/>
    <w:rsid w:val="00F52B52"/>
    <w:rsid w:val="00F54403"/>
    <w:rsid w:val="00F5455F"/>
    <w:rsid w:val="00F54BF9"/>
    <w:rsid w:val="00F54DAF"/>
    <w:rsid w:val="00F56A8F"/>
    <w:rsid w:val="00F57C8E"/>
    <w:rsid w:val="00F60B02"/>
    <w:rsid w:val="00F60DDE"/>
    <w:rsid w:val="00F62587"/>
    <w:rsid w:val="00F63AA6"/>
    <w:rsid w:val="00F63C7E"/>
    <w:rsid w:val="00F64AB5"/>
    <w:rsid w:val="00F64E59"/>
    <w:rsid w:val="00F65611"/>
    <w:rsid w:val="00F65660"/>
    <w:rsid w:val="00F67371"/>
    <w:rsid w:val="00F67419"/>
    <w:rsid w:val="00F70964"/>
    <w:rsid w:val="00F71BE1"/>
    <w:rsid w:val="00F7295D"/>
    <w:rsid w:val="00F72B22"/>
    <w:rsid w:val="00F732C4"/>
    <w:rsid w:val="00F73796"/>
    <w:rsid w:val="00F738ED"/>
    <w:rsid w:val="00F73B98"/>
    <w:rsid w:val="00F73D57"/>
    <w:rsid w:val="00F74552"/>
    <w:rsid w:val="00F74867"/>
    <w:rsid w:val="00F74FB9"/>
    <w:rsid w:val="00F754B9"/>
    <w:rsid w:val="00F763F6"/>
    <w:rsid w:val="00F8147D"/>
    <w:rsid w:val="00F81F02"/>
    <w:rsid w:val="00F83136"/>
    <w:rsid w:val="00F8349B"/>
    <w:rsid w:val="00F84886"/>
    <w:rsid w:val="00F84CA7"/>
    <w:rsid w:val="00F86FE3"/>
    <w:rsid w:val="00F87E76"/>
    <w:rsid w:val="00F87F15"/>
    <w:rsid w:val="00F92295"/>
    <w:rsid w:val="00F94BEF"/>
    <w:rsid w:val="00F94E67"/>
    <w:rsid w:val="00F95ADD"/>
    <w:rsid w:val="00FA0D66"/>
    <w:rsid w:val="00FA46B1"/>
    <w:rsid w:val="00FA4A78"/>
    <w:rsid w:val="00FA4B78"/>
    <w:rsid w:val="00FA4C8C"/>
    <w:rsid w:val="00FA5398"/>
    <w:rsid w:val="00FA5740"/>
    <w:rsid w:val="00FA5783"/>
    <w:rsid w:val="00FA5C89"/>
    <w:rsid w:val="00FA5ECD"/>
    <w:rsid w:val="00FA6739"/>
    <w:rsid w:val="00FB0049"/>
    <w:rsid w:val="00FB1026"/>
    <w:rsid w:val="00FB1C55"/>
    <w:rsid w:val="00FB2526"/>
    <w:rsid w:val="00FB27C2"/>
    <w:rsid w:val="00FB3A00"/>
    <w:rsid w:val="00FB3CF6"/>
    <w:rsid w:val="00FB6B80"/>
    <w:rsid w:val="00FB6B99"/>
    <w:rsid w:val="00FC02C9"/>
    <w:rsid w:val="00FC0A62"/>
    <w:rsid w:val="00FC12FD"/>
    <w:rsid w:val="00FC168B"/>
    <w:rsid w:val="00FC18AC"/>
    <w:rsid w:val="00FC2737"/>
    <w:rsid w:val="00FC2921"/>
    <w:rsid w:val="00FC4221"/>
    <w:rsid w:val="00FD077F"/>
    <w:rsid w:val="00FD0808"/>
    <w:rsid w:val="00FD1561"/>
    <w:rsid w:val="00FD2972"/>
    <w:rsid w:val="00FD3852"/>
    <w:rsid w:val="00FD48A0"/>
    <w:rsid w:val="00FD58E8"/>
    <w:rsid w:val="00FD6163"/>
    <w:rsid w:val="00FD6E98"/>
    <w:rsid w:val="00FE0645"/>
    <w:rsid w:val="00FE2D1E"/>
    <w:rsid w:val="00FE3340"/>
    <w:rsid w:val="00FE33AD"/>
    <w:rsid w:val="00FE3621"/>
    <w:rsid w:val="00FE580A"/>
    <w:rsid w:val="00FE61A4"/>
    <w:rsid w:val="00FE6C84"/>
    <w:rsid w:val="00FE6E74"/>
    <w:rsid w:val="00FF237B"/>
    <w:rsid w:val="00FF3030"/>
    <w:rsid w:val="00FF37A6"/>
    <w:rsid w:val="00FF3FA2"/>
    <w:rsid w:val="00FF5133"/>
    <w:rsid w:val="00FF5387"/>
    <w:rsid w:val="00FF5C36"/>
    <w:rsid w:val="00FF658B"/>
    <w:rsid w:val="00FF6747"/>
    <w:rsid w:val="00FF68B4"/>
    <w:rsid w:val="00FF6AD5"/>
    <w:rsid w:val="00FF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5BF30"/>
  <w15:chartTrackingRefBased/>
  <w15:docId w15:val="{375F3CB2-DD7A-47B5-AFA9-1CC4DBA4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1BAE"/>
    <w:pPr>
      <w:spacing w:after="0" w:line="240" w:lineRule="auto"/>
      <w:jc w:val="center"/>
      <w:outlineLvl w:val="0"/>
    </w:pPr>
    <w:rPr>
      <w:rFonts w:cs="Arial"/>
      <w:b/>
      <w:bCs/>
      <w:sz w:val="22"/>
      <w:szCs w:val="22"/>
    </w:rPr>
  </w:style>
  <w:style w:type="paragraph" w:styleId="Heading2">
    <w:name w:val="heading 2"/>
    <w:basedOn w:val="Normal"/>
    <w:next w:val="Normal"/>
    <w:link w:val="Heading2Char"/>
    <w:uiPriority w:val="9"/>
    <w:unhideWhenUsed/>
    <w:qFormat/>
    <w:rsid w:val="006A1BAE"/>
    <w:pPr>
      <w:spacing w:after="0" w:line="240" w:lineRule="auto"/>
      <w:ind w:left="1440" w:hanging="1440"/>
      <w:outlineLvl w:val="1"/>
    </w:pPr>
    <w:rPr>
      <w:rFonts w:cs="Arial"/>
      <w:b/>
      <w:bCs/>
      <w:sz w:val="22"/>
      <w:szCs w:val="22"/>
    </w:rPr>
  </w:style>
  <w:style w:type="paragraph" w:styleId="Heading3">
    <w:name w:val="heading 3"/>
    <w:basedOn w:val="Normal"/>
    <w:next w:val="Normal"/>
    <w:link w:val="Heading3Char"/>
    <w:uiPriority w:val="9"/>
    <w:unhideWhenUsed/>
    <w:qFormat/>
    <w:rsid w:val="00376392"/>
    <w:pPr>
      <w:spacing w:after="0" w:line="240" w:lineRule="auto"/>
      <w:jc w:val="both"/>
      <w:outlineLvl w:val="2"/>
    </w:pPr>
    <w:rPr>
      <w:rFonts w:cs="Arial"/>
      <w:sz w:val="22"/>
      <w:szCs w:val="22"/>
    </w:rPr>
  </w:style>
  <w:style w:type="paragraph" w:styleId="Heading4">
    <w:name w:val="heading 4"/>
    <w:basedOn w:val="ListParagraph"/>
    <w:next w:val="Normal"/>
    <w:link w:val="Heading4Char"/>
    <w:uiPriority w:val="9"/>
    <w:unhideWhenUsed/>
    <w:qFormat/>
    <w:rsid w:val="00153B38"/>
    <w:pPr>
      <w:numPr>
        <w:numId w:val="32"/>
      </w:numPr>
      <w:spacing w:after="0" w:line="240" w:lineRule="auto"/>
      <w:jc w:val="both"/>
      <w:outlineLvl w:val="3"/>
    </w:pPr>
    <w:rPr>
      <w:rFonts w:cs="Arial"/>
      <w:sz w:val="22"/>
      <w:szCs w:val="22"/>
      <w:u w:val="single"/>
    </w:rPr>
  </w:style>
  <w:style w:type="paragraph" w:styleId="Heading5">
    <w:name w:val="heading 5"/>
    <w:basedOn w:val="Normal"/>
    <w:next w:val="Normal"/>
    <w:link w:val="Heading5Char"/>
    <w:uiPriority w:val="9"/>
    <w:semiHidden/>
    <w:unhideWhenUsed/>
    <w:qFormat/>
    <w:rsid w:val="00A70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70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BAE"/>
    <w:rPr>
      <w:rFonts w:cs="Arial"/>
      <w:b/>
      <w:bCs/>
      <w:sz w:val="22"/>
      <w:szCs w:val="22"/>
    </w:rPr>
  </w:style>
  <w:style w:type="character" w:customStyle="1" w:styleId="Heading2Char">
    <w:name w:val="Heading 2 Char"/>
    <w:basedOn w:val="DefaultParagraphFont"/>
    <w:link w:val="Heading2"/>
    <w:uiPriority w:val="9"/>
    <w:rsid w:val="006A1BAE"/>
    <w:rPr>
      <w:rFonts w:cs="Arial"/>
      <w:b/>
      <w:bCs/>
      <w:sz w:val="22"/>
      <w:szCs w:val="22"/>
    </w:rPr>
  </w:style>
  <w:style w:type="character" w:customStyle="1" w:styleId="Heading3Char">
    <w:name w:val="Heading 3 Char"/>
    <w:basedOn w:val="DefaultParagraphFont"/>
    <w:link w:val="Heading3"/>
    <w:uiPriority w:val="9"/>
    <w:rsid w:val="00376392"/>
    <w:rPr>
      <w:rFonts w:cs="Arial"/>
      <w:sz w:val="22"/>
      <w:szCs w:val="22"/>
    </w:rPr>
  </w:style>
  <w:style w:type="character" w:customStyle="1" w:styleId="Heading4Char">
    <w:name w:val="Heading 4 Char"/>
    <w:basedOn w:val="DefaultParagraphFont"/>
    <w:link w:val="Heading4"/>
    <w:uiPriority w:val="9"/>
    <w:rsid w:val="00153B38"/>
    <w:rPr>
      <w:rFonts w:cs="Arial"/>
      <w:sz w:val="22"/>
      <w:szCs w:val="22"/>
      <w:u w:val="single"/>
    </w:rPr>
  </w:style>
  <w:style w:type="character" w:customStyle="1" w:styleId="Heading5Char">
    <w:name w:val="Heading 5 Char"/>
    <w:basedOn w:val="DefaultParagraphFont"/>
    <w:link w:val="Heading5"/>
    <w:uiPriority w:val="9"/>
    <w:semiHidden/>
    <w:rsid w:val="00A70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70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BF0"/>
    <w:rPr>
      <w:rFonts w:eastAsiaTheme="majorEastAsia" w:cstheme="majorBidi"/>
      <w:color w:val="272727" w:themeColor="text1" w:themeTint="D8"/>
    </w:rPr>
  </w:style>
  <w:style w:type="paragraph" w:styleId="Title">
    <w:name w:val="Title"/>
    <w:basedOn w:val="Normal"/>
    <w:next w:val="Normal"/>
    <w:link w:val="TitleChar"/>
    <w:uiPriority w:val="10"/>
    <w:qFormat/>
    <w:rsid w:val="00A70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BF0"/>
    <w:pPr>
      <w:spacing w:before="160"/>
      <w:jc w:val="center"/>
    </w:pPr>
    <w:rPr>
      <w:i/>
      <w:iCs/>
      <w:color w:val="404040" w:themeColor="text1" w:themeTint="BF"/>
    </w:rPr>
  </w:style>
  <w:style w:type="character" w:customStyle="1" w:styleId="QuoteChar">
    <w:name w:val="Quote Char"/>
    <w:basedOn w:val="DefaultParagraphFont"/>
    <w:link w:val="Quote"/>
    <w:uiPriority w:val="29"/>
    <w:rsid w:val="00A70BF0"/>
    <w:rPr>
      <w:i/>
      <w:iCs/>
      <w:color w:val="404040" w:themeColor="text1" w:themeTint="BF"/>
    </w:rPr>
  </w:style>
  <w:style w:type="paragraph" w:styleId="ListParagraph">
    <w:name w:val="List Paragraph"/>
    <w:basedOn w:val="Normal"/>
    <w:uiPriority w:val="34"/>
    <w:qFormat/>
    <w:rsid w:val="00A70BF0"/>
    <w:pPr>
      <w:ind w:left="720"/>
      <w:contextualSpacing/>
    </w:pPr>
  </w:style>
  <w:style w:type="character" w:styleId="IntenseEmphasis">
    <w:name w:val="Intense Emphasis"/>
    <w:basedOn w:val="DefaultParagraphFont"/>
    <w:uiPriority w:val="21"/>
    <w:qFormat/>
    <w:rsid w:val="00A70BF0"/>
    <w:rPr>
      <w:i/>
      <w:iCs/>
      <w:color w:val="0F4761" w:themeColor="accent1" w:themeShade="BF"/>
    </w:rPr>
  </w:style>
  <w:style w:type="paragraph" w:styleId="IntenseQuote">
    <w:name w:val="Intense Quote"/>
    <w:basedOn w:val="Normal"/>
    <w:next w:val="Normal"/>
    <w:link w:val="IntenseQuoteChar"/>
    <w:uiPriority w:val="30"/>
    <w:qFormat/>
    <w:rsid w:val="00A70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BF0"/>
    <w:rPr>
      <w:i/>
      <w:iCs/>
      <w:color w:val="0F4761" w:themeColor="accent1" w:themeShade="BF"/>
    </w:rPr>
  </w:style>
  <w:style w:type="character" w:styleId="IntenseReference">
    <w:name w:val="Intense Reference"/>
    <w:basedOn w:val="DefaultParagraphFont"/>
    <w:uiPriority w:val="32"/>
    <w:qFormat/>
    <w:rsid w:val="00A70BF0"/>
    <w:rPr>
      <w:b/>
      <w:bCs/>
      <w:smallCaps/>
      <w:color w:val="0F4761" w:themeColor="accent1" w:themeShade="BF"/>
      <w:spacing w:val="5"/>
    </w:rPr>
  </w:style>
  <w:style w:type="paragraph" w:styleId="Revision">
    <w:name w:val="Revision"/>
    <w:hidden/>
    <w:uiPriority w:val="99"/>
    <w:semiHidden/>
    <w:rsid w:val="008F0242"/>
    <w:pPr>
      <w:spacing w:after="0" w:line="240" w:lineRule="auto"/>
    </w:pPr>
  </w:style>
  <w:style w:type="paragraph" w:customStyle="1" w:styleId="DocID">
    <w:name w:val="DocID"/>
    <w:basedOn w:val="Footer"/>
    <w:next w:val="Footer"/>
    <w:link w:val="DocIDChar"/>
    <w:rsid w:val="00F4128E"/>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F4128E"/>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F41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8E"/>
  </w:style>
  <w:style w:type="paragraph" w:styleId="Header">
    <w:name w:val="header"/>
    <w:basedOn w:val="Normal"/>
    <w:link w:val="HeaderChar"/>
    <w:uiPriority w:val="99"/>
    <w:unhideWhenUsed/>
    <w:rsid w:val="00F41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8E"/>
  </w:style>
  <w:style w:type="paragraph" w:styleId="NormalWeb">
    <w:name w:val="Normal (Web)"/>
    <w:basedOn w:val="Normal"/>
    <w:uiPriority w:val="99"/>
    <w:semiHidden/>
    <w:unhideWhenUsed/>
    <w:rsid w:val="00DA09F2"/>
    <w:rPr>
      <w:rFonts w:ascii="Times New Roman" w:hAnsi="Times New Roman" w:cs="Times New Roman"/>
    </w:rPr>
  </w:style>
  <w:style w:type="paragraph" w:styleId="FootnoteText">
    <w:name w:val="footnote text"/>
    <w:basedOn w:val="Normal"/>
    <w:link w:val="FootnoteTextChar"/>
    <w:uiPriority w:val="99"/>
    <w:unhideWhenUsed/>
    <w:rsid w:val="00813395"/>
    <w:pPr>
      <w:spacing w:after="0" w:line="240" w:lineRule="auto"/>
    </w:pPr>
    <w:rPr>
      <w:sz w:val="20"/>
      <w:szCs w:val="20"/>
    </w:rPr>
  </w:style>
  <w:style w:type="character" w:customStyle="1" w:styleId="FootnoteTextChar">
    <w:name w:val="Footnote Text Char"/>
    <w:basedOn w:val="DefaultParagraphFont"/>
    <w:link w:val="FootnoteText"/>
    <w:uiPriority w:val="99"/>
    <w:rsid w:val="00813395"/>
    <w:rPr>
      <w:sz w:val="20"/>
      <w:szCs w:val="20"/>
    </w:rPr>
  </w:style>
  <w:style w:type="character" w:styleId="FootnoteReference">
    <w:name w:val="footnote reference"/>
    <w:basedOn w:val="DefaultParagraphFont"/>
    <w:uiPriority w:val="99"/>
    <w:semiHidden/>
    <w:unhideWhenUsed/>
    <w:rsid w:val="00813395"/>
    <w:rPr>
      <w:vertAlign w:val="superscript"/>
    </w:rPr>
  </w:style>
  <w:style w:type="character" w:styleId="Hyperlink">
    <w:name w:val="Hyperlink"/>
    <w:basedOn w:val="DefaultParagraphFont"/>
    <w:uiPriority w:val="99"/>
    <w:unhideWhenUsed/>
    <w:rsid w:val="00807EFE"/>
    <w:rPr>
      <w:color w:val="467886" w:themeColor="hyperlink"/>
      <w:u w:val="single"/>
    </w:rPr>
  </w:style>
  <w:style w:type="character" w:customStyle="1" w:styleId="UnresolvedMention1">
    <w:name w:val="Unresolved Mention1"/>
    <w:basedOn w:val="DefaultParagraphFont"/>
    <w:uiPriority w:val="99"/>
    <w:semiHidden/>
    <w:unhideWhenUsed/>
    <w:rsid w:val="00807EFE"/>
    <w:rPr>
      <w:color w:val="605E5C"/>
      <w:shd w:val="clear" w:color="auto" w:fill="E1DFDD"/>
    </w:rPr>
  </w:style>
  <w:style w:type="character" w:styleId="FollowedHyperlink">
    <w:name w:val="FollowedHyperlink"/>
    <w:basedOn w:val="DefaultParagraphFont"/>
    <w:uiPriority w:val="99"/>
    <w:semiHidden/>
    <w:unhideWhenUsed/>
    <w:rsid w:val="0054782E"/>
    <w:rPr>
      <w:color w:val="96607D" w:themeColor="followedHyperlink"/>
      <w:u w:val="single"/>
    </w:rPr>
  </w:style>
  <w:style w:type="table" w:styleId="TableGrid">
    <w:name w:val="Table Grid"/>
    <w:basedOn w:val="TableNormal"/>
    <w:uiPriority w:val="39"/>
    <w:rsid w:val="00714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143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601D6"/>
    <w:rPr>
      <w:sz w:val="16"/>
      <w:szCs w:val="16"/>
    </w:rPr>
  </w:style>
  <w:style w:type="paragraph" w:styleId="CommentText">
    <w:name w:val="annotation text"/>
    <w:basedOn w:val="Normal"/>
    <w:link w:val="CommentTextChar"/>
    <w:uiPriority w:val="99"/>
    <w:unhideWhenUsed/>
    <w:rsid w:val="002601D6"/>
    <w:pPr>
      <w:spacing w:line="240" w:lineRule="auto"/>
    </w:pPr>
    <w:rPr>
      <w:sz w:val="20"/>
      <w:szCs w:val="20"/>
    </w:rPr>
  </w:style>
  <w:style w:type="character" w:customStyle="1" w:styleId="CommentTextChar">
    <w:name w:val="Comment Text Char"/>
    <w:basedOn w:val="DefaultParagraphFont"/>
    <w:link w:val="CommentText"/>
    <w:uiPriority w:val="99"/>
    <w:rsid w:val="002601D6"/>
    <w:rPr>
      <w:sz w:val="20"/>
      <w:szCs w:val="20"/>
    </w:rPr>
  </w:style>
  <w:style w:type="paragraph" w:styleId="CommentSubject">
    <w:name w:val="annotation subject"/>
    <w:basedOn w:val="CommentText"/>
    <w:next w:val="CommentText"/>
    <w:link w:val="CommentSubjectChar"/>
    <w:uiPriority w:val="99"/>
    <w:semiHidden/>
    <w:unhideWhenUsed/>
    <w:rsid w:val="002601D6"/>
    <w:rPr>
      <w:b/>
      <w:bCs/>
    </w:rPr>
  </w:style>
  <w:style w:type="character" w:customStyle="1" w:styleId="CommentSubjectChar">
    <w:name w:val="Comment Subject Char"/>
    <w:basedOn w:val="CommentTextChar"/>
    <w:link w:val="CommentSubject"/>
    <w:uiPriority w:val="99"/>
    <w:semiHidden/>
    <w:rsid w:val="002601D6"/>
    <w:rPr>
      <w:b/>
      <w:bCs/>
      <w:sz w:val="20"/>
      <w:szCs w:val="20"/>
    </w:rPr>
  </w:style>
  <w:style w:type="paragraph" w:styleId="BodyText">
    <w:name w:val="Body Text"/>
    <w:basedOn w:val="Normal"/>
    <w:link w:val="BodyTextChar"/>
    <w:uiPriority w:val="1"/>
    <w:qFormat/>
    <w:rsid w:val="00B62DE6"/>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B62DE6"/>
    <w:rPr>
      <w:rFonts w:ascii="Calibri" w:eastAsia="Calibri" w:hAnsi="Calibri" w:cs="Calibri"/>
      <w:kern w:val="0"/>
      <w:sz w:val="22"/>
      <w:szCs w:val="22"/>
      <w14:ligatures w14:val="none"/>
    </w:rPr>
  </w:style>
  <w:style w:type="character" w:customStyle="1" w:styleId="s1">
    <w:name w:val="s1"/>
    <w:basedOn w:val="DefaultParagraphFont"/>
    <w:rsid w:val="000B076F"/>
    <w:rPr>
      <w:rFonts w:ascii="Arial-BoldMT" w:hAnsi="Arial-BoldMT" w:hint="default"/>
      <w:b/>
      <w:bCs/>
      <w:i w:val="0"/>
      <w:iCs w:val="0"/>
      <w:sz w:val="18"/>
      <w:szCs w:val="18"/>
    </w:rPr>
  </w:style>
  <w:style w:type="table" w:styleId="GridTable4">
    <w:name w:val="Grid Table 4"/>
    <w:basedOn w:val="TableNormal"/>
    <w:uiPriority w:val="49"/>
    <w:rsid w:val="00AE2E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2EC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rsid w:val="007E37DA"/>
    <w:rPr>
      <w:color w:val="605E5C"/>
      <w:shd w:val="clear" w:color="auto" w:fill="E1DFDD"/>
    </w:rPr>
  </w:style>
  <w:style w:type="table" w:styleId="GridTable4-Accent4">
    <w:name w:val="Grid Table 4 Accent 4"/>
    <w:basedOn w:val="TableNormal"/>
    <w:uiPriority w:val="49"/>
    <w:rsid w:val="00395AD6"/>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5Dark">
    <w:name w:val="Grid Table 5 Dark"/>
    <w:basedOn w:val="TableNormal"/>
    <w:uiPriority w:val="50"/>
    <w:rsid w:val="006101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rsid w:val="009D0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urologytimes.com/view/update-on-advanced-imaging-in-prostate-cancer" TargetMode="External"/><Relationship Id="rId21" Type="http://schemas.openxmlformats.org/officeDocument/2006/relationships/hyperlink" Target="https://acsjournals.onlinelibrary.wiley.com/doi/10.3322/caac.70028" TargetMode="External"/><Relationship Id="rId42" Type="http://schemas.openxmlformats.org/officeDocument/2006/relationships/hyperlink" Target="https://www.hopkinsmedicine.org/health/conditions-and-diseases/prostate-cancer/prostate-cancer-prognosis" TargetMode="External"/><Relationship Id="rId63" Type="http://schemas.openxmlformats.org/officeDocument/2006/relationships/hyperlink" Target="https://bettercare.com/costs/pet-scan-cost" TargetMode="External"/><Relationship Id="rId84" Type="http://schemas.openxmlformats.org/officeDocument/2006/relationships/hyperlink" Target="https://www.mass.gov/determination-of-need-don" TargetMode="External"/><Relationship Id="rId138" Type="http://schemas.openxmlformats.org/officeDocument/2006/relationships/hyperlink" Target="https://www.mayoclinicproceedings.org/action/showPdf?pii=S0025-6196%2822%2900471-2" TargetMode="External"/><Relationship Id="rId159" Type="http://schemas.openxmlformats.org/officeDocument/2006/relationships/hyperlink" Target="https://pmc.ncbi.nlm.nih.gov/articles/PMC5870832/pdf/nihms881334.pdf" TargetMode="External"/><Relationship Id="rId170" Type="http://schemas.openxmlformats.org/officeDocument/2006/relationships/hyperlink" Target="https://www.massmed.org/Templates/VitalSigns.aspx?id=4294983148" TargetMode="External"/><Relationship Id="rId107" Type="http://schemas.openxmlformats.org/officeDocument/2006/relationships/hyperlink" Target="https://www.fda.gov/drugs/news-events-human-drugs/fda-approves-second-psma-targeted-pet-imaging-drug-men-prostate-cancer" TargetMode="External"/><Relationship Id="rId11" Type="http://schemas.openxmlformats.org/officeDocument/2006/relationships/hyperlink" Target="https://www.cancer.org/cancer/risk-prevention/understanding-cancer-risk/cancer-facts/cancer-facts-for-men.html" TargetMode="External"/><Relationship Id="rId32" Type="http://schemas.openxmlformats.org/officeDocument/2006/relationships/hyperlink" Target="https://donahue.umass.edu/documents/UMDI_V2024_Long-Term_Population_Projections_MCD%2C_County%2C_RPA%2C_State_Age_Sex_detail_2010-2050.xlsx" TargetMode="External"/><Relationship Id="rId53" Type="http://schemas.openxmlformats.org/officeDocument/2006/relationships/hyperlink" Target="https://masshpc.gov/publications/datapoints-series/issue-7-variation-imaging-spending" TargetMode="External"/><Relationship Id="rId74" Type="http://schemas.openxmlformats.org/officeDocument/2006/relationships/hyperlink" Target="https://masshpc.gov/publications/datapoints-series/issue-7-variation-imaging-spending" TargetMode="External"/><Relationship Id="rId128" Type="http://schemas.openxmlformats.org/officeDocument/2006/relationships/hyperlink" Target="https://www.cancer.gov/news-events/cancer-currents-blog/2020/prostate-cancer-psma-pet-ct-metastasis" TargetMode="External"/><Relationship Id="rId149" Type="http://schemas.openxmlformats.org/officeDocument/2006/relationships/hyperlink" Target="https://www.kff.org/health-costs/americans-challenges-with-health-care-costs/" TargetMode="External"/><Relationship Id="rId5" Type="http://schemas.openxmlformats.org/officeDocument/2006/relationships/hyperlink" Target="https://medlineplus.gov/ency/patientinstructions/000920.html" TargetMode="External"/><Relationship Id="rId95" Type="http://schemas.openxmlformats.org/officeDocument/2006/relationships/hyperlink" Target="https://www.cancer.org/cancer/risk-prevention/understanding-cancer-risk/cancer-facts/cancer-facts-for-men.html" TargetMode="External"/><Relationship Id="rId160" Type="http://schemas.openxmlformats.org/officeDocument/2006/relationships/hyperlink" Target="https://pmc.ncbi.nlm.nih.gov/articles/PMC5870832/pdf/nihms881334.pdf" TargetMode="External"/><Relationship Id="rId22" Type="http://schemas.openxmlformats.org/officeDocument/2006/relationships/hyperlink" Target="https://acsjournals.onlinelibrary.wiley.com/doi/10.3322/caac.70028" TargetMode="External"/><Relationship Id="rId43" Type="http://schemas.openxmlformats.org/officeDocument/2006/relationships/hyperlink" Target="https://www.cancer.org/cancer/types/prostate-cancer/detection-diagnosis-staging/survival-rates.html?" TargetMode="External"/><Relationship Id="rId64" Type="http://schemas.openxmlformats.org/officeDocument/2006/relationships/hyperlink" Target="https://bettercare.com/costs/pet-scan-cost" TargetMode="External"/><Relationship Id="rId118" Type="http://schemas.openxmlformats.org/officeDocument/2006/relationships/hyperlink" Target="https://www.urologytimes.com/view/update-on-advanced-imaging-in-prostate-cancer" TargetMode="External"/><Relationship Id="rId139" Type="http://schemas.openxmlformats.org/officeDocument/2006/relationships/hyperlink" Target="https://pmc.ncbi.nlm.nih.gov/articles/PMC10339236/pdf/main.pdf" TargetMode="External"/><Relationship Id="rId85" Type="http://schemas.openxmlformats.org/officeDocument/2006/relationships/hyperlink" Target="https://masshpc.gov/publications/datapoints-series/issue-7-variation-imaging-spending?" TargetMode="External"/><Relationship Id="rId150" Type="http://schemas.openxmlformats.org/officeDocument/2006/relationships/hyperlink" Target="https://www.kff.org/health-costs/americans-challenges-with-health-care-costs/" TargetMode="External"/><Relationship Id="rId171" Type="http://schemas.openxmlformats.org/officeDocument/2006/relationships/hyperlink" Target="https://www.mass.gov/info-details/social-determinants-of-health" TargetMode="External"/><Relationship Id="rId12" Type="http://schemas.openxmlformats.org/officeDocument/2006/relationships/hyperlink" Target="https://www.cancer.org/cancer/risk-prevention/understanding-cancer-risk/cancer-facts/cancer-facts-for-men.html" TargetMode="External"/><Relationship Id="rId33" Type="http://schemas.openxmlformats.org/officeDocument/2006/relationships/hyperlink" Target="https://www.cancer.org/cancer/types/prostate-cancer/about/key-statistics.html" TargetMode="External"/><Relationship Id="rId108" Type="http://schemas.openxmlformats.org/officeDocument/2006/relationships/hyperlink" Target="https://www.fda.gov/drugs/news-events-human-drugs/fda-approves-second-psma-targeted-pet-imaging-drug-men-prostate-cancer" TargetMode="External"/><Relationship Id="rId129" Type="http://schemas.openxmlformats.org/officeDocument/2006/relationships/hyperlink" Target="https://provisiondiagnosticimaging.com/psma-pet-for-recurrent-prostate-cancer-is-a-game-changer/" TargetMode="External"/><Relationship Id="rId54" Type="http://schemas.openxmlformats.org/officeDocument/2006/relationships/hyperlink" Target="https://masshpc.gov/publications/datapoints-series/issue-7-variation-imaging-spending" TargetMode="External"/><Relationship Id="rId75" Type="http://schemas.openxmlformats.org/officeDocument/2006/relationships/hyperlink" Target="https://radiologybusiness.com/topics/medical-imaging/nuclear-medicine/pet-ct/psma-pet-compared-standard-prostate-imaging" TargetMode="External"/><Relationship Id="rId96" Type="http://schemas.openxmlformats.org/officeDocument/2006/relationships/hyperlink" Target="https://www.cancer.org/cancer/risk-prevention/understanding-cancer-risk/cancer-facts/cancer-facts-for-men.html" TargetMode="External"/><Relationship Id="rId140" Type="http://schemas.openxmlformats.org/officeDocument/2006/relationships/hyperlink" Target="https://pmc.ncbi.nlm.nih.gov/articles/PMC10339236/pdf/main.pdf" TargetMode="External"/><Relationship Id="rId161" Type="http://schemas.openxmlformats.org/officeDocument/2006/relationships/hyperlink" Target="https://www.cancer.org/cancer/types/prostate-cancer/about/key-statistics.html" TargetMode="External"/><Relationship Id="rId6" Type="http://schemas.openxmlformats.org/officeDocument/2006/relationships/hyperlink" Target="https://medlineplus.gov/ency/patientinstructions/000920.html" TargetMode="External"/><Relationship Id="rId23" Type="http://schemas.openxmlformats.org/officeDocument/2006/relationships/hyperlink" Target="https://donahue.umass.edu/documents/UMDI_V2024_Long-Term_Population_Projections_MCD%2C_County%2C_RPA%2C_State_Age_Sex_detail_2010-2050.xlsx" TargetMode="External"/><Relationship Id="rId28" Type="http://schemas.openxmlformats.org/officeDocument/2006/relationships/hyperlink" Target="https://www.cancer.org/cancer/types/prostate-cancer/about/key-statistics.html" TargetMode="External"/><Relationship Id="rId49" Type="http://schemas.openxmlformats.org/officeDocument/2006/relationships/hyperlink" Target="https://www.census.gov/quickfacts/fact/table/MA/RHI225224" TargetMode="External"/><Relationship Id="rId114" Type="http://schemas.openxmlformats.org/officeDocument/2006/relationships/hyperlink" Target="https://consultqd.clevelandclinic.org/advanced-imaging-accelerates-metastatic-prostate-cancer-care" TargetMode="External"/><Relationship Id="rId119" Type="http://schemas.openxmlformats.org/officeDocument/2006/relationships/hyperlink" Target="https://pmc.ncbi.nlm.nih.gov/articles/PMC10453091/pdf/diagnostics-13-02697.pdf" TargetMode="External"/><Relationship Id="rId44" Type="http://schemas.openxmlformats.org/officeDocument/2006/relationships/hyperlink" Target="https://www.cancer.org/cancer/types/prostate-cancer/detection-diagnosis-staging/survival-rates.html" TargetMode="External"/><Relationship Id="rId60" Type="http://schemas.openxmlformats.org/officeDocument/2006/relationships/hyperlink" Target="https://www.newchoicehealth.com/pet-scan/cost" TargetMode="External"/><Relationship Id="rId65" Type="http://schemas.openxmlformats.org/officeDocument/2006/relationships/hyperlink" Target="https://bettercare.com/costs/pet-scan-cost" TargetMode="External"/><Relationship Id="rId81" Type="http://schemas.openxmlformats.org/officeDocument/2006/relationships/hyperlink" Target="https://www.urologytimes.com/view/psma-pet-imaging-modalities-added-to-nccn-guidelines-for-prostate-cancer" TargetMode="External"/><Relationship Id="rId86" Type="http://schemas.openxmlformats.org/officeDocument/2006/relationships/hyperlink" Target="https://masshpc.gov/publications/datapoints-series/issue-7-variation-imaging-spending" TargetMode="External"/><Relationship Id="rId130" Type="http://schemas.openxmlformats.org/officeDocument/2006/relationships/hyperlink" Target="https://provisiondiagnosticimaging.com/psma-pet-for-recurrent-prostate-cancer-is-a-game-changer/" TargetMode="External"/><Relationship Id="rId135" Type="http://schemas.openxmlformats.org/officeDocument/2006/relationships/hyperlink" Target="https://www.cancernetwork.com/view/psma-pet-agent-flotufolastat-f-18-added-to-nccn-prostate-cancer-guidelines" TargetMode="External"/><Relationship Id="rId151" Type="http://schemas.openxmlformats.org/officeDocument/2006/relationships/hyperlink" Target="https://www.chiamass.gov/health-care-equity-dashboard" TargetMode="External"/><Relationship Id="rId156" Type="http://schemas.openxmlformats.org/officeDocument/2006/relationships/hyperlink" Target="https://www.chiamass.gov/black-and-hispanic-patients-admitted-and-return-to-the-hospital-in-higher-rates-than-others-study-finds" TargetMode="External"/><Relationship Id="rId177" Type="http://schemas.openxmlformats.org/officeDocument/2006/relationships/hyperlink" Target="https://www.cancer.org/cancer/types/prostate-cancer/detection-diagnosis-staging/survival-rates.html" TargetMode="External"/><Relationship Id="rId172" Type="http://schemas.openxmlformats.org/officeDocument/2006/relationships/hyperlink" Target="https://www.mass.gov/info-details/social-determinants-of-health" TargetMode="External"/><Relationship Id="rId13" Type="http://schemas.openxmlformats.org/officeDocument/2006/relationships/hyperlink" Target="https://doi.org/10.1038/s41598-023-35567-w" TargetMode="External"/><Relationship Id="rId18" Type="http://schemas.openxmlformats.org/officeDocument/2006/relationships/hyperlink" Target="https://health.clevelandclinic.org/men-over-40-start-seeing-a-urologist-regularly" TargetMode="External"/><Relationship Id="rId39" Type="http://schemas.openxmlformats.org/officeDocument/2006/relationships/hyperlink" Target="https://pmc.ncbi.nlm.nih.gov/articles/PMC11329981/pdf/10.1177_10732748241275389.pdf" TargetMode="External"/><Relationship Id="rId109" Type="http://schemas.openxmlformats.org/officeDocument/2006/relationships/hyperlink" Target="https://www.cancer.org/cancer/diagnosis-staging/tests/imaging-tests/nuclear-medicine-scans-for-cancer.html" TargetMode="External"/><Relationship Id="rId34" Type="http://schemas.openxmlformats.org/officeDocument/2006/relationships/hyperlink" Target="https://www.cancer.org/cancer/types/prostate-cancer/about/key-statistics.html" TargetMode="External"/><Relationship Id="rId50" Type="http://schemas.openxmlformats.org/officeDocument/2006/relationships/hyperlink" Target="https://www.census.gov/quickfacts/fact/table/MA/RHI225224" TargetMode="External"/><Relationship Id="rId55" Type="http://schemas.openxmlformats.org/officeDocument/2006/relationships/hyperlink" Target="https://masshpc.gov/publications/datapoints-series/issue-7-variation-imaging-spending" TargetMode="External"/><Relationship Id="rId76" Type="http://schemas.openxmlformats.org/officeDocument/2006/relationships/hyperlink" Target="https://radiologybusiness.com/topics/medical-imaging/nuclear-medicine/pet-ct/psma-pet-compared-standard-prostate-imaging" TargetMode="External"/><Relationship Id="rId97" Type="http://schemas.openxmlformats.org/officeDocument/2006/relationships/hyperlink" Target="https://cancerstatisticscenter.cancer.org/" TargetMode="External"/><Relationship Id="rId104" Type="http://schemas.openxmlformats.org/officeDocument/2006/relationships/hyperlink" Target="https://www.urologytimes.com/view/the-evolution-of-prostate-cancer-imaging-embracing-the-power-of-psma-pet-ct" TargetMode="External"/><Relationship Id="rId120" Type="http://schemas.openxmlformats.org/officeDocument/2006/relationships/hyperlink" Target="https://pmc.ncbi.nlm.nih.gov/articles/PMC10453091/pdf/diagnostics-13-02697.pdf" TargetMode="External"/><Relationship Id="rId125" Type="http://schemas.openxmlformats.org/officeDocument/2006/relationships/hyperlink" Target="https://jamanetwork.com/journals/jamanetworkopen/fullarticle/2828651" TargetMode="External"/><Relationship Id="rId141" Type="http://schemas.openxmlformats.org/officeDocument/2006/relationships/hyperlink" Target="https://link.springer.com/content/pdf/10.1186/s12875-024-02435-z.pdf" TargetMode="External"/><Relationship Id="rId146" Type="http://schemas.openxmlformats.org/officeDocument/2006/relationships/hyperlink" Target="https://pressroom.cancer.org/CancerStatisticsforAfricanAmericanandBlackPeople" TargetMode="External"/><Relationship Id="rId167" Type="http://schemas.openxmlformats.org/officeDocument/2006/relationships/hyperlink" Target="https://pmc.ncbi.nlm.nih.gov/articles/PMC2892773/pdf/yjbm_83_2_53.pdf" TargetMode="External"/><Relationship Id="rId7" Type="http://schemas.openxmlformats.org/officeDocument/2006/relationships/hyperlink" Target="https://www.aacr.org/blog/2025/05/22/what-is-a-gleason-score-for-prostate-cancer/?gad_source=1&amp;gad_campaignid=21152407190&amp;gbraid=0AAAAADrBdMRelMqos-dqI0hyU8nGHkmC-&amp;gclid=EAIaIQobChMI4am_ovjgkgMVAU5HAR00-TRyEAAYASAAEgI5rfD_BwE" TargetMode="External"/><Relationship Id="rId71" Type="http://schemas.openxmlformats.org/officeDocument/2006/relationships/hyperlink" Target="https://pmc.ncbi.nlm.nih.gov/articles/PMC4467553/" TargetMode="External"/><Relationship Id="rId92" Type="http://schemas.openxmlformats.org/officeDocument/2006/relationships/hyperlink" Target="https://www.auajournals.org/doi/10.1097/JU.0000000000003452" TargetMode="External"/><Relationship Id="rId162" Type="http://schemas.openxmlformats.org/officeDocument/2006/relationships/hyperlink" Target="https://www.cancer.org/cancer/types/prostate-cancer/about/key-statistics.html" TargetMode="External"/><Relationship Id="rId2" Type="http://schemas.openxmlformats.org/officeDocument/2006/relationships/hyperlink" Target="https://www.cdc.gov/prostate-cancer/statistics/index.html" TargetMode="External"/><Relationship Id="rId29" Type="http://schemas.openxmlformats.org/officeDocument/2006/relationships/hyperlink" Target="https://cancerstatisticscenter.cancer.org/" TargetMode="External"/><Relationship Id="rId24" Type="http://schemas.openxmlformats.org/officeDocument/2006/relationships/hyperlink" Target="https://donahue.umass.edu/documents/UMDI_V2024_Long-Term_Population_Projections_MCD%2C_County%2C_RPA%2C_State_Age_Sex_detail_2010-2050.xlsx" TargetMode="External"/><Relationship Id="rId40" Type="http://schemas.openxmlformats.org/officeDocument/2006/relationships/hyperlink" Target="https://pmc.ncbi.nlm.nih.gov/articles/PMC11329981/pdf/10.1177_10732748241275389.pdf" TargetMode="External"/><Relationship Id="rId45" Type="http://schemas.openxmlformats.org/officeDocument/2006/relationships/hyperlink" Target="https://onlinelibrary.wiley.com/doi/10.1002/cam4.70979" TargetMode="External"/><Relationship Id="rId66" Type="http://schemas.openxmlformats.org/officeDocument/2006/relationships/hyperlink" Target="https://bettercare.com/costs/pet-scan-cost" TargetMode="External"/><Relationship Id="rId87" Type="http://schemas.openxmlformats.org/officeDocument/2006/relationships/hyperlink" Target="https://www.cancer.org/cancer/types/prostate-cancer/about/key-statistics.html" TargetMode="External"/><Relationship Id="rId110" Type="http://schemas.openxmlformats.org/officeDocument/2006/relationships/hyperlink" Target="https://www.cancer.org/cancer/diagnosis-staging/tests/imaging-tests/nuclear-medicine-scans-for-cancer.html" TargetMode="External"/><Relationship Id="rId115" Type="http://schemas.openxmlformats.org/officeDocument/2006/relationships/hyperlink" Target="https://consultqd.clevelandclinic.org/advanced-imaging-accelerates-metastatic-prostate-cancer-care" TargetMode="External"/><Relationship Id="rId131" Type="http://schemas.openxmlformats.org/officeDocument/2006/relationships/hyperlink" Target="https://radiologybusiness.com/topics/medical-imaging/molecular-imaging/psma-pet-agents-prostate-cancer-imaging-nccn?utm_source=related_content&amp;utm_medium=related_content&amp;utm_campaign=related_content" TargetMode="External"/><Relationship Id="rId136" Type="http://schemas.openxmlformats.org/officeDocument/2006/relationships/hyperlink" Target="https://www.cancernetwork.com/view/psma-pet-agent-flotufolastat-f-18-added-to-nccn-prostate-cancer-guidelines" TargetMode="External"/><Relationship Id="rId157" Type="http://schemas.openxmlformats.org/officeDocument/2006/relationships/hyperlink" Target="https://pmc.ncbi.nlm.nih.gov/articles/PMC11233078/pdf/0220005.pdf" TargetMode="External"/><Relationship Id="rId178" Type="http://schemas.openxmlformats.org/officeDocument/2006/relationships/hyperlink" Target="https://www.cancer.org/cancer/types/prostate-cancer/detection-diagnosis-staging/survival-rates.html" TargetMode="External"/><Relationship Id="rId61" Type="http://schemas.openxmlformats.org/officeDocument/2006/relationships/hyperlink" Target="https://www.goodrx.com/health-topic/diagnostics/pet-scan-cost" TargetMode="External"/><Relationship Id="rId82" Type="http://schemas.openxmlformats.org/officeDocument/2006/relationships/hyperlink" Target="https://www.urologytimes.com/view/psma-pet-imaging-modalities-added-to-nccn-guidelines-for-prostate-cancer" TargetMode="External"/><Relationship Id="rId152" Type="http://schemas.openxmlformats.org/officeDocument/2006/relationships/hyperlink" Target="https://www.chiamass.gov/health-care-equity-dashboard" TargetMode="External"/><Relationship Id="rId173" Type="http://schemas.openxmlformats.org/officeDocument/2006/relationships/hyperlink" Target="https://www.massmed.org/Templates/VitalSigns.aspx?id=4294983148" TargetMode="External"/><Relationship Id="rId19" Type="http://schemas.openxmlformats.org/officeDocument/2006/relationships/hyperlink" Target="https://pmc.ncbi.nlm.nih.gov/articles/PMC9826514/" TargetMode="External"/><Relationship Id="rId14" Type="http://schemas.openxmlformats.org/officeDocument/2006/relationships/hyperlink" Target="https://doi.org/10.1038/s41598-023-35567-w" TargetMode="External"/><Relationship Id="rId30" Type="http://schemas.openxmlformats.org/officeDocument/2006/relationships/hyperlink" Target="https://cancerstatisticscenter.cancer.org/" TargetMode="External"/><Relationship Id="rId35" Type="http://schemas.openxmlformats.org/officeDocument/2006/relationships/hyperlink" Target="https://seer.cancer.gov/statfacts/html/prost.html" TargetMode="External"/><Relationship Id="rId56" Type="http://schemas.openxmlformats.org/officeDocument/2006/relationships/hyperlink" Target="https://masshpc.gov/publications/datapoints-series/issue-7-variation-imaging-spending" TargetMode="External"/><Relationship Id="rId77" Type="http://schemas.openxmlformats.org/officeDocument/2006/relationships/hyperlink" Target="https://pmc.ncbi.nlm.nih.gov/articles/PMC12126340/pdf/11934_2025_Article_1268.pdf" TargetMode="External"/><Relationship Id="rId100" Type="http://schemas.openxmlformats.org/officeDocument/2006/relationships/hyperlink" Target="https://pmc.ncbi.nlm.nih.gov/articles/PMC12227496/pdf/11912_2025_Article_1682.pdf" TargetMode="External"/><Relationship Id="rId105" Type="http://schemas.openxmlformats.org/officeDocument/2006/relationships/hyperlink" Target="https://pmc.ncbi.nlm.nih.gov/articles/PMC8612346/pdf/jnm263159.pdf" TargetMode="External"/><Relationship Id="rId126" Type="http://schemas.openxmlformats.org/officeDocument/2006/relationships/hyperlink" Target="https://jamanetwork.com/journals/jamanetworkopen/fullarticle/2828651" TargetMode="External"/><Relationship Id="rId147" Type="http://schemas.openxmlformats.org/officeDocument/2006/relationships/hyperlink" Target="https://pmc.ncbi.nlm.nih.gov/articles/PMC7654899/pdf/nihpp-2020.10.30.20223420.pdf" TargetMode="External"/><Relationship Id="rId168" Type="http://schemas.openxmlformats.org/officeDocument/2006/relationships/hyperlink" Target="https://pmc.ncbi.nlm.nih.gov/articles/PMC2892773/pdf/yjbm_83_2_53.pdf" TargetMode="External"/><Relationship Id="rId8" Type="http://schemas.openxmlformats.org/officeDocument/2006/relationships/hyperlink" Target="https://www.aacr.org/blog/2025/05/22/what-is-a-gleason-score-for-prostate-cancer/?gad_source=1&amp;gad_campaignid=21152407190&amp;gbraid=0AAAAADrBdMRelMqos-dqI0hyU8nGHkmC-&amp;gclid=EAIaIQobChMI4am_ovjgkgMVAU5HAR00-TRyEAAYASAAEgI5rfD_BwE" TargetMode="External"/><Relationship Id="rId51" Type="http://schemas.openxmlformats.org/officeDocument/2006/relationships/hyperlink" Target="https://capitolimagingservices.com/how-much-does-a-pet-ct-cost/" TargetMode="External"/><Relationship Id="rId72" Type="http://schemas.openxmlformats.org/officeDocument/2006/relationships/hyperlink" Target="https://pmc.ncbi.nlm.nih.gov/articles/PMC4467553/" TargetMode="External"/><Relationship Id="rId93" Type="http://schemas.openxmlformats.org/officeDocument/2006/relationships/hyperlink" Target="https://www.cancer.org/cancer/types/prostate-cancer/about/key-statistics.html" TargetMode="External"/><Relationship Id="rId98" Type="http://schemas.openxmlformats.org/officeDocument/2006/relationships/hyperlink" Target="https://cancerstatisticscenter.cancer.org/" TargetMode="External"/><Relationship Id="rId121" Type="http://schemas.openxmlformats.org/officeDocument/2006/relationships/hyperlink" Target="https://www.goodrx.com/conditions/prostate-cancer/what-is-a-pet-scan?srsltid=AfmBOopII_DEhF83hV8H6wDxPFx6bVjzE013N1wYZBn2W8dsnQg1IEKS" TargetMode="External"/><Relationship Id="rId142" Type="http://schemas.openxmlformats.org/officeDocument/2006/relationships/hyperlink" Target="https://link.springer.com/content/pdf/10.1186/s12875-024-02435-z.pdf" TargetMode="External"/><Relationship Id="rId163" Type="http://schemas.openxmlformats.org/officeDocument/2006/relationships/hyperlink" Target="https://www.cancer.org/cancer/types/prostate-cancer/detection-diagnosis-staging/survival-rates.html" TargetMode="External"/><Relationship Id="rId3" Type="http://schemas.openxmlformats.org/officeDocument/2006/relationships/hyperlink" Target="https://www.cancer.org/cancer/types/prostate-cancer/about/key-statistics.html" TargetMode="External"/><Relationship Id="rId25" Type="http://schemas.openxmlformats.org/officeDocument/2006/relationships/hyperlink" Target="https://www.mass.gov/doc/cancer-incidence-and-mortality-in-massachusetts-2016-2020-statewide-report/download" TargetMode="External"/><Relationship Id="rId46" Type="http://schemas.openxmlformats.org/officeDocument/2006/relationships/hyperlink" Target="https://onlinelibrary.wiley.com/doi/10.1002/cam4.70979" TargetMode="External"/><Relationship Id="rId67" Type="http://schemas.openxmlformats.org/officeDocument/2006/relationships/hyperlink" Target="https://www.carecredit.com/well-u/health-wellness/pet-scan-cost/" TargetMode="External"/><Relationship Id="rId116" Type="http://schemas.openxmlformats.org/officeDocument/2006/relationships/hyperlink" Target="https://consultqd.clevelandclinic.org/advanced-imaging-accelerates-metastatic-prostate-cancer-care" TargetMode="External"/><Relationship Id="rId137" Type="http://schemas.openxmlformats.org/officeDocument/2006/relationships/hyperlink" Target="https://www.mayoclinicproceedings.org/action/showPdf?pii=S0025-6196%2822%2900471-2" TargetMode="External"/><Relationship Id="rId158" Type="http://schemas.openxmlformats.org/officeDocument/2006/relationships/hyperlink" Target="https://pmc.ncbi.nlm.nih.gov/articles/PMC11233078/pdf/0220005.pdf" TargetMode="External"/><Relationship Id="rId20" Type="http://schemas.openxmlformats.org/officeDocument/2006/relationships/hyperlink" Target="https://pmc.ncbi.nlm.nih.gov/articles/PMC9826514/" TargetMode="External"/><Relationship Id="rId41" Type="http://schemas.openxmlformats.org/officeDocument/2006/relationships/hyperlink" Target="https://www.hopkinsmedicine.org/health/conditions-and-diseases/prostate-cancer/prostate-cancer-prognosis?" TargetMode="External"/><Relationship Id="rId62" Type="http://schemas.openxmlformats.org/officeDocument/2006/relationships/hyperlink" Target="https://www.goodrx.com/health-topic/diagnostics/pet-scan-cost" TargetMode="External"/><Relationship Id="rId83" Type="http://schemas.openxmlformats.org/officeDocument/2006/relationships/hyperlink" Target="https://www.mass.gov/determination-of-need-don" TargetMode="External"/><Relationship Id="rId88" Type="http://schemas.openxmlformats.org/officeDocument/2006/relationships/hyperlink" Target="https://www.cancer.org/cancer/types/prostate-cancer/about/key-statistics.html" TargetMode="External"/><Relationship Id="rId111" Type="http://schemas.openxmlformats.org/officeDocument/2006/relationships/hyperlink" Target="https://provisiondiagnosticimaging.com/psma-pet-for-recurrent-prostate-cancer-is-a-game-changer/" TargetMode="External"/><Relationship Id="rId132" Type="http://schemas.openxmlformats.org/officeDocument/2006/relationships/hyperlink" Target="https://radiologybusiness.com/topics/medical-imaging/molecular-imaging/psma-pet-agents-prostate-cancer-imaging-nccn?utm_source=related_content&amp;utm_medium=related_content&amp;utm_campaign=related_content" TargetMode="External"/><Relationship Id="rId153" Type="http://schemas.openxmlformats.org/officeDocument/2006/relationships/hyperlink" Target="https://www.chiamass.gov/assets/docs/r/pubs/2025/Health-Care-Equity-Dashboard-May-2025-Rev2.pdf" TargetMode="External"/><Relationship Id="rId174" Type="http://schemas.openxmlformats.org/officeDocument/2006/relationships/hyperlink" Target="https://www.massmed.org/Templates/VitalSigns.aspx?id=4294983148" TargetMode="External"/><Relationship Id="rId179" Type="http://schemas.openxmlformats.org/officeDocument/2006/relationships/hyperlink" Target="https://advisory.avalerehealth.com/insights/earlier-cancer-detection-improves-quality-of-life-and-patient-outcomes" TargetMode="External"/><Relationship Id="rId15" Type="http://schemas.openxmlformats.org/officeDocument/2006/relationships/hyperlink" Target="https://www.health.harvard.edu/mens-health/the-growing-problem-of-an-enlarged-prostate-gland" TargetMode="External"/><Relationship Id="rId36" Type="http://schemas.openxmlformats.org/officeDocument/2006/relationships/hyperlink" Target="https://seer.cancer.gov/statfacts/html/prost.html" TargetMode="External"/><Relationship Id="rId57" Type="http://schemas.openxmlformats.org/officeDocument/2006/relationships/hyperlink" Target="https://www.unitedhealthgroup.com/content/dam/UHG/PDF/2020/Diagnostic-Testing-Costs-Brief.pdf" TargetMode="External"/><Relationship Id="rId106" Type="http://schemas.openxmlformats.org/officeDocument/2006/relationships/hyperlink" Target="https://pmc.ncbi.nlm.nih.gov/articles/PMC8612346/pdf/jnm263159.pdf" TargetMode="External"/><Relationship Id="rId127" Type="http://schemas.openxmlformats.org/officeDocument/2006/relationships/hyperlink" Target="https://www.cancer.gov/news-events/cancer-currents-blog/2020/prostate-cancer-psma-pet-ct-metastasis" TargetMode="External"/><Relationship Id="rId10" Type="http://schemas.openxmlformats.org/officeDocument/2006/relationships/hyperlink" Target="https://www.cancer.org/cancer/risk-prevention/understanding-cancer-risk/cancer-facts/cancer-facts-for-men.html" TargetMode="External"/><Relationship Id="rId31" Type="http://schemas.openxmlformats.org/officeDocument/2006/relationships/hyperlink" Target="https://donahue.umass.edu/documents/UMDI_V2024_Long-Term_Population_Projections_MCD%2C_County%2C_RPA%2C_State_Age_Sex_detail_2010-2050.xlsx" TargetMode="External"/><Relationship Id="rId52" Type="http://schemas.openxmlformats.org/officeDocument/2006/relationships/hyperlink" Target="https://capitolimagingservices.com/how-much-does-a-pet-ct-cost/" TargetMode="External"/><Relationship Id="rId73" Type="http://schemas.openxmlformats.org/officeDocument/2006/relationships/hyperlink" Target="https://masshpc.gov/publications/datapoints-series/issue-7-variation-imaging-spending?" TargetMode="External"/><Relationship Id="rId78" Type="http://schemas.openxmlformats.org/officeDocument/2006/relationships/hyperlink" Target="https://pmc.ncbi.nlm.nih.gov/articles/PMC12126340/pdf/11934_2025_Article_1268.pdf" TargetMode="External"/><Relationship Id="rId94" Type="http://schemas.openxmlformats.org/officeDocument/2006/relationships/hyperlink" Target="https://www.cancer.org/cancer/types/prostate-cancer/about/key-statistics.html" TargetMode="External"/><Relationship Id="rId99" Type="http://schemas.openxmlformats.org/officeDocument/2006/relationships/hyperlink" Target="https://pmc.ncbi.nlm.nih.gov/articles/PMC12227496/pdf/11912_2025_Article_1682.pdf" TargetMode="External"/><Relationship Id="rId101" Type="http://schemas.openxmlformats.org/officeDocument/2006/relationships/hyperlink" Target="https://www.hopkinsmedicine.org/health/treatment-tests-and-therapies/computed-tomography-ct-scan" TargetMode="External"/><Relationship Id="rId122" Type="http://schemas.openxmlformats.org/officeDocument/2006/relationships/hyperlink" Target="https://www.goodrx.com/conditions/prostate-cancer/what-is-a-pet-scan?srsltid=AfmBOopII_DEhF83hV8H6wDxPFx6bVjzE013N1wYZBn2W8dsnQg1IEKS" TargetMode="External"/><Relationship Id="rId143" Type="http://schemas.openxmlformats.org/officeDocument/2006/relationships/hyperlink" Target="https://doi.org/10.1007/s11606-020-06568-6" TargetMode="External"/><Relationship Id="rId148" Type="http://schemas.openxmlformats.org/officeDocument/2006/relationships/hyperlink" Target="https://pmc.ncbi.nlm.nih.gov/articles/PMC7654899/pdf/nihpp-2020.10.30.20223420.pdf" TargetMode="External"/><Relationship Id="rId164" Type="http://schemas.openxmlformats.org/officeDocument/2006/relationships/hyperlink" Target="https://www.cancer.org/cancer/types/prostate-cancer/detection-diagnosis-staging/survival-rates.html" TargetMode="External"/><Relationship Id="rId169" Type="http://schemas.openxmlformats.org/officeDocument/2006/relationships/hyperlink" Target="https://www.massmed.org/Templates/VitalSigns.aspx?id=4294983148" TargetMode="External"/><Relationship Id="rId4" Type="http://schemas.openxmlformats.org/officeDocument/2006/relationships/hyperlink" Target="https://www.cancer.org/cancer/types/prostate-cancer/about/key-statistics.html" TargetMode="External"/><Relationship Id="rId9" Type="http://schemas.openxmlformats.org/officeDocument/2006/relationships/hyperlink" Target="https://www.cancer.org/cancer/risk-prevention/understanding-cancer-risk/cancer-facts/cancer-facts-for-men.html" TargetMode="External"/><Relationship Id="rId180" Type="http://schemas.openxmlformats.org/officeDocument/2006/relationships/hyperlink" Target="https://advisory.avalerehealth.com/insights/earlier-cancer-detection-improves-quality-of-life-and-patient-outcomes" TargetMode="External"/><Relationship Id="rId26" Type="http://schemas.openxmlformats.org/officeDocument/2006/relationships/hyperlink" Target="https://www.mass.gov/doc/cancer-incidence-and-mortality-in-massachusetts-2016-2020-statewide-report/download" TargetMode="External"/><Relationship Id="rId47" Type="http://schemas.openxmlformats.org/officeDocument/2006/relationships/hyperlink" Target="https://www.census.gov/quickfacts/fact/table/bostoncitymassachusetts/PST045225" TargetMode="External"/><Relationship Id="rId68" Type="http://schemas.openxmlformats.org/officeDocument/2006/relationships/hyperlink" Target="https://www.carecredit.com/well-u/health-wellness/pet-scan-cost/" TargetMode="External"/><Relationship Id="rId89" Type="http://schemas.openxmlformats.org/officeDocument/2006/relationships/hyperlink" Target="https://www.cancer.org/cancer/types/prostate-cancer/about/key-statistics.html" TargetMode="External"/><Relationship Id="rId112" Type="http://schemas.openxmlformats.org/officeDocument/2006/relationships/hyperlink" Target="https://provisiondiagnosticimaging.com/psma-pet-for-recurrent-prostate-cancer-is-a-game-changer/" TargetMode="External"/><Relationship Id="rId133" Type="http://schemas.openxmlformats.org/officeDocument/2006/relationships/hyperlink" Target="https://radiologybusiness.com/topics/medical-imaging/molecular-imaging/psma-pet-agents-prostate-cancer-imaging-nccn?utm_source=related_content&amp;utm_medium=related_content&amp;utm_campaign=related_content" TargetMode="External"/><Relationship Id="rId154" Type="http://schemas.openxmlformats.org/officeDocument/2006/relationships/hyperlink" Target="https://www.chiamass.gov/assets/docs/r/pubs/2025/Health-Care-Equity-Dashboard-May-2025-Rev2.pdf" TargetMode="External"/><Relationship Id="rId175" Type="http://schemas.openxmlformats.org/officeDocument/2006/relationships/hyperlink" Target="https://auo.asmepress.com/Uploads/file/20251231/20251231182141_75484.pdf" TargetMode="External"/><Relationship Id="rId16" Type="http://schemas.openxmlformats.org/officeDocument/2006/relationships/hyperlink" Target="https://www.health.harvard.edu/mens-health/the-growing-problem-of-an-enlarged-prostate-gland" TargetMode="External"/><Relationship Id="rId37" Type="http://schemas.openxmlformats.org/officeDocument/2006/relationships/hyperlink" Target="https://acsjournals.onlinelibrary.wiley.com/doi/10.1002/cncr.34433" TargetMode="External"/><Relationship Id="rId58" Type="http://schemas.openxmlformats.org/officeDocument/2006/relationships/hyperlink" Target="https://www.unitedhealthgroup.com/content/dam/UHG/PDF/2020/Diagnostic-Testing-Costs-Brief.pdf" TargetMode="External"/><Relationship Id="rId79" Type="http://schemas.openxmlformats.org/officeDocument/2006/relationships/hyperlink" Target="https://radiologybusiness.com/topics/medical-imaging/molecular-imaging/psma-pet-rapidly-changing-standard-care-prostate-cancer-patients" TargetMode="External"/><Relationship Id="rId102" Type="http://schemas.openxmlformats.org/officeDocument/2006/relationships/hyperlink" Target="https://www.hopkinsmedicine.org/health/treatment-tests-and-therapies/computed-tomography-ct-scan" TargetMode="External"/><Relationship Id="rId123" Type="http://schemas.openxmlformats.org/officeDocument/2006/relationships/hyperlink" Target="https://www.cancer.gov/news-events/cancer-currents-blog/2020/prostate-cancer-psma-pet-ct-metastasis" TargetMode="External"/><Relationship Id="rId144" Type="http://schemas.openxmlformats.org/officeDocument/2006/relationships/hyperlink" Target="https://doi.org/10.1007/s11606-020-06568-6" TargetMode="External"/><Relationship Id="rId90" Type="http://schemas.openxmlformats.org/officeDocument/2006/relationships/hyperlink" Target="https://www.cancer.org/cancer/types/prostate-cancer/about/key-statistics.html" TargetMode="External"/><Relationship Id="rId165" Type="http://schemas.openxmlformats.org/officeDocument/2006/relationships/hyperlink" Target="https://www.stout.com/en/insights/article/2024-outlook-diagnostic-imaging-centers-radiology-practices" TargetMode="External"/><Relationship Id="rId27" Type="http://schemas.openxmlformats.org/officeDocument/2006/relationships/hyperlink" Target="https://www.cancer.org/cancer/types/prostate-cancer/about/key-statistics.html" TargetMode="External"/><Relationship Id="rId48" Type="http://schemas.openxmlformats.org/officeDocument/2006/relationships/hyperlink" Target="https://www.census.gov/quickfacts/fact/table/bostoncitymassachusetts/PST045225" TargetMode="External"/><Relationship Id="rId69" Type="http://schemas.openxmlformats.org/officeDocument/2006/relationships/hyperlink" Target="https://masshpc.gov/publications/datapoints-series/issue-7-variation-imaging-spending?" TargetMode="External"/><Relationship Id="rId113" Type="http://schemas.openxmlformats.org/officeDocument/2006/relationships/hyperlink" Target="https://consultqd.clevelandclinic.org/advanced-imaging-accelerates-metastatic-prostate-cancer-care" TargetMode="External"/><Relationship Id="rId134" Type="http://schemas.openxmlformats.org/officeDocument/2006/relationships/hyperlink" Target="https://radiologybusiness.com/topics/medical-imaging/molecular-imaging/psma-pet-agents-prostate-cancer-imaging-nccn?utm_source=related_content&amp;utm_medium=related_content&amp;utm_campaign=related_content" TargetMode="External"/><Relationship Id="rId80" Type="http://schemas.openxmlformats.org/officeDocument/2006/relationships/hyperlink" Target="https://radiologybusiness.com/topics/medical-imaging/molecular-imaging/psma-pet-rapidly-changing-standard-care-prostate-cancer-patients" TargetMode="External"/><Relationship Id="rId155" Type="http://schemas.openxmlformats.org/officeDocument/2006/relationships/hyperlink" Target="https://www.chiamass.gov/black-and-hispanic-patients-admitted-and-return-to-the-hospital-in-higher-rates-than-others-study-finds" TargetMode="External"/><Relationship Id="rId176" Type="http://schemas.openxmlformats.org/officeDocument/2006/relationships/hyperlink" Target="https://auo.asmepress.com/Uploads/file/20251231/20251231182141_75484.pdf" TargetMode="External"/><Relationship Id="rId17" Type="http://schemas.openxmlformats.org/officeDocument/2006/relationships/hyperlink" Target="https://health.clevelandclinic.org/men-over-40-start-seeing-a-urologist-regularly" TargetMode="External"/><Relationship Id="rId38" Type="http://schemas.openxmlformats.org/officeDocument/2006/relationships/hyperlink" Target="https://acsjournals.onlinelibrary.wiley.com/doi/10.1002/cncr.34433" TargetMode="External"/><Relationship Id="rId59" Type="http://schemas.openxmlformats.org/officeDocument/2006/relationships/hyperlink" Target="https://www.newchoicehealth.com/pet-scan/cost" TargetMode="External"/><Relationship Id="rId103" Type="http://schemas.openxmlformats.org/officeDocument/2006/relationships/hyperlink" Target="https://www.urologytimes.com/view/the-evolution-of-prostate-cancer-imaging-embracing-the-power-of-psma-pet-ct" TargetMode="External"/><Relationship Id="rId124" Type="http://schemas.openxmlformats.org/officeDocument/2006/relationships/hyperlink" Target="https://www.cancer.gov/news-events/cancer-currents-blog/2020/prostate-cancer-psma-pet-ct-metastasis" TargetMode="External"/><Relationship Id="rId70" Type="http://schemas.openxmlformats.org/officeDocument/2006/relationships/hyperlink" Target="https://masshpc.gov/publications/datapoints-series/issue-7-variation-imaging-spending" TargetMode="External"/><Relationship Id="rId91" Type="http://schemas.openxmlformats.org/officeDocument/2006/relationships/hyperlink" Target="https://www.auajournals.org/doi/10.1097/JU.0000000000003452" TargetMode="External"/><Relationship Id="rId145" Type="http://schemas.openxmlformats.org/officeDocument/2006/relationships/hyperlink" Target="https://pressroom.cancer.org/CancerStatisticsforAfricanAmericanandBlackPeople" TargetMode="External"/><Relationship Id="rId166" Type="http://schemas.openxmlformats.org/officeDocument/2006/relationships/hyperlink" Target="https://www.stout.com/en/insights/article/2024-outlook-diagnostic-imaging-centers-radiology-practices" TargetMode="External"/><Relationship Id="rId1" Type="http://schemas.openxmlformats.org/officeDocument/2006/relationships/hyperlink" Target="https://www.cdc.gov/prostate-cancer/statist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DOCS!29468505.1</documentid>
  <senderid>AFERRER</senderid>
  <senderemail>AFERRER@VERRILL-LAW.COM</senderemail>
  <lastmodified>2026-02-27T14:08:00.0000000-05:00</lastmodified>
  <database>DOCS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9715-4FE2-40B9-96CC-906F1BD25BF2}">
  <ds:schemaRefs>
    <ds:schemaRef ds:uri="http://www.imanage.com/work/xmlschema"/>
  </ds:schemaRefs>
</ds:datastoreItem>
</file>

<file path=customXml/itemProps2.xml><?xml version="1.0" encoding="utf-8"?>
<ds:datastoreItem xmlns:ds="http://schemas.openxmlformats.org/officeDocument/2006/customXml" ds:itemID="{61C7F3EB-D1FA-4AF2-B232-3B9F37AF34D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5433</TotalTime>
  <Pages>48</Pages>
  <Words>20499</Words>
  <Characters>116846</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Boston Urology Narrative</dc:title>
  <cp:lastModifiedBy>Marks, Brett (DPH)</cp:lastModifiedBy>
  <cp:revision>105</cp:revision>
  <dcterms:created xsi:type="dcterms:W3CDTF">2026-02-27T20:01:00Z</dcterms:created>
  <dcterms:modified xsi:type="dcterms:W3CDTF">2026-04-14T11:58:00Z</dcterms:modified>
</cp:coreProperties>
</file>