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11BE" w14:textId="77777777" w:rsidR="009B6213" w:rsidRDefault="00C37AA2">
      <w:pPr>
        <w:pStyle w:val="Heading"/>
        <w:rPr>
          <w:rFonts w:ascii="Times Roman" w:hAnsi="Times Roman"/>
          <w:b/>
          <w:bCs/>
          <w:sz w:val="24"/>
          <w:szCs w:val="24"/>
        </w:rPr>
      </w:pPr>
      <w:r>
        <w:rPr>
          <w:rFonts w:ascii="Times Roman" w:hAnsi="Times Roman"/>
          <w:b/>
          <w:bCs/>
          <w:noProof/>
          <w:sz w:val="24"/>
          <w:szCs w:val="24"/>
        </w:rPr>
        <w:drawing>
          <wp:anchor distT="152400" distB="152400" distL="152400" distR="152400" simplePos="0" relativeHeight="251659264" behindDoc="0" locked="0" layoutInCell="1" allowOverlap="1" wp14:anchorId="0B625955" wp14:editId="52BE556B">
            <wp:simplePos x="0" y="0"/>
            <wp:positionH relativeFrom="page">
              <wp:posOffset>1081088</wp:posOffset>
            </wp:positionH>
            <wp:positionV relativeFrom="page">
              <wp:posOffset>644047</wp:posOffset>
            </wp:positionV>
            <wp:extent cx="4690898" cy="746488"/>
            <wp:effectExtent l="0" t="0" r="0" b="0"/>
            <wp:wrapTopAndBottom distT="152400" distB="152400"/>
            <wp:docPr id="1073741825" name="officeArt object" descr="Branded Header - National Association of Certified Professional Midwives"/>
            <wp:cNvGraphicFramePr/>
            <a:graphic xmlns:a="http://schemas.openxmlformats.org/drawingml/2006/main">
              <a:graphicData uri="http://schemas.openxmlformats.org/drawingml/2006/picture">
                <pic:pic xmlns:pic="http://schemas.openxmlformats.org/drawingml/2006/picture">
                  <pic:nvPicPr>
                    <pic:cNvPr id="1073741825" name="officeArt object" descr="Branded Header - National Association of Certified Professional Midwives"/>
                    <pic:cNvPicPr>
                      <a:picLocks noChangeAspect="1"/>
                    </pic:cNvPicPr>
                  </pic:nvPicPr>
                  <pic:blipFill>
                    <a:blip r:embed="rId7"/>
                    <a:srcRect b="1878"/>
                    <a:stretch>
                      <a:fillRect/>
                    </a:stretch>
                  </pic:blipFill>
                  <pic:spPr>
                    <a:xfrm>
                      <a:off x="0" y="0"/>
                      <a:ext cx="4690898" cy="746488"/>
                    </a:xfrm>
                    <a:prstGeom prst="rect">
                      <a:avLst/>
                    </a:prstGeom>
                    <a:ln w="12700" cap="flat">
                      <a:noFill/>
                      <a:miter lim="400000"/>
                    </a:ln>
                    <a:effectLst/>
                  </pic:spPr>
                </pic:pic>
              </a:graphicData>
            </a:graphic>
          </wp:anchor>
        </w:drawing>
      </w:r>
    </w:p>
    <w:p w14:paraId="360283D6" w14:textId="77777777" w:rsidR="009B6213" w:rsidRDefault="00C37AA2">
      <w:pPr>
        <w:pStyle w:val="NormalWeb"/>
      </w:pPr>
      <w:r>
        <w:t>April 19, 2026</w:t>
      </w:r>
    </w:p>
    <w:p w14:paraId="19886C1B" w14:textId="77777777" w:rsidR="009B6213" w:rsidRDefault="009B6213">
      <w:pPr>
        <w:pStyle w:val="Default"/>
        <w:suppressAutoHyphens/>
        <w:spacing w:before="0" w:line="240" w:lineRule="auto"/>
        <w:rPr>
          <w:rFonts w:ascii="Times Roman" w:eastAsia="Times Roman" w:hAnsi="Times Roman" w:cs="Times Roman"/>
        </w:rPr>
      </w:pPr>
    </w:p>
    <w:p w14:paraId="21A8069A" w14:textId="77777777" w:rsidR="009B6213" w:rsidRDefault="00C37AA2">
      <w:pPr>
        <w:pStyle w:val="Default"/>
        <w:suppressAutoHyphens/>
        <w:spacing w:before="0" w:line="240" w:lineRule="auto"/>
        <w:rPr>
          <w:rFonts w:ascii="Times Roman" w:eastAsia="Times Roman" w:hAnsi="Times Roman" w:cs="Times Roman"/>
        </w:rPr>
      </w:pPr>
      <w:r>
        <w:rPr>
          <w:rFonts w:ascii="Times Roman" w:hAnsi="Times Roman"/>
        </w:rPr>
        <w:t xml:space="preserve">Board of Registration </w:t>
      </w:r>
      <w:proofErr w:type="gramStart"/>
      <w:r>
        <w:rPr>
          <w:rFonts w:ascii="Times Roman" w:hAnsi="Times Roman"/>
        </w:rPr>
        <w:t>in</w:t>
      </w:r>
      <w:proofErr w:type="gramEnd"/>
      <w:r>
        <w:rPr>
          <w:rFonts w:ascii="Times Roman" w:hAnsi="Times Roman"/>
        </w:rPr>
        <w:t xml:space="preserve"> Midwifery</w:t>
      </w:r>
    </w:p>
    <w:p w14:paraId="4611FDAA" w14:textId="77777777" w:rsidR="009B6213" w:rsidRDefault="00C37AA2">
      <w:pPr>
        <w:pStyle w:val="Default"/>
        <w:suppressAutoHyphens/>
        <w:spacing w:before="0" w:line="240" w:lineRule="auto"/>
        <w:rPr>
          <w:rFonts w:ascii="Times Roman" w:eastAsia="Times Roman" w:hAnsi="Times Roman" w:cs="Times Roman"/>
        </w:rPr>
      </w:pPr>
      <w:r>
        <w:rPr>
          <w:rFonts w:ascii="Times Roman" w:hAnsi="Times Roman"/>
        </w:rPr>
        <w:t>c/o Department of Public Health</w:t>
      </w:r>
    </w:p>
    <w:p w14:paraId="3B3D33AE" w14:textId="77777777" w:rsidR="009B6213" w:rsidRDefault="00C37AA2">
      <w:pPr>
        <w:pStyle w:val="Default"/>
        <w:suppressAutoHyphens/>
        <w:spacing w:before="0" w:line="240" w:lineRule="auto"/>
        <w:rPr>
          <w:rFonts w:ascii="Times Roman" w:eastAsia="Times Roman" w:hAnsi="Times Roman" w:cs="Times Roman"/>
        </w:rPr>
      </w:pPr>
      <w:r>
        <w:rPr>
          <w:rFonts w:ascii="Times Roman" w:hAnsi="Times Roman"/>
        </w:rPr>
        <w:t>250 Washington Street</w:t>
      </w:r>
    </w:p>
    <w:p w14:paraId="35F47AA5" w14:textId="77777777" w:rsidR="009B6213" w:rsidRDefault="00C37AA2">
      <w:pPr>
        <w:pStyle w:val="Default"/>
        <w:suppressAutoHyphens/>
        <w:spacing w:before="0" w:line="240" w:lineRule="auto"/>
        <w:rPr>
          <w:rFonts w:ascii="Times Roman" w:eastAsia="Times Roman" w:hAnsi="Times Roman" w:cs="Times Roman"/>
        </w:rPr>
      </w:pPr>
      <w:r>
        <w:rPr>
          <w:rFonts w:ascii="Times Roman" w:hAnsi="Times Roman"/>
        </w:rPr>
        <w:t>Boston, MA 02108</w:t>
      </w:r>
    </w:p>
    <w:p w14:paraId="7F11DD03" w14:textId="77777777" w:rsidR="009B6213" w:rsidRDefault="00C37AA2">
      <w:pPr>
        <w:pStyle w:val="NormalWeb"/>
      </w:pPr>
      <w:r>
        <w:t xml:space="preserve">RE: </w:t>
      </w:r>
      <w:r>
        <w:t>Public Comment on 274 CMR 3.00</w:t>
      </w:r>
    </w:p>
    <w:p w14:paraId="6B58AA75" w14:textId="77777777" w:rsidR="009B6213" w:rsidRDefault="009B6213">
      <w:pPr>
        <w:pStyle w:val="NormalWeb"/>
        <w:spacing w:line="48" w:lineRule="auto"/>
        <w:rPr>
          <w:b/>
          <w:bCs/>
        </w:rPr>
      </w:pPr>
    </w:p>
    <w:p w14:paraId="439039C6" w14:textId="77777777" w:rsidR="009B6213" w:rsidRDefault="00C37AA2">
      <w:pPr>
        <w:pStyle w:val="NormalWeb"/>
      </w:pPr>
      <w:r>
        <w:t>To the Board of Registration in Midwifery,</w:t>
      </w:r>
    </w:p>
    <w:p w14:paraId="0F0530BB" w14:textId="77777777" w:rsidR="009B6213" w:rsidRDefault="00C37AA2">
      <w:pPr>
        <w:pStyle w:val="NormalWeb"/>
      </w:pPr>
      <w:r>
        <w:t>On behalf of the Massachusetts Chapter of the National Association of Certified Professional Midwives (MA NACPM),</w:t>
      </w:r>
      <w:r>
        <w:rPr>
          <w:rFonts w:ascii="Times Roman" w:hAnsi="Times Roman"/>
        </w:rPr>
        <w:t xml:space="preserve"> </w:t>
      </w:r>
      <w:r>
        <w:t xml:space="preserve">we strongly support </w:t>
      </w:r>
      <w:r>
        <w:t>regulation 274 CMR 3.00: Licensed Certified Professional Midwife Licensure Requirements, as proposed.</w:t>
      </w:r>
    </w:p>
    <w:p w14:paraId="552B3A91" w14:textId="77777777" w:rsidR="009B6213" w:rsidRDefault="00C37AA2">
      <w:pPr>
        <w:pStyle w:val="NormalWeb"/>
      </w:pPr>
      <w:r>
        <w:t>As the Commonwealth moves to implement CPM licensure following the passage of H.4999, </w:t>
      </w:r>
      <w:r>
        <w:rPr>
          <w:i/>
          <w:iCs/>
        </w:rPr>
        <w:t>An Act promoting access to midwifery care and out-of-hospital birth options</w:t>
      </w:r>
      <w:r>
        <w:t>, temporary licensure is a critical and time-sensitive step</w:t>
      </w:r>
      <w:proofErr w:type="gramStart"/>
      <w:r>
        <w:t xml:space="preserve">. </w:t>
      </w:r>
      <w:proofErr w:type="gramEnd"/>
      <w:r>
        <w:t>It allows qualified, nationally certified CPMs to begin practicing within Massachusetts systems while full licensure processes are established and finalized.</w:t>
      </w:r>
    </w:p>
    <w:p w14:paraId="7672B533" w14:textId="77777777" w:rsidR="009B6213" w:rsidRDefault="00C37AA2">
      <w:pPr>
        <w:pStyle w:val="NormalWeb"/>
      </w:pPr>
      <w:r>
        <w:t>This is not simply an administrative issue</w:t>
      </w:r>
      <w:proofErr w:type="gramStart"/>
      <w:r>
        <w:t xml:space="preserve">. </w:t>
      </w:r>
      <w:proofErr w:type="gramEnd"/>
      <w:r>
        <w:t>Licensure is the gateway to actual care.</w:t>
      </w:r>
    </w:p>
    <w:p w14:paraId="299E4E47" w14:textId="77777777" w:rsidR="009B6213" w:rsidRDefault="00C37AA2">
      <w:pPr>
        <w:pStyle w:val="NormalWeb"/>
      </w:pPr>
      <w:r>
        <w:t>Without temporary licensure, families cannot access CPM services through MassHealth, birth centers cannot sustainably expand services, and communities already facing the greatest maternal health disparities remain without meaningful access to community birth options</w:t>
      </w:r>
      <w:proofErr w:type="gramStart"/>
      <w:r>
        <w:t xml:space="preserve">. </w:t>
      </w:r>
      <w:proofErr w:type="gramEnd"/>
      <w:r>
        <w:t>Temporary licensure activates the workforce needed to make the intent of the law real.</w:t>
      </w:r>
    </w:p>
    <w:p w14:paraId="392DD13C" w14:textId="77777777" w:rsidR="009B6213" w:rsidRDefault="00C37AA2">
      <w:pPr>
        <w:pStyle w:val="NormalWeb"/>
      </w:pPr>
      <w:r>
        <w:t>Massachusetts currently has only one freestanding birth center in operation, and longstanding structural barriers—including inadequate reimbursement models and restrictions on CPM practice—have significantly limited access to community birth care across the Commonwealth</w:t>
      </w:r>
      <w:proofErr w:type="gramStart"/>
      <w:r>
        <w:t xml:space="preserve">. </w:t>
      </w:r>
      <w:proofErr w:type="gramEnd"/>
      <w:r>
        <w:t>The Massachusetts Department of Public Health has already recognized these barriers and identified the urgent need to support birth center sustainability, workforce expansion, and improved access for communities most impacted by maternal health inequities.</w:t>
      </w:r>
    </w:p>
    <w:p w14:paraId="2DC0C3AA" w14:textId="77777777" w:rsidR="009B6213" w:rsidRDefault="009B6213">
      <w:pPr>
        <w:pStyle w:val="NormalWeb"/>
        <w:spacing w:line="144" w:lineRule="auto"/>
        <w:rPr>
          <w:b/>
          <w:bCs/>
        </w:rPr>
      </w:pPr>
    </w:p>
    <w:p w14:paraId="571F1491" w14:textId="77777777" w:rsidR="009B6213" w:rsidRDefault="00C37AA2">
      <w:pPr>
        <w:pStyle w:val="NormalWeb"/>
        <w:spacing w:after="0"/>
        <w:rPr>
          <w:b/>
          <w:bCs/>
          <w:sz w:val="28"/>
          <w:szCs w:val="28"/>
        </w:rPr>
      </w:pPr>
      <w:r>
        <w:rPr>
          <w:b/>
          <w:bCs/>
          <w:sz w:val="28"/>
          <w:szCs w:val="28"/>
        </w:rPr>
        <w:t>Temporary Licensure: Essential for Access</w:t>
      </w:r>
    </w:p>
    <w:p w14:paraId="5E64E746" w14:textId="77777777" w:rsidR="009B6213" w:rsidRDefault="00C37AA2">
      <w:pPr>
        <w:pStyle w:val="NormalWeb"/>
      </w:pPr>
      <w:r>
        <w:t xml:space="preserve">Temporary licensure is essential to </w:t>
      </w:r>
      <w:proofErr w:type="gramStart"/>
      <w:r>
        <w:t>ensuring</w:t>
      </w:r>
      <w:proofErr w:type="gramEnd"/>
      <w:r>
        <w:t xml:space="preserve"> that qualified CPMs can begin practicing without unnecessary delay.</w:t>
      </w:r>
    </w:p>
    <w:p w14:paraId="60095825" w14:textId="77777777" w:rsidR="009B6213" w:rsidRDefault="00C37AA2">
      <w:pPr>
        <w:pStyle w:val="NormalWeb"/>
      </w:pPr>
      <w:r>
        <w:t>These are not new or untested providers</w:t>
      </w:r>
      <w:proofErr w:type="gramStart"/>
      <w:r>
        <w:t xml:space="preserve">. </w:t>
      </w:r>
      <w:proofErr w:type="gramEnd"/>
      <w:r>
        <w:t>CPMs are nationally certified professionals, educated through recognized pathways and already providing safe, high-quality care to Massachusetts families</w:t>
      </w:r>
      <w:proofErr w:type="gramStart"/>
      <w:r>
        <w:t xml:space="preserve">. </w:t>
      </w:r>
      <w:proofErr w:type="gramEnd"/>
      <w:r>
        <w:t xml:space="preserve">Temporary licensure creates a clear, </w:t>
      </w:r>
      <w:r>
        <w:lastRenderedPageBreak/>
        <w:t>accountable, and time-limited pathway into formal systems while full licensure regulations are completed.</w:t>
      </w:r>
    </w:p>
    <w:p w14:paraId="61877CF9" w14:textId="77777777" w:rsidR="009B6213" w:rsidRDefault="00C37AA2">
      <w:pPr>
        <w:pStyle w:val="NormalWeb"/>
      </w:pPr>
      <w:r>
        <w:t>Every delay in implementation delays care for families who are already underserved by the current maternity care system</w:t>
      </w:r>
      <w:proofErr w:type="gramStart"/>
      <w:r>
        <w:t xml:space="preserve">. </w:t>
      </w:r>
      <w:proofErr w:type="gramEnd"/>
      <w:r>
        <w:t>In maternal health, delayed access is not theoretical—it has real consequences for safety, outcomes, and trust.</w:t>
      </w:r>
    </w:p>
    <w:p w14:paraId="25D24E20" w14:textId="77777777" w:rsidR="009B6213" w:rsidRDefault="00C37AA2">
      <w:pPr>
        <w:pStyle w:val="NormalWeb"/>
      </w:pPr>
      <w:r>
        <w:t xml:space="preserve">Access delayed </w:t>
      </w:r>
      <w:proofErr w:type="gramStart"/>
      <w:r>
        <w:t>is access</w:t>
      </w:r>
      <w:proofErr w:type="gramEnd"/>
      <w:r>
        <w:t xml:space="preserve"> denied.</w:t>
      </w:r>
    </w:p>
    <w:p w14:paraId="100BEA29" w14:textId="77777777" w:rsidR="009B6213" w:rsidRDefault="009B6213">
      <w:pPr>
        <w:pStyle w:val="NormalWeb"/>
        <w:spacing w:after="0" w:line="72" w:lineRule="auto"/>
      </w:pPr>
    </w:p>
    <w:p w14:paraId="3422D3C7" w14:textId="77777777" w:rsidR="009B6213" w:rsidRDefault="00C37AA2">
      <w:pPr>
        <w:pStyle w:val="NormalWeb"/>
        <w:spacing w:after="0"/>
        <w:rPr>
          <w:b/>
          <w:bCs/>
          <w:sz w:val="28"/>
          <w:szCs w:val="28"/>
        </w:rPr>
      </w:pPr>
      <w:r>
        <w:rPr>
          <w:b/>
          <w:bCs/>
          <w:sz w:val="28"/>
          <w:szCs w:val="28"/>
        </w:rPr>
        <w:t>MassHealth Alignment and Reimbursement</w:t>
      </w:r>
    </w:p>
    <w:p w14:paraId="37234B91" w14:textId="77777777" w:rsidR="009B6213" w:rsidRDefault="00C37AA2">
      <w:pPr>
        <w:pStyle w:val="NormalWeb"/>
      </w:pPr>
      <w:r>
        <w:t>Licensure alone is not enough</w:t>
      </w:r>
      <w:proofErr w:type="gramStart"/>
      <w:r>
        <w:t xml:space="preserve">. </w:t>
      </w:r>
      <w:proofErr w:type="gramEnd"/>
      <w:r>
        <w:t>It must be accompanied by functional reimbursement systems.</w:t>
      </w:r>
    </w:p>
    <w:p w14:paraId="6016BE15" w14:textId="77777777" w:rsidR="009B6213" w:rsidRDefault="00C37AA2">
      <w:pPr>
        <w:pStyle w:val="NormalWeb"/>
      </w:pPr>
      <w:r>
        <w:t>Certified Professional Midwife licensure requirements specify MassHealth coverage for services provided by licensed CPMs</w:t>
      </w:r>
      <w:proofErr w:type="gramStart"/>
      <w:r>
        <w:t xml:space="preserve">. </w:t>
      </w:r>
      <w:proofErr w:type="gramEnd"/>
      <w:r>
        <w:t>Temporary licensure activates this workforce, and reimbursement systems must be implemented accordingly to ensure access is not delayed by administrative barriers.</w:t>
      </w:r>
    </w:p>
    <w:p w14:paraId="6387259C" w14:textId="77777777" w:rsidR="009B6213" w:rsidRDefault="00C37AA2">
      <w:pPr>
        <w:pStyle w:val="NormalWeb"/>
      </w:pPr>
      <w:r>
        <w:t>For CPMs to be meaningfully integrated into the healthcare system, licensure must be accompanied by timely MassHealth enrollment and reimbursement that is fair and reflective of the full scope of care provided.</w:t>
      </w:r>
    </w:p>
    <w:p w14:paraId="52BAC6C9" w14:textId="77777777" w:rsidR="009B6213" w:rsidRDefault="00C37AA2">
      <w:pPr>
        <w:pStyle w:val="NormalWeb"/>
      </w:pPr>
      <w:r>
        <w:t>The CPM model includes:</w:t>
      </w:r>
    </w:p>
    <w:p w14:paraId="6268E32F" w14:textId="77777777" w:rsidR="009B6213" w:rsidRDefault="00C37AA2">
      <w:pPr>
        <w:pStyle w:val="NormalWeb"/>
        <w:numPr>
          <w:ilvl w:val="0"/>
          <w:numId w:val="2"/>
        </w:numPr>
      </w:pPr>
      <w:r>
        <w:t>Continuity of care throughout pregnancy, birth, and postpartum</w:t>
      </w:r>
    </w:p>
    <w:p w14:paraId="6CE07DEE" w14:textId="77777777" w:rsidR="009B6213" w:rsidRDefault="00C37AA2">
      <w:pPr>
        <w:pStyle w:val="NormalWeb"/>
        <w:numPr>
          <w:ilvl w:val="0"/>
          <w:numId w:val="2"/>
        </w:numPr>
      </w:pPr>
      <w:r>
        <w:t>Care for both parent and newborn</w:t>
      </w:r>
    </w:p>
    <w:p w14:paraId="7B4BF6F6" w14:textId="77777777" w:rsidR="009B6213" w:rsidRDefault="00C37AA2">
      <w:pPr>
        <w:pStyle w:val="NormalWeb"/>
        <w:numPr>
          <w:ilvl w:val="0"/>
          <w:numId w:val="2"/>
        </w:numPr>
      </w:pPr>
      <w:r>
        <w:t>Independent, often solo practice models</w:t>
      </w:r>
    </w:p>
    <w:p w14:paraId="2C4E43F7" w14:textId="77777777" w:rsidR="009B6213" w:rsidRDefault="00C37AA2">
      <w:pPr>
        <w:pStyle w:val="NormalWeb"/>
        <w:numPr>
          <w:ilvl w:val="0"/>
          <w:numId w:val="2"/>
        </w:numPr>
      </w:pPr>
      <w:r>
        <w:t>24/7 availability and responsibility across the full episode of care</w:t>
      </w:r>
    </w:p>
    <w:p w14:paraId="5192134D" w14:textId="77777777" w:rsidR="009B6213" w:rsidRDefault="00C37AA2">
      <w:pPr>
        <w:pStyle w:val="NormalWeb"/>
      </w:pPr>
      <w:r>
        <w:t>Low-volume, high-responsibility care cannot be sustained if reimbursement rates do not meet the actual cost of providing that care.</w:t>
      </w:r>
    </w:p>
    <w:p w14:paraId="6BFB5021" w14:textId="77777777" w:rsidR="009B6213" w:rsidRDefault="00C37AA2">
      <w:pPr>
        <w:pStyle w:val="NormalWeb"/>
      </w:pPr>
      <w:r>
        <w:t>Reimbursement must reflect the full scope and responsibility of CPM care, or licensure risks becoming symbolic rather than functional</w:t>
      </w:r>
      <w:proofErr w:type="gramStart"/>
      <w:r>
        <w:t xml:space="preserve">. </w:t>
      </w:r>
      <w:proofErr w:type="gramEnd"/>
      <w:r>
        <w:t>Temporary licensure provides an opportunity to align reimbursement systems accordingly</w:t>
      </w:r>
      <w:proofErr w:type="gramStart"/>
      <w:r>
        <w:t xml:space="preserve">. </w:t>
      </w:r>
      <w:proofErr w:type="gramEnd"/>
      <w:r>
        <w:t>Without fair and reasonable rates, licensure alone will not translate into meaningful access.</w:t>
      </w:r>
    </w:p>
    <w:p w14:paraId="233DF60E" w14:textId="77777777" w:rsidR="009B6213" w:rsidRDefault="009B6213">
      <w:pPr>
        <w:pStyle w:val="NormalWeb"/>
        <w:spacing w:before="80" w:after="0" w:line="144" w:lineRule="auto"/>
        <w:rPr>
          <w:b/>
          <w:bCs/>
          <w:sz w:val="28"/>
          <w:szCs w:val="28"/>
        </w:rPr>
      </w:pPr>
    </w:p>
    <w:p w14:paraId="1B153880" w14:textId="77777777" w:rsidR="009B6213" w:rsidRDefault="00C37AA2">
      <w:pPr>
        <w:pStyle w:val="Default"/>
        <w:suppressAutoHyphens/>
        <w:spacing w:before="0" w:after="140" w:line="240" w:lineRule="auto"/>
        <w:rPr>
          <w:rFonts w:ascii="Times Roman" w:eastAsia="Times Roman" w:hAnsi="Times Roman" w:cs="Times Roman"/>
          <w:b/>
          <w:bCs/>
          <w:sz w:val="28"/>
          <w:szCs w:val="28"/>
        </w:rPr>
      </w:pPr>
      <w:r>
        <w:rPr>
          <w:rFonts w:ascii="Times Roman" w:hAnsi="Times Roman"/>
          <w:b/>
          <w:bCs/>
          <w:sz w:val="28"/>
          <w:szCs w:val="28"/>
        </w:rPr>
        <w:t>Bridge Certificate and PEP Pathway</w:t>
      </w:r>
    </w:p>
    <w:p w14:paraId="18254FEF" w14:textId="77777777" w:rsidR="009B6213" w:rsidRDefault="00C37AA2">
      <w:pPr>
        <w:pStyle w:val="Default"/>
        <w:suppressAutoHyphens/>
        <w:spacing w:before="0" w:after="240" w:line="240" w:lineRule="auto"/>
        <w:rPr>
          <w:rFonts w:ascii="Times Roman" w:eastAsia="Times Roman" w:hAnsi="Times Roman" w:cs="Times Roman"/>
        </w:rPr>
      </w:pPr>
      <w:r>
        <w:rPr>
          <w:rFonts w:ascii="Times Roman" w:hAnsi="Times Roman"/>
        </w:rPr>
        <w:t>We strongly applaud the inclusion of the NARM Midwifery Bridge Certificate pathway within both full and temporary licensure eligibility.</w:t>
      </w:r>
    </w:p>
    <w:p w14:paraId="6A783799" w14:textId="77777777" w:rsidR="009B6213" w:rsidRDefault="00C37AA2">
      <w:pPr>
        <w:pStyle w:val="Default"/>
        <w:suppressAutoHyphens/>
        <w:spacing w:before="0" w:after="240" w:line="240" w:lineRule="auto"/>
        <w:rPr>
          <w:rFonts w:ascii="Times Roman" w:eastAsia="Times Roman" w:hAnsi="Times Roman" w:cs="Times Roman"/>
        </w:rPr>
      </w:pPr>
      <w:r>
        <w:rPr>
          <w:rFonts w:ascii="Times Roman" w:hAnsi="Times Roman"/>
        </w:rPr>
        <w:t>We also recognize the importance of the Portfolio Evaluation Process (PEP) as an established and viable entry pathway into the CPM credential</w:t>
      </w:r>
      <w:proofErr w:type="gramStart"/>
      <w:r>
        <w:rPr>
          <w:rFonts w:ascii="Times Roman" w:hAnsi="Times Roman"/>
        </w:rPr>
        <w:t xml:space="preserve">. </w:t>
      </w:r>
      <w:proofErr w:type="gramEnd"/>
      <w:r>
        <w:rPr>
          <w:rFonts w:ascii="Times Roman" w:hAnsi="Times Roman"/>
        </w:rPr>
        <w:t>The PEP pathway reflects a longstanding, competency-based model of midwifery education that has trained a significant portion of the current CPM workforce, including many experienced clinicians actively serving families today.</w:t>
      </w:r>
    </w:p>
    <w:p w14:paraId="20F9D621" w14:textId="77777777" w:rsidR="009B6213" w:rsidRDefault="00C37AA2">
      <w:pPr>
        <w:pStyle w:val="Default"/>
        <w:suppressAutoHyphens/>
        <w:spacing w:before="0" w:after="240" w:line="240" w:lineRule="auto"/>
        <w:rPr>
          <w:rFonts w:ascii="Times Roman" w:eastAsia="Times Roman" w:hAnsi="Times Roman" w:cs="Times Roman"/>
        </w:rPr>
      </w:pPr>
      <w:r>
        <w:rPr>
          <w:rFonts w:ascii="Times Roman" w:hAnsi="Times Roman"/>
        </w:rPr>
        <w:t>Together, the PEP pathway and Bridge Certificate ensure:</w:t>
      </w:r>
    </w:p>
    <w:p w14:paraId="2B9878E5" w14:textId="77777777" w:rsidR="009B6213" w:rsidRDefault="00C37AA2">
      <w:pPr>
        <w:pStyle w:val="Default"/>
        <w:numPr>
          <w:ilvl w:val="0"/>
          <w:numId w:val="4"/>
        </w:numPr>
        <w:suppressAutoHyphens/>
        <w:spacing w:before="0" w:line="240" w:lineRule="auto"/>
        <w:rPr>
          <w:rFonts w:ascii="Times Roman" w:hAnsi="Times Roman"/>
        </w:rPr>
      </w:pPr>
      <w:r>
        <w:rPr>
          <w:rFonts w:ascii="Times Roman" w:hAnsi="Times Roman"/>
        </w:rPr>
        <w:t>Workforce inclusivity and equity</w:t>
      </w:r>
    </w:p>
    <w:p w14:paraId="1362B8EB" w14:textId="77777777" w:rsidR="009B6213" w:rsidRDefault="00C37AA2">
      <w:pPr>
        <w:pStyle w:val="Default"/>
        <w:numPr>
          <w:ilvl w:val="0"/>
          <w:numId w:val="4"/>
        </w:numPr>
        <w:suppressAutoHyphens/>
        <w:spacing w:before="0" w:line="240" w:lineRule="auto"/>
        <w:rPr>
          <w:rFonts w:ascii="Times Roman" w:hAnsi="Times Roman"/>
        </w:rPr>
      </w:pPr>
      <w:r>
        <w:rPr>
          <w:rFonts w:ascii="Times Roman" w:hAnsi="Times Roman"/>
        </w:rPr>
        <w:t>Alignment with national credentialing standards</w:t>
      </w:r>
    </w:p>
    <w:p w14:paraId="4D5CCD09" w14:textId="77777777" w:rsidR="009B6213" w:rsidRDefault="00C37AA2">
      <w:pPr>
        <w:pStyle w:val="Default"/>
        <w:numPr>
          <w:ilvl w:val="0"/>
          <w:numId w:val="4"/>
        </w:numPr>
        <w:suppressAutoHyphens/>
        <w:spacing w:before="0" w:line="240" w:lineRule="auto"/>
        <w:rPr>
          <w:rFonts w:ascii="Times Roman" w:hAnsi="Times Roman"/>
        </w:rPr>
      </w:pPr>
      <w:r>
        <w:rPr>
          <w:rFonts w:ascii="Times Roman" w:hAnsi="Times Roman"/>
        </w:rPr>
        <w:lastRenderedPageBreak/>
        <w:t>Recognition of multiple, established pathways into competent midwifery practice</w:t>
      </w:r>
    </w:p>
    <w:p w14:paraId="7C32BEEA" w14:textId="77777777" w:rsidR="009B6213" w:rsidRDefault="009B6213">
      <w:pPr>
        <w:pStyle w:val="Default"/>
        <w:suppressAutoHyphens/>
        <w:spacing w:before="0" w:line="144" w:lineRule="auto"/>
        <w:rPr>
          <w:rFonts w:ascii="Times Roman" w:eastAsia="Times Roman" w:hAnsi="Times Roman" w:cs="Times Roman"/>
        </w:rPr>
      </w:pPr>
    </w:p>
    <w:p w14:paraId="41D2FF62" w14:textId="77777777" w:rsidR="009B6213" w:rsidRDefault="00C37AA2">
      <w:pPr>
        <w:pStyle w:val="Default"/>
        <w:suppressAutoHyphens/>
        <w:spacing w:before="0" w:after="240" w:line="240" w:lineRule="auto"/>
        <w:rPr>
          <w:rFonts w:ascii="Times Roman" w:eastAsia="Times Roman" w:hAnsi="Times Roman" w:cs="Times Roman"/>
        </w:rPr>
      </w:pPr>
      <w:r>
        <w:rPr>
          <w:rFonts w:ascii="Times Roman" w:hAnsi="Times Roman"/>
        </w:rPr>
        <w:t>These pathways are not theoretical</w:t>
      </w:r>
      <w:proofErr w:type="gramStart"/>
      <w:r>
        <w:rPr>
          <w:rFonts w:ascii="Times Roman" w:hAnsi="Times Roman"/>
        </w:rPr>
        <w:t xml:space="preserve">. </w:t>
      </w:r>
      <w:proofErr w:type="gramEnd"/>
      <w:r>
        <w:rPr>
          <w:rFonts w:ascii="Times Roman" w:hAnsi="Times Roman"/>
        </w:rPr>
        <w:t>They represent the actual educational and professional foundation of the existing CPM workforce and are essential to ensuring continuity between the current workforce and future licensure pathways.</w:t>
      </w:r>
    </w:p>
    <w:p w14:paraId="569C2D7D" w14:textId="77777777" w:rsidR="009B6213" w:rsidRDefault="00C37AA2">
      <w:pPr>
        <w:pStyle w:val="Default"/>
        <w:suppressAutoHyphens/>
        <w:spacing w:before="0" w:after="300" w:line="240" w:lineRule="auto"/>
        <w:rPr>
          <w:rFonts w:ascii="Times Roman" w:eastAsia="Times Roman" w:hAnsi="Times Roman" w:cs="Times Roman"/>
        </w:rPr>
      </w:pPr>
      <w:r>
        <w:rPr>
          <w:rFonts w:ascii="Times Roman" w:hAnsi="Times Roman"/>
        </w:rPr>
        <w:t>Maintaining these pathways supports workforce stability, preserves clinical experience, and ensures that licensure reflects the realities of midwifery education and practice</w:t>
      </w:r>
      <w:proofErr w:type="gramStart"/>
      <w:r>
        <w:rPr>
          <w:rFonts w:ascii="Times Roman" w:hAnsi="Times Roman"/>
        </w:rPr>
        <w:t xml:space="preserve">. </w:t>
      </w:r>
      <w:proofErr w:type="gramEnd"/>
      <w:r>
        <w:rPr>
          <w:rFonts w:ascii="Times Roman" w:hAnsi="Times Roman"/>
        </w:rPr>
        <w:t>As Massachusetts expands access to midwifery care, this structure allows the Commonwealth to build on an existing, qualified workforce rather than inadvertently narrowing it.</w:t>
      </w:r>
    </w:p>
    <w:p w14:paraId="4089FAEA" w14:textId="77777777" w:rsidR="009B6213" w:rsidRDefault="00C37AA2">
      <w:pPr>
        <w:pStyle w:val="NormalWeb"/>
        <w:spacing w:after="0"/>
        <w:rPr>
          <w:b/>
          <w:bCs/>
          <w:sz w:val="28"/>
          <w:szCs w:val="28"/>
        </w:rPr>
      </w:pPr>
      <w:r>
        <w:rPr>
          <w:b/>
          <w:bCs/>
          <w:sz w:val="28"/>
          <w:szCs w:val="28"/>
        </w:rPr>
        <w:t>Clear Standards and Accountability</w:t>
      </w:r>
    </w:p>
    <w:p w14:paraId="086BA912" w14:textId="77777777" w:rsidR="009B6213" w:rsidRDefault="00C37AA2">
      <w:pPr>
        <w:pStyle w:val="NormalWeb"/>
      </w:pPr>
      <w:r>
        <w:t>We support the clear expectations outlined for temporary license holders, including compliance with:</w:t>
      </w:r>
    </w:p>
    <w:p w14:paraId="2541C4A6" w14:textId="77777777" w:rsidR="009B6213" w:rsidRDefault="00C37AA2">
      <w:pPr>
        <w:pStyle w:val="NormalWeb"/>
        <w:numPr>
          <w:ilvl w:val="0"/>
          <w:numId w:val="2"/>
        </w:numPr>
      </w:pPr>
      <w:r>
        <w:t>Massachusetts statutes governing midwifery practice</w:t>
      </w:r>
    </w:p>
    <w:p w14:paraId="6721D51E" w14:textId="77777777" w:rsidR="009B6213" w:rsidRDefault="00C37AA2">
      <w:pPr>
        <w:pStyle w:val="NormalWeb"/>
        <w:numPr>
          <w:ilvl w:val="0"/>
          <w:numId w:val="2"/>
        </w:numPr>
      </w:pPr>
      <w:r>
        <w:t>Controlled substance regulations</w:t>
      </w:r>
    </w:p>
    <w:p w14:paraId="17F9BE50" w14:textId="77777777" w:rsidR="009B6213" w:rsidRDefault="00C37AA2">
      <w:pPr>
        <w:pStyle w:val="NormalWeb"/>
        <w:numPr>
          <w:ilvl w:val="0"/>
          <w:numId w:val="2"/>
        </w:numPr>
      </w:pPr>
      <w:r>
        <w:t>NACPM Standards of Practice</w:t>
      </w:r>
    </w:p>
    <w:p w14:paraId="6306B171" w14:textId="77777777" w:rsidR="009B6213" w:rsidRDefault="00C37AA2">
      <w:pPr>
        <w:pStyle w:val="NormalWeb"/>
        <w:numPr>
          <w:ilvl w:val="0"/>
          <w:numId w:val="2"/>
        </w:numPr>
      </w:pPr>
      <w:r>
        <w:t>Established disciplinary procedures</w:t>
      </w:r>
    </w:p>
    <w:p w14:paraId="12D2269A" w14:textId="77777777" w:rsidR="009B6213" w:rsidRDefault="00C37AA2">
      <w:pPr>
        <w:pStyle w:val="NormalWeb"/>
      </w:pPr>
      <w:r>
        <w:t>These provisions appropriately balance access with accountability, ensuring safe and regulated integration.</w:t>
      </w:r>
    </w:p>
    <w:p w14:paraId="231FA0AA" w14:textId="77777777" w:rsidR="009B6213" w:rsidRDefault="00C37AA2">
      <w:pPr>
        <w:pStyle w:val="NormalWeb"/>
      </w:pPr>
      <w:r>
        <w:t xml:space="preserve">Massachusetts </w:t>
      </w:r>
      <w:proofErr w:type="gramStart"/>
      <w:r>
        <w:t>has the opportunity to</w:t>
      </w:r>
      <w:proofErr w:type="gramEnd"/>
      <w:r>
        <w:t xml:space="preserve"> lead the nation not only in authorizing CPM practice, but in demonstrating how community birth can be meaningfully integrated into a modern maternity care system.</w:t>
      </w:r>
    </w:p>
    <w:p w14:paraId="0F634E83" w14:textId="77777777" w:rsidR="009B6213" w:rsidRDefault="00C37AA2">
      <w:pPr>
        <w:pStyle w:val="NormalWeb"/>
      </w:pPr>
      <w:r>
        <w:t>The Commonwealth has already taken bold and important steps toward building systems that can hold the midwifery model of care, rather than forcing that model to conform to structures that were never designed for it</w:t>
      </w:r>
      <w:proofErr w:type="gramStart"/>
      <w:r>
        <w:t xml:space="preserve">. </w:t>
      </w:r>
      <w:proofErr w:type="gramEnd"/>
      <w:r>
        <w:t>We recognize the level of effort, leadership, and commitment being directed toward CPM integration in Massachusetts, and we applaud it.</w:t>
      </w:r>
    </w:p>
    <w:p w14:paraId="6FC7A645" w14:textId="77777777" w:rsidR="009B6213" w:rsidRDefault="00C37AA2">
      <w:pPr>
        <w:pStyle w:val="NormalWeb"/>
      </w:pPr>
      <w:r>
        <w:t>These regulations are a critical next step in that work.</w:t>
      </w:r>
    </w:p>
    <w:p w14:paraId="59428520" w14:textId="77777777" w:rsidR="009B6213" w:rsidRDefault="00C37AA2">
      <w:pPr>
        <w:pStyle w:val="NormalWeb"/>
      </w:pPr>
      <w:r>
        <w:t>We urge the Board of Registration in Midwifery to move forward with these regulations as written and to ensure alignment with reimbursement systems so that access to care is not delayed.</w:t>
      </w:r>
    </w:p>
    <w:p w14:paraId="67F9F15E" w14:textId="77777777" w:rsidR="009B6213" w:rsidRDefault="00C37AA2">
      <w:pPr>
        <w:pStyle w:val="NormalWeb"/>
      </w:pPr>
      <w:r>
        <w:t>Families cannot wait for care that policy has already promised.</w:t>
      </w:r>
    </w:p>
    <w:p w14:paraId="7AAD8DB1" w14:textId="77777777" w:rsidR="009B6213" w:rsidRDefault="00C37AA2">
      <w:pPr>
        <w:pStyle w:val="NormalWeb"/>
        <w:rPr>
          <w:rFonts w:ascii="Times Roman" w:eastAsia="Times Roman" w:hAnsi="Times Roman" w:cs="Times Roman"/>
        </w:rPr>
      </w:pPr>
      <w:r>
        <w:rPr>
          <w:rFonts w:ascii="Times Roman" w:hAnsi="Times Roman"/>
        </w:rPr>
        <w:t>Respectfully,</w:t>
      </w:r>
    </w:p>
    <w:p w14:paraId="6F21CABD" w14:textId="77777777" w:rsidR="009B6213" w:rsidRDefault="00C37AA2">
      <w:pPr>
        <w:pStyle w:val="NormalWeb"/>
        <w:rPr>
          <w:rFonts w:ascii="Times Roman" w:eastAsia="Times Roman" w:hAnsi="Times Roman" w:cs="Times Roman"/>
        </w:rPr>
      </w:pPr>
      <w:r>
        <w:rPr>
          <w:rFonts w:ascii="Times Roman" w:hAnsi="Times Roman"/>
        </w:rPr>
        <w:t>The Board of Officers</w:t>
      </w:r>
      <w:r>
        <w:rPr>
          <w:rFonts w:ascii="Times Roman" w:eastAsia="Times Roman" w:hAnsi="Times Roman" w:cs="Times Roman"/>
        </w:rPr>
        <w:br/>
      </w:r>
      <w:r>
        <w:rPr>
          <w:rFonts w:ascii="Times Roman" w:hAnsi="Times Roman"/>
        </w:rPr>
        <w:t>Massachusetts Chapter National Association of Certified Professional Midwives</w:t>
      </w:r>
    </w:p>
    <w:p w14:paraId="7E6BB635" w14:textId="77777777" w:rsidR="009B6213" w:rsidRDefault="00C37AA2">
      <w:pPr>
        <w:pStyle w:val="NormalWeb"/>
        <w:rPr>
          <w:rFonts w:ascii="Times Roman" w:eastAsia="Times Roman" w:hAnsi="Times Roman" w:cs="Times Roman"/>
        </w:rPr>
      </w:pPr>
      <w:r>
        <w:rPr>
          <w:rFonts w:ascii="Times Roman" w:hAnsi="Times Roman"/>
        </w:rPr>
        <w:t>admin@machapternacpm.com</w:t>
      </w:r>
    </w:p>
    <w:p w14:paraId="053A11B5" w14:textId="77777777" w:rsidR="009B6213" w:rsidRDefault="00C37AA2">
      <w:pPr>
        <w:pStyle w:val="Default"/>
        <w:suppressAutoHyphens/>
        <w:spacing w:before="0" w:line="240" w:lineRule="auto"/>
        <w:rPr>
          <w:rFonts w:ascii="Times Roman" w:eastAsia="Times Roman" w:hAnsi="Times Roman" w:cs="Times Roman"/>
        </w:rPr>
      </w:pPr>
      <w:r>
        <w:rPr>
          <w:rFonts w:ascii="Times Roman" w:hAnsi="Times Roman"/>
        </w:rPr>
        <w:t>P.O. Box 320 Reading</w:t>
      </w:r>
    </w:p>
    <w:p w14:paraId="1FC60960" w14:textId="77777777" w:rsidR="009B6213" w:rsidRDefault="00C37AA2">
      <w:pPr>
        <w:pStyle w:val="Default"/>
        <w:suppressAutoHyphens/>
        <w:spacing w:before="0" w:line="240" w:lineRule="auto"/>
      </w:pPr>
      <w:r>
        <w:rPr>
          <w:rFonts w:ascii="Times Roman" w:hAnsi="Times Roman"/>
        </w:rPr>
        <w:t xml:space="preserve">MA 01867-0606 USA </w:t>
      </w:r>
    </w:p>
    <w:sectPr w:rsidR="009B6213">
      <w:headerReference w:type="default" r:id="rId8"/>
      <w:footerReference w:type="default" r:id="rId9"/>
      <w:pgSz w:w="12240" w:h="15840"/>
      <w:pgMar w:top="1240" w:right="2160"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502B" w14:textId="77777777" w:rsidR="00C37AA2" w:rsidRDefault="00C37AA2">
      <w:r>
        <w:separator/>
      </w:r>
    </w:p>
  </w:endnote>
  <w:endnote w:type="continuationSeparator" w:id="0">
    <w:p w14:paraId="55D11D90" w14:textId="77777777" w:rsidR="00C37AA2" w:rsidRDefault="00C3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Arial Unicode MS">
    <w:panose1 w:val="020B0604020202020204"/>
    <w:charset w:val="00"/>
    <w:family w:val="roman"/>
    <w:pitch w:val="default"/>
  </w:font>
  <w:font w:name="Helvetica Neue">
    <w:altName w:val="Arial"/>
    <w:charset w:val="00"/>
    <w:family w:val="roman"/>
    <w:pitch w:val="default"/>
  </w:font>
  <w:font w:name="Avenir Next Demi Bold">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52E8" w14:textId="77777777" w:rsidR="009B6213" w:rsidRDefault="009B621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6869" w14:textId="77777777" w:rsidR="00C37AA2" w:rsidRDefault="00C37AA2">
      <w:r>
        <w:separator/>
      </w:r>
    </w:p>
  </w:footnote>
  <w:footnote w:type="continuationSeparator" w:id="0">
    <w:p w14:paraId="375AE83C" w14:textId="77777777" w:rsidR="00C37AA2" w:rsidRDefault="00C3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7087" w14:textId="77777777" w:rsidR="009B6213" w:rsidRDefault="009B621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2C01"/>
    <w:multiLevelType w:val="hybridMultilevel"/>
    <w:tmpl w:val="54662396"/>
    <w:numStyleLink w:val="ImportedStyle1"/>
  </w:abstractNum>
  <w:abstractNum w:abstractNumId="1" w15:restartNumberingAfterBreak="0">
    <w:nsid w:val="38BF38CE"/>
    <w:multiLevelType w:val="hybridMultilevel"/>
    <w:tmpl w:val="E88E283A"/>
    <w:numStyleLink w:val="Bullet"/>
  </w:abstractNum>
  <w:abstractNum w:abstractNumId="2" w15:restartNumberingAfterBreak="0">
    <w:nsid w:val="47A554F9"/>
    <w:multiLevelType w:val="hybridMultilevel"/>
    <w:tmpl w:val="54662396"/>
    <w:styleLink w:val="ImportedStyle1"/>
    <w:lvl w:ilvl="0" w:tplc="B86C8EE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A988C2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E0A9F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8CCB7E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B0E9D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E52DA9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95087B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F7ED77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424281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6B33F1"/>
    <w:multiLevelType w:val="hybridMultilevel"/>
    <w:tmpl w:val="E88E283A"/>
    <w:styleLink w:val="Bullet"/>
    <w:lvl w:ilvl="0" w:tplc="806078A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396DE6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B744554C">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D4851DC">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C728DB58">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570CE65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254DEC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9460D88">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605E4BDC">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46404241">
    <w:abstractNumId w:val="2"/>
  </w:num>
  <w:num w:numId="2" w16cid:durableId="1466921724">
    <w:abstractNumId w:val="0"/>
  </w:num>
  <w:num w:numId="3" w16cid:durableId="87234155">
    <w:abstractNumId w:val="3"/>
  </w:num>
  <w:num w:numId="4" w16cid:durableId="193188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13"/>
    <w:rsid w:val="000C3B40"/>
    <w:rsid w:val="009B6213"/>
    <w:rsid w:val="00C37AA2"/>
    <w:rsid w:val="00FF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3EB6"/>
  <w15:docId w15:val="{D5192C08-C592-421B-B8A8-C259F253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pPr>
      <w:spacing w:line="312" w:lineRule="auto"/>
      <w:jc w:val="center"/>
      <w:outlineLvl w:val="0"/>
    </w:pPr>
    <w:rPr>
      <w:rFonts w:ascii="Avenir Next Demi Bold" w:hAnsi="Avenir Next Demi Bold" w:cs="Arial Unicode MS"/>
      <w:caps/>
      <w:color w:val="000000"/>
      <w:spacing w:val="12"/>
      <w:sz w:val="16"/>
      <w:szCs w:val="16"/>
      <w:u w:color="000000"/>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sz w:val="24"/>
      <w:szCs w:val="24"/>
      <w:u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Bullet">
    <w:name w:val="Bulle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26_ProfessionalLetter">
  <a:themeElements>
    <a:clrScheme name="26_ProfessionalLetter">
      <a:dk1>
        <a:srgbClr val="000000"/>
      </a:dk1>
      <a:lt1>
        <a:srgbClr val="FFFFFF"/>
      </a:lt1>
      <a:dk2>
        <a:srgbClr val="A7A7A7"/>
      </a:dk2>
      <a:lt2>
        <a:srgbClr val="535353"/>
      </a:lt2>
      <a:accent1>
        <a:srgbClr val="53BBE0"/>
      </a:accent1>
      <a:accent2>
        <a:srgbClr val="6DCFB9"/>
      </a:accent2>
      <a:accent3>
        <a:srgbClr val="90BF72"/>
      </a:accent3>
      <a:accent4>
        <a:srgbClr val="F2C34A"/>
      </a:accent4>
      <a:accent5>
        <a:srgbClr val="FF4741"/>
      </a:accent5>
      <a:accent6>
        <a:srgbClr val="FF8700"/>
      </a:accent6>
      <a:hlink>
        <a:srgbClr val="0000FF"/>
      </a:hlink>
      <a:folHlink>
        <a:srgbClr val="FF00FF"/>
      </a:folHlink>
    </a:clrScheme>
    <a:fontScheme name="26_ProfessionalLetter">
      <a:majorFont>
        <a:latin typeface="Helvetica Neue"/>
        <a:ea typeface="Helvetica Neue"/>
        <a:cs typeface="Helvetica Neue"/>
      </a:majorFont>
      <a:minorFont>
        <a:latin typeface="Helvetica Neue"/>
        <a:ea typeface="Helvetica Neue"/>
        <a:cs typeface="Helvetica Neue"/>
      </a:minorFont>
    </a:fontScheme>
    <a:fmtScheme name="26_Professional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2026-04-29T12:21:00Z</dcterms:created>
  <dcterms:modified xsi:type="dcterms:W3CDTF">2026-04-29T12:21:00Z</dcterms:modified>
</cp:coreProperties>
</file>