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E837A" w14:textId="77777777" w:rsidR="003912CC" w:rsidRPr="00BF2444" w:rsidRDefault="003912CC" w:rsidP="003912CC">
      <w:pPr>
        <w:rPr>
          <w:color w:val="FF0000"/>
        </w:rPr>
      </w:pPr>
      <w:bookmarkStart w:id="0" w:name="_GoBack"/>
      <w:bookmarkEnd w:id="0"/>
    </w:p>
    <w:p w14:paraId="3A36C0A7" w14:textId="77777777" w:rsidR="003912CC" w:rsidRPr="00BF2444" w:rsidRDefault="003912CC" w:rsidP="003912CC">
      <w:pPr>
        <w:jc w:val="both"/>
        <w:rPr>
          <w:color w:val="FF0000"/>
        </w:rPr>
      </w:pPr>
    </w:p>
    <w:p w14:paraId="61899EA2" w14:textId="77777777" w:rsidR="003912CC" w:rsidRPr="00C65422" w:rsidRDefault="003912CC" w:rsidP="003912CC">
      <w:pPr>
        <w:jc w:val="both"/>
      </w:pPr>
    </w:p>
    <w:p w14:paraId="77979021" w14:textId="77777777" w:rsidR="003912CC" w:rsidRPr="00C65422" w:rsidRDefault="003912CC" w:rsidP="003912CC">
      <w:pPr>
        <w:jc w:val="both"/>
      </w:pPr>
    </w:p>
    <w:p w14:paraId="0C8135AE" w14:textId="77777777" w:rsidR="003912CC" w:rsidRPr="00C65422" w:rsidRDefault="003912CC" w:rsidP="003912CC">
      <w:pPr>
        <w:tabs>
          <w:tab w:val="center" w:pos="4680"/>
        </w:tabs>
        <w:jc w:val="both"/>
        <w:rPr>
          <w:b/>
          <w:bCs/>
          <w:sz w:val="36"/>
          <w:szCs w:val="36"/>
        </w:rPr>
      </w:pPr>
      <w:r w:rsidRPr="00C65422">
        <w:rPr>
          <w:sz w:val="36"/>
          <w:szCs w:val="36"/>
        </w:rPr>
        <w:tab/>
      </w:r>
      <w:r w:rsidRPr="00C65422">
        <w:rPr>
          <w:b/>
          <w:bCs/>
          <w:sz w:val="36"/>
          <w:szCs w:val="36"/>
        </w:rPr>
        <w:t>PUBLIC DISCLOSURE</w:t>
      </w:r>
    </w:p>
    <w:p w14:paraId="53F51912" w14:textId="77777777" w:rsidR="003912CC" w:rsidRPr="00C65422" w:rsidRDefault="003912CC" w:rsidP="003912CC">
      <w:pPr>
        <w:jc w:val="both"/>
      </w:pPr>
    </w:p>
    <w:p w14:paraId="7CCF9E9A" w14:textId="77777777" w:rsidR="003912CC" w:rsidRPr="00C65422" w:rsidRDefault="003912CC" w:rsidP="003912CC">
      <w:pPr>
        <w:jc w:val="both"/>
      </w:pPr>
    </w:p>
    <w:p w14:paraId="44047CB2" w14:textId="77777777" w:rsidR="003912CC" w:rsidRPr="00C65422" w:rsidRDefault="003912CC" w:rsidP="003912CC">
      <w:pPr>
        <w:jc w:val="both"/>
      </w:pPr>
    </w:p>
    <w:p w14:paraId="7B309127" w14:textId="77777777" w:rsidR="003912CC" w:rsidRPr="00C65422" w:rsidRDefault="003912CC" w:rsidP="003912CC">
      <w:pPr>
        <w:jc w:val="both"/>
      </w:pPr>
    </w:p>
    <w:p w14:paraId="113D72DE" w14:textId="4C6C42CF" w:rsidR="003912CC" w:rsidRPr="00C65422" w:rsidRDefault="003912CC" w:rsidP="003912CC">
      <w:pPr>
        <w:tabs>
          <w:tab w:val="center" w:pos="4680"/>
        </w:tabs>
        <w:jc w:val="both"/>
      </w:pPr>
      <w:r w:rsidRPr="00C65422">
        <w:rPr>
          <w:sz w:val="36"/>
          <w:szCs w:val="36"/>
        </w:rPr>
        <w:tab/>
      </w:r>
      <w:r w:rsidR="00C65422" w:rsidRPr="00C65422">
        <w:t>February</w:t>
      </w:r>
      <w:r w:rsidR="002A6FAB" w:rsidRPr="00C65422">
        <w:t xml:space="preserve"> 1</w:t>
      </w:r>
      <w:r w:rsidR="00C65422" w:rsidRPr="00C65422">
        <w:t>6</w:t>
      </w:r>
      <w:r w:rsidR="002A6FAB" w:rsidRPr="00C65422">
        <w:t>, 2021</w:t>
      </w:r>
    </w:p>
    <w:p w14:paraId="7D6C5F20" w14:textId="77777777" w:rsidR="003912CC" w:rsidRPr="00C65422" w:rsidRDefault="003912CC" w:rsidP="003912CC">
      <w:pPr>
        <w:jc w:val="both"/>
      </w:pPr>
    </w:p>
    <w:p w14:paraId="418A3C78" w14:textId="77777777" w:rsidR="003912CC" w:rsidRPr="00C65422" w:rsidRDefault="003912CC" w:rsidP="003912CC">
      <w:pPr>
        <w:jc w:val="both"/>
      </w:pPr>
    </w:p>
    <w:p w14:paraId="6F3EAC85" w14:textId="77777777" w:rsidR="003912CC" w:rsidRPr="00C65422" w:rsidRDefault="003912CC" w:rsidP="003912CC">
      <w:pPr>
        <w:jc w:val="both"/>
      </w:pPr>
    </w:p>
    <w:p w14:paraId="526D5DDB" w14:textId="77777777" w:rsidR="003912CC" w:rsidRPr="00C65422" w:rsidRDefault="003912CC" w:rsidP="003912CC">
      <w:pPr>
        <w:jc w:val="both"/>
      </w:pPr>
    </w:p>
    <w:p w14:paraId="48B677FE" w14:textId="77777777" w:rsidR="003912CC" w:rsidRPr="00C65422" w:rsidRDefault="003912CC" w:rsidP="003912CC">
      <w:pPr>
        <w:tabs>
          <w:tab w:val="center" w:pos="4680"/>
        </w:tabs>
        <w:jc w:val="both"/>
        <w:rPr>
          <w:b/>
          <w:bCs/>
          <w:sz w:val="36"/>
          <w:szCs w:val="36"/>
        </w:rPr>
      </w:pPr>
      <w:r w:rsidRPr="00C65422">
        <w:tab/>
      </w:r>
      <w:r w:rsidRPr="00C65422">
        <w:rPr>
          <w:b/>
          <w:bCs/>
          <w:sz w:val="36"/>
          <w:szCs w:val="36"/>
        </w:rPr>
        <w:t>COMMUNITY REINVESTMENT ACT</w:t>
      </w:r>
    </w:p>
    <w:p w14:paraId="1B263885" w14:textId="77777777" w:rsidR="003912CC" w:rsidRPr="00C65422" w:rsidRDefault="003912CC" w:rsidP="003912CC">
      <w:pPr>
        <w:tabs>
          <w:tab w:val="center" w:pos="4680"/>
        </w:tabs>
        <w:jc w:val="both"/>
        <w:rPr>
          <w:sz w:val="36"/>
          <w:szCs w:val="36"/>
        </w:rPr>
      </w:pPr>
      <w:r w:rsidRPr="00C65422">
        <w:rPr>
          <w:b/>
          <w:bCs/>
          <w:sz w:val="36"/>
          <w:szCs w:val="36"/>
        </w:rPr>
        <w:tab/>
        <w:t>PERFORMANCE EVALUATION</w:t>
      </w:r>
    </w:p>
    <w:p w14:paraId="245319B7" w14:textId="77777777" w:rsidR="003912CC" w:rsidRPr="00C65422" w:rsidRDefault="003912CC" w:rsidP="003912CC"/>
    <w:p w14:paraId="230E3B54" w14:textId="77777777" w:rsidR="003912CC" w:rsidRPr="00C65422" w:rsidRDefault="003912CC" w:rsidP="003912CC">
      <w:pPr>
        <w:tabs>
          <w:tab w:val="center" w:pos="4680"/>
        </w:tabs>
      </w:pPr>
    </w:p>
    <w:p w14:paraId="7406C1AE" w14:textId="77777777" w:rsidR="003912CC" w:rsidRPr="00C65422" w:rsidRDefault="003912CC" w:rsidP="003912CC"/>
    <w:p w14:paraId="42412AF2" w14:textId="5BB4A627" w:rsidR="003912CC" w:rsidRPr="006E0274" w:rsidRDefault="003912CC" w:rsidP="006E0274">
      <w:pPr>
        <w:tabs>
          <w:tab w:val="center" w:pos="4680"/>
        </w:tabs>
        <w:spacing w:line="360" w:lineRule="auto"/>
        <w:jc w:val="both"/>
        <w:rPr>
          <w:b/>
        </w:rPr>
      </w:pPr>
      <w:r w:rsidRPr="00C65422">
        <w:rPr>
          <w:b/>
          <w:bCs/>
        </w:rPr>
        <w:tab/>
      </w:r>
      <w:r w:rsidR="00440CDC" w:rsidRPr="006E0274">
        <w:rPr>
          <w:b/>
        </w:rPr>
        <w:t>Naveo</w:t>
      </w:r>
      <w:r w:rsidR="00AB3CB4" w:rsidRPr="006E0274">
        <w:rPr>
          <w:b/>
        </w:rPr>
        <w:t xml:space="preserve"> </w:t>
      </w:r>
      <w:r w:rsidR="0017641A" w:rsidRPr="006E0274">
        <w:rPr>
          <w:b/>
        </w:rPr>
        <w:t>Credit Union</w:t>
      </w:r>
    </w:p>
    <w:p w14:paraId="59194DC5" w14:textId="53772D68" w:rsidR="003912CC" w:rsidRPr="00C65422" w:rsidRDefault="0017641A" w:rsidP="006E0274">
      <w:pPr>
        <w:tabs>
          <w:tab w:val="center" w:pos="4680"/>
        </w:tabs>
        <w:spacing w:line="360" w:lineRule="auto"/>
        <w:jc w:val="both"/>
      </w:pPr>
      <w:r w:rsidRPr="00C65422">
        <w:tab/>
        <w:t xml:space="preserve">Certificate Number: </w:t>
      </w:r>
      <w:r w:rsidR="00C65422" w:rsidRPr="00C65422">
        <w:t>68046</w:t>
      </w:r>
    </w:p>
    <w:p w14:paraId="3AC95FD3" w14:textId="2E5800F4" w:rsidR="003912CC" w:rsidRPr="00C65422" w:rsidRDefault="00AB3CB4" w:rsidP="006E0274">
      <w:pPr>
        <w:tabs>
          <w:tab w:val="center" w:pos="4680"/>
        </w:tabs>
        <w:spacing w:line="360" w:lineRule="auto"/>
        <w:jc w:val="both"/>
      </w:pPr>
      <w:r w:rsidRPr="00C65422">
        <w:tab/>
      </w:r>
      <w:r w:rsidR="00C65422" w:rsidRPr="00C65422">
        <w:t>493 Somerville Avenue</w:t>
      </w:r>
    </w:p>
    <w:p w14:paraId="5A6DF2A6" w14:textId="4096356B" w:rsidR="003912CC" w:rsidRPr="00C65422" w:rsidRDefault="00AB3CB4" w:rsidP="006E0274">
      <w:pPr>
        <w:tabs>
          <w:tab w:val="center" w:pos="4680"/>
        </w:tabs>
        <w:spacing w:line="360" w:lineRule="auto"/>
        <w:jc w:val="both"/>
      </w:pPr>
      <w:r w:rsidRPr="00C65422">
        <w:tab/>
      </w:r>
      <w:r w:rsidR="00C65422" w:rsidRPr="00C65422">
        <w:t>Somerville</w:t>
      </w:r>
      <w:r w:rsidR="003912CC" w:rsidRPr="00C65422">
        <w:t xml:space="preserve">, </w:t>
      </w:r>
      <w:r w:rsidR="00C65422" w:rsidRPr="00C65422">
        <w:t>Massachusetts 02143</w:t>
      </w:r>
    </w:p>
    <w:p w14:paraId="4702B1B5" w14:textId="77777777" w:rsidR="003912CC" w:rsidRPr="00C65422" w:rsidRDefault="003912CC" w:rsidP="006E0274">
      <w:pPr>
        <w:tabs>
          <w:tab w:val="center" w:pos="4680"/>
        </w:tabs>
        <w:spacing w:line="360" w:lineRule="auto"/>
      </w:pPr>
    </w:p>
    <w:p w14:paraId="4D6839B4" w14:textId="77777777" w:rsidR="003912CC" w:rsidRPr="00C65422" w:rsidRDefault="003912CC" w:rsidP="006E0274">
      <w:pPr>
        <w:tabs>
          <w:tab w:val="center" w:pos="4680"/>
        </w:tabs>
        <w:spacing w:line="360" w:lineRule="auto"/>
      </w:pPr>
    </w:p>
    <w:p w14:paraId="327A9D23" w14:textId="77777777" w:rsidR="003912CC" w:rsidRPr="00C65422" w:rsidRDefault="003912CC" w:rsidP="003912CC">
      <w:pPr>
        <w:tabs>
          <w:tab w:val="center" w:pos="4680"/>
        </w:tabs>
      </w:pPr>
    </w:p>
    <w:tbl>
      <w:tblPr>
        <w:tblpPr w:leftFromText="180" w:rightFromText="180" w:vertAnchor="text" w:horzAnchor="page" w:tblpX="4333" w:tblpY="116"/>
        <w:tblW w:w="0" w:type="dxa"/>
        <w:tblLayout w:type="fixed"/>
        <w:tblLook w:val="01E0" w:firstRow="1" w:lastRow="1" w:firstColumn="1" w:lastColumn="1" w:noHBand="0" w:noVBand="0"/>
      </w:tblPr>
      <w:tblGrid>
        <w:gridCol w:w="3733"/>
        <w:gridCol w:w="3734"/>
      </w:tblGrid>
      <w:tr w:rsidR="00C65422" w:rsidRPr="00C65422" w14:paraId="31CC6553" w14:textId="77777777" w:rsidTr="003912CC">
        <w:trPr>
          <w:cantSplit/>
          <w:trHeight w:val="269"/>
        </w:trPr>
        <w:tc>
          <w:tcPr>
            <w:tcW w:w="3733" w:type="dxa"/>
            <w:hideMark/>
          </w:tcPr>
          <w:p w14:paraId="24EB0D07" w14:textId="77777777" w:rsidR="003912CC" w:rsidRPr="00C65422" w:rsidRDefault="003912CC">
            <w:pPr>
              <w:tabs>
                <w:tab w:val="left" w:pos="360"/>
                <w:tab w:val="left" w:pos="840"/>
                <w:tab w:val="left" w:pos="6720"/>
              </w:tabs>
              <w:suppressAutoHyphens/>
              <w:jc w:val="center"/>
              <w:rPr>
                <w:spacing w:val="-3"/>
              </w:rPr>
            </w:pPr>
            <w:r w:rsidRPr="00C65422">
              <w:rPr>
                <w:spacing w:val="-3"/>
              </w:rPr>
              <w:t>Division of Banks</w:t>
            </w:r>
          </w:p>
        </w:tc>
        <w:tc>
          <w:tcPr>
            <w:tcW w:w="3734" w:type="dxa"/>
          </w:tcPr>
          <w:p w14:paraId="685F79B1" w14:textId="77777777" w:rsidR="003912CC" w:rsidRPr="00C65422" w:rsidRDefault="003912CC">
            <w:pPr>
              <w:tabs>
                <w:tab w:val="left" w:pos="360"/>
                <w:tab w:val="left" w:pos="840"/>
                <w:tab w:val="left" w:pos="6720"/>
              </w:tabs>
              <w:suppressAutoHyphens/>
              <w:jc w:val="center"/>
              <w:rPr>
                <w:spacing w:val="-3"/>
              </w:rPr>
            </w:pPr>
          </w:p>
        </w:tc>
      </w:tr>
      <w:tr w:rsidR="00C65422" w:rsidRPr="00C65422" w14:paraId="16BEB11B" w14:textId="77777777" w:rsidTr="003912CC">
        <w:trPr>
          <w:cantSplit/>
          <w:trHeight w:val="284"/>
        </w:trPr>
        <w:tc>
          <w:tcPr>
            <w:tcW w:w="3733" w:type="dxa"/>
            <w:hideMark/>
          </w:tcPr>
          <w:p w14:paraId="0957FBD2" w14:textId="77777777" w:rsidR="003912CC" w:rsidRPr="00C65422" w:rsidRDefault="003912CC">
            <w:pPr>
              <w:tabs>
                <w:tab w:val="left" w:pos="360"/>
                <w:tab w:val="left" w:pos="840"/>
                <w:tab w:val="left" w:pos="6720"/>
              </w:tabs>
              <w:suppressAutoHyphens/>
              <w:jc w:val="center"/>
              <w:rPr>
                <w:spacing w:val="-3"/>
              </w:rPr>
            </w:pPr>
            <w:r w:rsidRPr="00C65422">
              <w:rPr>
                <w:spacing w:val="-3"/>
              </w:rPr>
              <w:t>1000 Washington Street, 10</w:t>
            </w:r>
            <w:r w:rsidRPr="00C65422">
              <w:rPr>
                <w:spacing w:val="-3"/>
                <w:vertAlign w:val="superscript"/>
              </w:rPr>
              <w:t>th</w:t>
            </w:r>
            <w:r w:rsidRPr="00C65422">
              <w:rPr>
                <w:spacing w:val="-3"/>
              </w:rPr>
              <w:t xml:space="preserve"> Floor</w:t>
            </w:r>
          </w:p>
        </w:tc>
        <w:tc>
          <w:tcPr>
            <w:tcW w:w="3734" w:type="dxa"/>
          </w:tcPr>
          <w:p w14:paraId="0F645287" w14:textId="77777777" w:rsidR="003912CC" w:rsidRPr="00C65422" w:rsidRDefault="003912CC">
            <w:pPr>
              <w:tabs>
                <w:tab w:val="left" w:pos="360"/>
                <w:tab w:val="left" w:pos="840"/>
                <w:tab w:val="left" w:pos="6720"/>
              </w:tabs>
              <w:suppressAutoHyphens/>
              <w:jc w:val="center"/>
              <w:rPr>
                <w:spacing w:val="-3"/>
              </w:rPr>
            </w:pPr>
          </w:p>
        </w:tc>
      </w:tr>
      <w:tr w:rsidR="00C65422" w:rsidRPr="00C65422" w14:paraId="532ABA20" w14:textId="77777777" w:rsidTr="003912CC">
        <w:trPr>
          <w:cantSplit/>
          <w:trHeight w:val="269"/>
        </w:trPr>
        <w:tc>
          <w:tcPr>
            <w:tcW w:w="3733" w:type="dxa"/>
            <w:hideMark/>
          </w:tcPr>
          <w:p w14:paraId="2C9D04CB" w14:textId="77777777" w:rsidR="003912CC" w:rsidRPr="00C65422" w:rsidRDefault="003912CC">
            <w:pPr>
              <w:tabs>
                <w:tab w:val="left" w:pos="360"/>
                <w:tab w:val="left" w:pos="840"/>
                <w:tab w:val="left" w:pos="6720"/>
              </w:tabs>
              <w:suppressAutoHyphens/>
              <w:jc w:val="center"/>
              <w:rPr>
                <w:spacing w:val="-3"/>
              </w:rPr>
            </w:pPr>
            <w:r w:rsidRPr="00C65422">
              <w:rPr>
                <w:spacing w:val="-3"/>
              </w:rPr>
              <w:t>Boston, Massachusetts 02118</w:t>
            </w:r>
          </w:p>
        </w:tc>
        <w:tc>
          <w:tcPr>
            <w:tcW w:w="3734" w:type="dxa"/>
          </w:tcPr>
          <w:p w14:paraId="1ECDAB20" w14:textId="77777777" w:rsidR="003912CC" w:rsidRPr="00C65422" w:rsidRDefault="003912CC">
            <w:pPr>
              <w:tabs>
                <w:tab w:val="left" w:pos="360"/>
                <w:tab w:val="left" w:pos="840"/>
                <w:tab w:val="left" w:pos="6720"/>
              </w:tabs>
              <w:suppressAutoHyphens/>
              <w:jc w:val="center"/>
              <w:rPr>
                <w:spacing w:val="-3"/>
              </w:rPr>
            </w:pPr>
          </w:p>
        </w:tc>
      </w:tr>
    </w:tbl>
    <w:p w14:paraId="29332CC0" w14:textId="77777777" w:rsidR="003912CC" w:rsidRPr="00C65422" w:rsidRDefault="003912CC" w:rsidP="003912CC"/>
    <w:p w14:paraId="2B489466" w14:textId="77777777" w:rsidR="003912CC" w:rsidRPr="00C65422" w:rsidRDefault="003912CC" w:rsidP="003912CC">
      <w:pPr>
        <w:tabs>
          <w:tab w:val="left" w:pos="-1440"/>
        </w:tabs>
        <w:ind w:left="1440" w:hanging="1440"/>
        <w:jc w:val="center"/>
      </w:pPr>
    </w:p>
    <w:p w14:paraId="1A71CDF2" w14:textId="77777777" w:rsidR="003912CC" w:rsidRPr="00C65422" w:rsidRDefault="003912CC" w:rsidP="003912CC">
      <w:pPr>
        <w:tabs>
          <w:tab w:val="left" w:pos="-1440"/>
        </w:tabs>
        <w:ind w:left="1440" w:hanging="1440"/>
      </w:pPr>
    </w:p>
    <w:p w14:paraId="1AF67BEE" w14:textId="77777777" w:rsidR="003912CC" w:rsidRPr="00C65422" w:rsidRDefault="003912CC" w:rsidP="003912CC">
      <w:pPr>
        <w:tabs>
          <w:tab w:val="left" w:pos="-1440"/>
        </w:tabs>
        <w:ind w:left="1440" w:hanging="1440"/>
      </w:pPr>
    </w:p>
    <w:p w14:paraId="7CFD2A15" w14:textId="77777777" w:rsidR="003912CC" w:rsidRPr="00C65422" w:rsidRDefault="003912CC" w:rsidP="003912CC">
      <w:pPr>
        <w:tabs>
          <w:tab w:val="left" w:pos="-1440"/>
        </w:tabs>
        <w:ind w:left="1440" w:hanging="1440"/>
      </w:pPr>
    </w:p>
    <w:p w14:paraId="1744528E" w14:textId="77777777" w:rsidR="003912CC" w:rsidRPr="00C65422" w:rsidRDefault="003912CC" w:rsidP="003912CC">
      <w:pPr>
        <w:tabs>
          <w:tab w:val="left" w:pos="-1440"/>
        </w:tabs>
        <w:ind w:left="1440" w:hanging="1440"/>
      </w:pPr>
    </w:p>
    <w:p w14:paraId="331FCCDB" w14:textId="31FD5E2D" w:rsidR="003912CC" w:rsidRPr="005F0090" w:rsidRDefault="003912CC" w:rsidP="003912CC">
      <w:pPr>
        <w:jc w:val="both"/>
      </w:pPr>
      <w:r w:rsidRPr="00C65422">
        <w:t>This document is an evaluation of this institution’s record of meeting the credit needs of its entire community, including low- and moderate-income neighborhoods, consistent with safe and sound operation of the institution</w:t>
      </w:r>
      <w:r w:rsidR="004002BD">
        <w:t xml:space="preserve">.  </w:t>
      </w:r>
      <w:r w:rsidRPr="00C65422">
        <w:t>This evaluation is not, nor should it be construed as, an assessment of the financial condition of this institution</w:t>
      </w:r>
      <w:r w:rsidR="004002BD">
        <w:t xml:space="preserve">.  </w:t>
      </w:r>
      <w:r w:rsidRPr="00C65422">
        <w:t xml:space="preserve">The rating assigned to this institution does not represent an analysis, conclusion, or opinion of the Division of Banks concerning the safety and soundness of this financial </w:t>
      </w:r>
      <w:r w:rsidRPr="005F0090">
        <w:t>institution.</w:t>
      </w:r>
    </w:p>
    <w:p w14:paraId="6602BB08" w14:textId="77777777" w:rsidR="003912CC" w:rsidRPr="005F0090" w:rsidRDefault="003912CC" w:rsidP="003912CC">
      <w:pPr>
        <w:jc w:val="both"/>
        <w:rPr>
          <w:highlight w:val="yellow"/>
        </w:rPr>
      </w:pPr>
    </w:p>
    <w:p w14:paraId="11CE1B12" w14:textId="77777777" w:rsidR="003912CC" w:rsidRPr="005F0090" w:rsidRDefault="003912CC" w:rsidP="003912CC">
      <w:pPr>
        <w:jc w:val="both"/>
        <w:rPr>
          <w:highlight w:val="yellow"/>
        </w:rPr>
      </w:pPr>
    </w:p>
    <w:p w14:paraId="2AF12A01" w14:textId="77777777" w:rsidR="003912CC" w:rsidRPr="005F0090" w:rsidRDefault="003912CC" w:rsidP="003912CC">
      <w:pPr>
        <w:jc w:val="both"/>
        <w:rPr>
          <w:highlight w:val="yellow"/>
        </w:rPr>
      </w:pPr>
    </w:p>
    <w:p w14:paraId="00E51F24" w14:textId="77777777" w:rsidR="003912CC" w:rsidRPr="005F0090" w:rsidRDefault="003912CC" w:rsidP="003912CC">
      <w:pPr>
        <w:tabs>
          <w:tab w:val="left" w:pos="-1440"/>
        </w:tabs>
        <w:jc w:val="center"/>
        <w:rPr>
          <w:b/>
          <w:bCs/>
          <w:sz w:val="28"/>
          <w:szCs w:val="28"/>
          <w:highlight w:val="yellow"/>
        </w:rPr>
      </w:pPr>
    </w:p>
    <w:p w14:paraId="3D561A6A" w14:textId="77777777" w:rsidR="003912CC" w:rsidRPr="005F0090" w:rsidRDefault="003912CC" w:rsidP="003912CC">
      <w:pPr>
        <w:tabs>
          <w:tab w:val="left" w:pos="-1440"/>
        </w:tabs>
        <w:jc w:val="center"/>
        <w:rPr>
          <w:b/>
          <w:bCs/>
          <w:sz w:val="28"/>
          <w:szCs w:val="28"/>
        </w:rPr>
      </w:pPr>
      <w:r w:rsidRPr="005F0090">
        <w:rPr>
          <w:b/>
          <w:bCs/>
          <w:sz w:val="28"/>
          <w:szCs w:val="28"/>
        </w:rPr>
        <w:lastRenderedPageBreak/>
        <w:t>TABLE OF CONTENTS</w:t>
      </w:r>
    </w:p>
    <w:p w14:paraId="2B403C23" w14:textId="77777777" w:rsidR="003912CC" w:rsidRPr="005F0090" w:rsidRDefault="0090338F" w:rsidP="0090338F">
      <w:pPr>
        <w:tabs>
          <w:tab w:val="left" w:pos="-1440"/>
          <w:tab w:val="left" w:pos="5893"/>
        </w:tabs>
        <w:rPr>
          <w:b/>
          <w:bCs/>
          <w:sz w:val="28"/>
          <w:szCs w:val="28"/>
        </w:rPr>
      </w:pPr>
      <w:r w:rsidRPr="005F0090">
        <w:rPr>
          <w:b/>
          <w:bCs/>
          <w:sz w:val="28"/>
          <w:szCs w:val="28"/>
        </w:rPr>
        <w:tab/>
      </w:r>
    </w:p>
    <w:p w14:paraId="5A4FC635" w14:textId="77777777" w:rsidR="003912CC" w:rsidRPr="005F0090" w:rsidRDefault="003912CC" w:rsidP="003912CC">
      <w:pPr>
        <w:tabs>
          <w:tab w:val="left" w:pos="-1440"/>
        </w:tabs>
        <w:jc w:val="center"/>
        <w:rPr>
          <w:b/>
          <w:bCs/>
          <w:sz w:val="28"/>
          <w:szCs w:val="28"/>
        </w:rPr>
      </w:pPr>
    </w:p>
    <w:p w14:paraId="4173C1A3" w14:textId="6576E39D" w:rsidR="003912CC" w:rsidRPr="005F0090" w:rsidRDefault="001A4D21" w:rsidP="003912CC">
      <w:pPr>
        <w:tabs>
          <w:tab w:val="left" w:pos="-1440"/>
          <w:tab w:val="left" w:pos="-720"/>
          <w:tab w:val="left" w:pos="0"/>
          <w:tab w:val="left" w:pos="720"/>
          <w:tab w:val="right" w:leader="dot" w:pos="9360"/>
        </w:tabs>
      </w:pPr>
      <w:r w:rsidRPr="005F0090">
        <w:t>Institution Rating</w:t>
      </w:r>
      <w:r w:rsidRPr="005F0090">
        <w:tab/>
        <w:t>3</w:t>
      </w:r>
    </w:p>
    <w:p w14:paraId="10D850A7" w14:textId="77777777" w:rsidR="003912CC" w:rsidRPr="005F0090" w:rsidRDefault="003912CC" w:rsidP="003912CC">
      <w:pPr>
        <w:tabs>
          <w:tab w:val="left" w:pos="-1440"/>
          <w:tab w:val="left" w:pos="-720"/>
          <w:tab w:val="left" w:pos="0"/>
          <w:tab w:val="left" w:pos="720"/>
          <w:tab w:val="right" w:leader="dot" w:pos="9360"/>
        </w:tabs>
      </w:pPr>
    </w:p>
    <w:p w14:paraId="559AC041" w14:textId="56060D3A" w:rsidR="003912CC" w:rsidRPr="005F0090" w:rsidRDefault="003912CC" w:rsidP="003912CC">
      <w:pPr>
        <w:tabs>
          <w:tab w:val="left" w:pos="-1440"/>
          <w:tab w:val="left" w:pos="-720"/>
          <w:tab w:val="left" w:pos="0"/>
          <w:tab w:val="left" w:pos="720"/>
          <w:tab w:val="right" w:leader="dot" w:pos="9360"/>
        </w:tabs>
      </w:pPr>
      <w:r w:rsidRPr="005F0090">
        <w:t>Scope of Evaluation</w:t>
      </w:r>
      <w:r w:rsidRPr="005F0090">
        <w:tab/>
      </w:r>
      <w:r w:rsidR="00222EEC">
        <w:t>3</w:t>
      </w:r>
    </w:p>
    <w:p w14:paraId="2CCE5030" w14:textId="77777777" w:rsidR="003912CC" w:rsidRPr="005F0090" w:rsidRDefault="003912CC" w:rsidP="003912CC">
      <w:pPr>
        <w:tabs>
          <w:tab w:val="left" w:pos="-1440"/>
          <w:tab w:val="left" w:pos="-720"/>
          <w:tab w:val="left" w:pos="0"/>
          <w:tab w:val="left" w:pos="720"/>
          <w:tab w:val="right" w:leader="dot" w:pos="9360"/>
        </w:tabs>
      </w:pPr>
    </w:p>
    <w:p w14:paraId="01E6FB5C" w14:textId="373AD457" w:rsidR="003912CC" w:rsidRPr="005F0090" w:rsidRDefault="005F0090" w:rsidP="003912CC">
      <w:pPr>
        <w:tabs>
          <w:tab w:val="left" w:pos="-1440"/>
          <w:tab w:val="left" w:pos="-720"/>
          <w:tab w:val="left" w:pos="0"/>
          <w:tab w:val="left" w:pos="720"/>
          <w:tab w:val="right" w:leader="dot" w:pos="9360"/>
        </w:tabs>
      </w:pPr>
      <w:r>
        <w:t>Description of Institution</w:t>
      </w:r>
      <w:r>
        <w:tab/>
        <w:t>4</w:t>
      </w:r>
    </w:p>
    <w:p w14:paraId="1545BB90" w14:textId="77777777" w:rsidR="003912CC" w:rsidRPr="005F0090" w:rsidRDefault="003912CC" w:rsidP="003912CC">
      <w:pPr>
        <w:tabs>
          <w:tab w:val="left" w:pos="-1440"/>
          <w:tab w:val="left" w:pos="-720"/>
          <w:tab w:val="left" w:pos="0"/>
          <w:tab w:val="left" w:pos="720"/>
          <w:tab w:val="right" w:leader="dot" w:pos="9360"/>
        </w:tabs>
      </w:pPr>
    </w:p>
    <w:p w14:paraId="2F392D33" w14:textId="0C84904D" w:rsidR="003912CC" w:rsidRPr="005F0090" w:rsidRDefault="005F0090" w:rsidP="003912CC">
      <w:pPr>
        <w:tabs>
          <w:tab w:val="left" w:pos="-1440"/>
          <w:tab w:val="left" w:pos="-720"/>
          <w:tab w:val="left" w:pos="0"/>
          <w:tab w:val="left" w:pos="720"/>
          <w:tab w:val="right" w:leader="dot" w:pos="9360"/>
        </w:tabs>
      </w:pPr>
      <w:r>
        <w:t>Description of Assessment Area</w:t>
      </w:r>
      <w:r>
        <w:tab/>
      </w:r>
      <w:r w:rsidR="00222EEC">
        <w:t>5</w:t>
      </w:r>
    </w:p>
    <w:p w14:paraId="3F87DC9D" w14:textId="77777777" w:rsidR="003912CC" w:rsidRPr="005F0090" w:rsidRDefault="003912CC" w:rsidP="003912CC">
      <w:pPr>
        <w:tabs>
          <w:tab w:val="left" w:pos="-1440"/>
          <w:tab w:val="left" w:pos="-720"/>
          <w:tab w:val="left" w:pos="0"/>
          <w:tab w:val="left" w:pos="720"/>
          <w:tab w:val="right" w:leader="dot" w:pos="9360"/>
        </w:tabs>
      </w:pPr>
    </w:p>
    <w:p w14:paraId="5A2739C4" w14:textId="0796E405" w:rsidR="003912CC" w:rsidRPr="005F0090" w:rsidRDefault="003912CC" w:rsidP="003912CC">
      <w:pPr>
        <w:tabs>
          <w:tab w:val="left" w:pos="-1440"/>
          <w:tab w:val="left" w:pos="-720"/>
          <w:tab w:val="left" w:pos="0"/>
          <w:tab w:val="left" w:pos="720"/>
          <w:tab w:val="right" w:leader="dot" w:pos="9360"/>
        </w:tabs>
      </w:pPr>
      <w:r w:rsidRPr="005F0090">
        <w:t>Concl</w:t>
      </w:r>
      <w:r w:rsidR="005F0090">
        <w:t>usions on Performance Criteria</w:t>
      </w:r>
      <w:r w:rsidR="005F0090">
        <w:tab/>
      </w:r>
      <w:r w:rsidR="00222EEC">
        <w:t>8</w:t>
      </w:r>
    </w:p>
    <w:p w14:paraId="2DE00007" w14:textId="77777777" w:rsidR="003912CC" w:rsidRPr="005F0090" w:rsidRDefault="003912CC" w:rsidP="003912CC">
      <w:pPr>
        <w:tabs>
          <w:tab w:val="left" w:pos="-1440"/>
          <w:tab w:val="left" w:pos="-720"/>
          <w:tab w:val="left" w:pos="0"/>
          <w:tab w:val="left" w:pos="720"/>
          <w:tab w:val="right" w:leader="dot" w:pos="9360"/>
        </w:tabs>
      </w:pPr>
    </w:p>
    <w:p w14:paraId="0C46945D" w14:textId="22F12217" w:rsidR="00222EEC" w:rsidRPr="005F0090" w:rsidRDefault="00222EEC" w:rsidP="00222EEC">
      <w:pPr>
        <w:tabs>
          <w:tab w:val="left" w:pos="-1440"/>
          <w:tab w:val="left" w:pos="-720"/>
          <w:tab w:val="left" w:pos="0"/>
          <w:tab w:val="left" w:pos="720"/>
          <w:tab w:val="right" w:leader="dot" w:pos="9360"/>
        </w:tabs>
      </w:pPr>
      <w:r>
        <w:t>Evaluation of Investments and Services</w:t>
      </w:r>
      <w:r w:rsidRPr="005F0090">
        <w:tab/>
      </w:r>
      <w:r>
        <w:t>13</w:t>
      </w:r>
    </w:p>
    <w:p w14:paraId="3069A4F0" w14:textId="34AA1432" w:rsidR="00222EEC" w:rsidRDefault="00222EEC" w:rsidP="003912CC">
      <w:pPr>
        <w:tabs>
          <w:tab w:val="left" w:pos="-1440"/>
          <w:tab w:val="left" w:pos="-720"/>
          <w:tab w:val="left" w:pos="0"/>
          <w:tab w:val="left" w:pos="720"/>
          <w:tab w:val="right" w:leader="dot" w:pos="9360"/>
        </w:tabs>
      </w:pPr>
    </w:p>
    <w:p w14:paraId="056DCEA2" w14:textId="7C8C090F" w:rsidR="007A53A5" w:rsidRPr="005F0090" w:rsidRDefault="003912CC" w:rsidP="003912CC">
      <w:pPr>
        <w:tabs>
          <w:tab w:val="left" w:pos="-1440"/>
          <w:tab w:val="left" w:pos="-720"/>
          <w:tab w:val="left" w:pos="0"/>
          <w:tab w:val="left" w:pos="720"/>
          <w:tab w:val="right" w:leader="dot" w:pos="9360"/>
        </w:tabs>
      </w:pPr>
      <w:r w:rsidRPr="005F0090">
        <w:t>Glossary</w:t>
      </w:r>
      <w:r w:rsidRPr="005F0090">
        <w:tab/>
      </w:r>
      <w:r w:rsidR="00222EEC">
        <w:t>16</w:t>
      </w:r>
    </w:p>
    <w:p w14:paraId="609CD845" w14:textId="77777777" w:rsidR="007A53A5" w:rsidRPr="005F0090" w:rsidRDefault="007A53A5">
      <w:pPr>
        <w:spacing w:after="160" w:line="259" w:lineRule="auto"/>
      </w:pPr>
      <w:r w:rsidRPr="005F0090">
        <w:br w:type="page"/>
      </w:r>
    </w:p>
    <w:p w14:paraId="7C21AA7A" w14:textId="77777777" w:rsidR="001D6063" w:rsidRPr="005F0090" w:rsidRDefault="001D6063" w:rsidP="003912CC">
      <w:pPr>
        <w:tabs>
          <w:tab w:val="left" w:pos="1260"/>
        </w:tabs>
        <w:jc w:val="center"/>
        <w:rPr>
          <w:b/>
          <w:bCs/>
          <w:iCs/>
          <w:sz w:val="28"/>
          <w:szCs w:val="28"/>
        </w:rPr>
        <w:sectPr w:rsidR="001D6063" w:rsidRPr="005F0090" w:rsidSect="001D6063">
          <w:footerReference w:type="default" r:id="rId8"/>
          <w:pgSz w:w="12240" w:h="15840"/>
          <w:pgMar w:top="1440" w:right="1440" w:bottom="1440" w:left="1440" w:header="720" w:footer="720" w:gutter="0"/>
          <w:pgNumType w:start="1"/>
          <w:cols w:space="720"/>
        </w:sectPr>
      </w:pPr>
    </w:p>
    <w:p w14:paraId="3295FB3D" w14:textId="77777777" w:rsidR="003912CC" w:rsidRPr="005F0090" w:rsidRDefault="003912CC" w:rsidP="003912CC">
      <w:pPr>
        <w:tabs>
          <w:tab w:val="left" w:pos="1260"/>
        </w:tabs>
        <w:jc w:val="center"/>
        <w:rPr>
          <w:b/>
          <w:bCs/>
          <w:iCs/>
          <w:sz w:val="28"/>
          <w:szCs w:val="28"/>
        </w:rPr>
      </w:pPr>
    </w:p>
    <w:p w14:paraId="3ED422CF" w14:textId="77777777" w:rsidR="003912CC" w:rsidRPr="005F0090" w:rsidRDefault="003912CC" w:rsidP="003912CC">
      <w:pPr>
        <w:tabs>
          <w:tab w:val="left" w:pos="1260"/>
        </w:tabs>
        <w:jc w:val="center"/>
        <w:rPr>
          <w:b/>
          <w:bCs/>
          <w:iCs/>
          <w:sz w:val="28"/>
          <w:szCs w:val="28"/>
        </w:rPr>
      </w:pPr>
      <w:r w:rsidRPr="005F0090">
        <w:rPr>
          <w:b/>
          <w:bCs/>
          <w:iCs/>
          <w:sz w:val="28"/>
          <w:szCs w:val="28"/>
        </w:rPr>
        <w:t>INSTITUTION RATING</w:t>
      </w:r>
    </w:p>
    <w:p w14:paraId="6B483C42" w14:textId="77777777" w:rsidR="003912CC" w:rsidRPr="005F0090" w:rsidRDefault="003912CC" w:rsidP="003912CC">
      <w:pPr>
        <w:pStyle w:val="Default"/>
        <w:rPr>
          <w:b/>
          <w:bCs/>
          <w:color w:val="auto"/>
        </w:rPr>
      </w:pPr>
    </w:p>
    <w:p w14:paraId="4D3CA0BE" w14:textId="720F872B" w:rsidR="003912CC" w:rsidRPr="005F0090" w:rsidRDefault="003912CC" w:rsidP="00CB5DFE">
      <w:pPr>
        <w:pStyle w:val="Default"/>
        <w:jc w:val="both"/>
        <w:rPr>
          <w:color w:val="auto"/>
        </w:rPr>
      </w:pPr>
      <w:r w:rsidRPr="005F0090">
        <w:rPr>
          <w:color w:val="auto"/>
        </w:rPr>
        <w:t xml:space="preserve">This document is an evaluation of the </w:t>
      </w:r>
      <w:r w:rsidR="00CB5DFE" w:rsidRPr="004C2674">
        <w:rPr>
          <w:color w:val="auto"/>
        </w:rPr>
        <w:t xml:space="preserve">Community Reinvestment Act </w:t>
      </w:r>
      <w:r w:rsidR="00CB5DFE">
        <w:rPr>
          <w:color w:val="auto"/>
        </w:rPr>
        <w:t>(</w:t>
      </w:r>
      <w:r w:rsidRPr="005F0090">
        <w:rPr>
          <w:color w:val="auto"/>
        </w:rPr>
        <w:t>CRA</w:t>
      </w:r>
      <w:r w:rsidR="00CB5DFE">
        <w:rPr>
          <w:color w:val="auto"/>
        </w:rPr>
        <w:t>)</w:t>
      </w:r>
      <w:r w:rsidRPr="005F0090">
        <w:rPr>
          <w:color w:val="auto"/>
        </w:rPr>
        <w:t xml:space="preserve"> performance of </w:t>
      </w:r>
      <w:r w:rsidR="00685934" w:rsidRPr="005F0090">
        <w:rPr>
          <w:b/>
          <w:bCs/>
          <w:color w:val="auto"/>
        </w:rPr>
        <w:t>Naveo</w:t>
      </w:r>
      <w:r w:rsidR="00AB3CB4" w:rsidRPr="005F0090">
        <w:rPr>
          <w:b/>
          <w:bCs/>
          <w:color w:val="auto"/>
        </w:rPr>
        <w:t xml:space="preserve"> </w:t>
      </w:r>
      <w:r w:rsidR="00BB1B65" w:rsidRPr="005F0090">
        <w:rPr>
          <w:b/>
          <w:bCs/>
          <w:color w:val="auto"/>
        </w:rPr>
        <w:t>Credit Union (credit u</w:t>
      </w:r>
      <w:r w:rsidR="00A23934" w:rsidRPr="005F0090">
        <w:rPr>
          <w:b/>
          <w:bCs/>
          <w:color w:val="auto"/>
        </w:rPr>
        <w:t xml:space="preserve">nion) </w:t>
      </w:r>
      <w:r w:rsidRPr="005F0090">
        <w:rPr>
          <w:color w:val="auto"/>
        </w:rPr>
        <w:t xml:space="preserve">prepared by the </w:t>
      </w:r>
      <w:r w:rsidR="00CB5DFE">
        <w:rPr>
          <w:color w:val="auto"/>
        </w:rPr>
        <w:t>Division of Banks (</w:t>
      </w:r>
      <w:r w:rsidRPr="005F0090">
        <w:rPr>
          <w:color w:val="auto"/>
        </w:rPr>
        <w:t>Division</w:t>
      </w:r>
      <w:r w:rsidR="00CB5DFE">
        <w:rPr>
          <w:color w:val="auto"/>
        </w:rPr>
        <w:t>)</w:t>
      </w:r>
      <w:r w:rsidRPr="005F0090">
        <w:rPr>
          <w:color w:val="auto"/>
        </w:rPr>
        <w:t xml:space="preserve">, the institution’s supervisory agency as of </w:t>
      </w:r>
      <w:r w:rsidR="00685934" w:rsidRPr="005F0090">
        <w:rPr>
          <w:b/>
          <w:bCs/>
          <w:color w:val="auto"/>
        </w:rPr>
        <w:t>Febr</w:t>
      </w:r>
      <w:r w:rsidR="002A6FAB" w:rsidRPr="005F0090">
        <w:rPr>
          <w:b/>
          <w:bCs/>
          <w:color w:val="auto"/>
        </w:rPr>
        <w:t>uary 1</w:t>
      </w:r>
      <w:r w:rsidR="00685934" w:rsidRPr="005F0090">
        <w:rPr>
          <w:b/>
          <w:bCs/>
          <w:color w:val="auto"/>
        </w:rPr>
        <w:t>6</w:t>
      </w:r>
      <w:r w:rsidR="00AB3CB4" w:rsidRPr="005F0090">
        <w:rPr>
          <w:b/>
          <w:bCs/>
          <w:color w:val="auto"/>
        </w:rPr>
        <w:t>, 202</w:t>
      </w:r>
      <w:r w:rsidR="00685934" w:rsidRPr="005F0090">
        <w:rPr>
          <w:b/>
          <w:bCs/>
          <w:color w:val="auto"/>
        </w:rPr>
        <w:t>1</w:t>
      </w:r>
      <w:r w:rsidR="00222EEC">
        <w:rPr>
          <w:color w:val="auto"/>
        </w:rPr>
        <w:t xml:space="preserve">. </w:t>
      </w:r>
      <w:r w:rsidRPr="005F0090">
        <w:rPr>
          <w:color w:val="auto"/>
        </w:rPr>
        <w:t>The Division rates the CRA performance of an institution consistent with the provisions set forth in Massachusetts Regulation 209 CMR 46.00</w:t>
      </w:r>
      <w:r w:rsidR="004002BD">
        <w:rPr>
          <w:color w:val="auto"/>
        </w:rPr>
        <w:t xml:space="preserve">.  </w:t>
      </w:r>
    </w:p>
    <w:p w14:paraId="29EF811A" w14:textId="77777777" w:rsidR="003912CC" w:rsidRPr="005F0090" w:rsidRDefault="003912CC" w:rsidP="00CB5DFE">
      <w:pPr>
        <w:pStyle w:val="Default"/>
        <w:jc w:val="both"/>
        <w:rPr>
          <w:b/>
          <w:bCs/>
          <w:color w:val="auto"/>
        </w:rPr>
      </w:pPr>
    </w:p>
    <w:p w14:paraId="64388162" w14:textId="75698F28" w:rsidR="00C12DF3" w:rsidRPr="007911CF" w:rsidRDefault="003912CC" w:rsidP="00CB5DFE">
      <w:pPr>
        <w:pStyle w:val="Default"/>
        <w:jc w:val="both"/>
        <w:rPr>
          <w:color w:val="auto"/>
        </w:rPr>
      </w:pPr>
      <w:r w:rsidRPr="005F0090">
        <w:rPr>
          <w:b/>
          <w:bCs/>
          <w:color w:val="auto"/>
        </w:rPr>
        <w:t xml:space="preserve">INSTITUTION'S CRA RATING: </w:t>
      </w:r>
      <w:r w:rsidR="00685934" w:rsidRPr="007911CF">
        <w:rPr>
          <w:color w:val="auto"/>
        </w:rPr>
        <w:t>Naveo</w:t>
      </w:r>
      <w:r w:rsidR="002F39DE" w:rsidRPr="007911CF">
        <w:rPr>
          <w:color w:val="auto"/>
        </w:rPr>
        <w:t xml:space="preserve"> Credit Union</w:t>
      </w:r>
      <w:r w:rsidRPr="007911CF">
        <w:rPr>
          <w:color w:val="auto"/>
        </w:rPr>
        <w:t xml:space="preserve"> is rated </w:t>
      </w:r>
      <w:r w:rsidRPr="007911CF">
        <w:rPr>
          <w:b/>
          <w:bCs/>
          <w:color w:val="auto"/>
        </w:rPr>
        <w:t xml:space="preserve">"Satisfactory." </w:t>
      </w:r>
      <w:r w:rsidRPr="007911CF">
        <w:rPr>
          <w:color w:val="auto"/>
        </w:rPr>
        <w:t xml:space="preserve">An institution in this group has a </w:t>
      </w:r>
      <w:r w:rsidR="00E51D94" w:rsidRPr="007911CF">
        <w:rPr>
          <w:color w:val="auto"/>
        </w:rPr>
        <w:t>satisfactory</w:t>
      </w:r>
      <w:r w:rsidRPr="007911CF">
        <w:rPr>
          <w:color w:val="auto"/>
        </w:rPr>
        <w:t xml:space="preserve"> record of helping to meet the credit needs of its assessment area, including low- and moderate-income neighborhoods, in a manner consistent with its resources and cap</w:t>
      </w:r>
      <w:r w:rsidR="00B80514" w:rsidRPr="007911CF">
        <w:rPr>
          <w:color w:val="auto"/>
        </w:rPr>
        <w:t>abilities</w:t>
      </w:r>
      <w:r w:rsidR="00917242" w:rsidRPr="007911CF">
        <w:rPr>
          <w:color w:val="auto"/>
        </w:rPr>
        <w:t>.</w:t>
      </w:r>
    </w:p>
    <w:p w14:paraId="66C87C9E" w14:textId="77777777" w:rsidR="00917242" w:rsidRPr="007911CF" w:rsidRDefault="00917242" w:rsidP="00CB5DFE">
      <w:pPr>
        <w:pStyle w:val="Default"/>
        <w:jc w:val="both"/>
        <w:rPr>
          <w:color w:val="auto"/>
        </w:rPr>
      </w:pPr>
    </w:p>
    <w:p w14:paraId="737F3FD3" w14:textId="7F829A16" w:rsidR="00C12DF3" w:rsidRPr="007911CF" w:rsidRDefault="00C12DF3" w:rsidP="00CB5DFE">
      <w:pPr>
        <w:pStyle w:val="Default"/>
        <w:jc w:val="both"/>
        <w:rPr>
          <w:b/>
          <w:color w:val="auto"/>
        </w:rPr>
      </w:pPr>
      <w:r w:rsidRPr="007911CF">
        <w:rPr>
          <w:b/>
          <w:color w:val="auto"/>
        </w:rPr>
        <w:t xml:space="preserve">The Lending Test is rated </w:t>
      </w:r>
      <w:r w:rsidRPr="007911CF">
        <w:rPr>
          <w:b/>
          <w:color w:val="auto"/>
          <w:u w:val="single"/>
        </w:rPr>
        <w:t>Satisfactory</w:t>
      </w:r>
      <w:r w:rsidR="004002BD">
        <w:rPr>
          <w:b/>
          <w:color w:val="auto"/>
        </w:rPr>
        <w:t xml:space="preserve">.  </w:t>
      </w:r>
    </w:p>
    <w:p w14:paraId="73C06D2C" w14:textId="77777777" w:rsidR="00C12DF3" w:rsidRPr="007911CF" w:rsidRDefault="00C12DF3" w:rsidP="00CB5DFE">
      <w:pPr>
        <w:pStyle w:val="Default"/>
        <w:spacing w:after="47"/>
        <w:jc w:val="both"/>
        <w:rPr>
          <w:b/>
          <w:color w:val="auto"/>
          <w:u w:val="single"/>
        </w:rPr>
      </w:pPr>
    </w:p>
    <w:p w14:paraId="38292400" w14:textId="79137EE7" w:rsidR="003912CC" w:rsidRPr="00AC5DE1" w:rsidRDefault="00AE063B" w:rsidP="00CB5DFE">
      <w:pPr>
        <w:pStyle w:val="Default"/>
        <w:numPr>
          <w:ilvl w:val="0"/>
          <w:numId w:val="2"/>
        </w:numPr>
        <w:spacing w:after="47"/>
        <w:jc w:val="both"/>
        <w:rPr>
          <w:color w:val="auto"/>
        </w:rPr>
      </w:pPr>
      <w:r>
        <w:rPr>
          <w:color w:val="auto"/>
        </w:rPr>
        <w:t>T</w:t>
      </w:r>
      <w:r w:rsidR="00CB5DFE">
        <w:rPr>
          <w:color w:val="auto"/>
        </w:rPr>
        <w:t>he credit union</w:t>
      </w:r>
      <w:r w:rsidR="003912CC" w:rsidRPr="00AC5DE1">
        <w:rPr>
          <w:color w:val="auto"/>
        </w:rPr>
        <w:t>’s ave</w:t>
      </w:r>
      <w:r w:rsidR="003B772E" w:rsidRPr="00AC5DE1">
        <w:rPr>
          <w:color w:val="auto"/>
        </w:rPr>
        <w:t>ra</w:t>
      </w:r>
      <w:r w:rsidR="00C12DF3" w:rsidRPr="00AC5DE1">
        <w:rPr>
          <w:color w:val="auto"/>
        </w:rPr>
        <w:t xml:space="preserve">ge net loan-to-share ratio </w:t>
      </w:r>
      <w:r w:rsidR="003912CC" w:rsidRPr="00AC5DE1">
        <w:rPr>
          <w:color w:val="auto"/>
        </w:rPr>
        <w:t>is</w:t>
      </w:r>
      <w:r w:rsidR="00917242" w:rsidRPr="00AC5DE1">
        <w:rPr>
          <w:color w:val="auto"/>
        </w:rPr>
        <w:t xml:space="preserve"> </w:t>
      </w:r>
      <w:r w:rsidR="001A4D21" w:rsidRPr="00AC5DE1">
        <w:rPr>
          <w:color w:val="auto"/>
        </w:rPr>
        <w:t>reasonable</w:t>
      </w:r>
      <w:r w:rsidR="003912CC" w:rsidRPr="00AC5DE1">
        <w:rPr>
          <w:color w:val="auto"/>
        </w:rPr>
        <w:t xml:space="preserve"> given the institution’s size, financial condition, and credit needs of its assessment area</w:t>
      </w:r>
      <w:r w:rsidR="004002BD">
        <w:rPr>
          <w:color w:val="auto"/>
        </w:rPr>
        <w:t xml:space="preserve">.  </w:t>
      </w:r>
    </w:p>
    <w:p w14:paraId="1D56E6F3" w14:textId="4873D0DB" w:rsidR="003912CC" w:rsidRPr="00AC5DE1" w:rsidRDefault="00BF745F" w:rsidP="00CB5DFE">
      <w:pPr>
        <w:pStyle w:val="Default"/>
        <w:numPr>
          <w:ilvl w:val="0"/>
          <w:numId w:val="2"/>
        </w:numPr>
        <w:spacing w:after="47"/>
        <w:jc w:val="both"/>
        <w:rPr>
          <w:color w:val="auto"/>
        </w:rPr>
      </w:pPr>
      <w:r w:rsidRPr="00AC5DE1">
        <w:rPr>
          <w:color w:val="auto"/>
        </w:rPr>
        <w:t>Less than a</w:t>
      </w:r>
      <w:r w:rsidR="00C12DF3" w:rsidRPr="00AC5DE1">
        <w:rPr>
          <w:color w:val="auto"/>
        </w:rPr>
        <w:t xml:space="preserve"> </w:t>
      </w:r>
      <w:r w:rsidR="00E51D94" w:rsidRPr="00AC5DE1">
        <w:rPr>
          <w:color w:val="auto"/>
        </w:rPr>
        <w:t>majority</w:t>
      </w:r>
      <w:r w:rsidR="00BB1B65" w:rsidRPr="00AC5DE1">
        <w:rPr>
          <w:color w:val="0070C0"/>
        </w:rPr>
        <w:t xml:space="preserve"> </w:t>
      </w:r>
      <w:r w:rsidR="00BB1B65" w:rsidRPr="00AC5DE1">
        <w:rPr>
          <w:color w:val="auto"/>
        </w:rPr>
        <w:t>of the credit u</w:t>
      </w:r>
      <w:r w:rsidR="00917242" w:rsidRPr="00AC5DE1">
        <w:rPr>
          <w:color w:val="auto"/>
        </w:rPr>
        <w:t xml:space="preserve">nion’s </w:t>
      </w:r>
      <w:r w:rsidR="003912CC" w:rsidRPr="00AC5DE1">
        <w:rPr>
          <w:color w:val="auto"/>
        </w:rPr>
        <w:t>loans are inside the assessment area</w:t>
      </w:r>
      <w:r w:rsidR="004002BD">
        <w:rPr>
          <w:color w:val="auto"/>
        </w:rPr>
        <w:t xml:space="preserve">.  </w:t>
      </w:r>
    </w:p>
    <w:p w14:paraId="29E6AEAD" w14:textId="5374422B" w:rsidR="003912CC" w:rsidRPr="00AC5DE1" w:rsidRDefault="003912CC" w:rsidP="00CB5DFE">
      <w:pPr>
        <w:pStyle w:val="Default"/>
        <w:numPr>
          <w:ilvl w:val="0"/>
          <w:numId w:val="2"/>
        </w:numPr>
        <w:spacing w:after="47"/>
        <w:jc w:val="both"/>
        <w:rPr>
          <w:color w:val="auto"/>
        </w:rPr>
      </w:pPr>
      <w:r w:rsidRPr="00AC5DE1">
        <w:rPr>
          <w:color w:val="auto"/>
        </w:rPr>
        <w:t xml:space="preserve">The geographic distribution of loans reflects </w:t>
      </w:r>
      <w:r w:rsidR="00902DD8" w:rsidRPr="00AC5DE1">
        <w:rPr>
          <w:color w:val="auto"/>
        </w:rPr>
        <w:t>good</w:t>
      </w:r>
      <w:r w:rsidRPr="00AC5DE1">
        <w:rPr>
          <w:color w:val="auto"/>
        </w:rPr>
        <w:t xml:space="preserve"> dispersion throughout the assessment area</w:t>
      </w:r>
      <w:r w:rsidR="004002BD">
        <w:rPr>
          <w:color w:val="auto"/>
        </w:rPr>
        <w:t xml:space="preserve">.  </w:t>
      </w:r>
    </w:p>
    <w:p w14:paraId="11C7F7BF" w14:textId="68F0DE44" w:rsidR="003912CC" w:rsidRPr="00AC5DE1" w:rsidRDefault="003912CC" w:rsidP="00CB5DFE">
      <w:pPr>
        <w:pStyle w:val="Default"/>
        <w:numPr>
          <w:ilvl w:val="0"/>
          <w:numId w:val="2"/>
        </w:numPr>
        <w:spacing w:after="47"/>
        <w:jc w:val="both"/>
        <w:rPr>
          <w:color w:val="auto"/>
        </w:rPr>
      </w:pPr>
      <w:r w:rsidRPr="00AC5DE1">
        <w:rPr>
          <w:color w:val="auto"/>
        </w:rPr>
        <w:t>The distribution of borrowers reflects, given the demogr</w:t>
      </w:r>
      <w:r w:rsidR="00CF48CF" w:rsidRPr="00AC5DE1">
        <w:rPr>
          <w:color w:val="auto"/>
        </w:rPr>
        <w:t>aph</w:t>
      </w:r>
      <w:r w:rsidR="00C12DF3" w:rsidRPr="00AC5DE1">
        <w:rPr>
          <w:color w:val="auto"/>
        </w:rPr>
        <w:t xml:space="preserve">ics of the assessment area, </w:t>
      </w:r>
      <w:r w:rsidR="001A4D21" w:rsidRPr="00AC5DE1">
        <w:rPr>
          <w:color w:val="auto"/>
        </w:rPr>
        <w:t xml:space="preserve">good </w:t>
      </w:r>
      <w:r w:rsidRPr="00AC5DE1">
        <w:rPr>
          <w:color w:val="auto"/>
        </w:rPr>
        <w:t>penetration among individuals of different income levels (including low- and moderate-income)</w:t>
      </w:r>
      <w:r w:rsidR="004002BD">
        <w:rPr>
          <w:color w:val="auto"/>
        </w:rPr>
        <w:t xml:space="preserve">.  </w:t>
      </w:r>
    </w:p>
    <w:p w14:paraId="7A909646" w14:textId="03009506" w:rsidR="00416B86" w:rsidRDefault="00BB1B65" w:rsidP="00CB5DFE">
      <w:pPr>
        <w:pStyle w:val="Default"/>
        <w:numPr>
          <w:ilvl w:val="0"/>
          <w:numId w:val="2"/>
        </w:numPr>
        <w:jc w:val="both"/>
        <w:rPr>
          <w:color w:val="auto"/>
        </w:rPr>
      </w:pPr>
      <w:r w:rsidRPr="00AC5DE1">
        <w:rPr>
          <w:color w:val="auto"/>
        </w:rPr>
        <w:t>The c</w:t>
      </w:r>
      <w:r w:rsidR="003912CC" w:rsidRPr="00AC5DE1">
        <w:rPr>
          <w:color w:val="auto"/>
        </w:rPr>
        <w:t xml:space="preserve">redit </w:t>
      </w:r>
      <w:r w:rsidRPr="00AC5DE1">
        <w:rPr>
          <w:color w:val="auto"/>
        </w:rPr>
        <w:t>u</w:t>
      </w:r>
      <w:r w:rsidR="003912CC" w:rsidRPr="00AC5DE1">
        <w:rPr>
          <w:color w:val="auto"/>
        </w:rPr>
        <w:t>nion has not received any CRA-related complaints since the last CRA evaluation.</w:t>
      </w:r>
    </w:p>
    <w:p w14:paraId="4861BEB4" w14:textId="06DF1CE9" w:rsidR="00AC5DE1" w:rsidRPr="00AC5DE1" w:rsidRDefault="00AC5DE1" w:rsidP="00CB5DFE">
      <w:pPr>
        <w:pStyle w:val="Default"/>
        <w:numPr>
          <w:ilvl w:val="0"/>
          <w:numId w:val="2"/>
        </w:numPr>
        <w:jc w:val="both"/>
        <w:rPr>
          <w:color w:val="auto"/>
        </w:rPr>
      </w:pPr>
      <w:r>
        <w:rPr>
          <w:color w:val="auto"/>
        </w:rPr>
        <w:t>The credit union’s fair lending program and minority application flow are reasonable.</w:t>
      </w:r>
    </w:p>
    <w:p w14:paraId="17E1FDA8" w14:textId="77777777" w:rsidR="00C12DF3" w:rsidRPr="00685934" w:rsidRDefault="003912CC" w:rsidP="00C12DF3">
      <w:pPr>
        <w:pStyle w:val="Default"/>
        <w:ind w:left="720"/>
        <w:rPr>
          <w:color w:val="auto"/>
        </w:rPr>
      </w:pPr>
      <w:r w:rsidRPr="00685934">
        <w:rPr>
          <w:color w:val="auto"/>
        </w:rPr>
        <w:t xml:space="preserve"> </w:t>
      </w:r>
    </w:p>
    <w:p w14:paraId="778C6B1E" w14:textId="77777777" w:rsidR="002D6E34" w:rsidRDefault="002D6E34" w:rsidP="00CA7001">
      <w:pPr>
        <w:tabs>
          <w:tab w:val="left" w:pos="720"/>
          <w:tab w:val="left" w:pos="1440"/>
          <w:tab w:val="left" w:pos="2160"/>
          <w:tab w:val="left" w:pos="2880"/>
          <w:tab w:val="left" w:pos="3600"/>
          <w:tab w:val="left" w:pos="5328"/>
          <w:tab w:val="left" w:pos="11520"/>
        </w:tabs>
        <w:jc w:val="center"/>
        <w:rPr>
          <w:b/>
          <w:bCs/>
          <w:spacing w:val="-3"/>
          <w:sz w:val="28"/>
          <w:szCs w:val="28"/>
        </w:rPr>
      </w:pPr>
    </w:p>
    <w:p w14:paraId="349122A0" w14:textId="3874E545" w:rsidR="003912CC" w:rsidRPr="004C2674" w:rsidRDefault="003912CC" w:rsidP="00CA7001">
      <w:pPr>
        <w:tabs>
          <w:tab w:val="left" w:pos="720"/>
          <w:tab w:val="left" w:pos="1440"/>
          <w:tab w:val="left" w:pos="2160"/>
          <w:tab w:val="left" w:pos="2880"/>
          <w:tab w:val="left" w:pos="3600"/>
          <w:tab w:val="left" w:pos="5328"/>
          <w:tab w:val="left" w:pos="11520"/>
        </w:tabs>
        <w:jc w:val="center"/>
        <w:rPr>
          <w:b/>
          <w:bCs/>
          <w:spacing w:val="-3"/>
          <w:sz w:val="28"/>
          <w:szCs w:val="28"/>
        </w:rPr>
      </w:pPr>
      <w:r w:rsidRPr="004C2674">
        <w:rPr>
          <w:b/>
          <w:bCs/>
          <w:spacing w:val="-3"/>
          <w:sz w:val="28"/>
          <w:szCs w:val="28"/>
        </w:rPr>
        <w:t>SCOPE OF EVALUATION</w:t>
      </w:r>
    </w:p>
    <w:p w14:paraId="3EEA1B4F" w14:textId="77777777" w:rsidR="003912CC" w:rsidRPr="004C2674" w:rsidRDefault="003912CC" w:rsidP="003912CC">
      <w:pPr>
        <w:pStyle w:val="Heading1"/>
        <w:jc w:val="left"/>
        <w:rPr>
          <w:rFonts w:ascii="Times New Roman" w:hAnsi="Times New Roman"/>
        </w:rPr>
      </w:pPr>
    </w:p>
    <w:p w14:paraId="36266E9B" w14:textId="77777777" w:rsidR="003912CC" w:rsidRPr="004C2674" w:rsidRDefault="003912CC" w:rsidP="00CB5DFE">
      <w:pPr>
        <w:tabs>
          <w:tab w:val="left" w:pos="1260"/>
        </w:tabs>
        <w:jc w:val="both"/>
        <w:rPr>
          <w:b/>
          <w:bCs/>
          <w:iCs/>
          <w:u w:val="single"/>
        </w:rPr>
      </w:pPr>
      <w:r w:rsidRPr="004C2674">
        <w:rPr>
          <w:b/>
          <w:bCs/>
          <w:iCs/>
          <w:u w:val="single"/>
        </w:rPr>
        <w:t>General Information</w:t>
      </w:r>
    </w:p>
    <w:p w14:paraId="7B6E0007" w14:textId="77777777" w:rsidR="003912CC" w:rsidRPr="004C2674" w:rsidRDefault="003912CC" w:rsidP="00CB5DFE">
      <w:pPr>
        <w:pStyle w:val="Default"/>
        <w:jc w:val="both"/>
        <w:rPr>
          <w:color w:val="auto"/>
          <w:sz w:val="23"/>
          <w:szCs w:val="23"/>
        </w:rPr>
      </w:pPr>
    </w:p>
    <w:p w14:paraId="460416EF" w14:textId="7E753716" w:rsidR="003912CC" w:rsidRPr="00CB5DFE" w:rsidRDefault="003912CC" w:rsidP="00CB5DFE">
      <w:pPr>
        <w:pStyle w:val="Default"/>
        <w:jc w:val="both"/>
        <w:rPr>
          <w:color w:val="auto"/>
        </w:rPr>
      </w:pPr>
      <w:r w:rsidRPr="004C2674">
        <w:rPr>
          <w:color w:val="auto"/>
        </w:rPr>
        <w:t>The CRA requires the Division</w:t>
      </w:r>
      <w:r w:rsidR="00CB5DFE">
        <w:rPr>
          <w:color w:val="auto"/>
        </w:rPr>
        <w:t xml:space="preserve"> </w:t>
      </w:r>
      <w:r w:rsidRPr="004C2674">
        <w:rPr>
          <w:color w:val="auto"/>
        </w:rPr>
        <w:t xml:space="preserve">to use their authority when examining financial institutions subject to their supervision, to assess the institution's record of meeting the needs of its entire assessment area, </w:t>
      </w:r>
      <w:r w:rsidRPr="00CB5DFE">
        <w:rPr>
          <w:color w:val="auto"/>
        </w:rPr>
        <w:t>including low- and moderate-income neighborhoods, consistent with safe and sound operation of the institution</w:t>
      </w:r>
      <w:r w:rsidR="00CB5DFE">
        <w:rPr>
          <w:color w:val="auto"/>
        </w:rPr>
        <w:t xml:space="preserve">. </w:t>
      </w:r>
      <w:r w:rsidRPr="00CB5DFE">
        <w:rPr>
          <w:color w:val="auto"/>
        </w:rPr>
        <w:t xml:space="preserve">Upon conclusion of such examination, the </w:t>
      </w:r>
      <w:r w:rsidR="00B72637" w:rsidRPr="00CB5DFE">
        <w:rPr>
          <w:color w:val="auto"/>
        </w:rPr>
        <w:t xml:space="preserve">Division must prepare a written </w:t>
      </w:r>
      <w:r w:rsidRPr="00CB5DFE">
        <w:rPr>
          <w:color w:val="auto"/>
        </w:rPr>
        <w:t>evaluation of the institution's record of meeting the credit needs of its membership</w:t>
      </w:r>
      <w:r w:rsidR="004002BD" w:rsidRPr="00CB5DFE">
        <w:rPr>
          <w:color w:val="auto"/>
        </w:rPr>
        <w:t xml:space="preserve">.  </w:t>
      </w:r>
    </w:p>
    <w:p w14:paraId="25F0BB8C" w14:textId="77777777" w:rsidR="003912CC" w:rsidRPr="00CB5DFE" w:rsidRDefault="003912CC" w:rsidP="00CB5DFE">
      <w:pPr>
        <w:pStyle w:val="Default"/>
        <w:jc w:val="both"/>
        <w:rPr>
          <w:color w:val="auto"/>
        </w:rPr>
      </w:pPr>
    </w:p>
    <w:p w14:paraId="1F57B2D8" w14:textId="5847C419" w:rsidR="003912CC" w:rsidRPr="00CB5DFE" w:rsidRDefault="003912CC" w:rsidP="00CB5DFE">
      <w:pPr>
        <w:pStyle w:val="Default"/>
        <w:jc w:val="both"/>
        <w:rPr>
          <w:color w:val="auto"/>
        </w:rPr>
      </w:pPr>
      <w:r w:rsidRPr="00CB5DFE">
        <w:rPr>
          <w:bCs/>
          <w:iCs/>
          <w:color w:val="auto"/>
        </w:rPr>
        <w:t>This eval</w:t>
      </w:r>
      <w:r w:rsidR="001202D8" w:rsidRPr="00CB5DFE">
        <w:rPr>
          <w:bCs/>
          <w:iCs/>
          <w:color w:val="auto"/>
        </w:rPr>
        <w:t xml:space="preserve">uation covers the period </w:t>
      </w:r>
      <w:r w:rsidR="00AE45A9" w:rsidRPr="00CB5DFE">
        <w:rPr>
          <w:bCs/>
          <w:iCs/>
          <w:color w:val="auto"/>
        </w:rPr>
        <w:t>the credit union’s activity from January 1, 2018 to February 16</w:t>
      </w:r>
      <w:r w:rsidR="00CB5DFE">
        <w:rPr>
          <w:bCs/>
          <w:iCs/>
          <w:color w:val="auto"/>
        </w:rPr>
        <w:t xml:space="preserve">, </w:t>
      </w:r>
      <w:r w:rsidR="00AE45A9" w:rsidRPr="00CB5DFE">
        <w:rPr>
          <w:bCs/>
          <w:iCs/>
          <w:color w:val="auto"/>
        </w:rPr>
        <w:t>2021</w:t>
      </w:r>
      <w:r w:rsidR="00CB5DFE">
        <w:rPr>
          <w:bCs/>
          <w:iCs/>
          <w:color w:val="auto"/>
        </w:rPr>
        <w:t>.</w:t>
      </w:r>
      <w:r w:rsidR="004002BD" w:rsidRPr="00CB5DFE">
        <w:rPr>
          <w:bCs/>
          <w:iCs/>
          <w:color w:val="auto"/>
        </w:rPr>
        <w:t xml:space="preserve"> </w:t>
      </w:r>
      <w:r w:rsidR="001202D8" w:rsidRPr="00CB5DFE">
        <w:rPr>
          <w:bCs/>
          <w:iCs/>
          <w:color w:val="auto"/>
        </w:rPr>
        <w:t xml:space="preserve">Examiners used the Interagency </w:t>
      </w:r>
      <w:r w:rsidR="004C2674" w:rsidRPr="00CB5DFE">
        <w:rPr>
          <w:bCs/>
          <w:iCs/>
          <w:color w:val="auto"/>
        </w:rPr>
        <w:t>Small Institution</w:t>
      </w:r>
      <w:r w:rsidR="001202D8" w:rsidRPr="00CB5DFE">
        <w:rPr>
          <w:bCs/>
          <w:iCs/>
          <w:color w:val="auto"/>
        </w:rPr>
        <w:t xml:space="preserve"> Examination Procedures to evaluate </w:t>
      </w:r>
      <w:r w:rsidR="00CB5DFE">
        <w:rPr>
          <w:bCs/>
          <w:iCs/>
          <w:color w:val="auto"/>
        </w:rPr>
        <w:t>the credit union</w:t>
      </w:r>
      <w:r w:rsidR="004C2674" w:rsidRPr="00CB5DFE">
        <w:rPr>
          <w:bCs/>
          <w:iCs/>
          <w:color w:val="auto"/>
        </w:rPr>
        <w:t>’s performance</w:t>
      </w:r>
      <w:r w:rsidR="004002BD" w:rsidRPr="00CB5DFE">
        <w:rPr>
          <w:bCs/>
          <w:iCs/>
          <w:color w:val="auto"/>
        </w:rPr>
        <w:t xml:space="preserve">.  </w:t>
      </w:r>
    </w:p>
    <w:p w14:paraId="0274B8CD" w14:textId="77777777" w:rsidR="003912CC" w:rsidRPr="00CB5DFE" w:rsidRDefault="003912CC" w:rsidP="00CB5DFE">
      <w:pPr>
        <w:tabs>
          <w:tab w:val="left" w:pos="1260"/>
        </w:tabs>
        <w:jc w:val="both"/>
        <w:rPr>
          <w:b/>
          <w:bCs/>
          <w:iCs/>
          <w:u w:val="single"/>
        </w:rPr>
      </w:pPr>
    </w:p>
    <w:p w14:paraId="52E24A04" w14:textId="19671F0D" w:rsidR="003912CC" w:rsidRPr="004C2674" w:rsidRDefault="003912CC" w:rsidP="00CB5DFE">
      <w:pPr>
        <w:pStyle w:val="Default"/>
        <w:jc w:val="both"/>
        <w:rPr>
          <w:color w:val="auto"/>
        </w:rPr>
      </w:pPr>
      <w:r w:rsidRPr="00CB5DFE">
        <w:rPr>
          <w:bCs/>
          <w:iCs/>
          <w:color w:val="auto"/>
        </w:rPr>
        <w:t>The evaluation references demographic and economic information from the 2015 American Community</w:t>
      </w:r>
      <w:r w:rsidRPr="004C2674">
        <w:rPr>
          <w:bCs/>
          <w:iCs/>
          <w:color w:val="auto"/>
        </w:rPr>
        <w:t xml:space="preserve"> Survey (ACS)</w:t>
      </w:r>
      <w:r w:rsidR="001202D8" w:rsidRPr="004C2674">
        <w:rPr>
          <w:bCs/>
          <w:iCs/>
          <w:color w:val="auto"/>
        </w:rPr>
        <w:t xml:space="preserve"> and the </w:t>
      </w:r>
      <w:r w:rsidR="004002BD">
        <w:rPr>
          <w:bCs/>
          <w:iCs/>
          <w:color w:val="auto"/>
        </w:rPr>
        <w:t xml:space="preserve">U.S. </w:t>
      </w:r>
      <w:r w:rsidR="001202D8" w:rsidRPr="004C2674">
        <w:rPr>
          <w:bCs/>
          <w:iCs/>
          <w:color w:val="auto"/>
        </w:rPr>
        <w:t>Bureau of Labor Statistics (BLS)</w:t>
      </w:r>
      <w:r w:rsidR="00222EEC">
        <w:rPr>
          <w:bCs/>
          <w:iCs/>
          <w:color w:val="auto"/>
        </w:rPr>
        <w:t xml:space="preserve">. </w:t>
      </w:r>
      <w:r w:rsidRPr="004C2674">
        <w:rPr>
          <w:color w:val="auto"/>
        </w:rPr>
        <w:t>Credit Union</w:t>
      </w:r>
      <w:r w:rsidRPr="004C2674">
        <w:rPr>
          <w:bCs/>
          <w:iCs/>
          <w:color w:val="auto"/>
        </w:rPr>
        <w:t xml:space="preserve"> f</w:t>
      </w:r>
      <w:r w:rsidR="001202D8" w:rsidRPr="004C2674">
        <w:rPr>
          <w:bCs/>
          <w:iCs/>
          <w:color w:val="auto"/>
        </w:rPr>
        <w:t>inan</w:t>
      </w:r>
      <w:r w:rsidR="002A6FAB" w:rsidRPr="004C2674">
        <w:rPr>
          <w:bCs/>
          <w:iCs/>
          <w:color w:val="auto"/>
        </w:rPr>
        <w:t>cial data reflects the September</w:t>
      </w:r>
      <w:r w:rsidR="00725281" w:rsidRPr="004C2674">
        <w:rPr>
          <w:bCs/>
          <w:iCs/>
          <w:color w:val="auto"/>
        </w:rPr>
        <w:t xml:space="preserve">, </w:t>
      </w:r>
      <w:r w:rsidR="002A6FAB" w:rsidRPr="004C2674">
        <w:rPr>
          <w:bCs/>
          <w:iCs/>
          <w:color w:val="auto"/>
        </w:rPr>
        <w:t>30 2020</w:t>
      </w:r>
      <w:r w:rsidR="00684A72" w:rsidRPr="004C2674">
        <w:rPr>
          <w:bCs/>
          <w:iCs/>
          <w:color w:val="auto"/>
        </w:rPr>
        <w:t xml:space="preserve"> </w:t>
      </w:r>
      <w:r w:rsidRPr="004C2674">
        <w:rPr>
          <w:bCs/>
          <w:iCs/>
          <w:color w:val="auto"/>
        </w:rPr>
        <w:t>Call Report.</w:t>
      </w:r>
    </w:p>
    <w:p w14:paraId="2D8F4012" w14:textId="77777777" w:rsidR="003912CC" w:rsidRPr="004C2674" w:rsidRDefault="003912CC" w:rsidP="00CB5DFE">
      <w:pPr>
        <w:autoSpaceDE w:val="0"/>
        <w:autoSpaceDN w:val="0"/>
        <w:adjustRightInd w:val="0"/>
        <w:jc w:val="both"/>
        <w:rPr>
          <w:b/>
          <w:bCs/>
          <w:u w:val="single"/>
        </w:rPr>
      </w:pPr>
      <w:r w:rsidRPr="004C2674">
        <w:rPr>
          <w:b/>
          <w:bCs/>
          <w:u w:val="single"/>
        </w:rPr>
        <w:lastRenderedPageBreak/>
        <w:t xml:space="preserve">Loan Products Reviewed </w:t>
      </w:r>
    </w:p>
    <w:p w14:paraId="6B99AE68" w14:textId="77777777" w:rsidR="003912CC" w:rsidRPr="004C2674" w:rsidRDefault="003912CC" w:rsidP="00CB5DFE">
      <w:pPr>
        <w:autoSpaceDE w:val="0"/>
        <w:autoSpaceDN w:val="0"/>
        <w:adjustRightInd w:val="0"/>
        <w:jc w:val="both"/>
        <w:rPr>
          <w:sz w:val="23"/>
          <w:szCs w:val="23"/>
          <w:highlight w:val="yellow"/>
          <w:u w:val="single"/>
        </w:rPr>
      </w:pPr>
    </w:p>
    <w:p w14:paraId="01C4AAA5" w14:textId="06CD0C50" w:rsidR="00D37DE9" w:rsidRPr="004C2674" w:rsidRDefault="00BB1B65" w:rsidP="00CB5DFE">
      <w:pPr>
        <w:autoSpaceDE w:val="0"/>
        <w:autoSpaceDN w:val="0"/>
        <w:adjustRightInd w:val="0"/>
        <w:jc w:val="both"/>
      </w:pPr>
      <w:r w:rsidRPr="004C2674">
        <w:t>Examiners determined that the c</w:t>
      </w:r>
      <w:r w:rsidR="003912CC" w:rsidRPr="004C2674">
        <w:t xml:space="preserve">redit </w:t>
      </w:r>
      <w:r w:rsidRPr="004C2674">
        <w:t>u</w:t>
      </w:r>
      <w:r w:rsidR="003912CC" w:rsidRPr="004C2674">
        <w:t>nion’s major product line is home mortgage loans</w:t>
      </w:r>
      <w:r w:rsidR="004002BD">
        <w:t xml:space="preserve">.  </w:t>
      </w:r>
      <w:r w:rsidRPr="004C2674">
        <w:t>This conclusion considered the c</w:t>
      </w:r>
      <w:r w:rsidR="003912CC" w:rsidRPr="004C2674">
        <w:t xml:space="preserve">redit </w:t>
      </w:r>
      <w:r w:rsidRPr="004C2674">
        <w:t>u</w:t>
      </w:r>
      <w:r w:rsidR="003912CC" w:rsidRPr="004C2674">
        <w:t>nion’s business strategy and the number and dollar volume of loans originated during the evaluation period</w:t>
      </w:r>
      <w:r w:rsidR="00AE45A9">
        <w:t>.</w:t>
      </w:r>
    </w:p>
    <w:p w14:paraId="70D32DEA" w14:textId="77777777" w:rsidR="00E34AA2" w:rsidRPr="004C2674" w:rsidRDefault="00E34AA2" w:rsidP="00CB5DFE">
      <w:pPr>
        <w:autoSpaceDE w:val="0"/>
        <w:autoSpaceDN w:val="0"/>
        <w:adjustRightInd w:val="0"/>
        <w:jc w:val="both"/>
      </w:pPr>
    </w:p>
    <w:p w14:paraId="70957021" w14:textId="4E47FC82" w:rsidR="003912CC" w:rsidRPr="003B2807" w:rsidRDefault="003912CC" w:rsidP="00CB5DFE">
      <w:pPr>
        <w:autoSpaceDE w:val="0"/>
        <w:autoSpaceDN w:val="0"/>
        <w:adjustRightInd w:val="0"/>
        <w:jc w:val="both"/>
      </w:pPr>
      <w:r w:rsidRPr="004C2674">
        <w:t>Home mortgage lending data analyzed included ful</w:t>
      </w:r>
      <w:r w:rsidR="002A6FAB" w:rsidRPr="004C2674">
        <w:t>l-year data from January 1, 2018 through December 31, 2019</w:t>
      </w:r>
      <w:r w:rsidR="004002BD">
        <w:t xml:space="preserve">.  </w:t>
      </w:r>
      <w:r w:rsidRPr="004C2674">
        <w:t>Information related to home mortgage lending was derived from the Loan Application Regi</w:t>
      </w:r>
      <w:r w:rsidR="00BB1B65" w:rsidRPr="004C2674">
        <w:t>sters (LARs) maintained by the c</w:t>
      </w:r>
      <w:r w:rsidRPr="004C2674">
        <w:t xml:space="preserve">redit </w:t>
      </w:r>
      <w:r w:rsidR="00BB1B65" w:rsidRPr="004C2674">
        <w:t>u</w:t>
      </w:r>
      <w:r w:rsidRPr="004C2674">
        <w:t>nion, pursuant to HMDA</w:t>
      </w:r>
      <w:r w:rsidR="004002BD">
        <w:t xml:space="preserve">.  </w:t>
      </w:r>
      <w:r w:rsidR="002A6FAB" w:rsidRPr="004C2674">
        <w:t xml:space="preserve">The HMDA data was compared to aggregate lender data inside of the assessment area as well as pertinent </w:t>
      </w:r>
      <w:r w:rsidR="002A6FAB" w:rsidRPr="003B2807">
        <w:t>demographics.</w:t>
      </w:r>
    </w:p>
    <w:p w14:paraId="5D775C90" w14:textId="48737239" w:rsidR="00416B86" w:rsidRPr="003B2807" w:rsidRDefault="00416B86" w:rsidP="00391469">
      <w:pPr>
        <w:pStyle w:val="QuickFormat1"/>
        <w:jc w:val="left"/>
        <w:rPr>
          <w:color w:val="auto"/>
          <w:sz w:val="28"/>
          <w:szCs w:val="28"/>
          <w:lang w:val="en-US"/>
        </w:rPr>
      </w:pPr>
    </w:p>
    <w:p w14:paraId="23B88ABA" w14:textId="77777777" w:rsidR="009D0E57" w:rsidRPr="00FC1B03" w:rsidRDefault="009D0E57" w:rsidP="009D0E57">
      <w:pPr>
        <w:pStyle w:val="QuickFormat1"/>
        <w:rPr>
          <w:b w:val="0"/>
          <w:bCs/>
          <w:color w:val="auto"/>
          <w:sz w:val="24"/>
          <w:szCs w:val="24"/>
        </w:rPr>
      </w:pPr>
      <w:r w:rsidRPr="003B2807">
        <w:rPr>
          <w:color w:val="auto"/>
          <w:sz w:val="28"/>
          <w:szCs w:val="28"/>
        </w:rPr>
        <w:t xml:space="preserve">DESCRIPTION </w:t>
      </w:r>
      <w:r w:rsidRPr="00FC1B03">
        <w:rPr>
          <w:color w:val="auto"/>
          <w:sz w:val="28"/>
          <w:szCs w:val="28"/>
        </w:rPr>
        <w:t>OF INSTITUTION</w:t>
      </w:r>
    </w:p>
    <w:p w14:paraId="79AEC707" w14:textId="77777777" w:rsidR="009D0E57" w:rsidRPr="00FC1B03" w:rsidRDefault="009D0E57" w:rsidP="009D0E57"/>
    <w:p w14:paraId="41163FFE" w14:textId="77777777" w:rsidR="009D0E57" w:rsidRPr="00FC1B03" w:rsidRDefault="009D0E57" w:rsidP="00CB5DFE">
      <w:pPr>
        <w:jc w:val="both"/>
        <w:rPr>
          <w:b/>
          <w:bCs/>
          <w:iCs/>
          <w:u w:val="single"/>
        </w:rPr>
      </w:pPr>
      <w:r w:rsidRPr="00FC1B03">
        <w:rPr>
          <w:b/>
          <w:bCs/>
          <w:iCs/>
          <w:u w:val="single"/>
        </w:rPr>
        <w:t>Background</w:t>
      </w:r>
    </w:p>
    <w:p w14:paraId="0DA1D535" w14:textId="77777777" w:rsidR="009D0E57" w:rsidRPr="00FC1B03" w:rsidRDefault="009D0E57" w:rsidP="00CB5DFE">
      <w:pPr>
        <w:jc w:val="both"/>
        <w:rPr>
          <w:b/>
          <w:bCs/>
          <w:iCs/>
          <w:u w:val="single"/>
        </w:rPr>
      </w:pPr>
    </w:p>
    <w:p w14:paraId="147D153E" w14:textId="4CA0D3D2" w:rsidR="009D0E57" w:rsidRPr="001A7680" w:rsidRDefault="00CB5DFE" w:rsidP="00CB5DFE">
      <w:pPr>
        <w:spacing w:after="160" w:line="259" w:lineRule="auto"/>
        <w:jc w:val="both"/>
        <w:rPr>
          <w:rFonts w:eastAsiaTheme="minorHAnsi"/>
        </w:rPr>
      </w:pPr>
      <w:r>
        <w:rPr>
          <w:rFonts w:eastAsiaTheme="minorHAnsi"/>
        </w:rPr>
        <w:t>The</w:t>
      </w:r>
      <w:r w:rsidR="009D0E57" w:rsidRPr="00FC1B03">
        <w:rPr>
          <w:rFonts w:eastAsiaTheme="minorHAnsi"/>
        </w:rPr>
        <w:t xml:space="preserve"> Credit Union</w:t>
      </w:r>
      <w:r w:rsidR="00FC1B03" w:rsidRPr="00FC1B03">
        <w:rPr>
          <w:rFonts w:eastAsiaTheme="minorHAnsi"/>
        </w:rPr>
        <w:t xml:space="preserve">, </w:t>
      </w:r>
      <w:r w:rsidR="001A7680">
        <w:rPr>
          <w:rFonts w:eastAsiaTheme="minorHAnsi"/>
        </w:rPr>
        <w:t>originally</w:t>
      </w:r>
      <w:r w:rsidR="00FC1B03" w:rsidRPr="00FC1B03">
        <w:rPr>
          <w:rFonts w:eastAsiaTheme="minorHAnsi"/>
        </w:rPr>
        <w:t xml:space="preserve"> </w:t>
      </w:r>
      <w:r w:rsidR="001A7680">
        <w:rPr>
          <w:rFonts w:eastAsiaTheme="minorHAnsi"/>
        </w:rPr>
        <w:t xml:space="preserve">chartered </w:t>
      </w:r>
      <w:r w:rsidR="001A7680" w:rsidRPr="001A7680">
        <w:rPr>
          <w:rFonts w:eastAsiaTheme="minorHAnsi"/>
        </w:rPr>
        <w:t>by the Commonwealth</w:t>
      </w:r>
      <w:r w:rsidR="0007037A">
        <w:rPr>
          <w:rFonts w:eastAsiaTheme="minorHAnsi"/>
        </w:rPr>
        <w:t xml:space="preserve"> of Massachusetts</w:t>
      </w:r>
      <w:r w:rsidR="00FC1B03" w:rsidRPr="001A7680">
        <w:rPr>
          <w:rFonts w:eastAsiaTheme="minorHAnsi"/>
        </w:rPr>
        <w:t xml:space="preserve"> as Ca</w:t>
      </w:r>
      <w:r w:rsidR="001A7680" w:rsidRPr="001A7680">
        <w:rPr>
          <w:rFonts w:eastAsiaTheme="minorHAnsi"/>
        </w:rPr>
        <w:t>mbridge Portuguese Credit Union in 1928, is a wholly co-operative credit union organized for the promotion of thrift among its members</w:t>
      </w:r>
      <w:r w:rsidR="00222EEC">
        <w:rPr>
          <w:rFonts w:eastAsiaTheme="minorHAnsi"/>
        </w:rPr>
        <w:t xml:space="preserve">. </w:t>
      </w:r>
      <w:r w:rsidR="009D0E57" w:rsidRPr="001A7680">
        <w:rPr>
          <w:rFonts w:eastAsiaTheme="minorHAnsi"/>
        </w:rPr>
        <w:t xml:space="preserve">Membership is </w:t>
      </w:r>
      <w:r w:rsidR="001A7680" w:rsidRPr="001A7680">
        <w:rPr>
          <w:rFonts w:eastAsiaTheme="minorHAnsi"/>
        </w:rPr>
        <w:t>open</w:t>
      </w:r>
      <w:r w:rsidR="009D0E57" w:rsidRPr="001A7680">
        <w:rPr>
          <w:rFonts w:eastAsiaTheme="minorHAnsi"/>
        </w:rPr>
        <w:t xml:space="preserve"> to</w:t>
      </w:r>
      <w:r w:rsidR="001A7680" w:rsidRPr="001A7680">
        <w:rPr>
          <w:rFonts w:eastAsiaTheme="minorHAnsi"/>
        </w:rPr>
        <w:t xml:space="preserve"> Massachusetts residents of Portuguese descent</w:t>
      </w:r>
      <w:r w:rsidR="00A2377A">
        <w:rPr>
          <w:rFonts w:eastAsiaTheme="minorHAnsi"/>
        </w:rPr>
        <w:t xml:space="preserve"> and their immediate family members</w:t>
      </w:r>
      <w:r w:rsidR="001A7680" w:rsidRPr="001A7680">
        <w:rPr>
          <w:rFonts w:eastAsiaTheme="minorHAnsi"/>
        </w:rPr>
        <w:t>, as well as individuals</w:t>
      </w:r>
      <w:r w:rsidR="00A2377A">
        <w:rPr>
          <w:rFonts w:eastAsiaTheme="minorHAnsi"/>
        </w:rPr>
        <w:t xml:space="preserve"> who reside, work or attend school</w:t>
      </w:r>
      <w:r w:rsidR="001A7680" w:rsidRPr="001A7680">
        <w:rPr>
          <w:rFonts w:eastAsiaTheme="minorHAnsi"/>
        </w:rPr>
        <w:t xml:space="preserve"> in Middlesex and Suffolk Counties and the municipalities of Peabody, Lynn, Salem, Nahant, Lynnfield, Saugus, Swampscott, and Marblehead in Essex Count</w:t>
      </w:r>
      <w:r w:rsidR="00F17BA0">
        <w:rPr>
          <w:rFonts w:eastAsiaTheme="minorHAnsi"/>
        </w:rPr>
        <w:t>y</w:t>
      </w:r>
      <w:r w:rsidR="001A7680" w:rsidRPr="001A7680">
        <w:rPr>
          <w:rFonts w:eastAsiaTheme="minorHAnsi"/>
        </w:rPr>
        <w:t>, their immediate family members and organizations of its members</w:t>
      </w:r>
      <w:r w:rsidR="004002BD">
        <w:rPr>
          <w:rFonts w:eastAsiaTheme="minorHAnsi"/>
        </w:rPr>
        <w:t xml:space="preserve">.  </w:t>
      </w:r>
      <w:r w:rsidR="009D0E57" w:rsidRPr="001A7680">
        <w:rPr>
          <w:rFonts w:eastAsiaTheme="minorHAnsi"/>
        </w:rPr>
        <w:t>The credit un</w:t>
      </w:r>
      <w:r w:rsidR="001A7680" w:rsidRPr="001A7680">
        <w:rPr>
          <w:rFonts w:eastAsiaTheme="minorHAnsi"/>
        </w:rPr>
        <w:t>ion has 7,407 members as of December 31</w:t>
      </w:r>
      <w:r w:rsidR="009D0E57" w:rsidRPr="001A7680">
        <w:rPr>
          <w:rFonts w:eastAsiaTheme="minorHAnsi"/>
        </w:rPr>
        <w:t>, 2020</w:t>
      </w:r>
      <w:r w:rsidR="004002BD">
        <w:rPr>
          <w:rFonts w:eastAsiaTheme="minorHAnsi"/>
        </w:rPr>
        <w:t xml:space="preserve">.  </w:t>
      </w:r>
    </w:p>
    <w:p w14:paraId="1DA4ADD6" w14:textId="47B22953" w:rsidR="009D0E57" w:rsidRDefault="00222EEC" w:rsidP="00CB5DFE">
      <w:pPr>
        <w:spacing w:line="259" w:lineRule="auto"/>
        <w:jc w:val="both"/>
        <w:rPr>
          <w:rFonts w:eastAsiaTheme="minorHAnsi"/>
        </w:rPr>
      </w:pPr>
      <w:r>
        <w:rPr>
          <w:rFonts w:eastAsiaTheme="minorHAnsi"/>
        </w:rPr>
        <w:t>The</w:t>
      </w:r>
      <w:r w:rsidR="00CB5DFE">
        <w:rPr>
          <w:rFonts w:eastAsiaTheme="minorHAnsi"/>
        </w:rPr>
        <w:t xml:space="preserve"> credit union</w:t>
      </w:r>
      <w:r w:rsidR="009D0E57" w:rsidRPr="001A7680">
        <w:rPr>
          <w:rFonts w:eastAsiaTheme="minorHAnsi"/>
        </w:rPr>
        <w:t xml:space="preserve"> received a </w:t>
      </w:r>
      <w:r w:rsidR="00C002EF" w:rsidRPr="00FE4DB9">
        <w:rPr>
          <w:rFonts w:eastAsiaTheme="minorHAnsi"/>
        </w:rPr>
        <w:t>“</w:t>
      </w:r>
      <w:r w:rsidR="009D0E57" w:rsidRPr="00FE4DB9">
        <w:rPr>
          <w:rFonts w:eastAsiaTheme="minorHAnsi"/>
        </w:rPr>
        <w:t>Satisfactory</w:t>
      </w:r>
      <w:r w:rsidR="00C002EF" w:rsidRPr="00FE4DB9">
        <w:rPr>
          <w:rFonts w:eastAsiaTheme="minorHAnsi"/>
        </w:rPr>
        <w:t>”</w:t>
      </w:r>
      <w:r w:rsidR="009D0E57" w:rsidRPr="00FE4DB9">
        <w:rPr>
          <w:rFonts w:eastAsiaTheme="minorHAnsi"/>
        </w:rPr>
        <w:t xml:space="preserve"> rating from </w:t>
      </w:r>
      <w:r w:rsidR="009D0E57" w:rsidRPr="00AE45A9">
        <w:rPr>
          <w:rFonts w:eastAsiaTheme="minorHAnsi"/>
        </w:rPr>
        <w:t>during</w:t>
      </w:r>
      <w:r w:rsidR="009D0E57" w:rsidRPr="00FE4DB9">
        <w:rPr>
          <w:rFonts w:eastAsiaTheme="minorHAnsi"/>
        </w:rPr>
        <w:t xml:space="preserve"> its prior </w:t>
      </w:r>
      <w:r w:rsidR="009D0E57" w:rsidRPr="00EB1903">
        <w:rPr>
          <w:rFonts w:eastAsiaTheme="minorHAnsi"/>
        </w:rPr>
        <w:t>evaluation using the Intermediate Small Institution Examination Procedures</w:t>
      </w:r>
      <w:r w:rsidR="004002BD">
        <w:rPr>
          <w:rFonts w:eastAsiaTheme="minorHAnsi"/>
        </w:rPr>
        <w:t xml:space="preserve">.  </w:t>
      </w:r>
    </w:p>
    <w:p w14:paraId="1124B662" w14:textId="77777777" w:rsidR="00CB5DFE" w:rsidRPr="00EB1903" w:rsidRDefault="00CB5DFE" w:rsidP="00CB5DFE">
      <w:pPr>
        <w:spacing w:line="259" w:lineRule="auto"/>
        <w:jc w:val="both"/>
        <w:rPr>
          <w:rFonts w:eastAsiaTheme="minorHAnsi"/>
        </w:rPr>
      </w:pPr>
    </w:p>
    <w:p w14:paraId="10EE4A3A" w14:textId="77777777" w:rsidR="009D0E57" w:rsidRPr="00EB1903" w:rsidRDefault="009D0E57" w:rsidP="00CB5DFE">
      <w:pPr>
        <w:pStyle w:val="QuickFormat1"/>
        <w:jc w:val="both"/>
        <w:rPr>
          <w:iCs/>
          <w:color w:val="auto"/>
          <w:sz w:val="24"/>
          <w:szCs w:val="24"/>
          <w:u w:val="single"/>
        </w:rPr>
      </w:pPr>
      <w:r w:rsidRPr="00EB1903">
        <w:rPr>
          <w:iCs/>
          <w:color w:val="auto"/>
          <w:sz w:val="24"/>
          <w:szCs w:val="24"/>
          <w:u w:val="single"/>
        </w:rPr>
        <w:t>Operations</w:t>
      </w:r>
    </w:p>
    <w:p w14:paraId="20A25EC0" w14:textId="77777777" w:rsidR="009D0E57" w:rsidRPr="00EB1903" w:rsidRDefault="009D0E57" w:rsidP="00CB5DFE">
      <w:pPr>
        <w:pStyle w:val="QuickFormat1"/>
        <w:jc w:val="both"/>
        <w:rPr>
          <w:iCs/>
          <w:color w:val="auto"/>
          <w:sz w:val="24"/>
          <w:szCs w:val="24"/>
          <w:u w:val="single"/>
        </w:rPr>
      </w:pPr>
    </w:p>
    <w:p w14:paraId="1019B0C3" w14:textId="4A2B56A9" w:rsidR="009D0E57" w:rsidRPr="00B6190D" w:rsidRDefault="009D0E57" w:rsidP="00CB5DFE">
      <w:pPr>
        <w:tabs>
          <w:tab w:val="left" w:pos="916"/>
        </w:tabs>
        <w:jc w:val="both"/>
      </w:pPr>
      <w:r w:rsidRPr="00EB1903">
        <w:t>The credit union operates</w:t>
      </w:r>
      <w:r w:rsidR="00EB1903" w:rsidRPr="00EB1903">
        <w:t xml:space="preserve"> from its main location at 493 Somerville Avenue, Somerville, MA and one </w:t>
      </w:r>
      <w:r w:rsidR="00EB1903" w:rsidRPr="00B6190D">
        <w:t xml:space="preserve">full-service </w:t>
      </w:r>
      <w:r w:rsidRPr="00B6190D">
        <w:t>branch</w:t>
      </w:r>
      <w:r w:rsidR="00EB1903" w:rsidRPr="00B6190D">
        <w:t xml:space="preserve"> located at 251 Hampshire Street, Cambridge, MA</w:t>
      </w:r>
      <w:r w:rsidR="004002BD">
        <w:t xml:space="preserve">.  </w:t>
      </w:r>
      <w:r w:rsidR="00EB1903" w:rsidRPr="00B6190D">
        <w:t>Both branches</w:t>
      </w:r>
      <w:r w:rsidR="00F17BA0">
        <w:t xml:space="preserve"> have 24-7 ATMs and</w:t>
      </w:r>
      <w:r w:rsidR="00EB1903" w:rsidRPr="00B6190D">
        <w:t xml:space="preserve"> are located within moderate-income census tracts</w:t>
      </w:r>
      <w:r w:rsidR="004002BD">
        <w:t xml:space="preserve">.  </w:t>
      </w:r>
      <w:r w:rsidRPr="00B6190D">
        <w:t>The credit</w:t>
      </w:r>
      <w:r w:rsidR="000060E7">
        <w:t xml:space="preserve"> union did not open </w:t>
      </w:r>
      <w:r w:rsidRPr="00B6190D">
        <w:t>or close any branches during the review period.</w:t>
      </w:r>
    </w:p>
    <w:p w14:paraId="449EE77B" w14:textId="77777777" w:rsidR="009D0E57" w:rsidRPr="00B6190D" w:rsidRDefault="009D0E57" w:rsidP="00CB5DFE">
      <w:pPr>
        <w:tabs>
          <w:tab w:val="left" w:pos="916"/>
        </w:tabs>
        <w:jc w:val="both"/>
      </w:pPr>
    </w:p>
    <w:p w14:paraId="1F232DD5" w14:textId="390F5FE4" w:rsidR="009D0E57" w:rsidRPr="00BF2444" w:rsidRDefault="009D0E57" w:rsidP="00CB5DFE">
      <w:pPr>
        <w:tabs>
          <w:tab w:val="left" w:pos="916"/>
        </w:tabs>
        <w:jc w:val="both"/>
        <w:rPr>
          <w:color w:val="FF0000"/>
        </w:rPr>
      </w:pPr>
      <w:r w:rsidRPr="00B6190D">
        <w:t>The credit union offers both personal and business accounts to members</w:t>
      </w:r>
      <w:r w:rsidR="004002BD">
        <w:t xml:space="preserve">.  </w:t>
      </w:r>
      <w:r w:rsidRPr="00B6190D">
        <w:t xml:space="preserve">Members can open checking </w:t>
      </w:r>
      <w:r w:rsidR="00944EB8">
        <w:t xml:space="preserve">and money market </w:t>
      </w:r>
      <w:r w:rsidRPr="00B6190D">
        <w:t xml:space="preserve">accounts, savings </w:t>
      </w:r>
      <w:r w:rsidR="007E26F6">
        <w:t xml:space="preserve">and club </w:t>
      </w:r>
      <w:r w:rsidRPr="00B6190D">
        <w:t xml:space="preserve">accounts, </w:t>
      </w:r>
      <w:r w:rsidR="00944EB8">
        <w:t>certificates of d</w:t>
      </w:r>
      <w:r w:rsidRPr="00B6190D">
        <w:t xml:space="preserve">eposits, </w:t>
      </w:r>
      <w:r w:rsidR="0054137C">
        <w:t xml:space="preserve">and </w:t>
      </w:r>
      <w:r w:rsidR="00944EB8">
        <w:t>i</w:t>
      </w:r>
      <w:r w:rsidRPr="00B6190D">
        <w:t>ndivid</w:t>
      </w:r>
      <w:r w:rsidR="00944EB8">
        <w:t>ual r</w:t>
      </w:r>
      <w:r w:rsidR="00B6190D" w:rsidRPr="00B6190D">
        <w:t xml:space="preserve">etirement </w:t>
      </w:r>
      <w:r w:rsidR="00944EB8" w:rsidRPr="00D121AE">
        <w:t>a</w:t>
      </w:r>
      <w:r w:rsidR="0054137C" w:rsidRPr="00D121AE">
        <w:t>ccounts</w:t>
      </w:r>
      <w:r w:rsidR="004002BD">
        <w:t xml:space="preserve">.  </w:t>
      </w:r>
      <w:r w:rsidR="00D121AE" w:rsidRPr="00D121AE">
        <w:t>Electronic services include online banking, Popmoney, mobile banking app, mobile deposit, online account opening, and 24-7 telephone response</w:t>
      </w:r>
      <w:r w:rsidR="004002BD">
        <w:t xml:space="preserve">.  </w:t>
      </w:r>
      <w:r w:rsidR="00D121AE" w:rsidRPr="00D121AE">
        <w:t>Other s</w:t>
      </w:r>
      <w:r w:rsidRPr="00D121AE">
        <w:t xml:space="preserve">ervices include </w:t>
      </w:r>
      <w:r w:rsidR="0054137C" w:rsidRPr="00D121AE">
        <w:t>ATM/debit cards</w:t>
      </w:r>
      <w:r w:rsidR="0054137C">
        <w:t xml:space="preserve">, </w:t>
      </w:r>
      <w:r w:rsidR="00916C87" w:rsidRPr="006B6DF7">
        <w:t>d</w:t>
      </w:r>
      <w:r w:rsidR="00F42FB8" w:rsidRPr="006B6DF7">
        <w:t xml:space="preserve">irect </w:t>
      </w:r>
      <w:r w:rsidR="00916C87" w:rsidRPr="006B6DF7">
        <w:t>d</w:t>
      </w:r>
      <w:r w:rsidR="00F42FB8" w:rsidRPr="006B6DF7">
        <w:t>eposit</w:t>
      </w:r>
      <w:r w:rsidR="00916C87" w:rsidRPr="006B6DF7">
        <w:t>, money orders</w:t>
      </w:r>
      <w:r w:rsidR="00F42FB8" w:rsidRPr="006B6DF7">
        <w:t xml:space="preserve">, </w:t>
      </w:r>
      <w:r w:rsidR="00944EB8">
        <w:t>b</w:t>
      </w:r>
      <w:r w:rsidR="008943B4" w:rsidRPr="006B6DF7">
        <w:t>ank</w:t>
      </w:r>
      <w:r w:rsidR="008943B4" w:rsidRPr="008943B4">
        <w:t>-by-</w:t>
      </w:r>
      <w:r w:rsidR="00944EB8">
        <w:t>m</w:t>
      </w:r>
      <w:r w:rsidR="008943B4" w:rsidRPr="008943B4">
        <w:t>ail</w:t>
      </w:r>
      <w:r w:rsidR="00944EB8">
        <w:t>, and t</w:t>
      </w:r>
      <w:r w:rsidR="008943B4">
        <w:t>elephon</w:t>
      </w:r>
      <w:r w:rsidR="008943B4" w:rsidRPr="003E4834">
        <w:t>e transfers</w:t>
      </w:r>
      <w:r w:rsidR="004002BD">
        <w:t xml:space="preserve">.  </w:t>
      </w:r>
      <w:r w:rsidRPr="003E4834">
        <w:t xml:space="preserve">In addition to deposit accounts, credit union members can apply </w:t>
      </w:r>
      <w:r w:rsidR="003E4834" w:rsidRPr="003E4834">
        <w:t xml:space="preserve">online </w:t>
      </w:r>
      <w:r w:rsidRPr="003E4834">
        <w:t xml:space="preserve">for </w:t>
      </w:r>
      <w:r w:rsidR="0072614D">
        <w:t xml:space="preserve">home </w:t>
      </w:r>
      <w:r w:rsidRPr="003E4834">
        <w:t>mortgage loans, home equity loans and lines of credit,</w:t>
      </w:r>
      <w:r w:rsidRPr="00BF2444">
        <w:rPr>
          <w:color w:val="FF0000"/>
        </w:rPr>
        <w:t xml:space="preserve"> </w:t>
      </w:r>
      <w:r w:rsidR="003E4834" w:rsidRPr="003E4834">
        <w:t>consumer</w:t>
      </w:r>
      <w:r w:rsidR="0052303F">
        <w:t xml:space="preserve">, </w:t>
      </w:r>
      <w:r w:rsidR="0072614D">
        <w:t xml:space="preserve">automobile, </w:t>
      </w:r>
      <w:r w:rsidRPr="003E4834">
        <w:t>student</w:t>
      </w:r>
      <w:r w:rsidR="0052303F">
        <w:t>, personal lifestyle loans, emergency loans, and bicycle</w:t>
      </w:r>
      <w:r w:rsidRPr="003E4834">
        <w:t xml:space="preserve"> loans</w:t>
      </w:r>
      <w:r w:rsidR="004002BD">
        <w:t xml:space="preserve">.  </w:t>
      </w:r>
      <w:r w:rsidR="00D37873">
        <w:t>Products and services for business members include checking and savings accounts, commercial real estate loans and lines of credit,</w:t>
      </w:r>
      <w:r w:rsidR="0072614D">
        <w:t xml:space="preserve"> term loans,</w:t>
      </w:r>
      <w:r w:rsidR="00D37873">
        <w:t xml:space="preserve"> credit card</w:t>
      </w:r>
      <w:r w:rsidR="0072614D">
        <w:t>s</w:t>
      </w:r>
      <w:r w:rsidR="00D37873">
        <w:t>, and business certificates and money markets</w:t>
      </w:r>
      <w:r w:rsidR="004002BD">
        <w:t xml:space="preserve">.  </w:t>
      </w:r>
    </w:p>
    <w:p w14:paraId="17947F66" w14:textId="410D8854" w:rsidR="009D0E57" w:rsidRPr="008D299C" w:rsidRDefault="009D0E57" w:rsidP="00CB5DFE">
      <w:pPr>
        <w:tabs>
          <w:tab w:val="left" w:pos="916"/>
        </w:tabs>
        <w:jc w:val="both"/>
      </w:pPr>
      <w:r w:rsidRPr="008D299C">
        <w:lastRenderedPageBreak/>
        <w:t>The credit union is part of the SUM and MoneyPass ATM networks, which allow members to perform ATM transactions, surcharge-free, at over 30,000 participating ATMs</w:t>
      </w:r>
      <w:r w:rsidR="00222EEC">
        <w:t xml:space="preserve">. </w:t>
      </w:r>
      <w:r w:rsidR="00DC16E0">
        <w:t>The CO-OP shared branching network also allows members to access over 5,000 partner credit union branches nationwide.</w:t>
      </w:r>
    </w:p>
    <w:p w14:paraId="01CC590F" w14:textId="77777777" w:rsidR="009D0E57" w:rsidRPr="008D299C" w:rsidRDefault="009D0E57" w:rsidP="00CB5DFE">
      <w:pPr>
        <w:pStyle w:val="QuickFormat1"/>
        <w:jc w:val="both"/>
        <w:rPr>
          <w:iCs/>
          <w:color w:val="auto"/>
          <w:sz w:val="24"/>
          <w:szCs w:val="24"/>
          <w:highlight w:val="yellow"/>
          <w:u w:val="single"/>
          <w:lang w:val="en-US"/>
        </w:rPr>
      </w:pPr>
    </w:p>
    <w:p w14:paraId="1781332C" w14:textId="77777777" w:rsidR="009D0E57" w:rsidRPr="00792B1B" w:rsidRDefault="009D0E57" w:rsidP="00CB5DFE">
      <w:pPr>
        <w:pStyle w:val="QuickFormat1"/>
        <w:jc w:val="both"/>
        <w:rPr>
          <w:iCs/>
          <w:color w:val="auto"/>
          <w:sz w:val="24"/>
          <w:szCs w:val="24"/>
          <w:u w:val="single"/>
          <w:lang w:val="en-US"/>
        </w:rPr>
      </w:pPr>
      <w:r w:rsidRPr="00792B1B">
        <w:rPr>
          <w:iCs/>
          <w:color w:val="auto"/>
          <w:sz w:val="24"/>
          <w:szCs w:val="24"/>
          <w:u w:val="single"/>
        </w:rPr>
        <w:t>Ability and Capacity</w:t>
      </w:r>
    </w:p>
    <w:p w14:paraId="5294E498" w14:textId="77777777" w:rsidR="009D0E57" w:rsidRPr="00792B1B" w:rsidRDefault="009D0E57" w:rsidP="00CB5DFE">
      <w:pPr>
        <w:pStyle w:val="QuickFormat1"/>
        <w:jc w:val="both"/>
        <w:rPr>
          <w:iCs/>
          <w:color w:val="auto"/>
          <w:sz w:val="24"/>
          <w:szCs w:val="24"/>
          <w:u w:val="single"/>
          <w:lang w:val="en-US"/>
        </w:rPr>
      </w:pPr>
    </w:p>
    <w:p w14:paraId="3512823F" w14:textId="2CC5105A" w:rsidR="009D0E57" w:rsidRPr="00432E07" w:rsidRDefault="00792B1B" w:rsidP="00CB5DFE">
      <w:pPr>
        <w:tabs>
          <w:tab w:val="left" w:pos="916"/>
        </w:tabs>
        <w:jc w:val="both"/>
      </w:pPr>
      <w:r w:rsidRPr="00792B1B">
        <w:t>As of December 31</w:t>
      </w:r>
      <w:r w:rsidR="009D0E57" w:rsidRPr="00792B1B">
        <w:t>, 2020, the credit union had tota</w:t>
      </w:r>
      <w:r w:rsidRPr="00792B1B">
        <w:t>l assets of approximately $162.1</w:t>
      </w:r>
      <w:r w:rsidR="009D0E57" w:rsidRPr="00792B1B">
        <w:t xml:space="preserve"> million, total shares and </w:t>
      </w:r>
      <w:r w:rsidRPr="00792B1B">
        <w:t>deposits of approximately $147.7</w:t>
      </w:r>
      <w:r w:rsidR="009D0E57" w:rsidRPr="00792B1B">
        <w:t xml:space="preserve"> million, and total loan</w:t>
      </w:r>
      <w:r w:rsidRPr="00792B1B">
        <w:t>s of approximately $90.1</w:t>
      </w:r>
      <w:r w:rsidR="009D0E57" w:rsidRPr="00792B1B">
        <w:t xml:space="preserve"> </w:t>
      </w:r>
      <w:r w:rsidR="009D0E57" w:rsidRPr="00432E07">
        <w:t>million</w:t>
      </w:r>
      <w:r w:rsidR="004002BD">
        <w:t xml:space="preserve">.  </w:t>
      </w:r>
      <w:r w:rsidR="009D0E57" w:rsidRPr="00432E07">
        <w:t>The credit union is primarily a residential mortgage lender by dollar volume</w:t>
      </w:r>
      <w:r w:rsidR="004002BD">
        <w:t xml:space="preserve">.  </w:t>
      </w:r>
      <w:r w:rsidR="009D0E57" w:rsidRPr="00432E07">
        <w:t>Loans secured by first liens and junior liens on 1-4 family residen</w:t>
      </w:r>
      <w:r w:rsidR="00432E07" w:rsidRPr="00432E07">
        <w:t>tial properties account for 71.8</w:t>
      </w:r>
      <w:r w:rsidR="009D0E57" w:rsidRPr="00432E07">
        <w:t xml:space="preserve">         percent of total loans</w:t>
      </w:r>
      <w:r w:rsidR="004002BD">
        <w:t xml:space="preserve">.  </w:t>
      </w:r>
      <w:r w:rsidR="009D0E57" w:rsidRPr="00432E07">
        <w:t xml:space="preserve">Additionally, </w:t>
      </w:r>
      <w:r w:rsidR="00432E07" w:rsidRPr="00432E07">
        <w:t>commercial</w:t>
      </w:r>
      <w:r w:rsidR="009D0E57" w:rsidRPr="00432E07">
        <w:t xml:space="preserve"> loans represented the second largest porti</w:t>
      </w:r>
      <w:r w:rsidR="00432E07" w:rsidRPr="00432E07">
        <w:t xml:space="preserve">on of the loan portfolio at </w:t>
      </w:r>
      <w:r w:rsidR="00AE45A9">
        <w:t>13.3</w:t>
      </w:r>
      <w:r w:rsidR="009D0E57" w:rsidRPr="00432E07">
        <w:t xml:space="preserve"> percent</w:t>
      </w:r>
      <w:r w:rsidR="004002BD">
        <w:t xml:space="preserve">.  </w:t>
      </w:r>
    </w:p>
    <w:p w14:paraId="221B7B5D" w14:textId="4428500E" w:rsidR="009D0E57" w:rsidRDefault="009D0E57" w:rsidP="00CB5DFE">
      <w:pPr>
        <w:tabs>
          <w:tab w:val="left" w:pos="916"/>
        </w:tabs>
        <w:jc w:val="both"/>
        <w:rPr>
          <w:color w:val="FF0000"/>
        </w:rPr>
      </w:pPr>
    </w:p>
    <w:p w14:paraId="13585569" w14:textId="77777777" w:rsidR="009D0E57" w:rsidRPr="0008245E" w:rsidRDefault="009D0E57" w:rsidP="00CB5DFE">
      <w:pPr>
        <w:tabs>
          <w:tab w:val="left" w:pos="916"/>
        </w:tabs>
        <w:jc w:val="both"/>
      </w:pPr>
      <w:r w:rsidRPr="0008245E">
        <w:t>The following table illustrates the distribution of the credit union’s loan portfolio.</w:t>
      </w:r>
    </w:p>
    <w:p w14:paraId="3ED16095" w14:textId="77777777" w:rsidR="009D0E57" w:rsidRPr="00BF2444" w:rsidRDefault="009D0E57" w:rsidP="009D0E57">
      <w:pPr>
        <w:pStyle w:val="QuickFormat1"/>
        <w:jc w:val="left"/>
        <w:rPr>
          <w:b w:val="0"/>
          <w:bCs/>
          <w:color w:val="FF0000"/>
          <w:spacing w:val="-4"/>
          <w:sz w:val="24"/>
          <w:szCs w:val="24"/>
          <w:highlight w:val="yellow"/>
          <w:lang w:val="en-US"/>
        </w:rPr>
      </w:pPr>
    </w:p>
    <w:tbl>
      <w:tblPr>
        <w:tblpPr w:leftFromText="180" w:rightFromText="180" w:vertAnchor="text" w:horzAnchor="margin" w:tblpY="-40"/>
        <w:tblW w:w="9292" w:type="dxa"/>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000" w:firstRow="0" w:lastRow="0" w:firstColumn="0" w:lastColumn="0" w:noHBand="0" w:noVBand="0"/>
        <w:tblDescription w:val="Table X - Loan Portfolio Distribution as of XX/XX/XX"/>
      </w:tblPr>
      <w:tblGrid>
        <w:gridCol w:w="6766"/>
        <w:gridCol w:w="1542"/>
        <w:gridCol w:w="984"/>
      </w:tblGrid>
      <w:tr w:rsidR="00BF2444" w:rsidRPr="00BF2444" w14:paraId="32E9576D" w14:textId="77777777" w:rsidTr="00CB5DFE">
        <w:trPr>
          <w:trHeight w:hRule="exact" w:val="355"/>
          <w:tblHeader/>
        </w:trPr>
        <w:tc>
          <w:tcPr>
            <w:tcW w:w="9292" w:type="dxa"/>
            <w:gridSpan w:val="3"/>
            <w:tcBorders>
              <w:top w:val="single" w:sz="4" w:space="0" w:color="auto"/>
              <w:bottom w:val="single" w:sz="8" w:space="0" w:color="auto"/>
            </w:tcBorders>
            <w:shd w:val="clear" w:color="auto" w:fill="auto"/>
            <w:vAlign w:val="center"/>
          </w:tcPr>
          <w:p w14:paraId="0172F9E4" w14:textId="79BAEF6D" w:rsidR="009D0E57" w:rsidRPr="00BC4555" w:rsidRDefault="009D0E57" w:rsidP="009D0E57">
            <w:pPr>
              <w:spacing w:after="160" w:line="259" w:lineRule="auto"/>
              <w:jc w:val="center"/>
              <w:rPr>
                <w:rFonts w:eastAsiaTheme="minorHAnsi"/>
                <w:b/>
                <w:sz w:val="20"/>
                <w:szCs w:val="20"/>
              </w:rPr>
            </w:pPr>
            <w:r w:rsidRPr="00BC4555">
              <w:rPr>
                <w:rFonts w:eastAsiaTheme="minorHAnsi"/>
                <w:sz w:val="20"/>
                <w:szCs w:val="20"/>
              </w:rPr>
              <w:br w:type="page"/>
            </w:r>
            <w:r w:rsidRPr="00BC4555">
              <w:rPr>
                <w:rFonts w:eastAsiaTheme="minorHAnsi"/>
                <w:sz w:val="20"/>
                <w:szCs w:val="20"/>
              </w:rPr>
              <w:br w:type="page"/>
            </w:r>
            <w:r w:rsidRPr="00BC4555">
              <w:rPr>
                <w:rFonts w:eastAsiaTheme="minorHAnsi"/>
                <w:sz w:val="20"/>
                <w:szCs w:val="20"/>
              </w:rPr>
              <w:br w:type="page"/>
            </w:r>
            <w:r w:rsidRPr="00BC4555">
              <w:rPr>
                <w:rFonts w:eastAsiaTheme="minorHAnsi"/>
                <w:b/>
                <w:sz w:val="20"/>
                <w:szCs w:val="20"/>
              </w:rPr>
              <w:br w:type="page"/>
              <w:t>Loa</w:t>
            </w:r>
            <w:r w:rsidR="00D6738E">
              <w:rPr>
                <w:rFonts w:eastAsiaTheme="minorHAnsi"/>
                <w:b/>
                <w:sz w:val="20"/>
                <w:szCs w:val="20"/>
              </w:rPr>
              <w:t>n Portfolio Distribution as of 12/31</w:t>
            </w:r>
            <w:r w:rsidRPr="00BC4555">
              <w:rPr>
                <w:rFonts w:eastAsiaTheme="minorHAnsi"/>
                <w:b/>
                <w:sz w:val="20"/>
                <w:szCs w:val="20"/>
              </w:rPr>
              <w:t>/2020</w:t>
            </w:r>
          </w:p>
        </w:tc>
      </w:tr>
      <w:tr w:rsidR="00BF2444" w:rsidRPr="00BF2444" w14:paraId="7DDB071A" w14:textId="77777777" w:rsidTr="00CB5DFE">
        <w:trPr>
          <w:trHeight w:hRule="exact" w:val="284"/>
        </w:trPr>
        <w:tc>
          <w:tcPr>
            <w:tcW w:w="6766" w:type="dxa"/>
            <w:tcBorders>
              <w:top w:val="single" w:sz="8" w:space="0" w:color="auto"/>
            </w:tcBorders>
            <w:vAlign w:val="center"/>
          </w:tcPr>
          <w:p w14:paraId="3CCBC1E6" w14:textId="77777777" w:rsidR="009D0E57" w:rsidRPr="00BC4555" w:rsidRDefault="009D0E57" w:rsidP="009D0E57">
            <w:pPr>
              <w:spacing w:after="160" w:line="259" w:lineRule="auto"/>
              <w:rPr>
                <w:rFonts w:eastAsiaTheme="minorHAnsi"/>
                <w:b/>
                <w:sz w:val="20"/>
                <w:szCs w:val="22"/>
              </w:rPr>
            </w:pPr>
            <w:r w:rsidRPr="00BC4555">
              <w:rPr>
                <w:rFonts w:eastAsiaTheme="minorHAnsi"/>
                <w:b/>
                <w:sz w:val="20"/>
                <w:szCs w:val="22"/>
              </w:rPr>
              <w:t>Loan Category</w:t>
            </w:r>
          </w:p>
        </w:tc>
        <w:tc>
          <w:tcPr>
            <w:tcW w:w="1542" w:type="dxa"/>
            <w:tcBorders>
              <w:top w:val="single" w:sz="8" w:space="0" w:color="auto"/>
            </w:tcBorders>
            <w:vAlign w:val="center"/>
          </w:tcPr>
          <w:p w14:paraId="6FDA569A" w14:textId="77777777" w:rsidR="009D0E57" w:rsidRPr="00BC4555" w:rsidRDefault="009D0E57" w:rsidP="009D0E57">
            <w:pPr>
              <w:spacing w:after="160" w:line="259" w:lineRule="auto"/>
              <w:jc w:val="center"/>
              <w:rPr>
                <w:rFonts w:eastAsiaTheme="minorHAnsi"/>
                <w:b/>
                <w:sz w:val="20"/>
                <w:szCs w:val="22"/>
              </w:rPr>
            </w:pPr>
            <w:r w:rsidRPr="00BC4555">
              <w:rPr>
                <w:rFonts w:eastAsiaTheme="minorHAnsi"/>
                <w:b/>
                <w:sz w:val="20"/>
                <w:szCs w:val="22"/>
              </w:rPr>
              <w:t>$</w:t>
            </w:r>
          </w:p>
        </w:tc>
        <w:tc>
          <w:tcPr>
            <w:tcW w:w="982" w:type="dxa"/>
            <w:tcBorders>
              <w:top w:val="single" w:sz="8" w:space="0" w:color="auto"/>
            </w:tcBorders>
            <w:vAlign w:val="center"/>
          </w:tcPr>
          <w:p w14:paraId="26394363" w14:textId="77777777" w:rsidR="009D0E57" w:rsidRPr="00BC4555" w:rsidRDefault="009D0E57" w:rsidP="009D0E57">
            <w:pPr>
              <w:spacing w:after="160" w:line="259" w:lineRule="auto"/>
              <w:jc w:val="center"/>
              <w:rPr>
                <w:rFonts w:eastAsiaTheme="minorHAnsi"/>
                <w:b/>
                <w:sz w:val="20"/>
                <w:szCs w:val="22"/>
              </w:rPr>
            </w:pPr>
            <w:r w:rsidRPr="00BC4555">
              <w:rPr>
                <w:rFonts w:eastAsiaTheme="minorHAnsi"/>
                <w:b/>
                <w:sz w:val="20"/>
                <w:szCs w:val="22"/>
              </w:rPr>
              <w:t xml:space="preserve"> %</w:t>
            </w:r>
          </w:p>
        </w:tc>
      </w:tr>
      <w:tr w:rsidR="00BF2444" w:rsidRPr="00BF2444" w14:paraId="17038303" w14:textId="77777777" w:rsidTr="00CB5DFE">
        <w:trPr>
          <w:trHeight w:hRule="exact" w:val="284"/>
        </w:trPr>
        <w:tc>
          <w:tcPr>
            <w:tcW w:w="6766" w:type="dxa"/>
            <w:vAlign w:val="center"/>
          </w:tcPr>
          <w:p w14:paraId="1658C1B9" w14:textId="77777777" w:rsidR="009D0E57" w:rsidRPr="00BF2444" w:rsidRDefault="009D0E57" w:rsidP="009D0E57">
            <w:pPr>
              <w:spacing w:after="160" w:line="259" w:lineRule="auto"/>
              <w:rPr>
                <w:rFonts w:eastAsiaTheme="minorHAnsi"/>
                <w:color w:val="FF0000"/>
                <w:sz w:val="20"/>
                <w:szCs w:val="22"/>
              </w:rPr>
            </w:pPr>
            <w:r w:rsidRPr="00BC4555">
              <w:rPr>
                <w:rFonts w:eastAsiaTheme="minorHAnsi"/>
                <w:sz w:val="20"/>
                <w:szCs w:val="22"/>
              </w:rPr>
              <w:t>All Other Unsecured Loan/Lines of Credit</w:t>
            </w:r>
          </w:p>
        </w:tc>
        <w:tc>
          <w:tcPr>
            <w:tcW w:w="1542" w:type="dxa"/>
            <w:vAlign w:val="center"/>
          </w:tcPr>
          <w:p w14:paraId="660C87CF" w14:textId="2C5EA21E" w:rsidR="009D0E57" w:rsidRPr="00BC4555" w:rsidRDefault="00BC4555" w:rsidP="009D0E57">
            <w:pPr>
              <w:spacing w:after="160" w:line="259" w:lineRule="auto"/>
              <w:jc w:val="center"/>
              <w:rPr>
                <w:rFonts w:eastAsiaTheme="minorHAnsi"/>
                <w:sz w:val="20"/>
                <w:szCs w:val="22"/>
              </w:rPr>
            </w:pPr>
            <w:r w:rsidRPr="00BC4555">
              <w:rPr>
                <w:rFonts w:eastAsiaTheme="minorHAnsi"/>
                <w:sz w:val="20"/>
                <w:szCs w:val="22"/>
              </w:rPr>
              <w:t>8,647,129</w:t>
            </w:r>
          </w:p>
        </w:tc>
        <w:tc>
          <w:tcPr>
            <w:tcW w:w="982" w:type="dxa"/>
            <w:vAlign w:val="center"/>
          </w:tcPr>
          <w:p w14:paraId="09C2F37C" w14:textId="0A13C1F1" w:rsidR="009D0E57" w:rsidRPr="00BC4555" w:rsidRDefault="00BC4555" w:rsidP="009D0E57">
            <w:pPr>
              <w:spacing w:after="160" w:line="259" w:lineRule="auto"/>
              <w:jc w:val="center"/>
              <w:rPr>
                <w:rFonts w:eastAsiaTheme="minorHAnsi"/>
                <w:sz w:val="20"/>
                <w:szCs w:val="22"/>
              </w:rPr>
            </w:pPr>
            <w:r>
              <w:rPr>
                <w:rFonts w:eastAsiaTheme="minorHAnsi"/>
                <w:sz w:val="20"/>
                <w:szCs w:val="22"/>
              </w:rPr>
              <w:t>9.6</w:t>
            </w:r>
          </w:p>
        </w:tc>
      </w:tr>
      <w:tr w:rsidR="00BF2444" w:rsidRPr="00BF2444" w14:paraId="49D4A637" w14:textId="77777777" w:rsidTr="00CB5DFE">
        <w:trPr>
          <w:trHeight w:hRule="exact" w:val="284"/>
        </w:trPr>
        <w:tc>
          <w:tcPr>
            <w:tcW w:w="6766" w:type="dxa"/>
            <w:vAlign w:val="center"/>
          </w:tcPr>
          <w:p w14:paraId="7CC5CEF2" w14:textId="77777777" w:rsidR="009D0E57" w:rsidRPr="00BC4555" w:rsidRDefault="009D0E57" w:rsidP="009D0E57">
            <w:pPr>
              <w:spacing w:after="160" w:line="259" w:lineRule="auto"/>
              <w:rPr>
                <w:rFonts w:eastAsiaTheme="minorHAnsi"/>
                <w:sz w:val="20"/>
                <w:szCs w:val="22"/>
              </w:rPr>
            </w:pPr>
            <w:r w:rsidRPr="00BC4555">
              <w:rPr>
                <w:rFonts w:eastAsiaTheme="minorHAnsi"/>
                <w:sz w:val="20"/>
                <w:szCs w:val="22"/>
              </w:rPr>
              <w:t>New Vehicle Loans</w:t>
            </w:r>
          </w:p>
        </w:tc>
        <w:tc>
          <w:tcPr>
            <w:tcW w:w="1542" w:type="dxa"/>
            <w:vAlign w:val="center"/>
          </w:tcPr>
          <w:p w14:paraId="4BA11758" w14:textId="1455D6D0" w:rsidR="009D0E57" w:rsidRPr="00BC4555" w:rsidRDefault="00BC4555" w:rsidP="009D0E57">
            <w:pPr>
              <w:spacing w:after="160" w:line="259" w:lineRule="auto"/>
              <w:jc w:val="center"/>
              <w:rPr>
                <w:rFonts w:eastAsiaTheme="minorHAnsi"/>
                <w:sz w:val="20"/>
                <w:szCs w:val="22"/>
              </w:rPr>
            </w:pPr>
            <w:r>
              <w:rPr>
                <w:rFonts w:eastAsiaTheme="minorHAnsi"/>
                <w:sz w:val="20"/>
                <w:szCs w:val="22"/>
              </w:rPr>
              <w:t>2,425,340</w:t>
            </w:r>
          </w:p>
        </w:tc>
        <w:tc>
          <w:tcPr>
            <w:tcW w:w="982" w:type="dxa"/>
            <w:vAlign w:val="center"/>
          </w:tcPr>
          <w:p w14:paraId="7E096780" w14:textId="112DB498" w:rsidR="009D0E57" w:rsidRPr="00BC4555" w:rsidRDefault="00BC4555" w:rsidP="009D0E57">
            <w:pPr>
              <w:spacing w:after="160" w:line="259" w:lineRule="auto"/>
              <w:jc w:val="center"/>
              <w:rPr>
                <w:rFonts w:eastAsiaTheme="minorHAnsi"/>
                <w:sz w:val="20"/>
                <w:szCs w:val="22"/>
              </w:rPr>
            </w:pPr>
            <w:r>
              <w:rPr>
                <w:rFonts w:eastAsiaTheme="minorHAnsi"/>
                <w:sz w:val="20"/>
                <w:szCs w:val="22"/>
              </w:rPr>
              <w:t>2.7</w:t>
            </w:r>
          </w:p>
        </w:tc>
      </w:tr>
      <w:tr w:rsidR="00BF2444" w:rsidRPr="00BF2444" w14:paraId="3AC8156C" w14:textId="77777777" w:rsidTr="00CB5DFE">
        <w:trPr>
          <w:trHeight w:hRule="exact" w:val="284"/>
        </w:trPr>
        <w:tc>
          <w:tcPr>
            <w:tcW w:w="6766" w:type="dxa"/>
            <w:vAlign w:val="center"/>
          </w:tcPr>
          <w:p w14:paraId="7DF96A9D" w14:textId="77777777" w:rsidR="009D0E57" w:rsidRPr="00BC4555" w:rsidRDefault="009D0E57" w:rsidP="009D0E57">
            <w:pPr>
              <w:spacing w:after="160" w:line="259" w:lineRule="auto"/>
              <w:rPr>
                <w:rFonts w:eastAsiaTheme="minorHAnsi"/>
                <w:sz w:val="20"/>
                <w:szCs w:val="22"/>
              </w:rPr>
            </w:pPr>
            <w:r w:rsidRPr="00BC4555">
              <w:rPr>
                <w:rFonts w:eastAsiaTheme="minorHAnsi"/>
                <w:sz w:val="20"/>
                <w:szCs w:val="22"/>
              </w:rPr>
              <w:t>Used Vehicle Loans</w:t>
            </w:r>
          </w:p>
        </w:tc>
        <w:tc>
          <w:tcPr>
            <w:tcW w:w="1542" w:type="dxa"/>
            <w:vAlign w:val="center"/>
          </w:tcPr>
          <w:p w14:paraId="647BF2AF" w14:textId="1202FA95" w:rsidR="009D0E57" w:rsidRPr="00BC4555" w:rsidRDefault="00BC4555" w:rsidP="009D0E57">
            <w:pPr>
              <w:spacing w:after="160" w:line="259" w:lineRule="auto"/>
              <w:jc w:val="center"/>
              <w:rPr>
                <w:rFonts w:eastAsiaTheme="minorHAnsi"/>
                <w:sz w:val="20"/>
                <w:szCs w:val="22"/>
              </w:rPr>
            </w:pPr>
            <w:r>
              <w:rPr>
                <w:rFonts w:eastAsiaTheme="minorHAnsi"/>
                <w:sz w:val="20"/>
                <w:szCs w:val="22"/>
              </w:rPr>
              <w:t>2,283,536</w:t>
            </w:r>
          </w:p>
        </w:tc>
        <w:tc>
          <w:tcPr>
            <w:tcW w:w="982" w:type="dxa"/>
            <w:vAlign w:val="center"/>
          </w:tcPr>
          <w:p w14:paraId="021A01EA" w14:textId="4E46BFB8" w:rsidR="009D0E57" w:rsidRPr="00BC4555" w:rsidRDefault="00BC4555" w:rsidP="009D0E57">
            <w:pPr>
              <w:spacing w:after="160" w:line="259" w:lineRule="auto"/>
              <w:jc w:val="center"/>
              <w:rPr>
                <w:rFonts w:eastAsiaTheme="minorHAnsi"/>
                <w:sz w:val="20"/>
                <w:szCs w:val="22"/>
              </w:rPr>
            </w:pPr>
            <w:r>
              <w:rPr>
                <w:rFonts w:eastAsiaTheme="minorHAnsi"/>
                <w:sz w:val="20"/>
                <w:szCs w:val="22"/>
              </w:rPr>
              <w:t>2.5</w:t>
            </w:r>
          </w:p>
        </w:tc>
      </w:tr>
      <w:tr w:rsidR="00BF2444" w:rsidRPr="00BF2444" w14:paraId="43FA12F5" w14:textId="77777777" w:rsidTr="00CB5DFE">
        <w:trPr>
          <w:trHeight w:hRule="exact" w:val="284"/>
        </w:trPr>
        <w:tc>
          <w:tcPr>
            <w:tcW w:w="6766" w:type="dxa"/>
            <w:vAlign w:val="center"/>
          </w:tcPr>
          <w:p w14:paraId="28EA988B" w14:textId="77777777" w:rsidR="009D0E57" w:rsidRPr="00BF2444" w:rsidRDefault="009D0E57" w:rsidP="009D0E57">
            <w:pPr>
              <w:spacing w:after="160" w:line="259" w:lineRule="auto"/>
              <w:rPr>
                <w:rFonts w:eastAsiaTheme="minorHAnsi"/>
                <w:color w:val="FF0000"/>
                <w:sz w:val="20"/>
                <w:szCs w:val="22"/>
              </w:rPr>
            </w:pPr>
            <w:r w:rsidRPr="00BC4555">
              <w:rPr>
                <w:rFonts w:eastAsiaTheme="minorHAnsi"/>
                <w:sz w:val="20"/>
                <w:szCs w:val="22"/>
              </w:rPr>
              <w:t>Secured Non-Real Estate Loans/Lines of Credit</w:t>
            </w:r>
          </w:p>
        </w:tc>
        <w:tc>
          <w:tcPr>
            <w:tcW w:w="1542" w:type="dxa"/>
            <w:vAlign w:val="center"/>
          </w:tcPr>
          <w:p w14:paraId="4AEAE1D7" w14:textId="7A715DC4" w:rsidR="009D0E57" w:rsidRPr="00BC4555" w:rsidRDefault="00BC4555" w:rsidP="009D0E57">
            <w:pPr>
              <w:spacing w:after="160" w:line="259" w:lineRule="auto"/>
              <w:jc w:val="center"/>
              <w:rPr>
                <w:rFonts w:eastAsiaTheme="minorHAnsi"/>
                <w:sz w:val="20"/>
                <w:szCs w:val="22"/>
              </w:rPr>
            </w:pPr>
            <w:r>
              <w:rPr>
                <w:rFonts w:eastAsiaTheme="minorHAnsi"/>
                <w:sz w:val="20"/>
                <w:szCs w:val="22"/>
              </w:rPr>
              <w:t>146,937</w:t>
            </w:r>
          </w:p>
        </w:tc>
        <w:tc>
          <w:tcPr>
            <w:tcW w:w="982" w:type="dxa"/>
            <w:vAlign w:val="center"/>
          </w:tcPr>
          <w:p w14:paraId="2FE6CAAD" w14:textId="4AD168BB" w:rsidR="009D0E57" w:rsidRPr="00BC4555" w:rsidRDefault="00BC4555" w:rsidP="009D0E57">
            <w:pPr>
              <w:spacing w:after="160" w:line="259" w:lineRule="auto"/>
              <w:jc w:val="center"/>
              <w:rPr>
                <w:rFonts w:eastAsiaTheme="minorHAnsi"/>
                <w:sz w:val="20"/>
                <w:szCs w:val="22"/>
              </w:rPr>
            </w:pPr>
            <w:r>
              <w:rPr>
                <w:rFonts w:eastAsiaTheme="minorHAnsi"/>
                <w:sz w:val="20"/>
                <w:szCs w:val="22"/>
              </w:rPr>
              <w:t>0.2</w:t>
            </w:r>
          </w:p>
        </w:tc>
      </w:tr>
      <w:tr w:rsidR="00BF2444" w:rsidRPr="00BF2444" w14:paraId="31BD3D40" w14:textId="77777777" w:rsidTr="00CB5DFE">
        <w:trPr>
          <w:trHeight w:hRule="exact" w:val="284"/>
        </w:trPr>
        <w:tc>
          <w:tcPr>
            <w:tcW w:w="6766" w:type="dxa"/>
            <w:vAlign w:val="center"/>
          </w:tcPr>
          <w:p w14:paraId="6BB61F1D" w14:textId="77777777" w:rsidR="009D0E57" w:rsidRPr="00BC4555" w:rsidRDefault="009D0E57" w:rsidP="009D0E57">
            <w:pPr>
              <w:spacing w:after="160" w:line="259" w:lineRule="auto"/>
              <w:rPr>
                <w:rFonts w:eastAsiaTheme="minorHAnsi"/>
                <w:sz w:val="20"/>
                <w:szCs w:val="22"/>
              </w:rPr>
            </w:pPr>
            <w:r w:rsidRPr="00BC4555">
              <w:rPr>
                <w:rFonts w:eastAsiaTheme="minorHAnsi"/>
                <w:sz w:val="20"/>
                <w:szCs w:val="22"/>
              </w:rPr>
              <w:t>Total Loans/Lines of Credit Secured by 1</w:t>
            </w:r>
            <w:r w:rsidRPr="00BC4555">
              <w:rPr>
                <w:rFonts w:eastAsiaTheme="minorHAnsi"/>
                <w:sz w:val="20"/>
                <w:szCs w:val="22"/>
                <w:vertAlign w:val="superscript"/>
              </w:rPr>
              <w:t>st</w:t>
            </w:r>
            <w:r w:rsidRPr="00BC4555">
              <w:rPr>
                <w:rFonts w:eastAsiaTheme="minorHAnsi"/>
                <w:sz w:val="20"/>
                <w:szCs w:val="22"/>
              </w:rPr>
              <w:t xml:space="preserve"> Lien 1-4 Family Residential Properties</w:t>
            </w:r>
          </w:p>
        </w:tc>
        <w:tc>
          <w:tcPr>
            <w:tcW w:w="1542" w:type="dxa"/>
            <w:vAlign w:val="center"/>
          </w:tcPr>
          <w:p w14:paraId="44D47AC5" w14:textId="59D88451" w:rsidR="009D0E57" w:rsidRPr="00BC4555" w:rsidRDefault="00BC4555" w:rsidP="009D0E57">
            <w:pPr>
              <w:spacing w:after="160" w:line="259" w:lineRule="auto"/>
              <w:jc w:val="center"/>
              <w:rPr>
                <w:rFonts w:eastAsiaTheme="minorHAnsi"/>
                <w:sz w:val="20"/>
                <w:szCs w:val="22"/>
              </w:rPr>
            </w:pPr>
            <w:r>
              <w:rPr>
                <w:rFonts w:eastAsiaTheme="minorHAnsi"/>
                <w:sz w:val="20"/>
                <w:szCs w:val="22"/>
              </w:rPr>
              <w:t>55,058,552</w:t>
            </w:r>
          </w:p>
        </w:tc>
        <w:tc>
          <w:tcPr>
            <w:tcW w:w="982" w:type="dxa"/>
            <w:vAlign w:val="center"/>
          </w:tcPr>
          <w:p w14:paraId="2676AC50" w14:textId="1EF07D71" w:rsidR="009D0E57" w:rsidRPr="00BC4555" w:rsidRDefault="00BC4555" w:rsidP="009D0E57">
            <w:pPr>
              <w:spacing w:after="160" w:line="259" w:lineRule="auto"/>
              <w:jc w:val="center"/>
              <w:rPr>
                <w:rFonts w:eastAsiaTheme="minorHAnsi"/>
                <w:sz w:val="20"/>
                <w:szCs w:val="22"/>
              </w:rPr>
            </w:pPr>
            <w:r>
              <w:rPr>
                <w:rFonts w:eastAsiaTheme="minorHAnsi"/>
                <w:sz w:val="20"/>
                <w:szCs w:val="22"/>
              </w:rPr>
              <w:t>61.1</w:t>
            </w:r>
          </w:p>
        </w:tc>
      </w:tr>
      <w:tr w:rsidR="00BF2444" w:rsidRPr="00BF2444" w14:paraId="650CCCA5" w14:textId="77777777" w:rsidTr="00CB5DFE">
        <w:trPr>
          <w:trHeight w:hRule="exact" w:val="270"/>
        </w:trPr>
        <w:tc>
          <w:tcPr>
            <w:tcW w:w="6766" w:type="dxa"/>
            <w:vAlign w:val="center"/>
          </w:tcPr>
          <w:p w14:paraId="43E37EF7" w14:textId="38B4FC39" w:rsidR="009D0E57" w:rsidRPr="00BC4555" w:rsidRDefault="009D0E57" w:rsidP="009D0E57">
            <w:pPr>
              <w:spacing w:after="160" w:line="259" w:lineRule="auto"/>
              <w:rPr>
                <w:rFonts w:eastAsiaTheme="minorHAnsi"/>
                <w:sz w:val="20"/>
                <w:szCs w:val="22"/>
              </w:rPr>
            </w:pPr>
            <w:r w:rsidRPr="00BC4555">
              <w:rPr>
                <w:rFonts w:eastAsiaTheme="minorHAnsi"/>
                <w:sz w:val="20"/>
                <w:szCs w:val="22"/>
              </w:rPr>
              <w:t xml:space="preserve">Total Loans/Lines of Credit Secured by Junior Lien 1-4 Family </w:t>
            </w:r>
            <w:r w:rsidR="00090781">
              <w:rPr>
                <w:rFonts w:eastAsiaTheme="minorHAnsi"/>
                <w:sz w:val="20"/>
                <w:szCs w:val="22"/>
              </w:rPr>
              <w:t>Residential Properties</w:t>
            </w:r>
          </w:p>
        </w:tc>
        <w:tc>
          <w:tcPr>
            <w:tcW w:w="1542" w:type="dxa"/>
            <w:vAlign w:val="center"/>
          </w:tcPr>
          <w:p w14:paraId="098AA4D9" w14:textId="4DB9EF4F" w:rsidR="009D0E57" w:rsidRPr="00BC4555" w:rsidRDefault="00BC4555" w:rsidP="009D0E57">
            <w:pPr>
              <w:spacing w:after="160" w:line="259" w:lineRule="auto"/>
              <w:jc w:val="center"/>
              <w:rPr>
                <w:rFonts w:eastAsiaTheme="minorHAnsi"/>
                <w:sz w:val="20"/>
                <w:szCs w:val="22"/>
              </w:rPr>
            </w:pPr>
            <w:r>
              <w:rPr>
                <w:rFonts w:eastAsiaTheme="minorHAnsi"/>
                <w:sz w:val="20"/>
                <w:szCs w:val="22"/>
              </w:rPr>
              <w:t>9,597,809</w:t>
            </w:r>
          </w:p>
        </w:tc>
        <w:tc>
          <w:tcPr>
            <w:tcW w:w="982" w:type="dxa"/>
            <w:vAlign w:val="center"/>
          </w:tcPr>
          <w:p w14:paraId="26E2C784" w14:textId="6B79C338" w:rsidR="009D0E57" w:rsidRPr="00BC4555" w:rsidRDefault="00C57772" w:rsidP="009D0E57">
            <w:pPr>
              <w:spacing w:after="160" w:line="259" w:lineRule="auto"/>
              <w:jc w:val="center"/>
              <w:rPr>
                <w:rFonts w:eastAsiaTheme="minorHAnsi"/>
                <w:sz w:val="20"/>
                <w:szCs w:val="22"/>
              </w:rPr>
            </w:pPr>
            <w:r>
              <w:rPr>
                <w:rFonts w:eastAsiaTheme="minorHAnsi"/>
                <w:sz w:val="20"/>
                <w:szCs w:val="22"/>
              </w:rPr>
              <w:t>10.6</w:t>
            </w:r>
          </w:p>
        </w:tc>
      </w:tr>
      <w:tr w:rsidR="00BF2444" w:rsidRPr="00BF2444" w14:paraId="3E7E6421" w14:textId="77777777" w:rsidTr="00CB5DFE">
        <w:trPr>
          <w:trHeight w:hRule="exact" w:val="284"/>
        </w:trPr>
        <w:tc>
          <w:tcPr>
            <w:tcW w:w="6766" w:type="dxa"/>
            <w:vAlign w:val="center"/>
          </w:tcPr>
          <w:p w14:paraId="3713D0E6" w14:textId="77777777" w:rsidR="009D0E57" w:rsidRPr="00BC4555" w:rsidRDefault="009D0E57" w:rsidP="009D0E57">
            <w:pPr>
              <w:spacing w:after="160" w:line="259" w:lineRule="auto"/>
              <w:rPr>
                <w:rFonts w:eastAsiaTheme="minorHAnsi"/>
                <w:sz w:val="20"/>
                <w:szCs w:val="22"/>
              </w:rPr>
            </w:pPr>
            <w:r w:rsidRPr="00BC4555">
              <w:rPr>
                <w:rFonts w:eastAsiaTheme="minorHAnsi"/>
                <w:sz w:val="20"/>
                <w:szCs w:val="22"/>
              </w:rPr>
              <w:t>Commercial Loans/Lines of Credit Real Estate Secured</w:t>
            </w:r>
          </w:p>
        </w:tc>
        <w:tc>
          <w:tcPr>
            <w:tcW w:w="1542" w:type="dxa"/>
            <w:vAlign w:val="center"/>
          </w:tcPr>
          <w:p w14:paraId="0E41E42B" w14:textId="794057EA" w:rsidR="009D0E57" w:rsidRPr="00BC4555" w:rsidRDefault="00BC4555" w:rsidP="009D0E57">
            <w:pPr>
              <w:spacing w:after="160" w:line="259" w:lineRule="auto"/>
              <w:jc w:val="center"/>
              <w:rPr>
                <w:rFonts w:eastAsiaTheme="minorHAnsi"/>
                <w:sz w:val="20"/>
                <w:szCs w:val="22"/>
              </w:rPr>
            </w:pPr>
            <w:r>
              <w:rPr>
                <w:rFonts w:eastAsiaTheme="minorHAnsi"/>
                <w:sz w:val="20"/>
                <w:szCs w:val="22"/>
              </w:rPr>
              <w:t>10,861,129</w:t>
            </w:r>
          </w:p>
        </w:tc>
        <w:tc>
          <w:tcPr>
            <w:tcW w:w="982" w:type="dxa"/>
            <w:vAlign w:val="center"/>
          </w:tcPr>
          <w:p w14:paraId="10DB0C95" w14:textId="40738085" w:rsidR="009D0E57" w:rsidRPr="00BC4555" w:rsidRDefault="00BC4555" w:rsidP="009D0E57">
            <w:pPr>
              <w:spacing w:after="160" w:line="259" w:lineRule="auto"/>
              <w:jc w:val="center"/>
              <w:rPr>
                <w:rFonts w:eastAsiaTheme="minorHAnsi"/>
                <w:sz w:val="20"/>
                <w:szCs w:val="22"/>
              </w:rPr>
            </w:pPr>
            <w:r>
              <w:rPr>
                <w:rFonts w:eastAsiaTheme="minorHAnsi"/>
                <w:sz w:val="20"/>
                <w:szCs w:val="22"/>
              </w:rPr>
              <w:t>12.1</w:t>
            </w:r>
          </w:p>
        </w:tc>
      </w:tr>
      <w:tr w:rsidR="00BF2444" w:rsidRPr="00BF2444" w14:paraId="76DCE0D2" w14:textId="77777777" w:rsidTr="00CB5DFE">
        <w:trPr>
          <w:trHeight w:hRule="exact" w:val="284"/>
        </w:trPr>
        <w:tc>
          <w:tcPr>
            <w:tcW w:w="6766" w:type="dxa"/>
            <w:vAlign w:val="center"/>
          </w:tcPr>
          <w:p w14:paraId="11D42214" w14:textId="77777777" w:rsidR="009D0E57" w:rsidRPr="00BC4555" w:rsidRDefault="009D0E57" w:rsidP="009D0E57">
            <w:pPr>
              <w:spacing w:after="160" w:line="259" w:lineRule="auto"/>
              <w:rPr>
                <w:rFonts w:eastAsiaTheme="minorHAnsi"/>
                <w:sz w:val="20"/>
                <w:szCs w:val="22"/>
              </w:rPr>
            </w:pPr>
            <w:r w:rsidRPr="00BC4555">
              <w:rPr>
                <w:rFonts w:eastAsiaTheme="minorHAnsi"/>
                <w:sz w:val="20"/>
                <w:szCs w:val="22"/>
              </w:rPr>
              <w:t>Commercial Loans/Lines of Credit Not Real Estate Secured</w:t>
            </w:r>
          </w:p>
        </w:tc>
        <w:tc>
          <w:tcPr>
            <w:tcW w:w="1542" w:type="dxa"/>
            <w:vAlign w:val="center"/>
          </w:tcPr>
          <w:p w14:paraId="122C15D0" w14:textId="39FDEBC1" w:rsidR="009D0E57" w:rsidRPr="00BC4555" w:rsidRDefault="00BC4555" w:rsidP="009D0E57">
            <w:pPr>
              <w:spacing w:after="160" w:line="259" w:lineRule="auto"/>
              <w:jc w:val="center"/>
              <w:rPr>
                <w:rFonts w:eastAsiaTheme="minorHAnsi"/>
                <w:sz w:val="20"/>
                <w:szCs w:val="22"/>
              </w:rPr>
            </w:pPr>
            <w:r>
              <w:rPr>
                <w:rFonts w:eastAsiaTheme="minorHAnsi"/>
                <w:sz w:val="20"/>
                <w:szCs w:val="22"/>
              </w:rPr>
              <w:t>1,064,343</w:t>
            </w:r>
          </w:p>
        </w:tc>
        <w:tc>
          <w:tcPr>
            <w:tcW w:w="982" w:type="dxa"/>
            <w:vAlign w:val="center"/>
          </w:tcPr>
          <w:p w14:paraId="404D770C" w14:textId="006571CA" w:rsidR="009D0E57" w:rsidRPr="00BC4555" w:rsidRDefault="00BC4555" w:rsidP="009D0E57">
            <w:pPr>
              <w:spacing w:after="160" w:line="259" w:lineRule="auto"/>
              <w:jc w:val="center"/>
              <w:rPr>
                <w:rFonts w:eastAsiaTheme="minorHAnsi"/>
                <w:sz w:val="20"/>
                <w:szCs w:val="22"/>
              </w:rPr>
            </w:pPr>
            <w:r>
              <w:rPr>
                <w:rFonts w:eastAsiaTheme="minorHAnsi"/>
                <w:sz w:val="20"/>
                <w:szCs w:val="22"/>
              </w:rPr>
              <w:t>1.2</w:t>
            </w:r>
          </w:p>
        </w:tc>
      </w:tr>
      <w:tr w:rsidR="00BF2444" w:rsidRPr="00BF2444" w14:paraId="5E45E361" w14:textId="77777777" w:rsidTr="00CB5DFE">
        <w:trPr>
          <w:trHeight w:hRule="exact" w:val="284"/>
        </w:trPr>
        <w:tc>
          <w:tcPr>
            <w:tcW w:w="6766" w:type="dxa"/>
            <w:vAlign w:val="center"/>
          </w:tcPr>
          <w:p w14:paraId="12A9D3D9" w14:textId="77777777" w:rsidR="009D0E57" w:rsidRPr="00BC4555" w:rsidRDefault="009D0E57" w:rsidP="009D0E57">
            <w:pPr>
              <w:spacing w:after="160" w:line="259" w:lineRule="auto"/>
              <w:rPr>
                <w:rFonts w:eastAsiaTheme="minorHAnsi"/>
                <w:b/>
                <w:sz w:val="20"/>
                <w:szCs w:val="22"/>
              </w:rPr>
            </w:pPr>
            <w:r w:rsidRPr="00BC4555">
              <w:rPr>
                <w:rFonts w:eastAsiaTheme="minorHAnsi"/>
                <w:b/>
                <w:sz w:val="20"/>
                <w:szCs w:val="22"/>
              </w:rPr>
              <w:t>Total Loans</w:t>
            </w:r>
          </w:p>
        </w:tc>
        <w:tc>
          <w:tcPr>
            <w:tcW w:w="1542" w:type="dxa"/>
            <w:vAlign w:val="center"/>
          </w:tcPr>
          <w:p w14:paraId="1830F38B" w14:textId="0600D966" w:rsidR="009D0E57" w:rsidRPr="00BC4555" w:rsidRDefault="00BC4555" w:rsidP="009D0E57">
            <w:pPr>
              <w:spacing w:after="160" w:line="259" w:lineRule="auto"/>
              <w:jc w:val="center"/>
              <w:rPr>
                <w:rFonts w:eastAsiaTheme="minorHAnsi"/>
                <w:b/>
                <w:sz w:val="20"/>
                <w:szCs w:val="22"/>
              </w:rPr>
            </w:pPr>
            <w:r>
              <w:rPr>
                <w:rFonts w:eastAsiaTheme="minorHAnsi"/>
                <w:b/>
                <w:sz w:val="20"/>
                <w:szCs w:val="22"/>
              </w:rPr>
              <w:t>90,084,775</w:t>
            </w:r>
          </w:p>
        </w:tc>
        <w:tc>
          <w:tcPr>
            <w:tcW w:w="982" w:type="dxa"/>
            <w:vAlign w:val="center"/>
          </w:tcPr>
          <w:p w14:paraId="28FBC874" w14:textId="77777777" w:rsidR="009D0E57" w:rsidRPr="00BC4555" w:rsidRDefault="009D0E57" w:rsidP="009D0E57">
            <w:pPr>
              <w:spacing w:after="160" w:line="259" w:lineRule="auto"/>
              <w:jc w:val="center"/>
              <w:rPr>
                <w:rFonts w:eastAsiaTheme="minorHAnsi"/>
                <w:b/>
                <w:sz w:val="20"/>
                <w:szCs w:val="22"/>
              </w:rPr>
            </w:pPr>
            <w:r w:rsidRPr="00BC4555">
              <w:rPr>
                <w:rFonts w:eastAsiaTheme="minorHAnsi"/>
                <w:b/>
                <w:sz w:val="20"/>
                <w:szCs w:val="22"/>
              </w:rPr>
              <w:t>100.0</w:t>
            </w:r>
          </w:p>
        </w:tc>
      </w:tr>
      <w:tr w:rsidR="00BF2444" w:rsidRPr="00BF2444" w14:paraId="592545E1" w14:textId="77777777" w:rsidTr="00CB5DFE">
        <w:trPr>
          <w:trHeight w:hRule="exact" w:val="284"/>
        </w:trPr>
        <w:tc>
          <w:tcPr>
            <w:tcW w:w="9292" w:type="dxa"/>
            <w:gridSpan w:val="3"/>
            <w:vAlign w:val="center"/>
          </w:tcPr>
          <w:p w14:paraId="3A30E6E4" w14:textId="77777777" w:rsidR="009D0E57" w:rsidRPr="00BC4555" w:rsidRDefault="009D0E57" w:rsidP="009D0E57">
            <w:pPr>
              <w:spacing w:after="160" w:line="259" w:lineRule="auto"/>
              <w:rPr>
                <w:rFonts w:eastAsiaTheme="minorHAnsi"/>
                <w:i/>
                <w:sz w:val="16"/>
                <w:szCs w:val="16"/>
              </w:rPr>
            </w:pPr>
            <w:r w:rsidRPr="00BC4555">
              <w:rPr>
                <w:rFonts w:eastAsiaTheme="minorHAnsi"/>
                <w:i/>
                <w:sz w:val="16"/>
                <w:szCs w:val="16"/>
              </w:rPr>
              <w:t>Source: Reports of Income and Condition</w:t>
            </w:r>
          </w:p>
          <w:p w14:paraId="01168CD4" w14:textId="77777777" w:rsidR="009D0E57" w:rsidRPr="00BC4555" w:rsidRDefault="009D0E57" w:rsidP="009D0E57">
            <w:pPr>
              <w:spacing w:after="160" w:line="259" w:lineRule="auto"/>
              <w:jc w:val="center"/>
              <w:rPr>
                <w:rFonts w:eastAsiaTheme="minorHAnsi"/>
                <w:sz w:val="20"/>
                <w:szCs w:val="22"/>
              </w:rPr>
            </w:pPr>
          </w:p>
        </w:tc>
      </w:tr>
    </w:tbl>
    <w:p w14:paraId="18FEFFFA" w14:textId="43F07DF1" w:rsidR="001A4D21" w:rsidRPr="00325DF5" w:rsidRDefault="001A4D21" w:rsidP="00CB5DFE">
      <w:pPr>
        <w:pStyle w:val="QuickFormat1"/>
        <w:jc w:val="left"/>
        <w:rPr>
          <w:bCs/>
          <w:color w:val="auto"/>
          <w:spacing w:val="-4"/>
          <w:sz w:val="28"/>
          <w:szCs w:val="28"/>
        </w:rPr>
      </w:pPr>
    </w:p>
    <w:p w14:paraId="485B06BC" w14:textId="789220BE" w:rsidR="009D0E57" w:rsidRPr="00325DF5" w:rsidRDefault="009D0E57" w:rsidP="009D0E57">
      <w:pPr>
        <w:pStyle w:val="QuickFormat1"/>
        <w:rPr>
          <w:bCs/>
          <w:color w:val="auto"/>
          <w:spacing w:val="-4"/>
          <w:sz w:val="28"/>
          <w:szCs w:val="28"/>
        </w:rPr>
      </w:pPr>
      <w:r w:rsidRPr="00325DF5">
        <w:rPr>
          <w:bCs/>
          <w:color w:val="auto"/>
          <w:spacing w:val="-4"/>
          <w:sz w:val="28"/>
          <w:szCs w:val="28"/>
        </w:rPr>
        <w:t>DESCRIPTION OF ASSESSMENT AREA</w:t>
      </w:r>
    </w:p>
    <w:p w14:paraId="671E37E1" w14:textId="77777777" w:rsidR="009D0E57" w:rsidRPr="00325DF5" w:rsidRDefault="009D0E57" w:rsidP="009D0E57">
      <w:pPr>
        <w:pStyle w:val="QuickFormat1"/>
        <w:jc w:val="left"/>
        <w:rPr>
          <w:bCs/>
          <w:color w:val="auto"/>
          <w:spacing w:val="-4"/>
          <w:sz w:val="28"/>
          <w:szCs w:val="28"/>
        </w:rPr>
      </w:pPr>
    </w:p>
    <w:p w14:paraId="0D52ADEC" w14:textId="18596497" w:rsidR="009D0E57" w:rsidRPr="00325DF5" w:rsidRDefault="009D0E57" w:rsidP="00CB5DFE">
      <w:pPr>
        <w:tabs>
          <w:tab w:val="center" w:pos="4680"/>
        </w:tabs>
        <w:jc w:val="both"/>
      </w:pPr>
      <w:r w:rsidRPr="00325DF5">
        <w:t>The CRA requires each financial institution to define one or more assessment areas within which its CRA performance will be evaluated</w:t>
      </w:r>
      <w:r w:rsidR="004002BD">
        <w:t xml:space="preserve">.  </w:t>
      </w:r>
      <w:r w:rsidR="00222EEC">
        <w:t>The</w:t>
      </w:r>
      <w:r w:rsidR="00CB5DFE">
        <w:t xml:space="preserve"> credit union</w:t>
      </w:r>
      <w:r w:rsidR="0005605D" w:rsidRPr="00480E42">
        <w:t xml:space="preserve"> has designated a contiguous group of municipalities as its</w:t>
      </w:r>
      <w:r w:rsidRPr="00480E42">
        <w:t xml:space="preserve"> assessme</w:t>
      </w:r>
      <w:r w:rsidR="00B06B95" w:rsidRPr="00480E42">
        <w:t>nt area</w:t>
      </w:r>
      <w:r w:rsidR="00222EEC">
        <w:t xml:space="preserve">. </w:t>
      </w:r>
      <w:r w:rsidR="00B06B95" w:rsidRPr="00480E42">
        <w:t>Specifically i</w:t>
      </w:r>
      <w:r w:rsidRPr="00480E42">
        <w:t xml:space="preserve">ncluded are the </w:t>
      </w:r>
      <w:r w:rsidR="00325DF5" w:rsidRPr="00480E42">
        <w:t>Middlesex</w:t>
      </w:r>
      <w:r w:rsidRPr="00480E42">
        <w:t xml:space="preserve"> County communities of </w:t>
      </w:r>
      <w:r w:rsidR="00325DF5" w:rsidRPr="00480E42">
        <w:t>Cambridge, Everett, Malden, Medford, and Somerville which are part of the Cambridge-Newton-Framingham, MA MD (15764)</w:t>
      </w:r>
      <w:r w:rsidR="004002BD">
        <w:t xml:space="preserve">.  </w:t>
      </w:r>
      <w:r w:rsidR="0005605D" w:rsidRPr="00480E42">
        <w:t>The credit union added the two communities of Everett and Malden to its assessment area in 2018</w:t>
      </w:r>
      <w:r w:rsidR="004002BD">
        <w:rPr>
          <w:color w:val="0070C0"/>
        </w:rPr>
        <w:t xml:space="preserve">.  </w:t>
      </w:r>
      <w:r w:rsidRPr="00325DF5">
        <w:t>The following sections discuss demographic and economic information for the assessment area.</w:t>
      </w:r>
    </w:p>
    <w:p w14:paraId="477C3B82" w14:textId="430DBE29" w:rsidR="00AF74FA" w:rsidRDefault="00AF74FA" w:rsidP="00CB5DFE">
      <w:pPr>
        <w:tabs>
          <w:tab w:val="center" w:pos="4680"/>
        </w:tabs>
        <w:jc w:val="both"/>
      </w:pPr>
    </w:p>
    <w:p w14:paraId="3440426C" w14:textId="77777777" w:rsidR="009D0E57" w:rsidRPr="00325DF5" w:rsidRDefault="009D0E57" w:rsidP="00CB5DFE">
      <w:pPr>
        <w:widowControl w:val="0"/>
        <w:jc w:val="both"/>
        <w:rPr>
          <w:b/>
          <w:bCs/>
          <w:iCs/>
          <w:u w:val="single"/>
        </w:rPr>
      </w:pPr>
      <w:r w:rsidRPr="00AF74FA">
        <w:rPr>
          <w:b/>
          <w:bCs/>
          <w:iCs/>
          <w:u w:val="single"/>
        </w:rPr>
        <w:t>Economic</w:t>
      </w:r>
      <w:r w:rsidRPr="00325DF5">
        <w:rPr>
          <w:b/>
          <w:bCs/>
          <w:iCs/>
          <w:u w:val="single"/>
        </w:rPr>
        <w:t xml:space="preserve"> and Demographic Data</w:t>
      </w:r>
    </w:p>
    <w:p w14:paraId="204104B9" w14:textId="77777777" w:rsidR="009D0E57" w:rsidRPr="00325DF5" w:rsidRDefault="009D0E57" w:rsidP="00CB5DFE">
      <w:pPr>
        <w:widowControl w:val="0"/>
        <w:jc w:val="both"/>
        <w:rPr>
          <w:b/>
          <w:bCs/>
          <w:iCs/>
          <w:u w:val="single"/>
        </w:rPr>
      </w:pPr>
    </w:p>
    <w:p w14:paraId="795EFEBA" w14:textId="78B5A980" w:rsidR="009D0E57" w:rsidRPr="004A6F23" w:rsidRDefault="004A6F23" w:rsidP="00CB5DFE">
      <w:pPr>
        <w:widowControl w:val="0"/>
        <w:jc w:val="both"/>
        <w:rPr>
          <w:bCs/>
          <w:iCs/>
        </w:rPr>
      </w:pPr>
      <w:r w:rsidRPr="00325DF5">
        <w:rPr>
          <w:bCs/>
          <w:iCs/>
        </w:rPr>
        <w:t xml:space="preserve">The assessment </w:t>
      </w:r>
      <w:r w:rsidRPr="004A6F23">
        <w:rPr>
          <w:bCs/>
          <w:iCs/>
        </w:rPr>
        <w:t>area includes 81</w:t>
      </w:r>
      <w:r w:rsidR="009D0E57" w:rsidRPr="004A6F23">
        <w:rPr>
          <w:bCs/>
          <w:iCs/>
        </w:rPr>
        <w:t xml:space="preserve"> census tracts</w:t>
      </w:r>
      <w:r w:rsidR="004002BD">
        <w:rPr>
          <w:bCs/>
          <w:iCs/>
        </w:rPr>
        <w:t xml:space="preserve">.  </w:t>
      </w:r>
      <w:r w:rsidR="009D0E57" w:rsidRPr="004A6F23">
        <w:rPr>
          <w:bCs/>
          <w:iCs/>
        </w:rPr>
        <w:t xml:space="preserve">These tracts reflect the following income designations according to the 2015 ACS </w:t>
      </w:r>
      <w:r w:rsidR="004002BD">
        <w:rPr>
          <w:bCs/>
          <w:iCs/>
        </w:rPr>
        <w:t xml:space="preserve">U.S. </w:t>
      </w:r>
      <w:r w:rsidR="009D0E57" w:rsidRPr="004A6F23">
        <w:rPr>
          <w:bCs/>
          <w:iCs/>
        </w:rPr>
        <w:t>Census:</w:t>
      </w:r>
    </w:p>
    <w:p w14:paraId="4C5F1763" w14:textId="77777777" w:rsidR="009D0E57" w:rsidRPr="004A6F23" w:rsidRDefault="009D0E57" w:rsidP="00CB5DFE">
      <w:pPr>
        <w:widowControl w:val="0"/>
        <w:jc w:val="both"/>
        <w:rPr>
          <w:bCs/>
          <w:iCs/>
          <w:highlight w:val="yellow"/>
        </w:rPr>
      </w:pPr>
    </w:p>
    <w:p w14:paraId="77110781" w14:textId="013C2D7C" w:rsidR="009D0E57" w:rsidRPr="004A6F23" w:rsidRDefault="004A6F23" w:rsidP="00CB5DFE">
      <w:pPr>
        <w:widowControl w:val="0"/>
        <w:numPr>
          <w:ilvl w:val="0"/>
          <w:numId w:val="1"/>
        </w:numPr>
        <w:jc w:val="both"/>
        <w:rPr>
          <w:bCs/>
          <w:iCs/>
        </w:rPr>
      </w:pPr>
      <w:r w:rsidRPr="004A6F23">
        <w:rPr>
          <w:bCs/>
          <w:iCs/>
        </w:rPr>
        <w:lastRenderedPageBreak/>
        <w:t>8</w:t>
      </w:r>
      <w:r w:rsidR="009D0E57" w:rsidRPr="004A6F23">
        <w:rPr>
          <w:bCs/>
          <w:iCs/>
        </w:rPr>
        <w:t xml:space="preserve"> low-income tracts, </w:t>
      </w:r>
    </w:p>
    <w:p w14:paraId="6359D832" w14:textId="363DBD2B" w:rsidR="009D0E57" w:rsidRPr="004A6F23" w:rsidRDefault="004A6F23" w:rsidP="00CB5DFE">
      <w:pPr>
        <w:widowControl w:val="0"/>
        <w:numPr>
          <w:ilvl w:val="0"/>
          <w:numId w:val="1"/>
        </w:numPr>
        <w:jc w:val="both"/>
        <w:rPr>
          <w:bCs/>
          <w:iCs/>
        </w:rPr>
      </w:pPr>
      <w:r w:rsidRPr="004A6F23">
        <w:rPr>
          <w:bCs/>
          <w:iCs/>
        </w:rPr>
        <w:t>30</w:t>
      </w:r>
      <w:r w:rsidR="009D0E57" w:rsidRPr="004A6F23">
        <w:rPr>
          <w:bCs/>
          <w:iCs/>
        </w:rPr>
        <w:t xml:space="preserve"> moderate-income tracts, </w:t>
      </w:r>
    </w:p>
    <w:p w14:paraId="08C7EB95" w14:textId="530BB151" w:rsidR="009D0E57" w:rsidRPr="004A6F23" w:rsidRDefault="004A6F23" w:rsidP="00CB5DFE">
      <w:pPr>
        <w:widowControl w:val="0"/>
        <w:numPr>
          <w:ilvl w:val="0"/>
          <w:numId w:val="1"/>
        </w:numPr>
        <w:jc w:val="both"/>
        <w:rPr>
          <w:bCs/>
          <w:iCs/>
        </w:rPr>
      </w:pPr>
      <w:r w:rsidRPr="004A6F23">
        <w:rPr>
          <w:bCs/>
          <w:iCs/>
        </w:rPr>
        <w:t>28</w:t>
      </w:r>
      <w:r w:rsidR="009D0E57" w:rsidRPr="004A6F23">
        <w:rPr>
          <w:bCs/>
          <w:iCs/>
        </w:rPr>
        <w:t xml:space="preserve"> middle-income tracts,</w:t>
      </w:r>
      <w:r>
        <w:rPr>
          <w:bCs/>
          <w:iCs/>
        </w:rPr>
        <w:t xml:space="preserve"> and</w:t>
      </w:r>
    </w:p>
    <w:p w14:paraId="78A55871" w14:textId="6AEB422A" w:rsidR="009D0E57" w:rsidRPr="00866640" w:rsidRDefault="004A6F23" w:rsidP="00CB5DFE">
      <w:pPr>
        <w:widowControl w:val="0"/>
        <w:numPr>
          <w:ilvl w:val="0"/>
          <w:numId w:val="1"/>
        </w:numPr>
        <w:jc w:val="both"/>
        <w:rPr>
          <w:bCs/>
          <w:iCs/>
        </w:rPr>
      </w:pPr>
      <w:r w:rsidRPr="00866640">
        <w:rPr>
          <w:bCs/>
          <w:iCs/>
        </w:rPr>
        <w:t>15 upper income tracts.</w:t>
      </w:r>
    </w:p>
    <w:p w14:paraId="571B5E50" w14:textId="77777777" w:rsidR="009D0E57" w:rsidRPr="00866640" w:rsidRDefault="009D0E57" w:rsidP="00CB5DFE">
      <w:pPr>
        <w:widowControl w:val="0"/>
        <w:jc w:val="both"/>
        <w:rPr>
          <w:bCs/>
          <w:iCs/>
        </w:rPr>
      </w:pPr>
    </w:p>
    <w:p w14:paraId="4FFDFE40" w14:textId="55382B81" w:rsidR="009D0E57" w:rsidRPr="00DE146C" w:rsidRDefault="009D0E57" w:rsidP="00CB5DFE">
      <w:pPr>
        <w:widowControl w:val="0"/>
        <w:jc w:val="both"/>
        <w:rPr>
          <w:bCs/>
          <w:iCs/>
        </w:rPr>
      </w:pPr>
      <w:r w:rsidRPr="00866640">
        <w:rPr>
          <w:bCs/>
          <w:iCs/>
        </w:rPr>
        <w:t xml:space="preserve">It should </w:t>
      </w:r>
      <w:r w:rsidR="00866640" w:rsidRPr="00866640">
        <w:rPr>
          <w:bCs/>
          <w:iCs/>
        </w:rPr>
        <w:t>be noted that census tract 25 01</w:t>
      </w:r>
      <w:r w:rsidRPr="00866640">
        <w:rPr>
          <w:bCs/>
          <w:iCs/>
        </w:rPr>
        <w:t xml:space="preserve">7 </w:t>
      </w:r>
      <w:r w:rsidR="00866640" w:rsidRPr="00866640">
        <w:rPr>
          <w:bCs/>
          <w:iCs/>
        </w:rPr>
        <w:t>3536</w:t>
      </w:r>
      <w:r w:rsidRPr="00866640">
        <w:rPr>
          <w:bCs/>
          <w:iCs/>
        </w:rPr>
        <w:t>.00</w:t>
      </w:r>
      <w:r w:rsidR="00866640" w:rsidRPr="00866640">
        <w:rPr>
          <w:bCs/>
          <w:iCs/>
        </w:rPr>
        <w:t>, 3537.00 and 3539.00 are</w:t>
      </w:r>
      <w:r w:rsidRPr="00866640">
        <w:rPr>
          <w:bCs/>
          <w:iCs/>
        </w:rPr>
        <w:t xml:space="preserve"> occupied by </w:t>
      </w:r>
      <w:r w:rsidR="00866640" w:rsidRPr="00866640">
        <w:rPr>
          <w:bCs/>
          <w:iCs/>
        </w:rPr>
        <w:t>Harvard</w:t>
      </w:r>
      <w:r w:rsidRPr="00866640">
        <w:rPr>
          <w:bCs/>
          <w:iCs/>
        </w:rPr>
        <w:t xml:space="preserve"> Unive</w:t>
      </w:r>
      <w:r w:rsidR="00866640" w:rsidRPr="00866640">
        <w:rPr>
          <w:bCs/>
          <w:iCs/>
        </w:rPr>
        <w:t>rsity</w:t>
      </w:r>
      <w:r w:rsidR="004002BD">
        <w:rPr>
          <w:bCs/>
          <w:iCs/>
        </w:rPr>
        <w:t xml:space="preserve">.  </w:t>
      </w:r>
      <w:r w:rsidRPr="00866640">
        <w:rPr>
          <w:bCs/>
          <w:iCs/>
        </w:rPr>
        <w:t xml:space="preserve">Further, the cities of </w:t>
      </w:r>
      <w:r w:rsidR="00866640" w:rsidRPr="00866640">
        <w:rPr>
          <w:bCs/>
          <w:iCs/>
        </w:rPr>
        <w:t>Medford</w:t>
      </w:r>
      <w:r w:rsidRPr="00866640">
        <w:rPr>
          <w:bCs/>
          <w:iCs/>
        </w:rPr>
        <w:t xml:space="preserve"> </w:t>
      </w:r>
      <w:r w:rsidRPr="00DE146C">
        <w:rPr>
          <w:bCs/>
          <w:iCs/>
        </w:rPr>
        <w:t xml:space="preserve">and </w:t>
      </w:r>
      <w:r w:rsidR="00866640" w:rsidRPr="00DE146C">
        <w:rPr>
          <w:bCs/>
          <w:iCs/>
        </w:rPr>
        <w:t>Somerville</w:t>
      </w:r>
      <w:r w:rsidRPr="00DE146C">
        <w:rPr>
          <w:bCs/>
          <w:iCs/>
        </w:rPr>
        <w:t xml:space="preserve"> host </w:t>
      </w:r>
      <w:r w:rsidR="00DE146C" w:rsidRPr="00DE146C">
        <w:rPr>
          <w:bCs/>
          <w:iCs/>
        </w:rPr>
        <w:t xml:space="preserve">approximately another </w:t>
      </w:r>
      <w:r w:rsidR="003A107C">
        <w:rPr>
          <w:bCs/>
          <w:iCs/>
        </w:rPr>
        <w:t>seven</w:t>
      </w:r>
      <w:r w:rsidRPr="00DE146C">
        <w:rPr>
          <w:bCs/>
          <w:iCs/>
        </w:rPr>
        <w:t xml:space="preserve"> </w:t>
      </w:r>
      <w:r w:rsidR="00DE146C">
        <w:rPr>
          <w:bCs/>
          <w:iCs/>
        </w:rPr>
        <w:t xml:space="preserve">major </w:t>
      </w:r>
      <w:r w:rsidRPr="00DE146C">
        <w:rPr>
          <w:bCs/>
          <w:iCs/>
        </w:rPr>
        <w:t>college and university campuses</w:t>
      </w:r>
      <w:r w:rsidR="004002BD">
        <w:rPr>
          <w:bCs/>
          <w:iCs/>
        </w:rPr>
        <w:t xml:space="preserve">.  </w:t>
      </w:r>
      <w:r w:rsidRPr="00DE146C">
        <w:rPr>
          <w:bCs/>
          <w:iCs/>
        </w:rPr>
        <w:t>These areas have limited lending opportunities</w:t>
      </w:r>
      <w:r w:rsidR="004002BD">
        <w:rPr>
          <w:bCs/>
          <w:iCs/>
        </w:rPr>
        <w:t xml:space="preserve">.  </w:t>
      </w:r>
    </w:p>
    <w:p w14:paraId="5E0FB943" w14:textId="77777777" w:rsidR="009D0E57" w:rsidRPr="00DE146C" w:rsidRDefault="009D0E57" w:rsidP="00CB5DFE">
      <w:pPr>
        <w:widowControl w:val="0"/>
        <w:jc w:val="both"/>
        <w:rPr>
          <w:bCs/>
          <w:iCs/>
        </w:rPr>
      </w:pPr>
    </w:p>
    <w:p w14:paraId="4F1FDCEE" w14:textId="2D822362" w:rsidR="009D0E57" w:rsidRDefault="003174E1" w:rsidP="00CB5DFE">
      <w:pPr>
        <w:widowControl w:val="0"/>
        <w:jc w:val="both"/>
        <w:rPr>
          <w:bCs/>
          <w:iCs/>
        </w:rPr>
      </w:pPr>
      <w:r w:rsidRPr="00DE146C">
        <w:rPr>
          <w:bCs/>
          <w:iCs/>
        </w:rPr>
        <w:t>Fifty percent of the assessment area’s low-income census tracts are located in Everett and there are none in Medford</w:t>
      </w:r>
      <w:r w:rsidR="004002BD">
        <w:rPr>
          <w:bCs/>
          <w:iCs/>
        </w:rPr>
        <w:t xml:space="preserve">.  </w:t>
      </w:r>
      <w:r w:rsidRPr="00DE146C">
        <w:rPr>
          <w:bCs/>
          <w:iCs/>
        </w:rPr>
        <w:t>The</w:t>
      </w:r>
      <w:r w:rsidR="009D0E57" w:rsidRPr="00DE146C">
        <w:rPr>
          <w:bCs/>
          <w:iCs/>
        </w:rPr>
        <w:t xml:space="preserve"> moderate-income census tracts are </w:t>
      </w:r>
      <w:r w:rsidRPr="00DE146C">
        <w:rPr>
          <w:bCs/>
          <w:iCs/>
        </w:rPr>
        <w:t xml:space="preserve">spread across each of the five communities with a small predominance in Cambridge </w:t>
      </w:r>
      <w:r w:rsidRPr="003174E1">
        <w:rPr>
          <w:bCs/>
          <w:iCs/>
        </w:rPr>
        <w:t>(7), Malden (8) and Somerville (7)</w:t>
      </w:r>
      <w:r w:rsidR="004002BD">
        <w:rPr>
          <w:bCs/>
          <w:iCs/>
        </w:rPr>
        <w:t xml:space="preserve">.  </w:t>
      </w:r>
      <w:r w:rsidR="009D0E57" w:rsidRPr="003174E1">
        <w:rPr>
          <w:bCs/>
          <w:iCs/>
        </w:rPr>
        <w:t>There are no underserved or distressed nonmetropolitan middle-income geographies or designated disaster areas within the credit union’s assessment area</w:t>
      </w:r>
      <w:r w:rsidR="004002BD">
        <w:rPr>
          <w:bCs/>
          <w:iCs/>
        </w:rPr>
        <w:t xml:space="preserve">.  </w:t>
      </w:r>
      <w:r w:rsidR="009D0E57" w:rsidRPr="003174E1">
        <w:rPr>
          <w:bCs/>
          <w:iCs/>
        </w:rPr>
        <w:t>However, there are several opportunity zones</w:t>
      </w:r>
      <w:r w:rsidR="004002BD">
        <w:rPr>
          <w:bCs/>
          <w:iCs/>
        </w:rPr>
        <w:t xml:space="preserve">.  </w:t>
      </w:r>
      <w:r w:rsidR="009D0E57" w:rsidRPr="003174E1">
        <w:rPr>
          <w:bCs/>
          <w:iCs/>
        </w:rPr>
        <w:t xml:space="preserve">Opportunity Zones are areas of economic need approved by the </w:t>
      </w:r>
      <w:r w:rsidR="004002BD">
        <w:rPr>
          <w:bCs/>
          <w:iCs/>
        </w:rPr>
        <w:t xml:space="preserve">U.S. </w:t>
      </w:r>
      <w:r w:rsidR="009D0E57" w:rsidRPr="00243F7E">
        <w:rPr>
          <w:bCs/>
          <w:iCs/>
        </w:rPr>
        <w:t>Department of Treasury</w:t>
      </w:r>
      <w:r w:rsidR="004002BD">
        <w:rPr>
          <w:bCs/>
          <w:iCs/>
        </w:rPr>
        <w:t xml:space="preserve">.  </w:t>
      </w:r>
      <w:r w:rsidR="00AE063B">
        <w:rPr>
          <w:bCs/>
          <w:iCs/>
        </w:rPr>
        <w:t>T</w:t>
      </w:r>
      <w:r w:rsidR="009D0E57" w:rsidRPr="00243F7E">
        <w:rPr>
          <w:bCs/>
          <w:iCs/>
        </w:rPr>
        <w:t>he credit union’</w:t>
      </w:r>
      <w:r w:rsidRPr="00243F7E">
        <w:rPr>
          <w:bCs/>
          <w:iCs/>
        </w:rPr>
        <w:t>s assessment area</w:t>
      </w:r>
      <w:r w:rsidR="00AE063B">
        <w:rPr>
          <w:bCs/>
          <w:iCs/>
        </w:rPr>
        <w:t xml:space="preserve"> contains</w:t>
      </w:r>
      <w:r w:rsidRPr="00243F7E">
        <w:rPr>
          <w:bCs/>
          <w:iCs/>
        </w:rPr>
        <w:t xml:space="preserve"> seven</w:t>
      </w:r>
      <w:r w:rsidR="009D0E57" w:rsidRPr="00243F7E">
        <w:rPr>
          <w:bCs/>
          <w:iCs/>
        </w:rPr>
        <w:t xml:space="preserve"> census tracts in designated </w:t>
      </w:r>
      <w:r w:rsidR="00AE063B">
        <w:rPr>
          <w:bCs/>
          <w:iCs/>
        </w:rPr>
        <w:t>o</w:t>
      </w:r>
      <w:r w:rsidR="009D0E57" w:rsidRPr="00243F7E">
        <w:rPr>
          <w:bCs/>
          <w:iCs/>
        </w:rPr>
        <w:t xml:space="preserve">pportunity zones located in </w:t>
      </w:r>
      <w:r w:rsidRPr="00243F7E">
        <w:rPr>
          <w:bCs/>
          <w:iCs/>
        </w:rPr>
        <w:t>Cambridge</w:t>
      </w:r>
      <w:r w:rsidR="009D0E57" w:rsidRPr="00243F7E">
        <w:rPr>
          <w:bCs/>
          <w:iCs/>
        </w:rPr>
        <w:t xml:space="preserve"> (</w:t>
      </w:r>
      <w:r w:rsidRPr="00243F7E">
        <w:rPr>
          <w:bCs/>
          <w:iCs/>
        </w:rPr>
        <w:t>1</w:t>
      </w:r>
      <w:r w:rsidR="009D0E57" w:rsidRPr="00243F7E">
        <w:rPr>
          <w:bCs/>
          <w:iCs/>
        </w:rPr>
        <w:t xml:space="preserve">), </w:t>
      </w:r>
      <w:r w:rsidR="00243F7E" w:rsidRPr="00243F7E">
        <w:rPr>
          <w:bCs/>
          <w:iCs/>
        </w:rPr>
        <w:t>Everett</w:t>
      </w:r>
      <w:r w:rsidR="009D0E57" w:rsidRPr="00243F7E">
        <w:rPr>
          <w:bCs/>
          <w:iCs/>
        </w:rPr>
        <w:t xml:space="preserve"> (</w:t>
      </w:r>
      <w:r w:rsidR="00243F7E" w:rsidRPr="00243F7E">
        <w:rPr>
          <w:bCs/>
          <w:iCs/>
        </w:rPr>
        <w:t>1</w:t>
      </w:r>
      <w:r w:rsidR="009D0E57" w:rsidRPr="00243F7E">
        <w:rPr>
          <w:bCs/>
          <w:iCs/>
        </w:rPr>
        <w:t>),</w:t>
      </w:r>
      <w:r w:rsidR="00243F7E" w:rsidRPr="00243F7E">
        <w:rPr>
          <w:bCs/>
          <w:iCs/>
        </w:rPr>
        <w:t xml:space="preserve"> Malden (2), Medford (1)</w:t>
      </w:r>
      <w:r w:rsidR="009D0E57" w:rsidRPr="00243F7E">
        <w:rPr>
          <w:bCs/>
          <w:iCs/>
        </w:rPr>
        <w:t xml:space="preserve"> and </w:t>
      </w:r>
      <w:r w:rsidR="00243F7E" w:rsidRPr="00243F7E">
        <w:rPr>
          <w:bCs/>
          <w:iCs/>
        </w:rPr>
        <w:t>Somerville</w:t>
      </w:r>
      <w:r w:rsidR="009D0E57" w:rsidRPr="00243F7E">
        <w:rPr>
          <w:bCs/>
          <w:iCs/>
        </w:rPr>
        <w:t xml:space="preserve"> (</w:t>
      </w:r>
      <w:r w:rsidR="00243F7E" w:rsidRPr="00243F7E">
        <w:rPr>
          <w:bCs/>
          <w:iCs/>
        </w:rPr>
        <w:t>2</w:t>
      </w:r>
      <w:r w:rsidR="009D0E57" w:rsidRPr="00243F7E">
        <w:rPr>
          <w:bCs/>
          <w:iCs/>
        </w:rPr>
        <w:t>).</w:t>
      </w:r>
      <w:r w:rsidR="00CB5DFE">
        <w:rPr>
          <w:bCs/>
          <w:iCs/>
        </w:rPr>
        <w:t xml:space="preserve"> </w:t>
      </w:r>
      <w:r w:rsidR="009D0E57" w:rsidRPr="00243F7E">
        <w:rPr>
          <w:bCs/>
          <w:iCs/>
        </w:rPr>
        <w:t>The following table illustrates select demographic characteristics of the assessment area.</w:t>
      </w:r>
    </w:p>
    <w:p w14:paraId="4DBD0CA3" w14:textId="712ECE8F" w:rsidR="0056098C" w:rsidRDefault="0056098C" w:rsidP="00CB5DFE">
      <w:pPr>
        <w:widowControl w:val="0"/>
        <w:ind w:right="-360"/>
        <w:jc w:val="both"/>
        <w:rPr>
          <w:bCs/>
          <w:iCs/>
        </w:rPr>
      </w:pPr>
    </w:p>
    <w:tbl>
      <w:tblPr>
        <w:tblW w:w="9357" w:type="dxa"/>
        <w:tblCellMar>
          <w:left w:w="0" w:type="dxa"/>
          <w:right w:w="0" w:type="dxa"/>
        </w:tblCellMar>
        <w:tblLook w:val="0000" w:firstRow="0" w:lastRow="0" w:firstColumn="0" w:lastColumn="0" w:noHBand="0" w:noVBand="0"/>
      </w:tblPr>
      <w:tblGrid>
        <w:gridCol w:w="3777"/>
        <w:gridCol w:w="1081"/>
        <w:gridCol w:w="901"/>
        <w:gridCol w:w="991"/>
        <w:gridCol w:w="811"/>
        <w:gridCol w:w="902"/>
        <w:gridCol w:w="894"/>
      </w:tblGrid>
      <w:tr w:rsidR="0056098C" w14:paraId="4C85F0D0" w14:textId="77777777" w:rsidTr="00CB5DFE">
        <w:trPr>
          <w:trHeight w:val="221"/>
        </w:trPr>
        <w:tc>
          <w:tcPr>
            <w:tcW w:w="9357"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14:paraId="7A4F3A8B" w14:textId="46E36EDB" w:rsidR="0056098C" w:rsidRDefault="0056098C" w:rsidP="00B16491">
            <w:pPr>
              <w:jc w:val="center"/>
            </w:pPr>
            <w:r>
              <w:rPr>
                <w:b/>
                <w:color w:val="000000"/>
                <w:sz w:val="20"/>
              </w:rPr>
              <w:t>Demographic Information of the Assessment Area</w:t>
            </w:r>
          </w:p>
        </w:tc>
      </w:tr>
      <w:tr w:rsidR="0056098C" w14:paraId="433F4A68" w14:textId="77777777" w:rsidTr="00CB5DFE">
        <w:trPr>
          <w:trHeight w:val="334"/>
        </w:trPr>
        <w:tc>
          <w:tcPr>
            <w:tcW w:w="37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45AB441" w14:textId="77777777" w:rsidR="0056098C" w:rsidRDefault="0056098C" w:rsidP="00B16491">
            <w:r>
              <w:rPr>
                <w:b/>
                <w:color w:val="000000"/>
                <w:sz w:val="20"/>
              </w:rPr>
              <w:t>Demographic Characteristics</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6C1DF0D" w14:textId="77777777" w:rsidR="0056098C" w:rsidRDefault="0056098C" w:rsidP="00B16491">
            <w:pPr>
              <w:jc w:val="center"/>
            </w:pPr>
            <w:r>
              <w:rPr>
                <w:b/>
                <w:color w:val="000000"/>
                <w:sz w:val="20"/>
              </w:rPr>
              <w:t>#</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696F3D5" w14:textId="77777777" w:rsidR="0056098C" w:rsidRDefault="0056098C" w:rsidP="00B16491">
            <w:pPr>
              <w:jc w:val="center"/>
            </w:pPr>
            <w:r>
              <w:rPr>
                <w:b/>
                <w:color w:val="000000"/>
                <w:sz w:val="20"/>
              </w:rPr>
              <w:t>Low</w:t>
            </w:r>
            <w:r>
              <w:rPr>
                <w:b/>
                <w:color w:val="000000"/>
                <w:sz w:val="20"/>
              </w:rPr>
              <w:br/>
              <w:t xml:space="preserve"> % of #</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814DA77" w14:textId="77777777" w:rsidR="0056098C" w:rsidRDefault="0056098C" w:rsidP="00B16491">
            <w:pPr>
              <w:jc w:val="center"/>
            </w:pPr>
            <w:r>
              <w:rPr>
                <w:b/>
                <w:color w:val="000000"/>
                <w:sz w:val="20"/>
              </w:rPr>
              <w:t>Moderate</w:t>
            </w:r>
            <w:r>
              <w:rPr>
                <w:b/>
                <w:color w:val="000000"/>
                <w:sz w:val="20"/>
              </w:rPr>
              <w:br/>
              <w:t xml:space="preserve"> % of #</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30DE7E4" w14:textId="77777777" w:rsidR="0056098C" w:rsidRDefault="0056098C" w:rsidP="00B16491">
            <w:pPr>
              <w:jc w:val="center"/>
            </w:pPr>
            <w:r>
              <w:rPr>
                <w:b/>
                <w:color w:val="000000"/>
                <w:sz w:val="20"/>
              </w:rPr>
              <w:t>Middle</w:t>
            </w:r>
            <w:r>
              <w:rPr>
                <w:b/>
                <w:color w:val="000000"/>
                <w:sz w:val="20"/>
              </w:rPr>
              <w:br/>
              <w:t xml:space="preserve"> % of #</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785D571" w14:textId="77777777" w:rsidR="0056098C" w:rsidRDefault="0056098C" w:rsidP="00B16491">
            <w:pPr>
              <w:jc w:val="center"/>
            </w:pPr>
            <w:r>
              <w:rPr>
                <w:b/>
                <w:color w:val="000000"/>
                <w:sz w:val="20"/>
              </w:rPr>
              <w:t>Upper</w:t>
            </w:r>
            <w:r>
              <w:rPr>
                <w:b/>
                <w:color w:val="000000"/>
                <w:sz w:val="20"/>
              </w:rPr>
              <w:br/>
              <w:t>% of #</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45A320E" w14:textId="77777777" w:rsidR="0056098C" w:rsidRDefault="0056098C" w:rsidP="00B16491">
            <w:pPr>
              <w:jc w:val="center"/>
            </w:pPr>
            <w:r>
              <w:rPr>
                <w:b/>
                <w:color w:val="000000"/>
                <w:sz w:val="20"/>
              </w:rPr>
              <w:t xml:space="preserve">NA* </w:t>
            </w:r>
            <w:r>
              <w:rPr>
                <w:b/>
                <w:color w:val="000000"/>
                <w:sz w:val="20"/>
              </w:rPr>
              <w:br/>
              <w:t>% of #</w:t>
            </w:r>
          </w:p>
        </w:tc>
      </w:tr>
      <w:tr w:rsidR="0056098C" w14:paraId="1400164F"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6E16536B" w14:textId="77777777" w:rsidR="0056098C" w:rsidRDefault="0056098C" w:rsidP="00B16491">
            <w:r>
              <w:rPr>
                <w:color w:val="000000"/>
                <w:sz w:val="20"/>
              </w:rPr>
              <w:t>Geographies (Census Tracts)</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B0F54" w14:textId="77777777" w:rsidR="0056098C" w:rsidRDefault="0056098C" w:rsidP="00B16491">
            <w:pPr>
              <w:jc w:val="right"/>
            </w:pPr>
            <w:r>
              <w:rPr>
                <w:color w:val="000000"/>
                <w:sz w:val="20"/>
              </w:rPr>
              <w:t>81</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D7F33E" w14:textId="77777777" w:rsidR="0056098C" w:rsidRDefault="0056098C" w:rsidP="00B16491">
            <w:pPr>
              <w:jc w:val="right"/>
            </w:pPr>
            <w:r>
              <w:rPr>
                <w:color w:val="000000"/>
                <w:sz w:val="20"/>
              </w:rPr>
              <w:t>9.9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B504F" w14:textId="77777777" w:rsidR="0056098C" w:rsidRDefault="0056098C" w:rsidP="00B16491">
            <w:pPr>
              <w:jc w:val="right"/>
            </w:pPr>
            <w:r>
              <w:rPr>
                <w:color w:val="000000"/>
                <w:sz w:val="20"/>
              </w:rPr>
              <w:t>37.0</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4EF24" w14:textId="77777777" w:rsidR="0056098C" w:rsidRDefault="0056098C" w:rsidP="00B16491">
            <w:pPr>
              <w:jc w:val="right"/>
            </w:pPr>
            <w:r>
              <w:rPr>
                <w:color w:val="000000"/>
                <w:sz w:val="20"/>
              </w:rPr>
              <w:t>34.6</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72F70" w14:textId="77777777" w:rsidR="0056098C" w:rsidRDefault="0056098C" w:rsidP="00B16491">
            <w:pPr>
              <w:jc w:val="right"/>
            </w:pPr>
            <w:r>
              <w:rPr>
                <w:color w:val="000000"/>
                <w:sz w:val="20"/>
              </w:rPr>
              <w:t>18.5</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3C317" w14:textId="77777777" w:rsidR="0056098C" w:rsidRDefault="0056098C" w:rsidP="00B16491">
            <w:pPr>
              <w:jc w:val="right"/>
            </w:pPr>
            <w:r>
              <w:rPr>
                <w:color w:val="000000"/>
                <w:sz w:val="20"/>
              </w:rPr>
              <w:t>0.0</w:t>
            </w:r>
          </w:p>
        </w:tc>
      </w:tr>
      <w:tr w:rsidR="0056098C" w14:paraId="0F1CC197"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62649D14" w14:textId="77777777" w:rsidR="0056098C" w:rsidRDefault="0056098C" w:rsidP="00B16491">
            <w:r>
              <w:rPr>
                <w:color w:val="000000"/>
                <w:sz w:val="20"/>
              </w:rPr>
              <w:t>Population by Geography</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AF3F0" w14:textId="77777777" w:rsidR="0056098C" w:rsidRDefault="0056098C" w:rsidP="00B16491">
            <w:pPr>
              <w:jc w:val="right"/>
            </w:pPr>
            <w:r>
              <w:rPr>
                <w:color w:val="000000"/>
                <w:sz w:val="20"/>
              </w:rPr>
              <w:t>348,144</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D18B3" w14:textId="77777777" w:rsidR="0056098C" w:rsidRDefault="0056098C" w:rsidP="00B16491">
            <w:pPr>
              <w:jc w:val="right"/>
            </w:pPr>
            <w:r>
              <w:rPr>
                <w:color w:val="000000"/>
                <w:sz w:val="20"/>
              </w:rPr>
              <w:t>12.4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9750D" w14:textId="77777777" w:rsidR="0056098C" w:rsidRDefault="0056098C" w:rsidP="00B16491">
            <w:pPr>
              <w:jc w:val="right"/>
            </w:pPr>
            <w:r>
              <w:rPr>
                <w:color w:val="000000"/>
                <w:sz w:val="20"/>
              </w:rPr>
              <w:t>39.4</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C4E75" w14:textId="77777777" w:rsidR="0056098C" w:rsidRDefault="0056098C" w:rsidP="00B16491">
            <w:pPr>
              <w:jc w:val="right"/>
            </w:pPr>
            <w:r>
              <w:rPr>
                <w:color w:val="000000"/>
                <w:sz w:val="20"/>
              </w:rPr>
              <w:t>35.6</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ADD6F" w14:textId="77777777" w:rsidR="0056098C" w:rsidRDefault="0056098C" w:rsidP="00B16491">
            <w:pPr>
              <w:jc w:val="right"/>
            </w:pPr>
            <w:r>
              <w:rPr>
                <w:color w:val="000000"/>
                <w:sz w:val="20"/>
              </w:rPr>
              <w:t>12.6</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DB9C7" w14:textId="77777777" w:rsidR="0056098C" w:rsidRDefault="0056098C" w:rsidP="00B16491">
            <w:pPr>
              <w:jc w:val="right"/>
            </w:pPr>
            <w:r>
              <w:rPr>
                <w:color w:val="000000"/>
                <w:sz w:val="20"/>
              </w:rPr>
              <w:t>0.0</w:t>
            </w:r>
          </w:p>
        </w:tc>
      </w:tr>
      <w:tr w:rsidR="0056098C" w14:paraId="25CDC254"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D3B7D78" w14:textId="77777777" w:rsidR="0056098C" w:rsidRDefault="0056098C" w:rsidP="00B16491">
            <w:r>
              <w:rPr>
                <w:color w:val="000000"/>
                <w:sz w:val="20"/>
              </w:rPr>
              <w:t>Housing Units by Geography</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94699" w14:textId="77777777" w:rsidR="0056098C" w:rsidRDefault="0056098C" w:rsidP="00B16491">
            <w:pPr>
              <w:jc w:val="right"/>
            </w:pPr>
            <w:r>
              <w:rPr>
                <w:color w:val="000000"/>
                <w:sz w:val="20"/>
              </w:rPr>
              <w:t>145,764</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264BE6" w14:textId="77777777" w:rsidR="0056098C" w:rsidRDefault="0056098C" w:rsidP="00B16491">
            <w:pPr>
              <w:jc w:val="right"/>
            </w:pPr>
            <w:r>
              <w:rPr>
                <w:color w:val="000000"/>
                <w:sz w:val="20"/>
              </w:rPr>
              <w:t>12.1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A9B1D" w14:textId="77777777" w:rsidR="0056098C" w:rsidRDefault="0056098C" w:rsidP="00B16491">
            <w:pPr>
              <w:jc w:val="right"/>
            </w:pPr>
            <w:r>
              <w:rPr>
                <w:color w:val="000000"/>
                <w:sz w:val="20"/>
              </w:rPr>
              <w:t>37.9</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D5205" w14:textId="77777777" w:rsidR="0056098C" w:rsidRDefault="0056098C" w:rsidP="00B16491">
            <w:pPr>
              <w:jc w:val="right"/>
            </w:pPr>
            <w:r>
              <w:rPr>
                <w:color w:val="000000"/>
                <w:sz w:val="20"/>
              </w:rPr>
              <w:t>36.4</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06348" w14:textId="77777777" w:rsidR="0056098C" w:rsidRDefault="0056098C" w:rsidP="00B16491">
            <w:pPr>
              <w:jc w:val="right"/>
            </w:pPr>
            <w:r>
              <w:rPr>
                <w:color w:val="000000"/>
                <w:sz w:val="20"/>
              </w:rPr>
              <w:t>13.6</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D9659" w14:textId="77777777" w:rsidR="0056098C" w:rsidRDefault="0056098C" w:rsidP="00B16491">
            <w:pPr>
              <w:jc w:val="right"/>
            </w:pPr>
            <w:r>
              <w:rPr>
                <w:color w:val="000000"/>
                <w:sz w:val="20"/>
              </w:rPr>
              <w:t>0.0</w:t>
            </w:r>
          </w:p>
        </w:tc>
      </w:tr>
      <w:tr w:rsidR="0056098C" w14:paraId="3A43E5B6"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61A4DCDE" w14:textId="77777777" w:rsidR="0056098C" w:rsidRDefault="0056098C" w:rsidP="00B16491">
            <w:r>
              <w:rPr>
                <w:color w:val="000000"/>
                <w:sz w:val="20"/>
              </w:rPr>
              <w:t>Owner-Occupied Units by Geography</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A0E03" w14:textId="77777777" w:rsidR="0056098C" w:rsidRDefault="0056098C" w:rsidP="00B16491">
            <w:pPr>
              <w:jc w:val="right"/>
            </w:pPr>
            <w:r>
              <w:rPr>
                <w:color w:val="000000"/>
                <w:sz w:val="20"/>
              </w:rPr>
              <w:t>54,748</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84901" w14:textId="77777777" w:rsidR="0056098C" w:rsidRDefault="0056098C" w:rsidP="00B16491">
            <w:pPr>
              <w:jc w:val="right"/>
            </w:pPr>
            <w:r>
              <w:rPr>
                <w:color w:val="000000"/>
                <w:sz w:val="20"/>
              </w:rPr>
              <w:t>8.8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582E1" w14:textId="77777777" w:rsidR="0056098C" w:rsidRDefault="0056098C" w:rsidP="00B16491">
            <w:pPr>
              <w:jc w:val="right"/>
            </w:pPr>
            <w:r>
              <w:rPr>
                <w:color w:val="000000"/>
                <w:sz w:val="20"/>
              </w:rPr>
              <w:t>36.2</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0AD193" w14:textId="77777777" w:rsidR="0056098C" w:rsidRDefault="0056098C" w:rsidP="00B16491">
            <w:pPr>
              <w:jc w:val="right"/>
            </w:pPr>
            <w:r>
              <w:rPr>
                <w:color w:val="000000"/>
                <w:sz w:val="20"/>
              </w:rPr>
              <w:t>39.3</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6B417" w14:textId="77777777" w:rsidR="0056098C" w:rsidRDefault="0056098C" w:rsidP="00B16491">
            <w:pPr>
              <w:jc w:val="right"/>
            </w:pPr>
            <w:r>
              <w:rPr>
                <w:color w:val="000000"/>
                <w:sz w:val="20"/>
              </w:rPr>
              <w:t>15.6</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7BF54" w14:textId="77777777" w:rsidR="0056098C" w:rsidRDefault="0056098C" w:rsidP="00B16491">
            <w:pPr>
              <w:jc w:val="right"/>
            </w:pPr>
            <w:r>
              <w:rPr>
                <w:color w:val="000000"/>
                <w:sz w:val="20"/>
              </w:rPr>
              <w:t>0.0</w:t>
            </w:r>
          </w:p>
        </w:tc>
      </w:tr>
      <w:tr w:rsidR="0056098C" w14:paraId="0BD8CF04"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9D05C0B" w14:textId="77777777" w:rsidR="0056098C" w:rsidRDefault="0056098C" w:rsidP="00B16491">
            <w:r>
              <w:rPr>
                <w:color w:val="000000"/>
                <w:sz w:val="20"/>
              </w:rPr>
              <w:t>Occupied Rental Units by Geography</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8058A" w14:textId="77777777" w:rsidR="0056098C" w:rsidRDefault="0056098C" w:rsidP="00B16491">
            <w:pPr>
              <w:jc w:val="right"/>
            </w:pPr>
            <w:r>
              <w:rPr>
                <w:color w:val="000000"/>
                <w:sz w:val="20"/>
              </w:rPr>
              <w:t>81,816</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9360F" w14:textId="77777777" w:rsidR="0056098C" w:rsidRDefault="0056098C" w:rsidP="00B16491">
            <w:pPr>
              <w:jc w:val="right"/>
            </w:pPr>
            <w:r>
              <w:rPr>
                <w:color w:val="000000"/>
                <w:sz w:val="20"/>
              </w:rPr>
              <w:t>14.2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B9664" w14:textId="77777777" w:rsidR="0056098C" w:rsidRDefault="0056098C" w:rsidP="00B16491">
            <w:pPr>
              <w:jc w:val="right"/>
            </w:pPr>
            <w:r>
              <w:rPr>
                <w:color w:val="000000"/>
                <w:sz w:val="20"/>
              </w:rPr>
              <w:t>39.3</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57C55" w14:textId="77777777" w:rsidR="0056098C" w:rsidRDefault="0056098C" w:rsidP="00B16491">
            <w:pPr>
              <w:jc w:val="right"/>
            </w:pPr>
            <w:r>
              <w:rPr>
                <w:color w:val="000000"/>
                <w:sz w:val="20"/>
              </w:rPr>
              <w:t>34.5</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F820D" w14:textId="77777777" w:rsidR="0056098C" w:rsidRDefault="0056098C" w:rsidP="00B16491">
            <w:pPr>
              <w:jc w:val="right"/>
            </w:pPr>
            <w:r>
              <w:rPr>
                <w:color w:val="000000"/>
                <w:sz w:val="20"/>
              </w:rPr>
              <w:t>12.0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CF6E7" w14:textId="77777777" w:rsidR="0056098C" w:rsidRDefault="0056098C" w:rsidP="00B16491">
            <w:pPr>
              <w:jc w:val="right"/>
            </w:pPr>
            <w:r>
              <w:rPr>
                <w:color w:val="000000"/>
                <w:sz w:val="20"/>
              </w:rPr>
              <w:t>0.0</w:t>
            </w:r>
          </w:p>
        </w:tc>
      </w:tr>
      <w:tr w:rsidR="0056098C" w14:paraId="138E19A1"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78A90CA" w14:textId="77777777" w:rsidR="0056098C" w:rsidRDefault="0056098C" w:rsidP="00B16491">
            <w:r>
              <w:rPr>
                <w:color w:val="000000"/>
                <w:sz w:val="20"/>
              </w:rPr>
              <w:t>Vacant Units by Geography</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16209" w14:textId="77777777" w:rsidR="0056098C" w:rsidRDefault="0056098C" w:rsidP="00B16491">
            <w:pPr>
              <w:jc w:val="right"/>
            </w:pPr>
            <w:r>
              <w:rPr>
                <w:color w:val="000000"/>
                <w:sz w:val="20"/>
              </w:rPr>
              <w:t>9,200</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AC625" w14:textId="77777777" w:rsidR="0056098C" w:rsidRDefault="0056098C" w:rsidP="00B16491">
            <w:pPr>
              <w:jc w:val="right"/>
            </w:pPr>
            <w:r>
              <w:rPr>
                <w:color w:val="000000"/>
                <w:sz w:val="20"/>
              </w:rPr>
              <w:t>12.3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028DE" w14:textId="77777777" w:rsidR="0056098C" w:rsidRDefault="0056098C" w:rsidP="00B16491">
            <w:pPr>
              <w:jc w:val="right"/>
            </w:pPr>
            <w:r>
              <w:rPr>
                <w:color w:val="000000"/>
                <w:sz w:val="20"/>
              </w:rPr>
              <w:t>35.5</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CCC07" w14:textId="77777777" w:rsidR="0056098C" w:rsidRDefault="0056098C" w:rsidP="00B16491">
            <w:pPr>
              <w:jc w:val="right"/>
            </w:pPr>
            <w:r>
              <w:rPr>
                <w:color w:val="000000"/>
                <w:sz w:val="20"/>
              </w:rPr>
              <w:t>35.8</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2BFA4A" w14:textId="77777777" w:rsidR="0056098C" w:rsidRDefault="0056098C" w:rsidP="00B16491">
            <w:pPr>
              <w:jc w:val="right"/>
            </w:pPr>
            <w:r>
              <w:rPr>
                <w:color w:val="000000"/>
                <w:sz w:val="20"/>
              </w:rPr>
              <w:t>16.4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DC93D" w14:textId="77777777" w:rsidR="0056098C" w:rsidRDefault="0056098C" w:rsidP="00B16491">
            <w:pPr>
              <w:jc w:val="right"/>
            </w:pPr>
            <w:r>
              <w:rPr>
                <w:color w:val="000000"/>
                <w:sz w:val="20"/>
              </w:rPr>
              <w:t>0.0</w:t>
            </w:r>
          </w:p>
        </w:tc>
      </w:tr>
      <w:tr w:rsidR="0056098C" w14:paraId="1770C97C"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DEAD2C1" w14:textId="77777777" w:rsidR="0056098C" w:rsidRDefault="0056098C" w:rsidP="00B16491">
            <w:r>
              <w:rPr>
                <w:color w:val="000000"/>
                <w:sz w:val="20"/>
              </w:rPr>
              <w:t>Family Distribution by Income Level</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A4095C" w14:textId="77777777" w:rsidR="0056098C" w:rsidRDefault="0056098C" w:rsidP="00B16491">
            <w:pPr>
              <w:jc w:val="right"/>
            </w:pPr>
            <w:r>
              <w:rPr>
                <w:color w:val="000000"/>
                <w:sz w:val="20"/>
              </w:rPr>
              <w:t>69,650</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7E0B1" w14:textId="77777777" w:rsidR="0056098C" w:rsidRDefault="0056098C" w:rsidP="00B16491">
            <w:pPr>
              <w:jc w:val="right"/>
            </w:pPr>
            <w:r>
              <w:rPr>
                <w:color w:val="000000"/>
                <w:sz w:val="20"/>
              </w:rPr>
              <w:t>32.0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3D113" w14:textId="77777777" w:rsidR="0056098C" w:rsidRDefault="0056098C" w:rsidP="00B16491">
            <w:pPr>
              <w:jc w:val="right"/>
            </w:pPr>
            <w:r>
              <w:rPr>
                <w:color w:val="000000"/>
                <w:sz w:val="20"/>
              </w:rPr>
              <w:t>18.7</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B89986" w14:textId="77777777" w:rsidR="0056098C" w:rsidRDefault="0056098C" w:rsidP="00B16491">
            <w:pPr>
              <w:jc w:val="right"/>
            </w:pPr>
            <w:r>
              <w:rPr>
                <w:color w:val="000000"/>
                <w:sz w:val="20"/>
              </w:rPr>
              <w:t>19.5</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6786E" w14:textId="77777777" w:rsidR="0056098C" w:rsidRDefault="0056098C" w:rsidP="00B16491">
            <w:pPr>
              <w:jc w:val="right"/>
            </w:pPr>
            <w:r>
              <w:rPr>
                <w:color w:val="000000"/>
                <w:sz w:val="20"/>
              </w:rPr>
              <w:t>29.8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6EA21" w14:textId="77777777" w:rsidR="0056098C" w:rsidRDefault="0056098C" w:rsidP="00B16491">
            <w:pPr>
              <w:jc w:val="right"/>
            </w:pPr>
            <w:r>
              <w:rPr>
                <w:color w:val="000000"/>
                <w:sz w:val="20"/>
              </w:rPr>
              <w:t>0.0</w:t>
            </w:r>
          </w:p>
        </w:tc>
      </w:tr>
      <w:tr w:rsidR="0056098C" w14:paraId="0F4F067B" w14:textId="77777777" w:rsidTr="00CB5DFE">
        <w:trPr>
          <w:trHeight w:val="147"/>
        </w:trPr>
        <w:tc>
          <w:tcPr>
            <w:tcW w:w="377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5CEE5730" w14:textId="77777777" w:rsidR="0056098C" w:rsidRDefault="0056098C" w:rsidP="00B16491">
            <w:r>
              <w:rPr>
                <w:color w:val="000000"/>
                <w:sz w:val="20"/>
              </w:rPr>
              <w:t>Household Distribution by Income Level</w:t>
            </w:r>
          </w:p>
        </w:tc>
        <w:tc>
          <w:tcPr>
            <w:tcW w:w="10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93AEAB" w14:textId="77777777" w:rsidR="0056098C" w:rsidRDefault="0056098C" w:rsidP="00B16491">
            <w:pPr>
              <w:jc w:val="right"/>
            </w:pPr>
            <w:r>
              <w:rPr>
                <w:color w:val="000000"/>
                <w:sz w:val="20"/>
              </w:rPr>
              <w:t>136,564</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0B4FB" w14:textId="77777777" w:rsidR="0056098C" w:rsidRDefault="0056098C" w:rsidP="00B16491">
            <w:pPr>
              <w:jc w:val="right"/>
            </w:pPr>
            <w:r>
              <w:rPr>
                <w:color w:val="000000"/>
                <w:sz w:val="20"/>
              </w:rPr>
              <w:t>30.1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BD960" w14:textId="77777777" w:rsidR="0056098C" w:rsidRDefault="0056098C" w:rsidP="00B16491">
            <w:pPr>
              <w:jc w:val="right"/>
            </w:pPr>
            <w:r>
              <w:rPr>
                <w:color w:val="000000"/>
                <w:sz w:val="20"/>
              </w:rPr>
              <w:t>17.0</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DF09B3" w14:textId="77777777" w:rsidR="0056098C" w:rsidRDefault="0056098C" w:rsidP="00B16491">
            <w:pPr>
              <w:jc w:val="right"/>
            </w:pPr>
            <w:r>
              <w:rPr>
                <w:color w:val="000000"/>
                <w:sz w:val="20"/>
              </w:rPr>
              <w:t>17.4</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3D8FE" w14:textId="77777777" w:rsidR="0056098C" w:rsidRDefault="0056098C" w:rsidP="00B16491">
            <w:pPr>
              <w:jc w:val="right"/>
            </w:pPr>
            <w:r>
              <w:rPr>
                <w:color w:val="000000"/>
                <w:sz w:val="20"/>
              </w:rPr>
              <w:t>35.5</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284E41" w14:textId="77777777" w:rsidR="0056098C" w:rsidRDefault="0056098C" w:rsidP="00B16491">
            <w:pPr>
              <w:jc w:val="right"/>
            </w:pPr>
            <w:r>
              <w:rPr>
                <w:color w:val="000000"/>
                <w:sz w:val="20"/>
              </w:rPr>
              <w:t>0.0</w:t>
            </w:r>
          </w:p>
        </w:tc>
      </w:tr>
      <w:tr w:rsidR="0056098C" w14:paraId="6479D8F5" w14:textId="77777777" w:rsidTr="00CB5DFE">
        <w:trPr>
          <w:trHeight w:val="147"/>
        </w:trPr>
        <w:tc>
          <w:tcPr>
            <w:tcW w:w="3777" w:type="dxa"/>
            <w:tcBorders>
              <w:top w:val="single" w:sz="7" w:space="0" w:color="000000"/>
              <w:left w:val="single" w:sz="7" w:space="0" w:color="000000"/>
              <w:bottom w:val="single" w:sz="7" w:space="0" w:color="000000"/>
            </w:tcBorders>
            <w:tcMar>
              <w:top w:w="39" w:type="dxa"/>
              <w:left w:w="239" w:type="dxa"/>
              <w:bottom w:w="39" w:type="dxa"/>
              <w:right w:w="39" w:type="dxa"/>
            </w:tcMar>
          </w:tcPr>
          <w:p w14:paraId="65B861B1" w14:textId="77777777" w:rsidR="0056098C" w:rsidRDefault="0056098C" w:rsidP="00B16491">
            <w:r>
              <w:rPr>
                <w:color w:val="000000"/>
                <w:sz w:val="20"/>
              </w:rPr>
              <w:t>Median Family Income MSA - 15764 Cambridge-Newton-Framingham, MA</w:t>
            </w:r>
          </w:p>
        </w:tc>
        <w:tc>
          <w:tcPr>
            <w:tcW w:w="1081" w:type="dxa"/>
            <w:tcBorders>
              <w:top w:val="single" w:sz="7" w:space="0" w:color="000000"/>
              <w:bottom w:val="single" w:sz="7" w:space="0" w:color="000000"/>
            </w:tcBorders>
            <w:tcMar>
              <w:top w:w="39" w:type="dxa"/>
              <w:left w:w="239" w:type="dxa"/>
              <w:bottom w:w="39" w:type="dxa"/>
              <w:right w:w="39" w:type="dxa"/>
            </w:tcMar>
          </w:tcPr>
          <w:p w14:paraId="6D88A84D" w14:textId="77777777" w:rsidR="0056098C" w:rsidRDefault="0056098C" w:rsidP="00B16491"/>
        </w:tc>
        <w:tc>
          <w:tcPr>
            <w:tcW w:w="901" w:type="dxa"/>
            <w:tcBorders>
              <w:top w:val="single" w:sz="7" w:space="0" w:color="000000"/>
              <w:left w:val="single" w:sz="7" w:space="0" w:color="000000"/>
              <w:bottom w:val="single" w:sz="7" w:space="0" w:color="000000"/>
            </w:tcBorders>
            <w:tcMar>
              <w:top w:w="39" w:type="dxa"/>
              <w:left w:w="39" w:type="dxa"/>
              <w:bottom w:w="39" w:type="dxa"/>
              <w:right w:w="39" w:type="dxa"/>
            </w:tcMar>
          </w:tcPr>
          <w:p w14:paraId="2EAD8C7B" w14:textId="77777777" w:rsidR="0056098C" w:rsidRDefault="0056098C" w:rsidP="00B16491">
            <w:pPr>
              <w:jc w:val="right"/>
            </w:pPr>
            <w:r>
              <w:rPr>
                <w:color w:val="000000"/>
                <w:sz w:val="20"/>
              </w:rPr>
              <w:t>$100,380</w:t>
            </w:r>
          </w:p>
        </w:tc>
        <w:tc>
          <w:tcPr>
            <w:tcW w:w="270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323EC" w14:textId="77777777" w:rsidR="0056098C" w:rsidRDefault="0056098C" w:rsidP="00B16491">
            <w:r>
              <w:rPr>
                <w:color w:val="000000"/>
                <w:sz w:val="20"/>
              </w:rPr>
              <w:t>Median Housing Value</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B5FB63" w14:textId="77777777" w:rsidR="0056098C" w:rsidRDefault="0056098C" w:rsidP="00B16491">
            <w:pPr>
              <w:jc w:val="right"/>
            </w:pPr>
            <w:r>
              <w:rPr>
                <w:color w:val="000000"/>
                <w:sz w:val="20"/>
              </w:rPr>
              <w:t>$457,923</w:t>
            </w:r>
          </w:p>
        </w:tc>
      </w:tr>
      <w:tr w:rsidR="0056098C" w14:paraId="69749E50" w14:textId="77777777" w:rsidTr="00CB5DFE">
        <w:trPr>
          <w:trHeight w:val="147"/>
        </w:trPr>
        <w:tc>
          <w:tcPr>
            <w:tcW w:w="3777" w:type="dxa"/>
            <w:tcBorders>
              <w:left w:val="single" w:sz="7" w:space="0" w:color="000000"/>
            </w:tcBorders>
            <w:tcMar>
              <w:top w:w="39" w:type="dxa"/>
              <w:left w:w="239" w:type="dxa"/>
              <w:bottom w:w="39" w:type="dxa"/>
              <w:right w:w="39" w:type="dxa"/>
            </w:tcMar>
          </w:tcPr>
          <w:p w14:paraId="31852099" w14:textId="77777777" w:rsidR="0056098C" w:rsidRDefault="0056098C" w:rsidP="00B16491"/>
        </w:tc>
        <w:tc>
          <w:tcPr>
            <w:tcW w:w="1081" w:type="dxa"/>
            <w:tcMar>
              <w:top w:w="39" w:type="dxa"/>
              <w:left w:w="239" w:type="dxa"/>
              <w:bottom w:w="39" w:type="dxa"/>
              <w:right w:w="39" w:type="dxa"/>
            </w:tcMar>
          </w:tcPr>
          <w:p w14:paraId="5B404F25" w14:textId="77777777" w:rsidR="0056098C" w:rsidRDefault="0056098C" w:rsidP="00B16491"/>
        </w:tc>
        <w:tc>
          <w:tcPr>
            <w:tcW w:w="901" w:type="dxa"/>
            <w:tcMar>
              <w:top w:w="39" w:type="dxa"/>
              <w:left w:w="39" w:type="dxa"/>
              <w:bottom w:w="39" w:type="dxa"/>
              <w:right w:w="39" w:type="dxa"/>
            </w:tcMar>
          </w:tcPr>
          <w:p w14:paraId="4D2915CF" w14:textId="77777777" w:rsidR="0056098C" w:rsidRDefault="0056098C" w:rsidP="00B16491"/>
        </w:tc>
        <w:tc>
          <w:tcPr>
            <w:tcW w:w="270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67819" w14:textId="77777777" w:rsidR="0056098C" w:rsidRDefault="0056098C" w:rsidP="00B16491">
            <w:r>
              <w:rPr>
                <w:color w:val="000000"/>
                <w:sz w:val="20"/>
              </w:rPr>
              <w:t>Median Gross Rent</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A1F04" w14:textId="77777777" w:rsidR="0056098C" w:rsidRDefault="0056098C" w:rsidP="00B16491">
            <w:pPr>
              <w:jc w:val="right"/>
            </w:pPr>
            <w:r>
              <w:rPr>
                <w:color w:val="000000"/>
                <w:sz w:val="20"/>
              </w:rPr>
              <w:t>$1,487</w:t>
            </w:r>
          </w:p>
        </w:tc>
      </w:tr>
      <w:tr w:rsidR="0056098C" w14:paraId="6B5C9424" w14:textId="77777777" w:rsidTr="00CB5DFE">
        <w:trPr>
          <w:trHeight w:val="147"/>
        </w:trPr>
        <w:tc>
          <w:tcPr>
            <w:tcW w:w="3777" w:type="dxa"/>
            <w:tcBorders>
              <w:left w:val="single" w:sz="7" w:space="0" w:color="000000"/>
              <w:bottom w:val="single" w:sz="7" w:space="0" w:color="000000"/>
            </w:tcBorders>
            <w:tcMar>
              <w:top w:w="39" w:type="dxa"/>
              <w:left w:w="239" w:type="dxa"/>
              <w:bottom w:w="39" w:type="dxa"/>
              <w:right w:w="39" w:type="dxa"/>
            </w:tcMar>
          </w:tcPr>
          <w:p w14:paraId="39EA564E" w14:textId="77777777" w:rsidR="0056098C" w:rsidRDefault="0056098C" w:rsidP="00B16491"/>
        </w:tc>
        <w:tc>
          <w:tcPr>
            <w:tcW w:w="1081" w:type="dxa"/>
            <w:tcBorders>
              <w:bottom w:val="single" w:sz="7" w:space="0" w:color="000000"/>
            </w:tcBorders>
            <w:tcMar>
              <w:top w:w="39" w:type="dxa"/>
              <w:left w:w="239" w:type="dxa"/>
              <w:bottom w:w="39" w:type="dxa"/>
              <w:right w:w="39" w:type="dxa"/>
            </w:tcMar>
          </w:tcPr>
          <w:p w14:paraId="6DFDAFBF" w14:textId="77777777" w:rsidR="0056098C" w:rsidRDefault="0056098C" w:rsidP="00B16491"/>
        </w:tc>
        <w:tc>
          <w:tcPr>
            <w:tcW w:w="901" w:type="dxa"/>
            <w:tcBorders>
              <w:bottom w:val="single" w:sz="7" w:space="0" w:color="000000"/>
            </w:tcBorders>
            <w:tcMar>
              <w:top w:w="39" w:type="dxa"/>
              <w:left w:w="39" w:type="dxa"/>
              <w:bottom w:w="39" w:type="dxa"/>
              <w:right w:w="39" w:type="dxa"/>
            </w:tcMar>
          </w:tcPr>
          <w:p w14:paraId="384C222E" w14:textId="77777777" w:rsidR="0056098C" w:rsidRDefault="0056098C" w:rsidP="00B16491"/>
        </w:tc>
        <w:tc>
          <w:tcPr>
            <w:tcW w:w="270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818D9" w14:textId="77777777" w:rsidR="0056098C" w:rsidRDefault="0056098C" w:rsidP="00B16491">
            <w:r>
              <w:rPr>
                <w:color w:val="000000"/>
                <w:sz w:val="20"/>
              </w:rPr>
              <w:t>Families Below Poverty Level</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E2A61" w14:textId="77777777" w:rsidR="0056098C" w:rsidRDefault="0056098C" w:rsidP="00B16491">
            <w:pPr>
              <w:jc w:val="right"/>
            </w:pPr>
            <w:r>
              <w:rPr>
                <w:color w:val="000000"/>
                <w:sz w:val="20"/>
              </w:rPr>
              <w:t>10.1%</w:t>
            </w:r>
          </w:p>
        </w:tc>
      </w:tr>
      <w:tr w:rsidR="0056098C" w14:paraId="3FE3FEA2" w14:textId="77777777" w:rsidTr="00CB5DFE">
        <w:trPr>
          <w:trHeight w:val="544"/>
        </w:trPr>
        <w:tc>
          <w:tcPr>
            <w:tcW w:w="9357"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14:paraId="59AC1F2A" w14:textId="77777777" w:rsidR="0056098C" w:rsidRDefault="0056098C" w:rsidP="00B16491">
            <w:r>
              <w:rPr>
                <w:i/>
                <w:color w:val="000000"/>
                <w:sz w:val="16"/>
              </w:rPr>
              <w:t>Source: 2015 ACS  and 2019 D&amp;B Data</w:t>
            </w:r>
          </w:p>
          <w:p w14:paraId="3B34724A" w14:textId="77777777" w:rsidR="0056098C" w:rsidRDefault="0056098C" w:rsidP="00B16491">
            <w:r>
              <w:rPr>
                <w:i/>
                <w:color w:val="000000"/>
                <w:sz w:val="16"/>
              </w:rPr>
              <w:t>Due to rounding, totals may not equal 100.0%</w:t>
            </w:r>
          </w:p>
          <w:p w14:paraId="6611472A" w14:textId="77777777" w:rsidR="0056098C" w:rsidRDefault="0056098C" w:rsidP="00B16491">
            <w:r>
              <w:rPr>
                <w:i/>
                <w:color w:val="000000"/>
                <w:sz w:val="16"/>
              </w:rPr>
              <w:t>(*) The NA category consists of geographies that have not been assigned an income classification.</w:t>
            </w:r>
          </w:p>
        </w:tc>
      </w:tr>
    </w:tbl>
    <w:p w14:paraId="736B1DED" w14:textId="2CA505EB" w:rsidR="00EA0E8D" w:rsidRDefault="00EA0E8D" w:rsidP="009D0E57">
      <w:pPr>
        <w:widowControl w:val="0"/>
        <w:ind w:right="-360"/>
        <w:rPr>
          <w:bCs/>
          <w:iCs/>
        </w:rPr>
      </w:pPr>
    </w:p>
    <w:p w14:paraId="5107F71C" w14:textId="0988722A" w:rsidR="009D0E57" w:rsidRDefault="009D0E57" w:rsidP="00AE063B">
      <w:pPr>
        <w:widowControl w:val="0"/>
        <w:jc w:val="both"/>
        <w:rPr>
          <w:bCs/>
          <w:iCs/>
        </w:rPr>
      </w:pPr>
      <w:r w:rsidRPr="00CC1615">
        <w:rPr>
          <w:bCs/>
          <w:iCs/>
        </w:rPr>
        <w:t>The Federal Financial Institutions Examination Council (FFIEC) updated median family income level is used to analyze home mortgage loans under the Borrower Profile criterion</w:t>
      </w:r>
      <w:r w:rsidR="004002BD">
        <w:rPr>
          <w:bCs/>
          <w:iCs/>
        </w:rPr>
        <w:t xml:space="preserve">.  </w:t>
      </w:r>
      <w:r w:rsidRPr="00CC1615">
        <w:rPr>
          <w:bCs/>
          <w:iCs/>
        </w:rPr>
        <w:t>The low-, moderate-, middle-, and upper-income categories are presented in the following table.</w:t>
      </w:r>
    </w:p>
    <w:p w14:paraId="255ABD44" w14:textId="77777777" w:rsidR="00F336E0" w:rsidRPr="00CC1615" w:rsidRDefault="00F336E0" w:rsidP="00AE063B">
      <w:pPr>
        <w:widowControl w:val="0"/>
        <w:jc w:val="both"/>
        <w:rPr>
          <w:bCs/>
          <w:iCs/>
        </w:rPr>
      </w:pPr>
    </w:p>
    <w:p w14:paraId="4D833CC0" w14:textId="078D186E" w:rsidR="0020739F" w:rsidRDefault="0020739F" w:rsidP="00AE063B">
      <w:pPr>
        <w:widowControl w:val="0"/>
        <w:jc w:val="both"/>
        <w:rPr>
          <w:bCs/>
          <w:iCs/>
        </w:rPr>
      </w:pPr>
    </w:p>
    <w:p w14:paraId="4AEEF227" w14:textId="77777777" w:rsidR="00CB5DFE" w:rsidRPr="00CC1615" w:rsidRDefault="00CB5DFE" w:rsidP="009D0E57">
      <w:pPr>
        <w:widowControl w:val="0"/>
        <w:ind w:right="-360"/>
        <w:rPr>
          <w:bCs/>
          <w:iCs/>
        </w:rPr>
      </w:pPr>
    </w:p>
    <w:tbl>
      <w:tblPr>
        <w:tblW w:w="0" w:type="auto"/>
        <w:tblCellMar>
          <w:left w:w="0" w:type="dxa"/>
          <w:right w:w="0" w:type="dxa"/>
        </w:tblCellMar>
        <w:tblLook w:val="0000" w:firstRow="0" w:lastRow="0" w:firstColumn="0" w:lastColumn="0" w:noHBand="0" w:noVBand="0"/>
      </w:tblPr>
      <w:tblGrid>
        <w:gridCol w:w="2516"/>
        <w:gridCol w:w="1326"/>
        <w:gridCol w:w="2032"/>
        <w:gridCol w:w="2123"/>
        <w:gridCol w:w="1345"/>
      </w:tblGrid>
      <w:tr w:rsidR="00D81FF6" w:rsidRPr="00CC1615" w14:paraId="13159154" w14:textId="77777777" w:rsidTr="00AE063B">
        <w:trPr>
          <w:trHeight w:val="24"/>
        </w:trPr>
        <w:tc>
          <w:tcPr>
            <w:tcW w:w="9342" w:type="dxa"/>
            <w:gridSpan w:val="5"/>
            <w:tcBorders>
              <w:top w:val="single" w:sz="7" w:space="0" w:color="000000"/>
              <w:left w:val="single" w:sz="7" w:space="0" w:color="000000"/>
              <w:right w:val="single" w:sz="7" w:space="0" w:color="000000"/>
            </w:tcBorders>
            <w:tcMar>
              <w:top w:w="39" w:type="dxa"/>
              <w:left w:w="39" w:type="dxa"/>
              <w:bottom w:w="39" w:type="dxa"/>
              <w:right w:w="39" w:type="dxa"/>
            </w:tcMar>
          </w:tcPr>
          <w:p w14:paraId="797B87CC" w14:textId="6624541A" w:rsidR="0020739F" w:rsidRPr="00CC1615" w:rsidRDefault="0020739F" w:rsidP="00B16491">
            <w:pPr>
              <w:jc w:val="center"/>
            </w:pPr>
            <w:r w:rsidRPr="00CC1615">
              <w:rPr>
                <w:b/>
                <w:sz w:val="20"/>
              </w:rPr>
              <w:lastRenderedPageBreak/>
              <w:t>Median Family Income Ranges</w:t>
            </w:r>
          </w:p>
        </w:tc>
      </w:tr>
      <w:tr w:rsidR="00D81FF6" w:rsidRPr="00CC1615" w14:paraId="6EBE8F40" w14:textId="77777777" w:rsidTr="00D81FF6">
        <w:trPr>
          <w:trHeight w:val="426"/>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74EC80" w14:textId="77777777" w:rsidR="0020739F" w:rsidRPr="00CC1615" w:rsidRDefault="0020739F" w:rsidP="00B16491">
            <w:r w:rsidRPr="00CC1615">
              <w:rPr>
                <w:b/>
                <w:sz w:val="20"/>
              </w:rPr>
              <w:t>Median Family Incomes</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A1D20D" w14:textId="77777777" w:rsidR="0020739F" w:rsidRPr="00CC1615" w:rsidRDefault="0020739F" w:rsidP="00B16491">
            <w:pPr>
              <w:jc w:val="center"/>
            </w:pPr>
            <w:r w:rsidRPr="00CC1615">
              <w:rPr>
                <w:b/>
                <w:sz w:val="20"/>
              </w:rPr>
              <w:t>Low</w:t>
            </w:r>
            <w:r w:rsidRPr="00CC1615">
              <w:rPr>
                <w:b/>
                <w:sz w:val="20"/>
              </w:rPr>
              <w:br/>
              <w:t xml:space="preserve"> &lt;50% </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004179C" w14:textId="77777777" w:rsidR="0020739F" w:rsidRPr="00CC1615" w:rsidRDefault="0020739F" w:rsidP="00B16491">
            <w:pPr>
              <w:jc w:val="center"/>
            </w:pPr>
            <w:r w:rsidRPr="00CC1615">
              <w:rPr>
                <w:b/>
                <w:sz w:val="20"/>
              </w:rPr>
              <w:t>Moderate</w:t>
            </w:r>
            <w:r w:rsidRPr="00CC1615">
              <w:rPr>
                <w:b/>
                <w:sz w:val="20"/>
              </w:rPr>
              <w:br/>
              <w:t>50% to &lt;80%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0AA22D" w14:textId="77777777" w:rsidR="0020739F" w:rsidRPr="00CC1615" w:rsidRDefault="0020739F" w:rsidP="00B16491">
            <w:pPr>
              <w:jc w:val="center"/>
            </w:pPr>
            <w:r w:rsidRPr="00CC1615">
              <w:rPr>
                <w:b/>
                <w:sz w:val="20"/>
              </w:rPr>
              <w:t>Middle</w:t>
            </w:r>
            <w:r w:rsidRPr="00CC1615">
              <w:rPr>
                <w:b/>
                <w:sz w:val="20"/>
              </w:rPr>
              <w:br/>
              <w:t>80% to &lt;120%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FC5E67" w14:textId="77777777" w:rsidR="0020739F" w:rsidRPr="00CC1615" w:rsidRDefault="0020739F" w:rsidP="00B16491">
            <w:pPr>
              <w:jc w:val="center"/>
            </w:pPr>
            <w:r w:rsidRPr="00CC1615">
              <w:rPr>
                <w:b/>
                <w:sz w:val="20"/>
              </w:rPr>
              <w:t>Upper</w:t>
            </w:r>
            <w:r w:rsidRPr="00CC1615">
              <w:rPr>
                <w:b/>
                <w:sz w:val="20"/>
              </w:rPr>
              <w:br/>
              <w:t>≥120%</w:t>
            </w:r>
          </w:p>
        </w:tc>
      </w:tr>
      <w:tr w:rsidR="0020739F" w14:paraId="1D3400D3" w14:textId="77777777" w:rsidTr="00D81FF6">
        <w:trPr>
          <w:trHeight w:val="181"/>
        </w:trPr>
        <w:tc>
          <w:tcPr>
            <w:tcW w:w="934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8A7194" w14:textId="77777777" w:rsidR="0020739F" w:rsidRDefault="0020739F" w:rsidP="00B16491">
            <w:pPr>
              <w:jc w:val="center"/>
            </w:pPr>
            <w:r>
              <w:rPr>
                <w:b/>
                <w:color w:val="000000"/>
                <w:sz w:val="20"/>
              </w:rPr>
              <w:t>Cambridge-Newton-Framingham, MA MD Median Family Income (15764)</w:t>
            </w:r>
          </w:p>
        </w:tc>
      </w:tr>
      <w:tr w:rsidR="0020739F" w14:paraId="251422E3" w14:textId="77777777" w:rsidTr="00D81FF6">
        <w:trPr>
          <w:trHeight w:val="188"/>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10721F" w14:textId="77777777" w:rsidR="0020739F" w:rsidRDefault="0020739F" w:rsidP="00B16491">
            <w:r>
              <w:rPr>
                <w:color w:val="000000"/>
                <w:sz w:val="20"/>
              </w:rPr>
              <w:t>2018 ($110,300)</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F6F670" w14:textId="77777777" w:rsidR="0020739F" w:rsidRDefault="0020739F" w:rsidP="00B16491">
            <w:pPr>
              <w:jc w:val="center"/>
            </w:pPr>
            <w:r>
              <w:rPr>
                <w:color w:val="000000"/>
                <w:sz w:val="20"/>
              </w:rPr>
              <w:t>&lt;$55,150</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9052B" w14:textId="77777777" w:rsidR="0020739F" w:rsidRDefault="0020739F" w:rsidP="00B16491">
            <w:pPr>
              <w:jc w:val="center"/>
            </w:pPr>
            <w:r>
              <w:rPr>
                <w:color w:val="000000"/>
                <w:sz w:val="20"/>
              </w:rPr>
              <w:t>$55,150 to &lt;$88,240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844B1" w14:textId="77777777" w:rsidR="0020739F" w:rsidRDefault="0020739F" w:rsidP="00B16491">
            <w:pPr>
              <w:jc w:val="center"/>
            </w:pPr>
            <w:r>
              <w:rPr>
                <w:color w:val="000000"/>
                <w:sz w:val="20"/>
              </w:rPr>
              <w:t>$88,240 to &lt;$132,360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04717" w14:textId="77777777" w:rsidR="0020739F" w:rsidRDefault="0020739F" w:rsidP="00B16491">
            <w:pPr>
              <w:jc w:val="center"/>
            </w:pPr>
            <w:r>
              <w:rPr>
                <w:color w:val="000000"/>
                <w:sz w:val="20"/>
              </w:rPr>
              <w:t>≥$132,360</w:t>
            </w:r>
          </w:p>
        </w:tc>
      </w:tr>
      <w:tr w:rsidR="0020739F" w14:paraId="2A3D9356" w14:textId="77777777" w:rsidTr="00D81FF6">
        <w:trPr>
          <w:trHeight w:val="188"/>
        </w:trPr>
        <w:tc>
          <w:tcPr>
            <w:tcW w:w="25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A679F35" w14:textId="77777777" w:rsidR="0020739F" w:rsidRDefault="0020739F" w:rsidP="00B16491">
            <w:r>
              <w:rPr>
                <w:color w:val="000000"/>
                <w:sz w:val="20"/>
              </w:rPr>
              <w:t>2019 ($115,500)</w:t>
            </w:r>
          </w:p>
        </w:tc>
        <w:tc>
          <w:tcPr>
            <w:tcW w:w="13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39A15" w14:textId="77777777" w:rsidR="0020739F" w:rsidRDefault="0020739F" w:rsidP="00B16491">
            <w:pPr>
              <w:jc w:val="center"/>
            </w:pPr>
            <w:r>
              <w:rPr>
                <w:color w:val="000000"/>
                <w:sz w:val="20"/>
              </w:rPr>
              <w:t>&lt;$57,750</w:t>
            </w:r>
          </w:p>
        </w:tc>
        <w:tc>
          <w:tcPr>
            <w:tcW w:w="2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4AEBB4" w14:textId="77777777" w:rsidR="0020739F" w:rsidRDefault="0020739F" w:rsidP="00B16491">
            <w:pPr>
              <w:jc w:val="center"/>
            </w:pPr>
            <w:r>
              <w:rPr>
                <w:color w:val="000000"/>
                <w:sz w:val="20"/>
              </w:rPr>
              <w:t>$57,750 to &lt;$92,400</w:t>
            </w:r>
          </w:p>
        </w:tc>
        <w:tc>
          <w:tcPr>
            <w:tcW w:w="21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41043A" w14:textId="77777777" w:rsidR="0020739F" w:rsidRDefault="0020739F" w:rsidP="00B16491">
            <w:pPr>
              <w:jc w:val="center"/>
            </w:pPr>
            <w:r>
              <w:rPr>
                <w:color w:val="000000"/>
                <w:sz w:val="20"/>
              </w:rPr>
              <w:t>$92,400 to &lt;$138,600</w:t>
            </w:r>
          </w:p>
        </w:tc>
        <w:tc>
          <w:tcPr>
            <w:tcW w:w="13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BE282" w14:textId="77777777" w:rsidR="0020739F" w:rsidRDefault="0020739F" w:rsidP="00B16491">
            <w:pPr>
              <w:jc w:val="center"/>
            </w:pPr>
            <w:r>
              <w:rPr>
                <w:color w:val="000000"/>
                <w:sz w:val="20"/>
              </w:rPr>
              <w:t>≥$138,600</w:t>
            </w:r>
          </w:p>
        </w:tc>
      </w:tr>
      <w:tr w:rsidR="0020739F" w14:paraId="0E51F99A" w14:textId="77777777" w:rsidTr="00AE063B">
        <w:trPr>
          <w:trHeight w:val="24"/>
        </w:trPr>
        <w:tc>
          <w:tcPr>
            <w:tcW w:w="9342"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A0942" w14:textId="77777777" w:rsidR="0020739F" w:rsidRDefault="0020739F" w:rsidP="00B16491">
            <w:r>
              <w:rPr>
                <w:i/>
                <w:color w:val="000000"/>
                <w:sz w:val="16"/>
              </w:rPr>
              <w:t>Source: FFIEC</w:t>
            </w:r>
          </w:p>
        </w:tc>
      </w:tr>
    </w:tbl>
    <w:p w14:paraId="17373AEA" w14:textId="77777777" w:rsidR="0020739F" w:rsidRPr="00BB268B" w:rsidRDefault="0020739F" w:rsidP="009D0E57">
      <w:pPr>
        <w:widowControl w:val="0"/>
        <w:ind w:right="-360"/>
        <w:rPr>
          <w:bCs/>
          <w:iCs/>
        </w:rPr>
      </w:pPr>
    </w:p>
    <w:p w14:paraId="69292E36" w14:textId="467ADDB6" w:rsidR="000060E7" w:rsidRDefault="000060E7" w:rsidP="00CB5DFE">
      <w:pPr>
        <w:widowControl w:val="0"/>
        <w:jc w:val="both"/>
        <w:rPr>
          <w:bCs/>
          <w:iCs/>
        </w:rPr>
      </w:pPr>
      <w:r w:rsidRPr="006A4727">
        <w:rPr>
          <w:bCs/>
          <w:iCs/>
        </w:rPr>
        <w:t>The combined percentage of low- and moderate-income population by geography increased by 5.4 percent which represents just over half of the population at 51.8 percent</w:t>
      </w:r>
      <w:r w:rsidR="004002BD">
        <w:rPr>
          <w:bCs/>
          <w:iCs/>
        </w:rPr>
        <w:t xml:space="preserve">.  </w:t>
      </w:r>
      <w:r>
        <w:rPr>
          <w:bCs/>
          <w:iCs/>
        </w:rPr>
        <w:t>Approximately 10.1 percent of families are delineated below the poverty level</w:t>
      </w:r>
      <w:r w:rsidR="004002BD">
        <w:rPr>
          <w:bCs/>
          <w:iCs/>
        </w:rPr>
        <w:t xml:space="preserve">.  </w:t>
      </w:r>
      <w:r w:rsidRPr="00B06B95">
        <w:rPr>
          <w:bCs/>
          <w:iCs/>
          <w:color w:val="0070C0"/>
        </w:rPr>
        <w:t xml:space="preserve"> </w:t>
      </w:r>
      <w:r>
        <w:rPr>
          <w:bCs/>
          <w:iCs/>
        </w:rPr>
        <w:t xml:space="preserve"> </w:t>
      </w:r>
      <w:r w:rsidRPr="006A4727">
        <w:rPr>
          <w:bCs/>
          <w:iCs/>
        </w:rPr>
        <w:t>Families with such low incomes may not qualify for home mortgages based on the area’s home prices</w:t>
      </w:r>
      <w:r w:rsidR="004002BD">
        <w:rPr>
          <w:bCs/>
          <w:iCs/>
        </w:rPr>
        <w:t xml:space="preserve">.  </w:t>
      </w:r>
      <w:r w:rsidRPr="006A4727">
        <w:rPr>
          <w:bCs/>
          <w:iCs/>
        </w:rPr>
        <w:t xml:space="preserve">These </w:t>
      </w:r>
      <w:r w:rsidRPr="00CC1615">
        <w:rPr>
          <w:bCs/>
          <w:iCs/>
        </w:rPr>
        <w:t>factors point to an increased local need for affordable housing units.</w:t>
      </w:r>
    </w:p>
    <w:p w14:paraId="1CAE64E0" w14:textId="77777777" w:rsidR="000060E7" w:rsidRDefault="000060E7" w:rsidP="00CB5DFE">
      <w:pPr>
        <w:widowControl w:val="0"/>
        <w:jc w:val="both"/>
        <w:rPr>
          <w:bCs/>
          <w:iCs/>
        </w:rPr>
      </w:pPr>
    </w:p>
    <w:p w14:paraId="7AC2A964" w14:textId="2E03A036" w:rsidR="009D0E57" w:rsidRPr="00BB268B" w:rsidRDefault="009D0E57" w:rsidP="00CB5DFE">
      <w:pPr>
        <w:widowControl w:val="0"/>
        <w:jc w:val="both"/>
        <w:rPr>
          <w:bCs/>
          <w:iCs/>
        </w:rPr>
      </w:pPr>
      <w:r w:rsidRPr="00BB268B">
        <w:rPr>
          <w:bCs/>
          <w:iCs/>
        </w:rPr>
        <w:t xml:space="preserve">According to the </w:t>
      </w:r>
      <w:r w:rsidR="004002BD">
        <w:rPr>
          <w:bCs/>
          <w:iCs/>
        </w:rPr>
        <w:t xml:space="preserve">U.S. </w:t>
      </w:r>
      <w:r w:rsidRPr="00BB268B">
        <w:rPr>
          <w:bCs/>
          <w:iCs/>
        </w:rPr>
        <w:t>Bureau of Labor Statistics, the 2019 annual a</w:t>
      </w:r>
      <w:r w:rsidR="00BB268B" w:rsidRPr="00BB268B">
        <w:rPr>
          <w:bCs/>
          <w:iCs/>
        </w:rPr>
        <w:t>verage unemployment rate was</w:t>
      </w:r>
      <w:r w:rsidRPr="00BB268B">
        <w:rPr>
          <w:bCs/>
          <w:iCs/>
        </w:rPr>
        <w:t xml:space="preserve"> 2.3 percent in Middlesex County</w:t>
      </w:r>
      <w:r w:rsidR="004002BD">
        <w:rPr>
          <w:bCs/>
          <w:iCs/>
        </w:rPr>
        <w:t xml:space="preserve">.  </w:t>
      </w:r>
      <w:r w:rsidRPr="00BB268B">
        <w:rPr>
          <w:bCs/>
          <w:iCs/>
        </w:rPr>
        <w:t>The low unemployment rate had been steady throughout the evaluation period</w:t>
      </w:r>
      <w:r w:rsidR="00BB268B" w:rsidRPr="00BB268B">
        <w:rPr>
          <w:bCs/>
          <w:iCs/>
        </w:rPr>
        <w:t>, but sharply increased in April</w:t>
      </w:r>
      <w:r w:rsidRPr="00BB268B">
        <w:rPr>
          <w:bCs/>
          <w:iCs/>
        </w:rPr>
        <w:t xml:space="preserve"> 2020</w:t>
      </w:r>
      <w:r w:rsidR="00263121">
        <w:rPr>
          <w:bCs/>
          <w:iCs/>
        </w:rPr>
        <w:t xml:space="preserve"> reaching</w:t>
      </w:r>
      <w:r w:rsidR="00BB268B" w:rsidRPr="00BB268B">
        <w:rPr>
          <w:bCs/>
          <w:iCs/>
        </w:rPr>
        <w:t xml:space="preserve"> a high of 15.0 percent in June 2020</w:t>
      </w:r>
      <w:r w:rsidRPr="00BB268B">
        <w:rPr>
          <w:bCs/>
          <w:iCs/>
        </w:rPr>
        <w:t xml:space="preserve"> due to the COVID</w:t>
      </w:r>
      <w:r w:rsidR="00474B9D">
        <w:rPr>
          <w:bCs/>
          <w:iCs/>
        </w:rPr>
        <w:t>-19 pandemic, then demonstrated</w:t>
      </w:r>
      <w:r w:rsidR="00263121">
        <w:rPr>
          <w:bCs/>
          <w:iCs/>
        </w:rPr>
        <w:t xml:space="preserve"> a</w:t>
      </w:r>
      <w:r w:rsidRPr="00BB268B">
        <w:rPr>
          <w:bCs/>
          <w:iCs/>
        </w:rPr>
        <w:t xml:space="preserve"> decreasing trend </w:t>
      </w:r>
      <w:r w:rsidR="00263121">
        <w:rPr>
          <w:bCs/>
          <w:iCs/>
        </w:rPr>
        <w:t>through</w:t>
      </w:r>
      <w:r w:rsidRPr="00BB268B">
        <w:rPr>
          <w:bCs/>
          <w:iCs/>
        </w:rPr>
        <w:t xml:space="preserve"> Q3 </w:t>
      </w:r>
      <w:r w:rsidR="00263121">
        <w:rPr>
          <w:bCs/>
          <w:iCs/>
        </w:rPr>
        <w:t>and</w:t>
      </w:r>
      <w:r w:rsidRPr="00BB268B">
        <w:rPr>
          <w:bCs/>
          <w:iCs/>
        </w:rPr>
        <w:t xml:space="preserve"> Q4</w:t>
      </w:r>
      <w:r w:rsidR="004002BD">
        <w:rPr>
          <w:bCs/>
          <w:iCs/>
        </w:rPr>
        <w:t xml:space="preserve">.  </w:t>
      </w:r>
    </w:p>
    <w:p w14:paraId="18E964E8" w14:textId="77777777" w:rsidR="009D0E57" w:rsidRPr="00BB268B" w:rsidRDefault="009D0E57" w:rsidP="00CB5DFE">
      <w:pPr>
        <w:widowControl w:val="0"/>
        <w:jc w:val="both"/>
        <w:rPr>
          <w:bCs/>
          <w:iCs/>
        </w:rPr>
      </w:pPr>
      <w:r w:rsidRPr="00BB268B">
        <w:rPr>
          <w:bCs/>
          <w:iCs/>
        </w:rPr>
        <w:t xml:space="preserve"> </w:t>
      </w:r>
    </w:p>
    <w:p w14:paraId="269D708C" w14:textId="5EA486BA" w:rsidR="0006294B" w:rsidRDefault="009D0E57" w:rsidP="00CB5DFE">
      <w:pPr>
        <w:widowControl w:val="0"/>
        <w:jc w:val="both"/>
        <w:rPr>
          <w:bCs/>
          <w:iCs/>
        </w:rPr>
      </w:pPr>
      <w:r w:rsidRPr="00BB268B">
        <w:rPr>
          <w:bCs/>
          <w:iCs/>
        </w:rPr>
        <w:t xml:space="preserve">The Geographic Distribution criterion compares home mortgage lending performance to the distribution of owner-occupied housing </w:t>
      </w:r>
      <w:r w:rsidRPr="0067529D">
        <w:rPr>
          <w:bCs/>
          <w:iCs/>
        </w:rPr>
        <w:t>units</w:t>
      </w:r>
      <w:r w:rsidR="004002BD">
        <w:rPr>
          <w:bCs/>
          <w:iCs/>
        </w:rPr>
        <w:t xml:space="preserve">.  </w:t>
      </w:r>
      <w:r w:rsidRPr="0067529D">
        <w:rPr>
          <w:bCs/>
          <w:iCs/>
        </w:rPr>
        <w:t xml:space="preserve">Within the credit union’s assessment area, </w:t>
      </w:r>
      <w:r w:rsidRPr="00F849AF">
        <w:rPr>
          <w:bCs/>
          <w:iCs/>
        </w:rPr>
        <w:t>opportunities for home mortgage lending ar</w:t>
      </w:r>
      <w:r w:rsidR="0067529D" w:rsidRPr="00F849AF">
        <w:rPr>
          <w:bCs/>
          <w:iCs/>
        </w:rPr>
        <w:t>e somewhat limited, as only 37.6</w:t>
      </w:r>
      <w:r w:rsidRPr="00F849AF">
        <w:rPr>
          <w:bCs/>
          <w:iCs/>
        </w:rPr>
        <w:t xml:space="preserve"> percent of the </w:t>
      </w:r>
      <w:r w:rsidR="008975B0" w:rsidRPr="00F849AF">
        <w:rPr>
          <w:bCs/>
          <w:iCs/>
        </w:rPr>
        <w:t>145,764</w:t>
      </w:r>
      <w:r w:rsidRPr="00F849AF">
        <w:rPr>
          <w:bCs/>
          <w:iCs/>
        </w:rPr>
        <w:t xml:space="preserve"> housing units are owner-occupied</w:t>
      </w:r>
      <w:r w:rsidR="004002BD">
        <w:rPr>
          <w:bCs/>
          <w:iCs/>
        </w:rPr>
        <w:t xml:space="preserve">.  </w:t>
      </w:r>
    </w:p>
    <w:p w14:paraId="78918E8F" w14:textId="77777777" w:rsidR="0006294B" w:rsidRDefault="0006294B" w:rsidP="00CB5DFE">
      <w:pPr>
        <w:widowControl w:val="0"/>
        <w:jc w:val="both"/>
        <w:rPr>
          <w:bCs/>
          <w:iCs/>
        </w:rPr>
      </w:pPr>
    </w:p>
    <w:p w14:paraId="4CD0CA42" w14:textId="487E0A84" w:rsidR="009D0E57" w:rsidRPr="00480E42" w:rsidRDefault="0006294B" w:rsidP="00CB5DFE">
      <w:pPr>
        <w:widowControl w:val="0"/>
        <w:jc w:val="both"/>
        <w:rPr>
          <w:bCs/>
          <w:iCs/>
        </w:rPr>
      </w:pPr>
      <w:r>
        <w:rPr>
          <w:bCs/>
          <w:iCs/>
        </w:rPr>
        <w:t>Examiners also utilized home mortgage data to determine more recent housing market trends</w:t>
      </w:r>
      <w:r w:rsidR="004002BD">
        <w:rPr>
          <w:bCs/>
          <w:iCs/>
        </w:rPr>
        <w:t xml:space="preserve">.  </w:t>
      </w:r>
      <w:r w:rsidRPr="00480E42">
        <w:rPr>
          <w:bCs/>
          <w:iCs/>
        </w:rPr>
        <w:t>The average dollar amount of credit extended for 1-4 family property purchases increased notably over the evaluation period within the assessment area, from $508,887 in 2017 to $567,148 in 2019.</w:t>
      </w:r>
    </w:p>
    <w:p w14:paraId="00EC25BD" w14:textId="094DF8BE" w:rsidR="009D0E57" w:rsidRDefault="009D0E57" w:rsidP="00CB5DFE">
      <w:pPr>
        <w:widowControl w:val="0"/>
        <w:jc w:val="both"/>
        <w:rPr>
          <w:bCs/>
          <w:iCs/>
          <w:highlight w:val="yellow"/>
        </w:rPr>
      </w:pPr>
    </w:p>
    <w:p w14:paraId="3C608256" w14:textId="77777777" w:rsidR="009D0E57" w:rsidRPr="003D1017" w:rsidRDefault="009D0E57" w:rsidP="00CB5DFE">
      <w:pPr>
        <w:jc w:val="both"/>
        <w:rPr>
          <w:b/>
          <w:bCs/>
          <w:iCs/>
          <w:u w:val="single"/>
        </w:rPr>
      </w:pPr>
      <w:r w:rsidRPr="003D1017">
        <w:rPr>
          <w:b/>
          <w:bCs/>
          <w:iCs/>
          <w:u w:val="single"/>
        </w:rPr>
        <w:t>Competition</w:t>
      </w:r>
    </w:p>
    <w:p w14:paraId="5D74EE3D" w14:textId="77777777" w:rsidR="009D0E57" w:rsidRPr="003D1017" w:rsidRDefault="009D0E57" w:rsidP="00CB5DFE">
      <w:pPr>
        <w:jc w:val="both"/>
        <w:rPr>
          <w:iCs/>
          <w:u w:val="single"/>
        </w:rPr>
      </w:pPr>
    </w:p>
    <w:p w14:paraId="69E4818F" w14:textId="29D433EB" w:rsidR="009D0E57" w:rsidRPr="00EB30CA" w:rsidRDefault="009D0E57" w:rsidP="00CB5DFE">
      <w:pPr>
        <w:jc w:val="both"/>
        <w:rPr>
          <w:iCs/>
        </w:rPr>
      </w:pPr>
      <w:r w:rsidRPr="003D1017">
        <w:rPr>
          <w:iCs/>
        </w:rPr>
        <w:t xml:space="preserve">The assessment area is located in a </w:t>
      </w:r>
      <w:r w:rsidR="00476CD3">
        <w:rPr>
          <w:iCs/>
        </w:rPr>
        <w:t xml:space="preserve">highly </w:t>
      </w:r>
      <w:r w:rsidRPr="003D1017">
        <w:rPr>
          <w:iCs/>
        </w:rPr>
        <w:t>competitive market for financial services</w:t>
      </w:r>
      <w:r w:rsidR="004002BD">
        <w:rPr>
          <w:iCs/>
        </w:rPr>
        <w:t xml:space="preserve">.  </w:t>
      </w:r>
      <w:r w:rsidRPr="003D1017">
        <w:rPr>
          <w:iCs/>
        </w:rPr>
        <w:t>Based on 2019 Deposit M</w:t>
      </w:r>
      <w:r w:rsidR="003D1017" w:rsidRPr="003D1017">
        <w:rPr>
          <w:iCs/>
        </w:rPr>
        <w:t>arket Share data, 36</w:t>
      </w:r>
      <w:r w:rsidRPr="003D1017">
        <w:rPr>
          <w:iCs/>
        </w:rPr>
        <w:t xml:space="preserve"> fin</w:t>
      </w:r>
      <w:r w:rsidR="003D1017" w:rsidRPr="003D1017">
        <w:rPr>
          <w:iCs/>
        </w:rPr>
        <w:t>ancial institutions operated 111</w:t>
      </w:r>
      <w:r w:rsidRPr="003D1017">
        <w:rPr>
          <w:iCs/>
        </w:rPr>
        <w:t xml:space="preserve"> branches within the assessment area</w:t>
      </w:r>
      <w:r w:rsidR="004002BD">
        <w:rPr>
          <w:iCs/>
        </w:rPr>
        <w:t xml:space="preserve">.  </w:t>
      </w:r>
      <w:r w:rsidR="00222EEC">
        <w:rPr>
          <w:iCs/>
        </w:rPr>
        <w:t>The</w:t>
      </w:r>
      <w:r w:rsidR="00CB5DFE">
        <w:rPr>
          <w:iCs/>
        </w:rPr>
        <w:t xml:space="preserve"> credit union</w:t>
      </w:r>
      <w:r w:rsidR="003D1017" w:rsidRPr="003D1017">
        <w:rPr>
          <w:iCs/>
        </w:rPr>
        <w:t xml:space="preserve"> ranked 23</w:t>
      </w:r>
      <w:r w:rsidR="003D1017" w:rsidRPr="003D1017">
        <w:rPr>
          <w:iCs/>
          <w:vertAlign w:val="superscript"/>
        </w:rPr>
        <w:t>rd</w:t>
      </w:r>
      <w:r w:rsidRPr="003D1017">
        <w:rPr>
          <w:iCs/>
        </w:rPr>
        <w:t>, b</w:t>
      </w:r>
      <w:r w:rsidR="003D1017" w:rsidRPr="003D1017">
        <w:rPr>
          <w:iCs/>
        </w:rPr>
        <w:t>y Total Deposit Amount, with 0.7</w:t>
      </w:r>
      <w:r w:rsidR="002A0E46">
        <w:rPr>
          <w:iCs/>
        </w:rPr>
        <w:t xml:space="preserve"> percent market share</w:t>
      </w:r>
      <w:r w:rsidR="00222EEC">
        <w:rPr>
          <w:iCs/>
        </w:rPr>
        <w:t xml:space="preserve">. </w:t>
      </w:r>
      <w:r w:rsidR="001D64B4">
        <w:rPr>
          <w:iCs/>
        </w:rPr>
        <w:t>The to</w:t>
      </w:r>
      <w:r w:rsidRPr="00A9499E">
        <w:rPr>
          <w:iCs/>
        </w:rPr>
        <w:t>p ranking institutions were comprised of national and co</w:t>
      </w:r>
      <w:r w:rsidR="003D1017" w:rsidRPr="00A9499E">
        <w:rPr>
          <w:iCs/>
        </w:rPr>
        <w:t>mmunity financial institutions</w:t>
      </w:r>
      <w:r w:rsidR="001D64B4">
        <w:rPr>
          <w:iCs/>
        </w:rPr>
        <w:t xml:space="preserve"> and credit unions</w:t>
      </w:r>
      <w:r w:rsidR="00AE45A9">
        <w:rPr>
          <w:iCs/>
        </w:rPr>
        <w:t>.</w:t>
      </w:r>
    </w:p>
    <w:p w14:paraId="7E4B3E43" w14:textId="77777777" w:rsidR="009D0E57" w:rsidRPr="00EB30CA" w:rsidRDefault="009D0E57" w:rsidP="00CB5DFE">
      <w:pPr>
        <w:jc w:val="both"/>
        <w:rPr>
          <w:iCs/>
        </w:rPr>
      </w:pPr>
    </w:p>
    <w:p w14:paraId="27A07F16" w14:textId="17B48B59" w:rsidR="009D0E57" w:rsidRPr="00BF2444" w:rsidRDefault="009D0E57" w:rsidP="00CB5DFE">
      <w:pPr>
        <w:jc w:val="both"/>
        <w:rPr>
          <w:iCs/>
          <w:color w:val="FF0000"/>
        </w:rPr>
      </w:pPr>
      <w:r w:rsidRPr="00EB30CA">
        <w:rPr>
          <w:iCs/>
        </w:rPr>
        <w:t>The assessment area market overall for home mortgage loans is also competitive</w:t>
      </w:r>
      <w:r w:rsidR="004002BD">
        <w:rPr>
          <w:iCs/>
        </w:rPr>
        <w:t xml:space="preserve">.  </w:t>
      </w:r>
      <w:r w:rsidRPr="00EB30CA">
        <w:rPr>
          <w:iCs/>
        </w:rPr>
        <w:t xml:space="preserve">In 2019, </w:t>
      </w:r>
      <w:r w:rsidR="00CB5DFE">
        <w:rPr>
          <w:iCs/>
        </w:rPr>
        <w:t>the credit union</w:t>
      </w:r>
      <w:r w:rsidR="00EB30CA" w:rsidRPr="00EB30CA">
        <w:rPr>
          <w:iCs/>
        </w:rPr>
        <w:t xml:space="preserve"> ranked </w:t>
      </w:r>
      <w:r w:rsidR="00EB30CA" w:rsidRPr="00AC5DE1">
        <w:rPr>
          <w:iCs/>
        </w:rPr>
        <w:t>52</w:t>
      </w:r>
      <w:r w:rsidR="00EB30CA" w:rsidRPr="00AC5DE1">
        <w:rPr>
          <w:iCs/>
          <w:vertAlign w:val="superscript"/>
        </w:rPr>
        <w:t>nd</w:t>
      </w:r>
      <w:r w:rsidR="00EB30CA" w:rsidRPr="00EB30CA">
        <w:rPr>
          <w:iCs/>
        </w:rPr>
        <w:t xml:space="preserve"> out of 353</w:t>
      </w:r>
      <w:r w:rsidRPr="00EB30CA">
        <w:rPr>
          <w:iCs/>
        </w:rPr>
        <w:t xml:space="preserve"> home mortgage lenders withi</w:t>
      </w:r>
      <w:r w:rsidR="00EB30CA" w:rsidRPr="00EB30CA">
        <w:rPr>
          <w:iCs/>
        </w:rPr>
        <w:t>n the assessment area with a 0.4</w:t>
      </w:r>
      <w:r w:rsidRPr="00EB30CA">
        <w:rPr>
          <w:iCs/>
        </w:rPr>
        <w:t xml:space="preserve"> percent market share</w:t>
      </w:r>
      <w:r w:rsidR="00222EEC">
        <w:rPr>
          <w:iCs/>
        </w:rPr>
        <w:t xml:space="preserve">. </w:t>
      </w:r>
      <w:r w:rsidRPr="00EB30CA">
        <w:rPr>
          <w:iCs/>
        </w:rPr>
        <w:t>Large</w:t>
      </w:r>
      <w:r w:rsidR="00AE45A9">
        <w:rPr>
          <w:iCs/>
        </w:rPr>
        <w:t xml:space="preserve">r </w:t>
      </w:r>
      <w:r w:rsidRPr="00EB30CA">
        <w:rPr>
          <w:iCs/>
        </w:rPr>
        <w:t xml:space="preserve">national banks, non-depository lenders and several state-chartered community banks and federal credit unions </w:t>
      </w:r>
      <w:r w:rsidRPr="00F37BA6">
        <w:rPr>
          <w:iCs/>
        </w:rPr>
        <w:t xml:space="preserve">ranked above </w:t>
      </w:r>
      <w:r w:rsidR="00CB5DFE">
        <w:rPr>
          <w:iCs/>
        </w:rPr>
        <w:t>the credit union</w:t>
      </w:r>
      <w:r w:rsidR="004002BD">
        <w:rPr>
          <w:iCs/>
        </w:rPr>
        <w:t xml:space="preserve">.  </w:t>
      </w:r>
    </w:p>
    <w:p w14:paraId="56D6F2BC" w14:textId="77777777" w:rsidR="009D0E57" w:rsidRPr="00774087" w:rsidRDefault="009D0E57" w:rsidP="00CB5DFE">
      <w:pPr>
        <w:jc w:val="both"/>
        <w:rPr>
          <w:color w:val="FF0000"/>
        </w:rPr>
      </w:pPr>
    </w:p>
    <w:p w14:paraId="0F2B0A84" w14:textId="77777777" w:rsidR="009D0E57" w:rsidRPr="00CB5DFE" w:rsidRDefault="009D0E57" w:rsidP="00CB5DFE">
      <w:pPr>
        <w:jc w:val="both"/>
        <w:rPr>
          <w:b/>
          <w:u w:val="single"/>
        </w:rPr>
      </w:pPr>
      <w:r w:rsidRPr="00CB5DFE">
        <w:rPr>
          <w:b/>
          <w:u w:val="single"/>
        </w:rPr>
        <w:t>Credit and Community Development Needs and Opportunities</w:t>
      </w:r>
    </w:p>
    <w:p w14:paraId="6DEB010B" w14:textId="77777777" w:rsidR="00CB5DFE" w:rsidRDefault="00CB5DFE" w:rsidP="00CB5DFE">
      <w:pPr>
        <w:jc w:val="both"/>
      </w:pPr>
    </w:p>
    <w:p w14:paraId="47668BA9" w14:textId="16F26DEF" w:rsidR="009D0E57" w:rsidRDefault="009D0E57" w:rsidP="00AE063B">
      <w:pPr>
        <w:jc w:val="both"/>
      </w:pPr>
      <w:r w:rsidRPr="00AC5DE1">
        <w:t xml:space="preserve">Examiners identified the primary credit needs of the assessment area based on demographic and economic information, </w:t>
      </w:r>
      <w:r w:rsidR="00AC5DE1">
        <w:t xml:space="preserve">and </w:t>
      </w:r>
      <w:r w:rsidRPr="00AC5DE1">
        <w:t>discussion</w:t>
      </w:r>
      <w:r w:rsidR="00AC5DE1">
        <w:t>s</w:t>
      </w:r>
      <w:r w:rsidRPr="00AC5DE1">
        <w:t xml:space="preserve"> with manag</w:t>
      </w:r>
      <w:r w:rsidR="00AC5DE1">
        <w:t>ement</w:t>
      </w:r>
      <w:r w:rsidR="00CB5DFE">
        <w:t xml:space="preserve">. </w:t>
      </w:r>
      <w:r w:rsidR="00AC5DE1">
        <w:t xml:space="preserve">The credit union operates in an assessment area with high housing values and a large population of low- and moderate-income </w:t>
      </w:r>
      <w:r w:rsidR="00AC5DE1">
        <w:lastRenderedPageBreak/>
        <w:t>families</w:t>
      </w:r>
      <w:r w:rsidR="00222EEC">
        <w:t xml:space="preserve">. </w:t>
      </w:r>
      <w:r w:rsidR="00AC5DE1">
        <w:t>Affordable housing is the primary need in the area, as are community services for low- and moderate-income individuals</w:t>
      </w:r>
      <w:r w:rsidR="004002BD">
        <w:t xml:space="preserve">.  </w:t>
      </w:r>
      <w:r w:rsidR="00AC5DE1">
        <w:t>The housing market is very active, and there is a high level of lending competition in the assessment area.</w:t>
      </w:r>
    </w:p>
    <w:p w14:paraId="5DFB7D10" w14:textId="77777777" w:rsidR="00AE063B" w:rsidRPr="00AC5DE1" w:rsidRDefault="00AE063B" w:rsidP="00AE063B">
      <w:pPr>
        <w:jc w:val="both"/>
      </w:pPr>
    </w:p>
    <w:p w14:paraId="44089DB3" w14:textId="77777777" w:rsidR="009D0E57" w:rsidRPr="00BF2444" w:rsidRDefault="009D0E57" w:rsidP="00AE063B">
      <w:pPr>
        <w:jc w:val="both"/>
        <w:rPr>
          <w:bCs/>
          <w:iCs/>
          <w:color w:val="FF0000"/>
        </w:rPr>
      </w:pPr>
    </w:p>
    <w:p w14:paraId="6851DA18" w14:textId="506ACE10" w:rsidR="009D0E57" w:rsidRPr="006F65D9" w:rsidRDefault="009D0E57" w:rsidP="009D0E57">
      <w:pPr>
        <w:autoSpaceDE w:val="0"/>
        <w:autoSpaceDN w:val="0"/>
        <w:adjustRightInd w:val="0"/>
        <w:jc w:val="center"/>
      </w:pPr>
      <w:r w:rsidRPr="006F65D9">
        <w:rPr>
          <w:b/>
          <w:bCs/>
          <w:sz w:val="28"/>
          <w:szCs w:val="28"/>
        </w:rPr>
        <w:t>CONCLUSIONS ON PERFORMANCE CRITERIA</w:t>
      </w:r>
    </w:p>
    <w:p w14:paraId="098DFC09" w14:textId="12B9635A" w:rsidR="002F39DE" w:rsidRPr="00467B37" w:rsidRDefault="002F39DE" w:rsidP="009D0E57">
      <w:pPr>
        <w:rPr>
          <w:b/>
          <w:bCs/>
          <w:u w:val="single"/>
        </w:rPr>
      </w:pPr>
    </w:p>
    <w:p w14:paraId="6D2537F4" w14:textId="5988CE43" w:rsidR="002F39DE" w:rsidRPr="00D60A80" w:rsidRDefault="00222EEC" w:rsidP="00CB5DFE">
      <w:pPr>
        <w:jc w:val="both"/>
        <w:rPr>
          <w:b/>
          <w:bCs/>
          <w:u w:val="single"/>
        </w:rPr>
      </w:pPr>
      <w:r>
        <w:t>The</w:t>
      </w:r>
      <w:r w:rsidR="00CB5DFE">
        <w:t xml:space="preserve"> credit union</w:t>
      </w:r>
      <w:r w:rsidR="00CE3B84" w:rsidRPr="00467B37">
        <w:t xml:space="preserve"> </w:t>
      </w:r>
      <w:r w:rsidR="00CE3B84" w:rsidRPr="004F2F22">
        <w:t xml:space="preserve">demonstrated </w:t>
      </w:r>
      <w:r>
        <w:t>satisfactory</w:t>
      </w:r>
      <w:r w:rsidR="00CE3B84" w:rsidRPr="004F2F22">
        <w:t xml:space="preserve"> performance </w:t>
      </w:r>
      <w:r w:rsidR="00CE3B84" w:rsidRPr="00467B37">
        <w:t>under the Lending Test</w:t>
      </w:r>
      <w:r>
        <w:t xml:space="preserve">. </w:t>
      </w:r>
      <w:r w:rsidR="00CB5DFE">
        <w:t>The Loan-To-</w:t>
      </w:r>
      <w:r w:rsidR="00CE3B84" w:rsidRPr="00467B37">
        <w:t xml:space="preserve">Share Ratio, Assessment Area Concentration, and Borrower </w:t>
      </w:r>
      <w:r w:rsidR="00CE3B84" w:rsidRPr="00D60A80">
        <w:t>Profile support this conclusion.</w:t>
      </w:r>
    </w:p>
    <w:p w14:paraId="73EBC73E" w14:textId="77777777" w:rsidR="009D0E57" w:rsidRPr="00D60A80" w:rsidRDefault="009D0E57" w:rsidP="00CB5DFE">
      <w:pPr>
        <w:ind w:right="-360"/>
        <w:jc w:val="both"/>
        <w:rPr>
          <w:i/>
          <w:iCs/>
        </w:rPr>
      </w:pPr>
    </w:p>
    <w:p w14:paraId="37479161" w14:textId="663D99D0" w:rsidR="009D0E57" w:rsidRPr="00D60A80" w:rsidRDefault="009D0E57" w:rsidP="00CB5DFE">
      <w:pPr>
        <w:jc w:val="both"/>
        <w:rPr>
          <w:b/>
          <w:bCs/>
          <w:spacing w:val="-3"/>
          <w:u w:val="single"/>
        </w:rPr>
      </w:pPr>
      <w:r w:rsidRPr="00D60A80">
        <w:rPr>
          <w:b/>
          <w:bCs/>
          <w:spacing w:val="-3"/>
          <w:u w:val="single"/>
        </w:rPr>
        <w:t xml:space="preserve">Loan-to-Share </w:t>
      </w:r>
      <w:r w:rsidR="00534A90">
        <w:rPr>
          <w:b/>
          <w:bCs/>
          <w:spacing w:val="-3"/>
          <w:u w:val="single"/>
        </w:rPr>
        <w:t xml:space="preserve">(LTS) </w:t>
      </w:r>
      <w:r w:rsidRPr="00D60A80">
        <w:rPr>
          <w:b/>
          <w:bCs/>
          <w:spacing w:val="-3"/>
          <w:u w:val="single"/>
        </w:rPr>
        <w:t>Ratio</w:t>
      </w:r>
    </w:p>
    <w:p w14:paraId="4FA119D1" w14:textId="77777777" w:rsidR="009D0E57" w:rsidRPr="006F65D9" w:rsidRDefault="009D0E57" w:rsidP="00CB5DFE">
      <w:pPr>
        <w:jc w:val="both"/>
        <w:rPr>
          <w:b/>
          <w:bCs/>
          <w:spacing w:val="-3"/>
          <w:u w:val="single"/>
        </w:rPr>
      </w:pPr>
    </w:p>
    <w:p w14:paraId="7268501F" w14:textId="1E2B69F7" w:rsidR="009D0E57" w:rsidRPr="006F65D9" w:rsidRDefault="009D0E57" w:rsidP="00CB5DFE">
      <w:pPr>
        <w:pStyle w:val="Default"/>
        <w:jc w:val="both"/>
        <w:rPr>
          <w:color w:val="auto"/>
        </w:rPr>
      </w:pPr>
      <w:r w:rsidRPr="006F65D9">
        <w:rPr>
          <w:color w:val="auto"/>
        </w:rPr>
        <w:t>This performance criterion determines what percentage of the credit union’s share base is reinvested in the form of loans and evaluates its appropriateness</w:t>
      </w:r>
      <w:r w:rsidR="004002BD">
        <w:rPr>
          <w:color w:val="auto"/>
        </w:rPr>
        <w:t xml:space="preserve">.  </w:t>
      </w:r>
      <w:r w:rsidRPr="006F65D9">
        <w:rPr>
          <w:color w:val="auto"/>
        </w:rPr>
        <w:t xml:space="preserve">The average net loan-to-share ratio for the last eight quarters is </w:t>
      </w:r>
      <w:r w:rsidR="006F65D9" w:rsidRPr="006F65D9">
        <w:rPr>
          <w:color w:val="auto"/>
        </w:rPr>
        <w:t>reasonable</w:t>
      </w:r>
      <w:r w:rsidRPr="006F65D9">
        <w:rPr>
          <w:color w:val="auto"/>
        </w:rPr>
        <w:t xml:space="preserve"> given the institution’s size, financial condition, and assessment area credit needs</w:t>
      </w:r>
      <w:r w:rsidR="004002BD">
        <w:rPr>
          <w:color w:val="auto"/>
        </w:rPr>
        <w:t xml:space="preserve">.  </w:t>
      </w:r>
    </w:p>
    <w:p w14:paraId="26D6B65D" w14:textId="77777777" w:rsidR="009D0E57" w:rsidRPr="006F65D9" w:rsidRDefault="009D0E57" w:rsidP="00CB5DFE">
      <w:pPr>
        <w:pStyle w:val="Default"/>
        <w:jc w:val="both"/>
        <w:rPr>
          <w:color w:val="auto"/>
        </w:rPr>
      </w:pPr>
    </w:p>
    <w:p w14:paraId="161EE66E" w14:textId="081AC647" w:rsidR="009D0E57" w:rsidRPr="00AC5DE1" w:rsidRDefault="009D0E57" w:rsidP="00CB5DFE">
      <w:pPr>
        <w:pStyle w:val="Default"/>
        <w:jc w:val="both"/>
        <w:rPr>
          <w:color w:val="0070C0"/>
        </w:rPr>
      </w:pPr>
      <w:r w:rsidRPr="006F65D9">
        <w:rPr>
          <w:color w:val="auto"/>
        </w:rPr>
        <w:t xml:space="preserve">The credit union’s net LTS ratio, as calculated from the NCUA 5300 Quarterly </w:t>
      </w:r>
      <w:r w:rsidR="006F65D9" w:rsidRPr="006F65D9">
        <w:rPr>
          <w:color w:val="auto"/>
        </w:rPr>
        <w:t>Call Report data, averaged 70.0</w:t>
      </w:r>
      <w:r w:rsidRPr="006F65D9">
        <w:rPr>
          <w:color w:val="auto"/>
        </w:rPr>
        <w:t xml:space="preserve"> percent over the past eight calendar quarters from </w:t>
      </w:r>
      <w:r w:rsidR="006F65D9" w:rsidRPr="006F65D9">
        <w:rPr>
          <w:color w:val="auto"/>
        </w:rPr>
        <w:t xml:space="preserve">March </w:t>
      </w:r>
      <w:r w:rsidRPr="006F65D9">
        <w:rPr>
          <w:color w:val="auto"/>
        </w:rPr>
        <w:t>31, 201</w:t>
      </w:r>
      <w:r w:rsidR="006F65D9" w:rsidRPr="006F65D9">
        <w:rPr>
          <w:color w:val="auto"/>
        </w:rPr>
        <w:t>9 through December 31</w:t>
      </w:r>
      <w:r w:rsidRPr="006F65D9">
        <w:rPr>
          <w:color w:val="auto"/>
        </w:rPr>
        <w:t>, 2020</w:t>
      </w:r>
      <w:r w:rsidR="004002BD">
        <w:rPr>
          <w:color w:val="auto"/>
        </w:rPr>
        <w:t xml:space="preserve">.  </w:t>
      </w:r>
      <w:r w:rsidRPr="006F65D9">
        <w:rPr>
          <w:color w:val="auto"/>
        </w:rPr>
        <w:t xml:space="preserve">The ratio </w:t>
      </w:r>
      <w:r w:rsidR="006F65D9" w:rsidRPr="006F65D9">
        <w:rPr>
          <w:color w:val="auto"/>
        </w:rPr>
        <w:t xml:space="preserve">ranged from </w:t>
      </w:r>
      <w:r w:rsidR="006F65D9" w:rsidRPr="00AC5DE1">
        <w:rPr>
          <w:color w:val="auto"/>
        </w:rPr>
        <w:t>a high of 73.6 percent as of December 31, 2019, to a low of 61.0 percent as of December 31</w:t>
      </w:r>
      <w:r w:rsidRPr="00AC5DE1">
        <w:rPr>
          <w:color w:val="auto"/>
        </w:rPr>
        <w:t>, 2020</w:t>
      </w:r>
      <w:r w:rsidR="004002BD">
        <w:rPr>
          <w:color w:val="auto"/>
        </w:rPr>
        <w:t xml:space="preserve">.  </w:t>
      </w:r>
      <w:r w:rsidR="00D8763B" w:rsidRPr="00AC5DE1">
        <w:rPr>
          <w:color w:val="auto"/>
        </w:rPr>
        <w:t xml:space="preserve">Over the last four quarters, total shares </w:t>
      </w:r>
      <w:r w:rsidR="00975048" w:rsidRPr="00AC5DE1">
        <w:rPr>
          <w:color w:val="auto"/>
        </w:rPr>
        <w:t>increased by approximately $20.3</w:t>
      </w:r>
      <w:r w:rsidR="00D8763B" w:rsidRPr="00AC5DE1">
        <w:rPr>
          <w:color w:val="auto"/>
        </w:rPr>
        <w:t xml:space="preserve"> million, wh</w:t>
      </w:r>
      <w:r w:rsidR="00DD46C8" w:rsidRPr="00AC5DE1">
        <w:rPr>
          <w:color w:val="auto"/>
        </w:rPr>
        <w:t>ile loans decreased by</w:t>
      </w:r>
      <w:r w:rsidR="00975048" w:rsidRPr="00AC5DE1">
        <w:rPr>
          <w:color w:val="auto"/>
        </w:rPr>
        <w:t xml:space="preserve"> $3.6</w:t>
      </w:r>
      <w:r w:rsidR="00D8763B" w:rsidRPr="00AC5DE1">
        <w:rPr>
          <w:color w:val="auto"/>
        </w:rPr>
        <w:t xml:space="preserve"> million</w:t>
      </w:r>
      <w:r w:rsidR="004002BD">
        <w:rPr>
          <w:color w:val="auto"/>
        </w:rPr>
        <w:t xml:space="preserve">.  </w:t>
      </w:r>
      <w:r w:rsidR="00227B41" w:rsidRPr="00AC5DE1">
        <w:rPr>
          <w:color w:val="auto"/>
        </w:rPr>
        <w:t>The increase in shares correlate to economic stimulus efforts in response to COVID-19</w:t>
      </w:r>
      <w:r w:rsidR="004002BD">
        <w:rPr>
          <w:color w:val="auto"/>
        </w:rPr>
        <w:t xml:space="preserve">.  </w:t>
      </w:r>
      <w:r w:rsidR="00227B41" w:rsidRPr="00AC5DE1">
        <w:rPr>
          <w:color w:val="auto"/>
        </w:rPr>
        <w:t xml:space="preserve">The drop in net loans </w:t>
      </w:r>
      <w:r w:rsidR="00D8763B" w:rsidRPr="00AC5DE1">
        <w:rPr>
          <w:color w:val="auto"/>
        </w:rPr>
        <w:t>is attributed</w:t>
      </w:r>
      <w:r w:rsidR="00534A90" w:rsidRPr="00AC5DE1">
        <w:rPr>
          <w:color w:val="auto"/>
        </w:rPr>
        <w:t xml:space="preserve"> to</w:t>
      </w:r>
      <w:r w:rsidR="00777DEE" w:rsidRPr="00AC5DE1">
        <w:rPr>
          <w:color w:val="auto"/>
        </w:rPr>
        <w:t xml:space="preserve"> </w:t>
      </w:r>
      <w:r w:rsidR="00227B41" w:rsidRPr="00AC5DE1">
        <w:rPr>
          <w:color w:val="auto"/>
        </w:rPr>
        <w:t xml:space="preserve">refinance originations in a </w:t>
      </w:r>
      <w:r w:rsidR="00777DEE" w:rsidRPr="00AC5DE1">
        <w:rPr>
          <w:color w:val="auto"/>
        </w:rPr>
        <w:t>low interest rate market</w:t>
      </w:r>
      <w:r w:rsidR="00227B41" w:rsidRPr="00AC5DE1">
        <w:rPr>
          <w:color w:val="auto"/>
        </w:rPr>
        <w:t>s</w:t>
      </w:r>
      <w:r w:rsidR="004002BD">
        <w:rPr>
          <w:color w:val="auto"/>
        </w:rPr>
        <w:t xml:space="preserve">.  </w:t>
      </w:r>
    </w:p>
    <w:p w14:paraId="1112EB40" w14:textId="7A6BB47E" w:rsidR="009D0E57" w:rsidRPr="00AC5DE1" w:rsidRDefault="009D0E57" w:rsidP="00CB5DFE">
      <w:pPr>
        <w:pStyle w:val="Default"/>
        <w:jc w:val="both"/>
        <w:rPr>
          <w:color w:val="FF0000"/>
        </w:rPr>
      </w:pPr>
    </w:p>
    <w:p w14:paraId="1DD7BE7C" w14:textId="1CAD0295" w:rsidR="009D0E57" w:rsidRPr="00660D36" w:rsidRDefault="009D0E57" w:rsidP="00CB5DFE">
      <w:pPr>
        <w:jc w:val="both"/>
        <w:outlineLvl w:val="2"/>
        <w:rPr>
          <w:bCs/>
          <w:u w:val="single"/>
        </w:rPr>
      </w:pPr>
      <w:r w:rsidRPr="00AC5DE1">
        <w:rPr>
          <w:noProof/>
        </w:rPr>
        <w:t>The credit union’s average LTS ratio over the previous 8 quarters was compared to that of three similarly situated institutions</w:t>
      </w:r>
      <w:r w:rsidR="004002BD">
        <w:rPr>
          <w:noProof/>
        </w:rPr>
        <w:t xml:space="preserve">.  </w:t>
      </w:r>
      <w:r w:rsidRPr="00AC5DE1">
        <w:rPr>
          <w:noProof/>
        </w:rPr>
        <w:t>The institution selection is based on geographic location, lending focus and branching structure</w:t>
      </w:r>
      <w:r w:rsidR="004002BD">
        <w:rPr>
          <w:noProof/>
        </w:rPr>
        <w:t xml:space="preserve">.  </w:t>
      </w:r>
      <w:r w:rsidR="00CB5DFE">
        <w:rPr>
          <w:noProof/>
        </w:rPr>
        <w:t>the credit union</w:t>
      </w:r>
      <w:r w:rsidRPr="00AC5DE1">
        <w:rPr>
          <w:noProof/>
        </w:rPr>
        <w:t xml:space="preserve">’s average LTS ratio is </w:t>
      </w:r>
      <w:r w:rsidR="00660D36" w:rsidRPr="00AC5DE1">
        <w:rPr>
          <w:noProof/>
        </w:rPr>
        <w:t>below</w:t>
      </w:r>
      <w:r w:rsidR="00660D36" w:rsidRPr="00660D36">
        <w:rPr>
          <w:noProof/>
        </w:rPr>
        <w:t xml:space="preserve"> the t</w:t>
      </w:r>
      <w:r w:rsidR="00EC6635">
        <w:rPr>
          <w:noProof/>
        </w:rPr>
        <w:t>wo</w:t>
      </w:r>
      <w:r w:rsidR="00660D36" w:rsidRPr="00660D36">
        <w:rPr>
          <w:noProof/>
        </w:rPr>
        <w:t xml:space="preserve"> </w:t>
      </w:r>
      <w:r w:rsidRPr="00660D36">
        <w:rPr>
          <w:noProof/>
        </w:rPr>
        <w:t>institutions used in this comparison</w:t>
      </w:r>
      <w:r w:rsidR="004002BD">
        <w:rPr>
          <w:noProof/>
        </w:rPr>
        <w:t xml:space="preserve">.  </w:t>
      </w:r>
    </w:p>
    <w:p w14:paraId="78B3526A" w14:textId="77777777" w:rsidR="009D0E57" w:rsidRPr="00660D36" w:rsidRDefault="009D0E57" w:rsidP="009D0E57">
      <w:pPr>
        <w:outlineLvl w:val="2"/>
        <w:rPr>
          <w:b/>
          <w:bCs/>
          <w:highlight w:val="yellow"/>
          <w:u w:val="single"/>
        </w:rPr>
      </w:pPr>
    </w:p>
    <w:tbl>
      <w:tblPr>
        <w:tblW w:w="9394" w:type="dxa"/>
        <w:tblInd w:w="-10" w:type="dxa"/>
        <w:tblLook w:val="04A0" w:firstRow="1" w:lastRow="0" w:firstColumn="1" w:lastColumn="0" w:noHBand="0" w:noVBand="1"/>
      </w:tblPr>
      <w:tblGrid>
        <w:gridCol w:w="5213"/>
        <w:gridCol w:w="2195"/>
        <w:gridCol w:w="1986"/>
      </w:tblGrid>
      <w:tr w:rsidR="00BF2444" w:rsidRPr="00BF2444" w14:paraId="15DDA48D" w14:textId="77777777" w:rsidTr="002D6E34">
        <w:trPr>
          <w:trHeight w:val="223"/>
        </w:trPr>
        <w:tc>
          <w:tcPr>
            <w:tcW w:w="939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26DB5A1" w14:textId="77777777" w:rsidR="009D0E57" w:rsidRPr="0007136C" w:rsidRDefault="009D0E57" w:rsidP="009D0E57">
            <w:pPr>
              <w:jc w:val="center"/>
              <w:rPr>
                <w:b/>
                <w:bCs/>
                <w:sz w:val="22"/>
                <w:szCs w:val="22"/>
              </w:rPr>
            </w:pPr>
            <w:r w:rsidRPr="0007136C">
              <w:rPr>
                <w:b/>
                <w:bCs/>
                <w:sz w:val="22"/>
                <w:szCs w:val="22"/>
              </w:rPr>
              <w:t>Loan-to-Share Ratio Comparison</w:t>
            </w:r>
          </w:p>
        </w:tc>
      </w:tr>
      <w:tr w:rsidR="00BF2444" w:rsidRPr="00BF2444" w14:paraId="0D23081B" w14:textId="77777777" w:rsidTr="002D6E34">
        <w:trPr>
          <w:trHeight w:val="380"/>
        </w:trPr>
        <w:tc>
          <w:tcPr>
            <w:tcW w:w="5213" w:type="dxa"/>
            <w:tcBorders>
              <w:top w:val="nil"/>
              <w:left w:val="single" w:sz="8" w:space="0" w:color="auto"/>
              <w:bottom w:val="single" w:sz="4" w:space="0" w:color="auto"/>
              <w:right w:val="single" w:sz="4" w:space="0" w:color="auto"/>
            </w:tcBorders>
            <w:shd w:val="clear" w:color="auto" w:fill="auto"/>
            <w:noWrap/>
            <w:vAlign w:val="center"/>
            <w:hideMark/>
          </w:tcPr>
          <w:p w14:paraId="72FE7E80" w14:textId="77777777" w:rsidR="009D0E57" w:rsidRPr="0007136C" w:rsidRDefault="009D0E57" w:rsidP="009D0E57">
            <w:pPr>
              <w:rPr>
                <w:sz w:val="20"/>
                <w:szCs w:val="20"/>
              </w:rPr>
            </w:pPr>
          </w:p>
          <w:p w14:paraId="2847E711" w14:textId="77777777" w:rsidR="009D0E57" w:rsidRPr="0007136C" w:rsidRDefault="009D0E57" w:rsidP="009D0E57">
            <w:pPr>
              <w:rPr>
                <w:sz w:val="20"/>
                <w:szCs w:val="20"/>
              </w:rPr>
            </w:pPr>
            <w:r w:rsidRPr="0007136C">
              <w:rPr>
                <w:sz w:val="20"/>
                <w:szCs w:val="20"/>
              </w:rPr>
              <w:t>Institution</w:t>
            </w:r>
          </w:p>
        </w:tc>
        <w:tc>
          <w:tcPr>
            <w:tcW w:w="2195" w:type="dxa"/>
            <w:tcBorders>
              <w:top w:val="nil"/>
              <w:left w:val="nil"/>
              <w:bottom w:val="single" w:sz="4" w:space="0" w:color="auto"/>
              <w:right w:val="single" w:sz="4" w:space="0" w:color="auto"/>
            </w:tcBorders>
            <w:shd w:val="clear" w:color="auto" w:fill="auto"/>
            <w:vAlign w:val="center"/>
            <w:hideMark/>
          </w:tcPr>
          <w:p w14:paraId="697846AC" w14:textId="77777777" w:rsidR="009D0E57" w:rsidRPr="0007136C" w:rsidRDefault="009D0E57" w:rsidP="009D0E57">
            <w:pPr>
              <w:jc w:val="center"/>
              <w:rPr>
                <w:sz w:val="20"/>
                <w:szCs w:val="20"/>
              </w:rPr>
            </w:pPr>
            <w:r w:rsidRPr="0007136C">
              <w:rPr>
                <w:sz w:val="20"/>
                <w:szCs w:val="20"/>
              </w:rPr>
              <w:t xml:space="preserve">Total Shares </w:t>
            </w:r>
          </w:p>
        </w:tc>
        <w:tc>
          <w:tcPr>
            <w:tcW w:w="1985" w:type="dxa"/>
            <w:tcBorders>
              <w:top w:val="nil"/>
              <w:left w:val="nil"/>
              <w:bottom w:val="single" w:sz="4" w:space="0" w:color="auto"/>
              <w:right w:val="single" w:sz="8" w:space="0" w:color="auto"/>
            </w:tcBorders>
            <w:shd w:val="clear" w:color="auto" w:fill="auto"/>
            <w:vAlign w:val="center"/>
            <w:hideMark/>
          </w:tcPr>
          <w:p w14:paraId="463C29F9" w14:textId="77777777" w:rsidR="009D0E57" w:rsidRPr="0007136C" w:rsidRDefault="009D0E57" w:rsidP="009D0E57">
            <w:pPr>
              <w:jc w:val="center"/>
              <w:rPr>
                <w:sz w:val="20"/>
                <w:szCs w:val="20"/>
              </w:rPr>
            </w:pPr>
            <w:r w:rsidRPr="0007136C">
              <w:rPr>
                <w:sz w:val="20"/>
                <w:szCs w:val="20"/>
              </w:rPr>
              <w:t>Average LTS Ratio (%)</w:t>
            </w:r>
          </w:p>
        </w:tc>
      </w:tr>
      <w:tr w:rsidR="00907424" w:rsidRPr="00BF2444" w14:paraId="284A9C53" w14:textId="77777777" w:rsidTr="002D6E34">
        <w:trPr>
          <w:trHeight w:val="223"/>
        </w:trPr>
        <w:tc>
          <w:tcPr>
            <w:tcW w:w="5213" w:type="dxa"/>
            <w:tcBorders>
              <w:top w:val="nil"/>
              <w:left w:val="single" w:sz="8" w:space="0" w:color="auto"/>
              <w:bottom w:val="single" w:sz="4" w:space="0" w:color="auto"/>
              <w:right w:val="single" w:sz="4" w:space="0" w:color="auto"/>
            </w:tcBorders>
            <w:shd w:val="clear" w:color="auto" w:fill="auto"/>
            <w:noWrap/>
            <w:vAlign w:val="bottom"/>
          </w:tcPr>
          <w:p w14:paraId="13FAB4B3" w14:textId="7ABB33F9" w:rsidR="00907424" w:rsidRPr="0007136C" w:rsidRDefault="00907424" w:rsidP="00907424">
            <w:pPr>
              <w:rPr>
                <w:sz w:val="20"/>
                <w:szCs w:val="20"/>
              </w:rPr>
            </w:pPr>
            <w:r w:rsidRPr="0007136C">
              <w:rPr>
                <w:b/>
                <w:sz w:val="20"/>
                <w:szCs w:val="20"/>
              </w:rPr>
              <w:t>Naveo Credit Union</w:t>
            </w:r>
          </w:p>
        </w:tc>
        <w:tc>
          <w:tcPr>
            <w:tcW w:w="2195" w:type="dxa"/>
            <w:tcBorders>
              <w:top w:val="nil"/>
              <w:left w:val="nil"/>
              <w:bottom w:val="single" w:sz="4" w:space="0" w:color="auto"/>
              <w:right w:val="single" w:sz="4" w:space="0" w:color="auto"/>
            </w:tcBorders>
            <w:shd w:val="clear" w:color="auto" w:fill="auto"/>
            <w:noWrap/>
            <w:vAlign w:val="bottom"/>
          </w:tcPr>
          <w:p w14:paraId="13F2F60C" w14:textId="7AC5D256" w:rsidR="00907424" w:rsidRPr="0007136C" w:rsidRDefault="00907424" w:rsidP="00907424">
            <w:pPr>
              <w:jc w:val="center"/>
              <w:rPr>
                <w:sz w:val="20"/>
                <w:szCs w:val="20"/>
              </w:rPr>
            </w:pPr>
            <w:r>
              <w:rPr>
                <w:b/>
                <w:sz w:val="20"/>
                <w:szCs w:val="20"/>
              </w:rPr>
              <w:t>162,064,758</w:t>
            </w:r>
          </w:p>
        </w:tc>
        <w:tc>
          <w:tcPr>
            <w:tcW w:w="1985" w:type="dxa"/>
            <w:tcBorders>
              <w:top w:val="nil"/>
              <w:left w:val="nil"/>
              <w:bottom w:val="single" w:sz="4" w:space="0" w:color="auto"/>
              <w:right w:val="single" w:sz="8" w:space="0" w:color="auto"/>
            </w:tcBorders>
            <w:shd w:val="clear" w:color="auto" w:fill="auto"/>
            <w:noWrap/>
            <w:vAlign w:val="bottom"/>
          </w:tcPr>
          <w:p w14:paraId="6AD5D49E" w14:textId="12232940" w:rsidR="00907424" w:rsidRPr="0007136C" w:rsidRDefault="00907424" w:rsidP="00907424">
            <w:pPr>
              <w:jc w:val="center"/>
              <w:rPr>
                <w:sz w:val="20"/>
                <w:szCs w:val="20"/>
              </w:rPr>
            </w:pPr>
            <w:r>
              <w:rPr>
                <w:b/>
                <w:sz w:val="20"/>
                <w:szCs w:val="20"/>
              </w:rPr>
              <w:t>70.0</w:t>
            </w:r>
          </w:p>
        </w:tc>
      </w:tr>
      <w:tr w:rsidR="00BF2444" w:rsidRPr="00BF2444" w14:paraId="2BE1A6D5" w14:textId="77777777" w:rsidTr="002D6E34">
        <w:trPr>
          <w:trHeight w:val="223"/>
        </w:trPr>
        <w:tc>
          <w:tcPr>
            <w:tcW w:w="5213" w:type="dxa"/>
            <w:tcBorders>
              <w:top w:val="nil"/>
              <w:left w:val="single" w:sz="8" w:space="0" w:color="auto"/>
              <w:bottom w:val="single" w:sz="4" w:space="0" w:color="auto"/>
              <w:right w:val="single" w:sz="4" w:space="0" w:color="auto"/>
            </w:tcBorders>
            <w:shd w:val="clear" w:color="auto" w:fill="auto"/>
            <w:noWrap/>
            <w:vAlign w:val="bottom"/>
          </w:tcPr>
          <w:p w14:paraId="515BD76B" w14:textId="1CBEF379" w:rsidR="009D0E57" w:rsidRPr="0007136C" w:rsidRDefault="00907424" w:rsidP="009D0E57">
            <w:pPr>
              <w:rPr>
                <w:sz w:val="20"/>
                <w:szCs w:val="20"/>
              </w:rPr>
            </w:pPr>
            <w:r>
              <w:rPr>
                <w:sz w:val="20"/>
                <w:szCs w:val="20"/>
              </w:rPr>
              <w:t>River Works Credit Union</w:t>
            </w:r>
          </w:p>
        </w:tc>
        <w:tc>
          <w:tcPr>
            <w:tcW w:w="2195" w:type="dxa"/>
            <w:tcBorders>
              <w:top w:val="nil"/>
              <w:left w:val="nil"/>
              <w:bottom w:val="single" w:sz="4" w:space="0" w:color="auto"/>
              <w:right w:val="single" w:sz="4" w:space="0" w:color="auto"/>
            </w:tcBorders>
            <w:shd w:val="clear" w:color="auto" w:fill="auto"/>
            <w:noWrap/>
            <w:vAlign w:val="bottom"/>
          </w:tcPr>
          <w:p w14:paraId="4B6417B6" w14:textId="0CB157B0" w:rsidR="009D0E57" w:rsidRPr="0007136C" w:rsidRDefault="00423790" w:rsidP="009D0E57">
            <w:pPr>
              <w:jc w:val="center"/>
              <w:rPr>
                <w:sz w:val="20"/>
                <w:szCs w:val="20"/>
              </w:rPr>
            </w:pPr>
            <w:r>
              <w:rPr>
                <w:sz w:val="20"/>
                <w:szCs w:val="20"/>
              </w:rPr>
              <w:t>109,839,902</w:t>
            </w:r>
          </w:p>
        </w:tc>
        <w:tc>
          <w:tcPr>
            <w:tcW w:w="1985" w:type="dxa"/>
            <w:tcBorders>
              <w:top w:val="nil"/>
              <w:left w:val="nil"/>
              <w:bottom w:val="single" w:sz="4" w:space="0" w:color="auto"/>
              <w:right w:val="single" w:sz="8" w:space="0" w:color="auto"/>
            </w:tcBorders>
            <w:shd w:val="clear" w:color="auto" w:fill="auto"/>
            <w:noWrap/>
            <w:vAlign w:val="bottom"/>
          </w:tcPr>
          <w:p w14:paraId="59EE73E9" w14:textId="6904240D" w:rsidR="009D0E57" w:rsidRPr="0007136C" w:rsidRDefault="00423790" w:rsidP="009D0E57">
            <w:pPr>
              <w:jc w:val="center"/>
              <w:rPr>
                <w:sz w:val="20"/>
                <w:szCs w:val="20"/>
              </w:rPr>
            </w:pPr>
            <w:r>
              <w:rPr>
                <w:sz w:val="20"/>
                <w:szCs w:val="20"/>
              </w:rPr>
              <w:t>72.2</w:t>
            </w:r>
          </w:p>
        </w:tc>
      </w:tr>
      <w:tr w:rsidR="00BF2444" w:rsidRPr="00BF2444" w14:paraId="016A2BA9" w14:textId="77777777" w:rsidTr="002D6E34">
        <w:trPr>
          <w:trHeight w:val="234"/>
        </w:trPr>
        <w:tc>
          <w:tcPr>
            <w:tcW w:w="5213" w:type="dxa"/>
            <w:tcBorders>
              <w:top w:val="nil"/>
              <w:left w:val="single" w:sz="8" w:space="0" w:color="auto"/>
              <w:bottom w:val="single" w:sz="4" w:space="0" w:color="auto"/>
              <w:right w:val="single" w:sz="4" w:space="0" w:color="auto"/>
            </w:tcBorders>
            <w:shd w:val="clear" w:color="auto" w:fill="auto"/>
            <w:noWrap/>
            <w:vAlign w:val="bottom"/>
          </w:tcPr>
          <w:p w14:paraId="23AE8BA8" w14:textId="0E19F6F3" w:rsidR="009D0E57" w:rsidRPr="0007136C" w:rsidRDefault="00907424" w:rsidP="009D0E57">
            <w:pPr>
              <w:rPr>
                <w:sz w:val="20"/>
                <w:szCs w:val="20"/>
              </w:rPr>
            </w:pPr>
            <w:r>
              <w:rPr>
                <w:sz w:val="20"/>
                <w:szCs w:val="20"/>
              </w:rPr>
              <w:t>Community Credit Union of Lynn</w:t>
            </w:r>
          </w:p>
        </w:tc>
        <w:tc>
          <w:tcPr>
            <w:tcW w:w="2195" w:type="dxa"/>
            <w:tcBorders>
              <w:top w:val="nil"/>
              <w:left w:val="nil"/>
              <w:bottom w:val="single" w:sz="4" w:space="0" w:color="auto"/>
              <w:right w:val="single" w:sz="4" w:space="0" w:color="auto"/>
            </w:tcBorders>
            <w:shd w:val="clear" w:color="auto" w:fill="auto"/>
            <w:noWrap/>
            <w:vAlign w:val="bottom"/>
          </w:tcPr>
          <w:p w14:paraId="7A305FCE" w14:textId="308E2E9C" w:rsidR="009D0E57" w:rsidRPr="0007136C" w:rsidRDefault="00F57831" w:rsidP="009D0E57">
            <w:pPr>
              <w:jc w:val="center"/>
              <w:rPr>
                <w:sz w:val="20"/>
                <w:szCs w:val="20"/>
              </w:rPr>
            </w:pPr>
            <w:r>
              <w:rPr>
                <w:sz w:val="20"/>
                <w:szCs w:val="20"/>
              </w:rPr>
              <w:t>153,450,360</w:t>
            </w:r>
          </w:p>
        </w:tc>
        <w:tc>
          <w:tcPr>
            <w:tcW w:w="1985" w:type="dxa"/>
            <w:tcBorders>
              <w:top w:val="nil"/>
              <w:left w:val="nil"/>
              <w:bottom w:val="single" w:sz="4" w:space="0" w:color="auto"/>
              <w:right w:val="single" w:sz="8" w:space="0" w:color="auto"/>
            </w:tcBorders>
            <w:shd w:val="clear" w:color="auto" w:fill="auto"/>
            <w:noWrap/>
            <w:vAlign w:val="bottom"/>
          </w:tcPr>
          <w:p w14:paraId="2CD84F62" w14:textId="15112EE3" w:rsidR="009D0E57" w:rsidRPr="0007136C" w:rsidRDefault="00423790" w:rsidP="009D0E57">
            <w:pPr>
              <w:jc w:val="center"/>
              <w:rPr>
                <w:sz w:val="20"/>
                <w:szCs w:val="20"/>
              </w:rPr>
            </w:pPr>
            <w:r>
              <w:rPr>
                <w:sz w:val="20"/>
                <w:szCs w:val="20"/>
              </w:rPr>
              <w:t>93.6</w:t>
            </w:r>
          </w:p>
        </w:tc>
      </w:tr>
      <w:tr w:rsidR="00BF2444" w:rsidRPr="00BF2444" w14:paraId="19FC7783" w14:textId="77777777" w:rsidTr="002D6E34">
        <w:trPr>
          <w:trHeight w:val="234"/>
        </w:trPr>
        <w:tc>
          <w:tcPr>
            <w:tcW w:w="5213" w:type="dxa"/>
            <w:tcBorders>
              <w:top w:val="single" w:sz="8" w:space="0" w:color="auto"/>
              <w:left w:val="single" w:sz="8" w:space="0" w:color="auto"/>
              <w:bottom w:val="single" w:sz="8" w:space="0" w:color="auto"/>
              <w:right w:val="nil"/>
            </w:tcBorders>
            <w:shd w:val="clear" w:color="auto" w:fill="auto"/>
            <w:noWrap/>
            <w:vAlign w:val="bottom"/>
            <w:hideMark/>
          </w:tcPr>
          <w:p w14:paraId="6119A9B1" w14:textId="7E0E79AA" w:rsidR="009D0E57" w:rsidRPr="0007136C" w:rsidRDefault="009D0E57" w:rsidP="0007136C">
            <w:pPr>
              <w:rPr>
                <w:bCs/>
                <w:i/>
                <w:iCs/>
                <w:sz w:val="16"/>
                <w:szCs w:val="16"/>
              </w:rPr>
            </w:pPr>
            <w:r w:rsidRPr="0007136C">
              <w:rPr>
                <w:bCs/>
                <w:i/>
                <w:iCs/>
                <w:sz w:val="16"/>
                <w:szCs w:val="16"/>
              </w:rPr>
              <w:t>Source: Re</w:t>
            </w:r>
            <w:r w:rsidR="0007136C" w:rsidRPr="0007136C">
              <w:rPr>
                <w:bCs/>
                <w:i/>
                <w:iCs/>
                <w:sz w:val="16"/>
                <w:szCs w:val="16"/>
              </w:rPr>
              <w:t>ports of Income and Condition 3/31/2019</w:t>
            </w:r>
            <w:r w:rsidRPr="0007136C">
              <w:rPr>
                <w:bCs/>
                <w:i/>
                <w:iCs/>
                <w:sz w:val="16"/>
                <w:szCs w:val="16"/>
              </w:rPr>
              <w:t xml:space="preserve"> through</w:t>
            </w:r>
            <w:r w:rsidR="0007136C" w:rsidRPr="0007136C">
              <w:rPr>
                <w:bCs/>
                <w:i/>
                <w:iCs/>
                <w:sz w:val="16"/>
                <w:szCs w:val="16"/>
              </w:rPr>
              <w:t xml:space="preserve"> 12</w:t>
            </w:r>
            <w:r w:rsidRPr="0007136C">
              <w:rPr>
                <w:bCs/>
                <w:i/>
                <w:iCs/>
                <w:sz w:val="16"/>
                <w:szCs w:val="16"/>
              </w:rPr>
              <w:t>/3</w:t>
            </w:r>
            <w:r w:rsidR="0007136C" w:rsidRPr="0007136C">
              <w:rPr>
                <w:bCs/>
                <w:i/>
                <w:iCs/>
                <w:sz w:val="16"/>
                <w:szCs w:val="16"/>
              </w:rPr>
              <w:t>1</w:t>
            </w:r>
            <w:r w:rsidRPr="0007136C">
              <w:rPr>
                <w:bCs/>
                <w:i/>
                <w:iCs/>
                <w:sz w:val="16"/>
                <w:szCs w:val="16"/>
              </w:rPr>
              <w:t>/2020</w:t>
            </w:r>
          </w:p>
        </w:tc>
        <w:tc>
          <w:tcPr>
            <w:tcW w:w="219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08FC717" w14:textId="77777777" w:rsidR="009D0E57" w:rsidRPr="00660D36" w:rsidRDefault="009D0E57" w:rsidP="009D0E57">
            <w:pPr>
              <w:jc w:val="center"/>
              <w:rPr>
                <w:sz w:val="22"/>
                <w:szCs w:val="22"/>
              </w:rPr>
            </w:pP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14:paraId="16D58FDB" w14:textId="77777777" w:rsidR="009D0E57" w:rsidRPr="00660D36" w:rsidRDefault="009D0E57" w:rsidP="009D0E57">
            <w:pPr>
              <w:jc w:val="center"/>
              <w:rPr>
                <w:sz w:val="22"/>
                <w:szCs w:val="22"/>
              </w:rPr>
            </w:pPr>
          </w:p>
        </w:tc>
      </w:tr>
    </w:tbl>
    <w:p w14:paraId="0581A3DA" w14:textId="1B9223D5" w:rsidR="009D0E57" w:rsidRDefault="009D0E57" w:rsidP="009D0E57">
      <w:pPr>
        <w:outlineLvl w:val="2"/>
        <w:rPr>
          <w:b/>
          <w:bCs/>
          <w:highlight w:val="yellow"/>
          <w:u w:val="single"/>
        </w:rPr>
      </w:pPr>
    </w:p>
    <w:p w14:paraId="5A376A5B" w14:textId="77777777" w:rsidR="009D0E57" w:rsidRPr="00FB1DAC" w:rsidRDefault="009D0E57" w:rsidP="00CB5DFE">
      <w:pPr>
        <w:jc w:val="both"/>
        <w:outlineLvl w:val="2"/>
        <w:rPr>
          <w:b/>
          <w:bCs/>
          <w:u w:val="single"/>
        </w:rPr>
      </w:pPr>
      <w:r w:rsidRPr="00FB1DAC">
        <w:rPr>
          <w:b/>
          <w:bCs/>
          <w:u w:val="single"/>
        </w:rPr>
        <w:t>Assessment Area Concentration</w:t>
      </w:r>
    </w:p>
    <w:tbl>
      <w:tblPr>
        <w:tblW w:w="0" w:type="auto"/>
        <w:tblCellMar>
          <w:left w:w="0" w:type="dxa"/>
          <w:right w:w="0" w:type="dxa"/>
        </w:tblCellMar>
        <w:tblLook w:val="0000" w:firstRow="0" w:lastRow="0" w:firstColumn="0" w:lastColumn="0" w:noHBand="0" w:noVBand="0"/>
      </w:tblPr>
      <w:tblGrid>
        <w:gridCol w:w="9360"/>
      </w:tblGrid>
      <w:tr w:rsidR="00BF2444" w:rsidRPr="009A1F20" w14:paraId="388FDCFE" w14:textId="77777777" w:rsidTr="009D0E57">
        <w:tc>
          <w:tcPr>
            <w:tcW w:w="9360" w:type="dxa"/>
          </w:tcPr>
          <w:p w14:paraId="1AF80977" w14:textId="77777777" w:rsidR="009D0E57" w:rsidRPr="009A1F20" w:rsidRDefault="009D0E57" w:rsidP="00CB5DFE">
            <w:pPr>
              <w:jc w:val="both"/>
            </w:pPr>
          </w:p>
        </w:tc>
      </w:tr>
    </w:tbl>
    <w:p w14:paraId="021DD00C" w14:textId="5348956B" w:rsidR="009D0E57" w:rsidRPr="009A1F20" w:rsidRDefault="009D0E57" w:rsidP="00CB5DFE">
      <w:pPr>
        <w:jc w:val="both"/>
      </w:pPr>
      <w:r w:rsidRPr="009A1F20">
        <w:t>The credit union</w:t>
      </w:r>
      <w:r w:rsidR="00D35063" w:rsidRPr="009A1F20">
        <w:t>, overall,</w:t>
      </w:r>
      <w:r w:rsidRPr="009A1F20">
        <w:t xml:space="preserve"> </w:t>
      </w:r>
      <w:r w:rsidRPr="00EC6635">
        <w:t xml:space="preserve">made </w:t>
      </w:r>
      <w:r w:rsidR="00BF745F" w:rsidRPr="00EC6635">
        <w:t>less than</w:t>
      </w:r>
      <w:r w:rsidR="00BF745F" w:rsidRPr="00D62CAA">
        <w:t xml:space="preserve"> </w:t>
      </w:r>
      <w:r w:rsidRPr="00D62CAA">
        <w:t xml:space="preserve">a </w:t>
      </w:r>
      <w:r w:rsidR="00774FD7" w:rsidRPr="00D62CAA">
        <w:t>majority</w:t>
      </w:r>
      <w:r w:rsidRPr="00D62CAA">
        <w:t xml:space="preserve"> </w:t>
      </w:r>
      <w:r w:rsidRPr="009A1F20">
        <w:t xml:space="preserve">of </w:t>
      </w:r>
      <w:r w:rsidR="00FB1DAC" w:rsidRPr="009A1F20">
        <w:t xml:space="preserve">home mortgage </w:t>
      </w:r>
      <w:r w:rsidR="00D8763B" w:rsidRPr="009A1F20">
        <w:t>loans within its assessment area</w:t>
      </w:r>
      <w:r w:rsidR="00577130">
        <w:t xml:space="preserve"> by number</w:t>
      </w:r>
      <w:r w:rsidR="004002BD">
        <w:t xml:space="preserve">.  </w:t>
      </w:r>
      <w:r w:rsidR="00EC6635">
        <w:t>The performance</w:t>
      </w:r>
      <w:r w:rsidR="009F486F">
        <w:t xml:space="preserve"> was </w:t>
      </w:r>
      <w:r w:rsidR="00577130">
        <w:t>impacted by</w:t>
      </w:r>
      <w:r w:rsidR="009F486F">
        <w:t xml:space="preserve"> the credit union’s participation in a county-wide state-subsidized solar panel home improvement loan program</w:t>
      </w:r>
      <w:r w:rsidR="009A0187">
        <w:t xml:space="preserve"> from 2016 through </w:t>
      </w:r>
      <w:r w:rsidR="00965727">
        <w:t>2018</w:t>
      </w:r>
      <w:r w:rsidR="004002BD">
        <w:t xml:space="preserve">.  </w:t>
      </w:r>
      <w:r w:rsidR="009F486F">
        <w:t>The credit union’s l</w:t>
      </w:r>
      <w:r w:rsidR="00C74761" w:rsidRPr="009A1F20">
        <w:t>ending for</w:t>
      </w:r>
      <w:r w:rsidR="00D35063" w:rsidRPr="009A1F20">
        <w:t xml:space="preserve"> 2019 </w:t>
      </w:r>
      <w:r w:rsidR="009F486F">
        <w:t xml:space="preserve">was </w:t>
      </w:r>
      <w:r w:rsidR="00D35063" w:rsidRPr="009A1F20">
        <w:t>significantly</w:t>
      </w:r>
      <w:r w:rsidR="009F486F">
        <w:t xml:space="preserve"> higher</w:t>
      </w:r>
      <w:r w:rsidR="00D35063" w:rsidRPr="009A1F20">
        <w:t xml:space="preserve">, </w:t>
      </w:r>
      <w:r w:rsidRPr="009A1F20">
        <w:t>by number and dollar volume</w:t>
      </w:r>
      <w:r w:rsidR="00C74761" w:rsidRPr="009A1F20">
        <w:t xml:space="preserve">, </w:t>
      </w:r>
      <w:r w:rsidR="00C11597">
        <w:t>with</w:t>
      </w:r>
      <w:r w:rsidR="00C74761" w:rsidRPr="009A1F20">
        <w:t xml:space="preserve"> more than a majority inside the assessment area</w:t>
      </w:r>
      <w:r w:rsidR="004002BD">
        <w:t xml:space="preserve">.  </w:t>
      </w:r>
      <w:r w:rsidRPr="009A1F20">
        <w:t>Please see the following table for more detail.</w:t>
      </w:r>
    </w:p>
    <w:p w14:paraId="6A1A16F6" w14:textId="1773B5D7" w:rsidR="00E05FCD" w:rsidRDefault="00E05FCD" w:rsidP="00CB5DFE">
      <w:pPr>
        <w:jc w:val="both"/>
      </w:pPr>
    </w:p>
    <w:p w14:paraId="4D13C0F6" w14:textId="77777777" w:rsidR="00AE063B" w:rsidRPr="009A1F20" w:rsidRDefault="00AE063B" w:rsidP="00CB5DFE">
      <w:pPr>
        <w:jc w:val="both"/>
      </w:pPr>
    </w:p>
    <w:tbl>
      <w:tblPr>
        <w:tblW w:w="0" w:type="auto"/>
        <w:tblCellMar>
          <w:left w:w="0" w:type="dxa"/>
          <w:right w:w="0" w:type="dxa"/>
        </w:tblCellMar>
        <w:tblLook w:val="0000" w:firstRow="0" w:lastRow="0" w:firstColumn="0" w:lastColumn="0" w:noHBand="0" w:noVBand="0"/>
      </w:tblPr>
      <w:tblGrid>
        <w:gridCol w:w="1744"/>
        <w:gridCol w:w="813"/>
        <w:gridCol w:w="587"/>
        <w:gridCol w:w="821"/>
        <w:gridCol w:w="591"/>
        <w:gridCol w:w="856"/>
        <w:gridCol w:w="925"/>
        <w:gridCol w:w="587"/>
        <w:gridCol w:w="925"/>
        <w:gridCol w:w="587"/>
        <w:gridCol w:w="906"/>
      </w:tblGrid>
      <w:tr w:rsidR="00E05FCD" w14:paraId="2FC3983D" w14:textId="77777777" w:rsidTr="00D64988">
        <w:trPr>
          <w:trHeight w:val="282"/>
        </w:trPr>
        <w:tc>
          <w:tcPr>
            <w:tcW w:w="9342" w:type="dxa"/>
            <w:gridSpan w:val="11"/>
            <w:tcBorders>
              <w:top w:val="single" w:sz="7" w:space="0" w:color="000000"/>
              <w:left w:val="single" w:sz="7" w:space="0" w:color="000000"/>
              <w:right w:val="single" w:sz="7" w:space="0" w:color="000000"/>
            </w:tcBorders>
            <w:tcMar>
              <w:top w:w="39" w:type="dxa"/>
              <w:left w:w="39" w:type="dxa"/>
              <w:bottom w:w="39" w:type="dxa"/>
              <w:right w:w="39" w:type="dxa"/>
            </w:tcMar>
          </w:tcPr>
          <w:p w14:paraId="3E5DCE64" w14:textId="2CC3FDA5" w:rsidR="00E05FCD" w:rsidRDefault="00E05FCD" w:rsidP="00B16491">
            <w:pPr>
              <w:jc w:val="center"/>
            </w:pPr>
            <w:r>
              <w:rPr>
                <w:b/>
                <w:color w:val="000000"/>
                <w:sz w:val="20"/>
              </w:rPr>
              <w:lastRenderedPageBreak/>
              <w:t>Lending Inside and Outside of the Assessment Area</w:t>
            </w:r>
          </w:p>
        </w:tc>
      </w:tr>
      <w:tr w:rsidR="00E05FCD" w14:paraId="2B57E7DC" w14:textId="77777777" w:rsidTr="00D64988">
        <w:trPr>
          <w:trHeight w:val="210"/>
        </w:trPr>
        <w:tc>
          <w:tcPr>
            <w:tcW w:w="1744"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7DB421B1" w14:textId="77777777" w:rsidR="00E05FCD" w:rsidRDefault="00E05FCD" w:rsidP="00B16491"/>
        </w:tc>
        <w:tc>
          <w:tcPr>
            <w:tcW w:w="281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27D72B9" w14:textId="77777777" w:rsidR="00E05FCD" w:rsidRDefault="00E05FCD" w:rsidP="00B16491">
            <w:pPr>
              <w:jc w:val="center"/>
            </w:pPr>
            <w:r>
              <w:rPr>
                <w:b/>
                <w:color w:val="000000"/>
                <w:sz w:val="20"/>
              </w:rPr>
              <w:t>Number of Loans</w:t>
            </w:r>
          </w:p>
        </w:tc>
        <w:tc>
          <w:tcPr>
            <w:tcW w:w="856"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21A6DA95" w14:textId="77777777" w:rsidR="00E05FCD" w:rsidRDefault="00E05FCD" w:rsidP="00B16491"/>
        </w:tc>
        <w:tc>
          <w:tcPr>
            <w:tcW w:w="302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1C4287" w14:textId="77777777" w:rsidR="00E05FCD" w:rsidRDefault="00E05FCD" w:rsidP="00B16491">
            <w:pPr>
              <w:jc w:val="center"/>
            </w:pPr>
            <w:r>
              <w:rPr>
                <w:b/>
                <w:color w:val="000000"/>
                <w:sz w:val="20"/>
              </w:rPr>
              <w:t>Dollar Amount of Loans $(000s)</w:t>
            </w:r>
          </w:p>
        </w:tc>
        <w:tc>
          <w:tcPr>
            <w:tcW w:w="906"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6C30E897" w14:textId="77777777" w:rsidR="00E05FCD" w:rsidRDefault="00E05FCD" w:rsidP="00B16491"/>
        </w:tc>
      </w:tr>
      <w:tr w:rsidR="00E05FCD" w14:paraId="79714F16" w14:textId="77777777" w:rsidTr="00D64988">
        <w:trPr>
          <w:trHeight w:val="210"/>
        </w:trPr>
        <w:tc>
          <w:tcPr>
            <w:tcW w:w="1744" w:type="dxa"/>
            <w:tcBorders>
              <w:left w:val="single" w:sz="7" w:space="0" w:color="000000"/>
              <w:right w:val="single" w:sz="7" w:space="0" w:color="000000"/>
            </w:tcBorders>
            <w:tcMar>
              <w:top w:w="39" w:type="dxa"/>
              <w:left w:w="39" w:type="dxa"/>
              <w:bottom w:w="39" w:type="dxa"/>
              <w:right w:w="39" w:type="dxa"/>
            </w:tcMar>
            <w:vAlign w:val="center"/>
          </w:tcPr>
          <w:p w14:paraId="6666B843" w14:textId="77777777" w:rsidR="00E05FCD" w:rsidRDefault="00E05FCD" w:rsidP="00B16491">
            <w:r>
              <w:rPr>
                <w:b/>
                <w:color w:val="000000"/>
                <w:sz w:val="20"/>
              </w:rPr>
              <w:t>Loan Category</w:t>
            </w:r>
          </w:p>
        </w:tc>
        <w:tc>
          <w:tcPr>
            <w:tcW w:w="1400"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B7DE46" w14:textId="77777777" w:rsidR="00E05FCD" w:rsidRDefault="00E05FCD" w:rsidP="00B16491">
            <w:pPr>
              <w:jc w:val="center"/>
            </w:pPr>
            <w:r>
              <w:rPr>
                <w:b/>
                <w:color w:val="000000"/>
                <w:sz w:val="20"/>
              </w:rPr>
              <w:t>Inside</w:t>
            </w:r>
          </w:p>
        </w:tc>
        <w:tc>
          <w:tcPr>
            <w:tcW w:w="1412"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1D6E78A" w14:textId="77777777" w:rsidR="00E05FCD" w:rsidRDefault="00E05FCD" w:rsidP="00B16491">
            <w:pPr>
              <w:jc w:val="center"/>
            </w:pPr>
            <w:r>
              <w:rPr>
                <w:b/>
                <w:color w:val="000000"/>
                <w:sz w:val="20"/>
              </w:rPr>
              <w:t>Outside</w:t>
            </w:r>
          </w:p>
        </w:tc>
        <w:tc>
          <w:tcPr>
            <w:tcW w:w="856" w:type="dxa"/>
            <w:tcBorders>
              <w:left w:val="single" w:sz="7" w:space="0" w:color="000000"/>
              <w:right w:val="single" w:sz="7" w:space="0" w:color="000000"/>
            </w:tcBorders>
            <w:tcMar>
              <w:top w:w="0" w:type="dxa"/>
              <w:left w:w="39" w:type="dxa"/>
              <w:bottom w:w="39" w:type="dxa"/>
              <w:right w:w="39" w:type="dxa"/>
            </w:tcMar>
          </w:tcPr>
          <w:p w14:paraId="0C7D773F" w14:textId="77777777" w:rsidR="00E05FCD" w:rsidRDefault="00E05FCD" w:rsidP="00B16491">
            <w:pPr>
              <w:jc w:val="center"/>
            </w:pPr>
            <w:r>
              <w:rPr>
                <w:b/>
                <w:color w:val="000000"/>
                <w:sz w:val="20"/>
              </w:rPr>
              <w:t>Total</w:t>
            </w:r>
          </w:p>
        </w:tc>
        <w:tc>
          <w:tcPr>
            <w:tcW w:w="1512"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45464C2" w14:textId="77777777" w:rsidR="00E05FCD" w:rsidRDefault="00E05FCD" w:rsidP="00B16491">
            <w:pPr>
              <w:jc w:val="center"/>
            </w:pPr>
            <w:r>
              <w:rPr>
                <w:b/>
                <w:color w:val="000000"/>
                <w:sz w:val="20"/>
              </w:rPr>
              <w:t>Inside</w:t>
            </w:r>
          </w:p>
        </w:tc>
        <w:tc>
          <w:tcPr>
            <w:tcW w:w="1512"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4AA3B25" w14:textId="77777777" w:rsidR="00E05FCD" w:rsidRDefault="00E05FCD" w:rsidP="00B16491">
            <w:pPr>
              <w:jc w:val="center"/>
            </w:pPr>
            <w:r>
              <w:rPr>
                <w:b/>
                <w:color w:val="000000"/>
                <w:sz w:val="20"/>
              </w:rPr>
              <w:t>Outside</w:t>
            </w:r>
          </w:p>
        </w:tc>
        <w:tc>
          <w:tcPr>
            <w:tcW w:w="906" w:type="dxa"/>
            <w:tcBorders>
              <w:left w:val="single" w:sz="7" w:space="0" w:color="000000"/>
              <w:right w:val="single" w:sz="7" w:space="0" w:color="000000"/>
            </w:tcBorders>
            <w:tcMar>
              <w:top w:w="0" w:type="dxa"/>
              <w:left w:w="39" w:type="dxa"/>
              <w:bottom w:w="39" w:type="dxa"/>
              <w:right w:w="39" w:type="dxa"/>
            </w:tcMar>
          </w:tcPr>
          <w:p w14:paraId="41ABDE05" w14:textId="77777777" w:rsidR="00E05FCD" w:rsidRDefault="00E05FCD" w:rsidP="00B16491">
            <w:pPr>
              <w:jc w:val="center"/>
            </w:pPr>
            <w:r>
              <w:rPr>
                <w:b/>
                <w:color w:val="000000"/>
                <w:sz w:val="20"/>
              </w:rPr>
              <w:t>Total</w:t>
            </w:r>
          </w:p>
        </w:tc>
      </w:tr>
      <w:tr w:rsidR="00E05FCD" w14:paraId="6463C5C2" w14:textId="77777777" w:rsidTr="00D64988">
        <w:trPr>
          <w:trHeight w:val="210"/>
        </w:trPr>
        <w:tc>
          <w:tcPr>
            <w:tcW w:w="1744"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0AF40711" w14:textId="77777777" w:rsidR="00E05FCD" w:rsidRDefault="00E05FCD" w:rsidP="00B16491"/>
        </w:tc>
        <w:tc>
          <w:tcPr>
            <w:tcW w:w="8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EBFC542" w14:textId="77777777" w:rsidR="00E05FCD" w:rsidRDefault="00E05FCD" w:rsidP="00B16491">
            <w:pPr>
              <w:jc w:val="center"/>
            </w:pPr>
            <w:r>
              <w:rPr>
                <w:b/>
                <w:color w:val="000000"/>
                <w:sz w:val="20"/>
              </w:rPr>
              <w:t>#</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FF43A7" w14:textId="77777777" w:rsidR="00E05FCD" w:rsidRDefault="00E05FCD" w:rsidP="00B16491">
            <w:pPr>
              <w:jc w:val="center"/>
            </w:pPr>
            <w:r>
              <w:rPr>
                <w:b/>
                <w:color w:val="000000"/>
                <w:sz w:val="20"/>
              </w:rPr>
              <w:t>%</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4D32CDE" w14:textId="77777777" w:rsidR="00E05FCD" w:rsidRDefault="00E05FCD" w:rsidP="00B16491">
            <w:pPr>
              <w:jc w:val="center"/>
            </w:pPr>
            <w:r>
              <w:rPr>
                <w:b/>
                <w:color w:val="000000"/>
                <w:sz w:val="20"/>
              </w:rPr>
              <w:t>#</w:t>
            </w:r>
          </w:p>
        </w:tc>
        <w:tc>
          <w:tcPr>
            <w:tcW w:w="5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46D1A44" w14:textId="77777777" w:rsidR="00E05FCD" w:rsidRDefault="00E05FCD" w:rsidP="00B16491">
            <w:pPr>
              <w:jc w:val="center"/>
            </w:pPr>
            <w:r>
              <w:rPr>
                <w:b/>
                <w:color w:val="000000"/>
                <w:sz w:val="20"/>
              </w:rPr>
              <w:t>%</w:t>
            </w:r>
          </w:p>
        </w:tc>
        <w:tc>
          <w:tcPr>
            <w:tcW w:w="856" w:type="dxa"/>
            <w:tcBorders>
              <w:left w:val="single" w:sz="7" w:space="0" w:color="000000"/>
              <w:bottom w:val="single" w:sz="7" w:space="0" w:color="000000"/>
              <w:right w:val="single" w:sz="7" w:space="0" w:color="000000"/>
            </w:tcBorders>
            <w:tcMar>
              <w:top w:w="0" w:type="dxa"/>
              <w:left w:w="39" w:type="dxa"/>
              <w:bottom w:w="39" w:type="dxa"/>
              <w:right w:w="39" w:type="dxa"/>
            </w:tcMar>
          </w:tcPr>
          <w:p w14:paraId="08955F79" w14:textId="77777777" w:rsidR="00E05FCD" w:rsidRDefault="00E05FCD" w:rsidP="00B16491">
            <w:pPr>
              <w:jc w:val="center"/>
            </w:pPr>
            <w:r>
              <w:rPr>
                <w:b/>
                <w:color w:val="000000"/>
                <w:sz w:val="20"/>
              </w:rPr>
              <w:t>#</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57C6458" w14:textId="77777777" w:rsidR="00E05FCD" w:rsidRDefault="00E05FCD" w:rsidP="00B16491">
            <w:pPr>
              <w:jc w:val="center"/>
            </w:pPr>
            <w:r>
              <w:rPr>
                <w:b/>
                <w:color w:val="000000"/>
                <w:sz w:val="20"/>
              </w:rPr>
              <w:t>$</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22776E" w14:textId="77777777" w:rsidR="00E05FCD" w:rsidRDefault="00E05FCD" w:rsidP="00B16491">
            <w:pPr>
              <w:jc w:val="center"/>
            </w:pPr>
            <w:r>
              <w:rPr>
                <w:b/>
                <w:color w:val="000000"/>
                <w:sz w:val="20"/>
              </w:rPr>
              <w:t>%</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54CB3A4" w14:textId="77777777" w:rsidR="00E05FCD" w:rsidRDefault="00E05FCD" w:rsidP="00B16491">
            <w:pPr>
              <w:jc w:val="center"/>
            </w:pPr>
            <w:r>
              <w:rPr>
                <w:b/>
                <w:color w:val="000000"/>
                <w:sz w:val="20"/>
              </w:rPr>
              <w:t>$</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A947E03" w14:textId="77777777" w:rsidR="00E05FCD" w:rsidRDefault="00E05FCD" w:rsidP="00B16491">
            <w:pPr>
              <w:jc w:val="center"/>
            </w:pPr>
            <w:r>
              <w:rPr>
                <w:b/>
                <w:color w:val="000000"/>
                <w:sz w:val="20"/>
              </w:rPr>
              <w:t>%</w:t>
            </w:r>
          </w:p>
        </w:tc>
        <w:tc>
          <w:tcPr>
            <w:tcW w:w="906" w:type="dxa"/>
            <w:tcBorders>
              <w:left w:val="single" w:sz="7" w:space="0" w:color="000000"/>
              <w:bottom w:val="single" w:sz="7" w:space="0" w:color="000000"/>
              <w:right w:val="single" w:sz="7" w:space="0" w:color="000000"/>
            </w:tcBorders>
            <w:tcMar>
              <w:top w:w="0" w:type="dxa"/>
              <w:left w:w="39" w:type="dxa"/>
              <w:bottom w:w="39" w:type="dxa"/>
              <w:right w:w="39" w:type="dxa"/>
            </w:tcMar>
          </w:tcPr>
          <w:p w14:paraId="4DB2EE10" w14:textId="77777777" w:rsidR="00E05FCD" w:rsidRDefault="00E05FCD" w:rsidP="00B16491">
            <w:pPr>
              <w:jc w:val="center"/>
            </w:pPr>
            <w:r>
              <w:rPr>
                <w:b/>
                <w:color w:val="000000"/>
                <w:sz w:val="20"/>
              </w:rPr>
              <w:t>$(000s)</w:t>
            </w:r>
          </w:p>
        </w:tc>
      </w:tr>
      <w:tr w:rsidR="00E05FCD" w14:paraId="03C69B76" w14:textId="77777777" w:rsidTr="00D64988">
        <w:trPr>
          <w:trHeight w:val="210"/>
        </w:trPr>
        <w:tc>
          <w:tcPr>
            <w:tcW w:w="17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A69D88" w14:textId="77777777" w:rsidR="00E05FCD" w:rsidRDefault="00E05FCD" w:rsidP="00B16491">
            <w:r>
              <w:rPr>
                <w:color w:val="000000"/>
                <w:sz w:val="20"/>
              </w:rPr>
              <w:t>Home Mortgage</w:t>
            </w:r>
          </w:p>
        </w:tc>
        <w:tc>
          <w:tcPr>
            <w:tcW w:w="7598"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F6667D" w14:textId="77777777" w:rsidR="00E05FCD" w:rsidRDefault="00E05FCD" w:rsidP="00B16491"/>
        </w:tc>
      </w:tr>
      <w:tr w:rsidR="00E05FCD" w14:paraId="536E36CA" w14:textId="77777777" w:rsidTr="00D64988">
        <w:trPr>
          <w:trHeight w:val="181"/>
        </w:trPr>
        <w:tc>
          <w:tcPr>
            <w:tcW w:w="17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546AD5E" w14:textId="77777777" w:rsidR="00E05FCD" w:rsidRDefault="00E05FCD" w:rsidP="00B16491">
            <w:pPr>
              <w:jc w:val="right"/>
            </w:pPr>
            <w:r>
              <w:rPr>
                <w:color w:val="000000"/>
                <w:sz w:val="20"/>
              </w:rPr>
              <w:t>2018</w:t>
            </w:r>
          </w:p>
        </w:tc>
        <w:tc>
          <w:tcPr>
            <w:tcW w:w="8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5F57F" w14:textId="77777777" w:rsidR="00E05FCD" w:rsidRDefault="00E05FCD" w:rsidP="00B16491">
            <w:pPr>
              <w:jc w:val="center"/>
            </w:pPr>
            <w:r>
              <w:rPr>
                <w:color w:val="000000"/>
                <w:sz w:val="20"/>
              </w:rPr>
              <w:t>14</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7D6D6" w14:textId="77777777" w:rsidR="00E05FCD" w:rsidRDefault="00E05FCD" w:rsidP="00B16491">
            <w:pPr>
              <w:jc w:val="center"/>
            </w:pPr>
            <w:r>
              <w:rPr>
                <w:color w:val="000000"/>
                <w:sz w:val="20"/>
              </w:rPr>
              <w:t>23.0</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9B771" w14:textId="77777777" w:rsidR="00E05FCD" w:rsidRDefault="00E05FCD" w:rsidP="00B16491">
            <w:pPr>
              <w:jc w:val="center"/>
            </w:pPr>
            <w:r>
              <w:rPr>
                <w:color w:val="000000"/>
                <w:sz w:val="20"/>
              </w:rPr>
              <w:t>47</w:t>
            </w:r>
          </w:p>
        </w:tc>
        <w:tc>
          <w:tcPr>
            <w:tcW w:w="5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5F52DF" w14:textId="77777777" w:rsidR="00E05FCD" w:rsidRDefault="00E05FCD" w:rsidP="00B16491">
            <w:pPr>
              <w:jc w:val="center"/>
            </w:pPr>
            <w:r>
              <w:rPr>
                <w:color w:val="000000"/>
                <w:sz w:val="20"/>
              </w:rPr>
              <w:t>77.0</w:t>
            </w:r>
          </w:p>
        </w:tc>
        <w:tc>
          <w:tcPr>
            <w:tcW w:w="8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B39B6" w14:textId="77777777" w:rsidR="00E05FCD" w:rsidRDefault="00E05FCD" w:rsidP="00B16491">
            <w:pPr>
              <w:jc w:val="center"/>
            </w:pPr>
            <w:r>
              <w:rPr>
                <w:color w:val="000000"/>
                <w:sz w:val="20"/>
              </w:rPr>
              <w:t>61</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1C8F7" w14:textId="77777777" w:rsidR="00E05FCD" w:rsidRDefault="00E05FCD" w:rsidP="00B16491">
            <w:pPr>
              <w:jc w:val="center"/>
            </w:pPr>
            <w:r>
              <w:rPr>
                <w:color w:val="000000"/>
                <w:sz w:val="20"/>
              </w:rPr>
              <w:t>6,364</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7A15E" w14:textId="77777777" w:rsidR="00E05FCD" w:rsidRDefault="00E05FCD" w:rsidP="00B16491">
            <w:pPr>
              <w:jc w:val="center"/>
            </w:pPr>
            <w:r>
              <w:rPr>
                <w:color w:val="000000"/>
                <w:sz w:val="20"/>
              </w:rPr>
              <w:t>36.2</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2673BC" w14:textId="77777777" w:rsidR="00E05FCD" w:rsidRDefault="00E05FCD" w:rsidP="00B16491">
            <w:pPr>
              <w:jc w:val="center"/>
            </w:pPr>
            <w:r>
              <w:rPr>
                <w:color w:val="000000"/>
                <w:sz w:val="20"/>
              </w:rPr>
              <w:t>11,202</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2ABF2" w14:textId="77777777" w:rsidR="00E05FCD" w:rsidRDefault="00E05FCD" w:rsidP="00B16491">
            <w:pPr>
              <w:jc w:val="center"/>
            </w:pPr>
            <w:r>
              <w:rPr>
                <w:color w:val="000000"/>
                <w:sz w:val="20"/>
              </w:rPr>
              <w:t>63.8</w:t>
            </w:r>
          </w:p>
        </w:tc>
        <w:tc>
          <w:tcPr>
            <w:tcW w:w="9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B22AE" w14:textId="77777777" w:rsidR="00E05FCD" w:rsidRDefault="00E05FCD" w:rsidP="00B16491">
            <w:pPr>
              <w:jc w:val="center"/>
            </w:pPr>
            <w:r>
              <w:rPr>
                <w:color w:val="000000"/>
                <w:sz w:val="20"/>
              </w:rPr>
              <w:t>17,567</w:t>
            </w:r>
          </w:p>
        </w:tc>
      </w:tr>
      <w:tr w:rsidR="00E05FCD" w14:paraId="1A190BB8" w14:textId="77777777" w:rsidTr="00D64988">
        <w:trPr>
          <w:trHeight w:val="181"/>
        </w:trPr>
        <w:tc>
          <w:tcPr>
            <w:tcW w:w="174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638CB75" w14:textId="77777777" w:rsidR="00E05FCD" w:rsidRDefault="00E05FCD" w:rsidP="00B16491">
            <w:pPr>
              <w:jc w:val="right"/>
            </w:pPr>
            <w:r>
              <w:rPr>
                <w:color w:val="000000"/>
                <w:sz w:val="20"/>
              </w:rPr>
              <w:t>2019</w:t>
            </w:r>
          </w:p>
        </w:tc>
        <w:tc>
          <w:tcPr>
            <w:tcW w:w="8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22CCF" w14:textId="77777777" w:rsidR="00E05FCD" w:rsidRDefault="00E05FCD" w:rsidP="00B16491">
            <w:pPr>
              <w:jc w:val="center"/>
            </w:pPr>
            <w:r>
              <w:rPr>
                <w:color w:val="000000"/>
                <w:sz w:val="20"/>
              </w:rPr>
              <w:t>37</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DCADA" w14:textId="77777777" w:rsidR="00E05FCD" w:rsidRDefault="00E05FCD" w:rsidP="00B16491">
            <w:pPr>
              <w:jc w:val="center"/>
            </w:pPr>
            <w:r>
              <w:rPr>
                <w:color w:val="000000"/>
                <w:sz w:val="20"/>
              </w:rPr>
              <w:t>61.7</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BFC3E" w14:textId="77777777" w:rsidR="00E05FCD" w:rsidRDefault="00E05FCD" w:rsidP="00B16491">
            <w:pPr>
              <w:jc w:val="center"/>
            </w:pPr>
            <w:r>
              <w:rPr>
                <w:color w:val="000000"/>
                <w:sz w:val="20"/>
              </w:rPr>
              <w:t>23</w:t>
            </w:r>
          </w:p>
        </w:tc>
        <w:tc>
          <w:tcPr>
            <w:tcW w:w="5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8917E" w14:textId="77777777" w:rsidR="00E05FCD" w:rsidRDefault="00E05FCD" w:rsidP="00B16491">
            <w:pPr>
              <w:jc w:val="center"/>
            </w:pPr>
            <w:r>
              <w:rPr>
                <w:color w:val="000000"/>
                <w:sz w:val="20"/>
              </w:rPr>
              <w:t>38.3</w:t>
            </w:r>
          </w:p>
        </w:tc>
        <w:tc>
          <w:tcPr>
            <w:tcW w:w="8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266BD" w14:textId="77777777" w:rsidR="00E05FCD" w:rsidRDefault="00E05FCD" w:rsidP="00B16491">
            <w:pPr>
              <w:jc w:val="center"/>
            </w:pPr>
            <w:r>
              <w:rPr>
                <w:color w:val="000000"/>
                <w:sz w:val="20"/>
              </w:rPr>
              <w:t>60</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C43F1" w14:textId="77777777" w:rsidR="00E05FCD" w:rsidRDefault="00E05FCD" w:rsidP="00B16491">
            <w:pPr>
              <w:jc w:val="center"/>
            </w:pPr>
            <w:r>
              <w:rPr>
                <w:color w:val="000000"/>
                <w:sz w:val="20"/>
              </w:rPr>
              <w:t>13,179</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B741E1" w14:textId="77777777" w:rsidR="00E05FCD" w:rsidRDefault="00E05FCD" w:rsidP="00B16491">
            <w:pPr>
              <w:jc w:val="center"/>
            </w:pPr>
            <w:r>
              <w:rPr>
                <w:color w:val="000000"/>
                <w:sz w:val="20"/>
              </w:rPr>
              <w:t>66.8</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671999" w14:textId="77777777" w:rsidR="00E05FCD" w:rsidRDefault="00E05FCD" w:rsidP="00B16491">
            <w:pPr>
              <w:jc w:val="center"/>
            </w:pPr>
            <w:r>
              <w:rPr>
                <w:color w:val="000000"/>
                <w:sz w:val="20"/>
              </w:rPr>
              <w:t>6,551</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DD9A7" w14:textId="77777777" w:rsidR="00E05FCD" w:rsidRDefault="00E05FCD" w:rsidP="00B16491">
            <w:pPr>
              <w:jc w:val="center"/>
            </w:pPr>
            <w:r>
              <w:rPr>
                <w:color w:val="000000"/>
                <w:sz w:val="20"/>
              </w:rPr>
              <w:t>33.2</w:t>
            </w:r>
          </w:p>
        </w:tc>
        <w:tc>
          <w:tcPr>
            <w:tcW w:w="9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A391B1" w14:textId="77777777" w:rsidR="00E05FCD" w:rsidRDefault="00E05FCD" w:rsidP="00B16491">
            <w:pPr>
              <w:jc w:val="center"/>
            </w:pPr>
            <w:r>
              <w:rPr>
                <w:color w:val="000000"/>
                <w:sz w:val="20"/>
              </w:rPr>
              <w:t>19,730</w:t>
            </w:r>
          </w:p>
        </w:tc>
      </w:tr>
      <w:tr w:rsidR="00E05FCD" w14:paraId="724B6A66" w14:textId="77777777" w:rsidTr="00D64988">
        <w:trPr>
          <w:trHeight w:val="210"/>
        </w:trPr>
        <w:tc>
          <w:tcPr>
            <w:tcW w:w="17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CB45DA" w14:textId="77777777" w:rsidR="00E05FCD" w:rsidRDefault="00E05FCD" w:rsidP="00B16491">
            <w:r>
              <w:rPr>
                <w:b/>
                <w:color w:val="000000"/>
                <w:sz w:val="20"/>
              </w:rPr>
              <w:t>Total</w:t>
            </w:r>
          </w:p>
        </w:tc>
        <w:tc>
          <w:tcPr>
            <w:tcW w:w="8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3ACE4" w14:textId="77777777" w:rsidR="00E05FCD" w:rsidRDefault="00E05FCD" w:rsidP="00B16491">
            <w:pPr>
              <w:jc w:val="center"/>
            </w:pPr>
            <w:r>
              <w:rPr>
                <w:b/>
                <w:color w:val="000000"/>
                <w:sz w:val="20"/>
              </w:rPr>
              <w:t>51</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C617F" w14:textId="77777777" w:rsidR="00E05FCD" w:rsidRDefault="00E05FCD" w:rsidP="00B16491">
            <w:pPr>
              <w:jc w:val="center"/>
            </w:pPr>
            <w:r>
              <w:rPr>
                <w:b/>
                <w:color w:val="000000"/>
                <w:sz w:val="20"/>
              </w:rPr>
              <w:t>42.1</w:t>
            </w:r>
          </w:p>
        </w:tc>
        <w:tc>
          <w:tcPr>
            <w:tcW w:w="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52798" w14:textId="77777777" w:rsidR="00E05FCD" w:rsidRDefault="00E05FCD" w:rsidP="00B16491">
            <w:pPr>
              <w:jc w:val="center"/>
            </w:pPr>
            <w:r>
              <w:rPr>
                <w:b/>
                <w:color w:val="000000"/>
                <w:sz w:val="20"/>
              </w:rPr>
              <w:t>70</w:t>
            </w:r>
          </w:p>
        </w:tc>
        <w:tc>
          <w:tcPr>
            <w:tcW w:w="5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CBF9E" w14:textId="77777777" w:rsidR="00E05FCD" w:rsidRDefault="00E05FCD" w:rsidP="00B16491">
            <w:pPr>
              <w:jc w:val="center"/>
            </w:pPr>
            <w:r>
              <w:rPr>
                <w:b/>
                <w:color w:val="000000"/>
                <w:sz w:val="20"/>
              </w:rPr>
              <w:t>57.9</w:t>
            </w:r>
          </w:p>
        </w:tc>
        <w:tc>
          <w:tcPr>
            <w:tcW w:w="8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00297" w14:textId="77777777" w:rsidR="00E05FCD" w:rsidRDefault="00E05FCD" w:rsidP="00B16491">
            <w:pPr>
              <w:jc w:val="center"/>
            </w:pPr>
            <w:r>
              <w:rPr>
                <w:b/>
                <w:color w:val="000000"/>
                <w:sz w:val="20"/>
              </w:rPr>
              <w:t>121</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102DCE" w14:textId="77777777" w:rsidR="00E05FCD" w:rsidRDefault="00E05FCD" w:rsidP="00B16491">
            <w:pPr>
              <w:jc w:val="center"/>
            </w:pPr>
            <w:r>
              <w:rPr>
                <w:b/>
                <w:color w:val="000000"/>
                <w:sz w:val="20"/>
              </w:rPr>
              <w:t>19,543</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9EE3C" w14:textId="77777777" w:rsidR="00E05FCD" w:rsidRDefault="00E05FCD" w:rsidP="00B16491">
            <w:pPr>
              <w:jc w:val="center"/>
            </w:pPr>
            <w:r>
              <w:rPr>
                <w:b/>
                <w:color w:val="000000"/>
                <w:sz w:val="20"/>
              </w:rPr>
              <w:t>52.4</w:t>
            </w:r>
          </w:p>
        </w:tc>
        <w:tc>
          <w:tcPr>
            <w:tcW w:w="9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548B0" w14:textId="77777777" w:rsidR="00E05FCD" w:rsidRDefault="00E05FCD" w:rsidP="00B16491">
            <w:pPr>
              <w:jc w:val="center"/>
            </w:pPr>
            <w:r>
              <w:rPr>
                <w:b/>
                <w:color w:val="000000"/>
                <w:sz w:val="20"/>
              </w:rPr>
              <w:t>17,753</w:t>
            </w:r>
          </w:p>
        </w:tc>
        <w:tc>
          <w:tcPr>
            <w:tcW w:w="5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2806C" w14:textId="77777777" w:rsidR="00E05FCD" w:rsidRDefault="00E05FCD" w:rsidP="00B16491">
            <w:pPr>
              <w:jc w:val="center"/>
            </w:pPr>
            <w:r>
              <w:rPr>
                <w:b/>
                <w:color w:val="000000"/>
                <w:sz w:val="20"/>
              </w:rPr>
              <w:t>47.6</w:t>
            </w:r>
          </w:p>
        </w:tc>
        <w:tc>
          <w:tcPr>
            <w:tcW w:w="9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58C13" w14:textId="77777777" w:rsidR="00E05FCD" w:rsidRDefault="00E05FCD" w:rsidP="00B16491">
            <w:pPr>
              <w:jc w:val="center"/>
            </w:pPr>
            <w:r>
              <w:rPr>
                <w:b/>
                <w:color w:val="000000"/>
                <w:sz w:val="20"/>
              </w:rPr>
              <w:t>37,296</w:t>
            </w:r>
          </w:p>
        </w:tc>
      </w:tr>
      <w:tr w:rsidR="00E05FCD" w14:paraId="683462D7" w14:textId="77777777" w:rsidTr="002D6E34">
        <w:trPr>
          <w:trHeight w:val="194"/>
        </w:trPr>
        <w:tc>
          <w:tcPr>
            <w:tcW w:w="9342" w:type="dxa"/>
            <w:gridSpan w:val="11"/>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25E54929" w14:textId="0B9E9D4D" w:rsidR="00E05FCD" w:rsidRDefault="00E05FCD" w:rsidP="002D6E34">
            <w:r>
              <w:rPr>
                <w:i/>
                <w:color w:val="000000"/>
                <w:sz w:val="16"/>
              </w:rPr>
              <w:t xml:space="preserve">Source: </w:t>
            </w:r>
            <w:r w:rsidR="00AF3D0A">
              <w:rPr>
                <w:i/>
                <w:color w:val="000000"/>
                <w:sz w:val="16"/>
              </w:rPr>
              <w:t>Credit Union Data</w:t>
            </w:r>
            <w:r w:rsidR="002D6E34">
              <w:rPr>
                <w:i/>
                <w:color w:val="000000"/>
                <w:sz w:val="16"/>
              </w:rPr>
              <w:t xml:space="preserve">; </w:t>
            </w:r>
            <w:r>
              <w:rPr>
                <w:i/>
                <w:color w:val="000000"/>
                <w:sz w:val="16"/>
              </w:rPr>
              <w:t>Due to rounding, totals may not equal 100.0%</w:t>
            </w:r>
          </w:p>
        </w:tc>
      </w:tr>
    </w:tbl>
    <w:p w14:paraId="00D6E3C5" w14:textId="7B051B14" w:rsidR="00E05FCD" w:rsidRDefault="00E05FCD" w:rsidP="009D0E57">
      <w:pPr>
        <w:ind w:right="-270"/>
        <w:rPr>
          <w:color w:val="FF0000"/>
        </w:rPr>
      </w:pPr>
    </w:p>
    <w:p w14:paraId="205537B5" w14:textId="77777777" w:rsidR="009D0E57" w:rsidRPr="00D467AD" w:rsidRDefault="009D0E57" w:rsidP="002D6E34">
      <w:pPr>
        <w:jc w:val="both"/>
        <w:rPr>
          <w:b/>
          <w:bCs/>
          <w:u w:val="single"/>
        </w:rPr>
      </w:pPr>
      <w:r w:rsidRPr="00D467AD">
        <w:rPr>
          <w:b/>
          <w:bCs/>
          <w:u w:val="single"/>
        </w:rPr>
        <w:t>Geographic Distribution</w:t>
      </w:r>
    </w:p>
    <w:p w14:paraId="0046D431" w14:textId="77777777" w:rsidR="009D0E57" w:rsidRPr="00D467AD" w:rsidRDefault="009D0E57" w:rsidP="002D6E34">
      <w:pPr>
        <w:jc w:val="both"/>
        <w:rPr>
          <w:b/>
          <w:bCs/>
          <w:u w:val="single"/>
        </w:rPr>
      </w:pPr>
    </w:p>
    <w:p w14:paraId="384704D3" w14:textId="65833404" w:rsidR="009D0E57" w:rsidRPr="008574EE" w:rsidRDefault="009D0E57" w:rsidP="002D6E34">
      <w:pPr>
        <w:jc w:val="both"/>
      </w:pPr>
      <w:r w:rsidRPr="00D467AD">
        <w:t xml:space="preserve">Considering the credit union’s assessment area demographics, aggregate data, and performance context factors, the distribution of home mortgage loans </w:t>
      </w:r>
      <w:r w:rsidRPr="004F2F22">
        <w:t xml:space="preserve">shows </w:t>
      </w:r>
      <w:r w:rsidR="00550F0A" w:rsidRPr="004F2F22">
        <w:t>good</w:t>
      </w:r>
      <w:r w:rsidRPr="004F2F22">
        <w:t xml:space="preserve"> </w:t>
      </w:r>
      <w:r w:rsidR="00790E9C" w:rsidRPr="004F2F22">
        <w:t>dispersion</w:t>
      </w:r>
      <w:r w:rsidRPr="004F2F22">
        <w:t xml:space="preserve"> </w:t>
      </w:r>
      <w:r w:rsidRPr="00D467AD">
        <w:t xml:space="preserve">in the low- </w:t>
      </w:r>
      <w:r w:rsidRPr="008574EE">
        <w:t>and moderate-income geographies</w:t>
      </w:r>
      <w:r w:rsidR="004002BD">
        <w:t xml:space="preserve">.  </w:t>
      </w:r>
    </w:p>
    <w:p w14:paraId="1790EA83" w14:textId="77777777" w:rsidR="009D0E57" w:rsidRPr="008574EE" w:rsidRDefault="009D0E57" w:rsidP="002D6E34">
      <w:pPr>
        <w:jc w:val="both"/>
      </w:pPr>
    </w:p>
    <w:p w14:paraId="68386809" w14:textId="0A250601" w:rsidR="00877F63" w:rsidRPr="008574EE" w:rsidRDefault="009D0E57" w:rsidP="002D6E34">
      <w:pPr>
        <w:jc w:val="both"/>
      </w:pPr>
      <w:r w:rsidRPr="008574EE">
        <w:t>The following table shows the credit union’s lending in l</w:t>
      </w:r>
      <w:r w:rsidR="00877F63" w:rsidRPr="008574EE">
        <w:t>ow-income census tracts was</w:t>
      </w:r>
      <w:r w:rsidRPr="008574EE">
        <w:t xml:space="preserve"> below aggregate performance </w:t>
      </w:r>
      <w:r w:rsidR="008574EE" w:rsidRPr="008574EE">
        <w:t>and</w:t>
      </w:r>
      <w:r w:rsidRPr="008574EE">
        <w:t xml:space="preserve"> the percentage of owner-occupied housing units in 2018 and 2019</w:t>
      </w:r>
      <w:r w:rsidR="004002BD">
        <w:t xml:space="preserve">.  </w:t>
      </w:r>
      <w:r w:rsidRPr="008574EE">
        <w:t xml:space="preserve">Lending in low-income tracts increased </w:t>
      </w:r>
      <w:r w:rsidR="008574EE" w:rsidRPr="008574EE">
        <w:t>modestly</w:t>
      </w:r>
      <w:r w:rsidRPr="008574EE">
        <w:t xml:space="preserve"> by number and percentage in 2019</w:t>
      </w:r>
      <w:r w:rsidR="004002BD">
        <w:t xml:space="preserve">.  </w:t>
      </w:r>
    </w:p>
    <w:p w14:paraId="3F79FF2E" w14:textId="77777777" w:rsidR="00877F63" w:rsidRPr="00550F0A" w:rsidRDefault="00877F63" w:rsidP="002D6E34">
      <w:pPr>
        <w:jc w:val="both"/>
      </w:pPr>
    </w:p>
    <w:p w14:paraId="53E411FB" w14:textId="1E9BC89F" w:rsidR="00D8763B" w:rsidRPr="00AC5DE1" w:rsidRDefault="009D0E57" w:rsidP="002D6E34">
      <w:pPr>
        <w:jc w:val="both"/>
      </w:pPr>
      <w:r w:rsidRPr="00550F0A">
        <w:t xml:space="preserve">The credit union’s lending in moderate-income census tracts </w:t>
      </w:r>
      <w:r w:rsidR="008574EE" w:rsidRPr="00550F0A">
        <w:t xml:space="preserve">was </w:t>
      </w:r>
      <w:r w:rsidR="00550F0A" w:rsidRPr="00550F0A">
        <w:t>above</w:t>
      </w:r>
      <w:r w:rsidR="00877F63" w:rsidRPr="00550F0A">
        <w:t xml:space="preserve"> aggregate </w:t>
      </w:r>
      <w:r w:rsidR="00877F63" w:rsidRPr="00AC5DE1">
        <w:t xml:space="preserve">and </w:t>
      </w:r>
      <w:r w:rsidR="00550F0A" w:rsidRPr="00AC5DE1">
        <w:t>demographic data in 2018</w:t>
      </w:r>
      <w:r w:rsidR="004002BD">
        <w:t xml:space="preserve">.  </w:t>
      </w:r>
      <w:r w:rsidR="00877F63" w:rsidRPr="00AC5DE1">
        <w:t xml:space="preserve">Lending </w:t>
      </w:r>
      <w:r w:rsidR="00651A38" w:rsidRPr="00AC5DE1">
        <w:t xml:space="preserve">increased </w:t>
      </w:r>
      <w:r w:rsidR="00550F0A" w:rsidRPr="00AC5DE1">
        <w:t>in 2019</w:t>
      </w:r>
      <w:r w:rsidR="00651A38" w:rsidRPr="00AC5DE1">
        <w:t xml:space="preserve"> </w:t>
      </w:r>
      <w:r w:rsidR="00550F0A" w:rsidRPr="00AC5DE1">
        <w:t>and exceed</w:t>
      </w:r>
      <w:r w:rsidR="00A87FFB" w:rsidRPr="00AC5DE1">
        <w:t>ed</w:t>
      </w:r>
      <w:r w:rsidR="00550F0A" w:rsidRPr="00AC5DE1">
        <w:t xml:space="preserve"> aggregate data</w:t>
      </w:r>
      <w:r w:rsidR="00877F63" w:rsidRPr="00AC5DE1">
        <w:t xml:space="preserve">, </w:t>
      </w:r>
      <w:r w:rsidR="00AC5DE1">
        <w:t xml:space="preserve">and trended </w:t>
      </w:r>
      <w:r w:rsidR="00550F0A" w:rsidRPr="00AC5DE1">
        <w:t xml:space="preserve">above </w:t>
      </w:r>
      <w:r w:rsidR="00877F63" w:rsidRPr="00AC5DE1">
        <w:t xml:space="preserve">the demographic of </w:t>
      </w:r>
      <w:r w:rsidR="00504335" w:rsidRPr="00AC5DE1">
        <w:t>housing units</w:t>
      </w:r>
      <w:r w:rsidR="00877F63" w:rsidRPr="00AC5DE1">
        <w:t xml:space="preserve"> in moderate-income census tracts.</w:t>
      </w:r>
    </w:p>
    <w:p w14:paraId="3F1A9492" w14:textId="39DE2289" w:rsidR="003839FE" w:rsidRPr="00AC5DE1" w:rsidRDefault="003839FE" w:rsidP="002D6E34">
      <w:pPr>
        <w:jc w:val="both"/>
      </w:pPr>
    </w:p>
    <w:p w14:paraId="7DCD927E" w14:textId="2B7BCDDC" w:rsidR="003839FE" w:rsidRPr="00AC5DE1" w:rsidRDefault="003839FE" w:rsidP="002D6E34">
      <w:pPr>
        <w:pStyle w:val="Default"/>
        <w:jc w:val="both"/>
        <w:rPr>
          <w:color w:val="auto"/>
        </w:rPr>
      </w:pPr>
      <w:r w:rsidRPr="00AC5DE1">
        <w:rPr>
          <w:color w:val="auto"/>
        </w:rPr>
        <w:t>Market share data from 2019 shows the credit union ranked 41</w:t>
      </w:r>
      <w:r w:rsidRPr="00AC5DE1">
        <w:rPr>
          <w:color w:val="auto"/>
          <w:vertAlign w:val="superscript"/>
        </w:rPr>
        <w:t>st</w:t>
      </w:r>
      <w:r w:rsidRPr="00AC5DE1">
        <w:rPr>
          <w:color w:val="auto"/>
        </w:rPr>
        <w:t xml:space="preserve"> out of 274 lenders with a 0.5 percent market share in lending to</w:t>
      </w:r>
      <w:r w:rsidR="007765ED" w:rsidRPr="00AC5DE1">
        <w:rPr>
          <w:color w:val="auto"/>
        </w:rPr>
        <w:t xml:space="preserve"> moderate-income borrowers</w:t>
      </w:r>
      <w:r w:rsidR="004002BD">
        <w:rPr>
          <w:color w:val="auto"/>
        </w:rPr>
        <w:t xml:space="preserve">.  </w:t>
      </w:r>
      <w:r w:rsidR="007765ED" w:rsidRPr="00AC5DE1">
        <w:rPr>
          <w:color w:val="auto"/>
        </w:rPr>
        <w:t>This</w:t>
      </w:r>
      <w:r w:rsidRPr="00AC5DE1">
        <w:rPr>
          <w:color w:val="auto"/>
        </w:rPr>
        <w:t xml:space="preserve"> credit union’s rank</w:t>
      </w:r>
      <w:r w:rsidR="007765ED" w:rsidRPr="00AC5DE1">
        <w:rPr>
          <w:color w:val="auto"/>
        </w:rPr>
        <w:t xml:space="preserve"> </w:t>
      </w:r>
      <w:r w:rsidR="006816D8" w:rsidRPr="00AC5DE1">
        <w:rPr>
          <w:color w:val="auto"/>
        </w:rPr>
        <w:t>exceeded its overall rank</w:t>
      </w:r>
      <w:r w:rsidR="00EC6635" w:rsidRPr="00AC5DE1">
        <w:rPr>
          <w:color w:val="auto"/>
        </w:rPr>
        <w:t xml:space="preserve">, </w:t>
      </w:r>
      <w:r w:rsidRPr="00AC5DE1">
        <w:rPr>
          <w:color w:val="auto"/>
        </w:rPr>
        <w:t>exhibiti</w:t>
      </w:r>
      <w:r w:rsidR="007765ED" w:rsidRPr="00AC5DE1">
        <w:rPr>
          <w:color w:val="auto"/>
        </w:rPr>
        <w:t>ng a concentration of lending in moderate-income census tracts</w:t>
      </w:r>
      <w:r w:rsidRPr="00AC5DE1">
        <w:rPr>
          <w:color w:val="auto"/>
        </w:rPr>
        <w:t>.</w:t>
      </w:r>
    </w:p>
    <w:p w14:paraId="622A9137" w14:textId="2BD84C17" w:rsidR="00A264C4" w:rsidRPr="00AC5DE1" w:rsidRDefault="00A264C4" w:rsidP="002D6E34">
      <w:pPr>
        <w:jc w:val="both"/>
      </w:pPr>
    </w:p>
    <w:p w14:paraId="23EBE640" w14:textId="4567AC41" w:rsidR="00A264C4" w:rsidRDefault="00A264C4" w:rsidP="002D6E34">
      <w:pPr>
        <w:jc w:val="both"/>
      </w:pPr>
      <w:r w:rsidRPr="00AC5DE1">
        <w:t>The credit union’s branch structure supports this good dispersion as both locatio</w:t>
      </w:r>
      <w:r w:rsidRPr="005803D4">
        <w:t>ns are situated within moderate-income census tracts</w:t>
      </w:r>
      <w:r w:rsidR="00DC579E" w:rsidRPr="005803D4">
        <w:t xml:space="preserve"> and are accessible by public transportation to low-income tracts</w:t>
      </w:r>
      <w:r w:rsidR="004002BD">
        <w:t xml:space="preserve">.  </w:t>
      </w:r>
    </w:p>
    <w:p w14:paraId="6CCDEC45" w14:textId="1D50C863" w:rsidR="002D6E34" w:rsidRDefault="002D6E34">
      <w:pPr>
        <w:spacing w:after="160" w:line="259" w:lineRule="auto"/>
      </w:pPr>
      <w:r>
        <w:br w:type="page"/>
      </w:r>
    </w:p>
    <w:tbl>
      <w:tblPr>
        <w:tblW w:w="9329" w:type="dxa"/>
        <w:tblInd w:w="-9" w:type="dxa"/>
        <w:tblCellMar>
          <w:left w:w="0" w:type="dxa"/>
          <w:right w:w="0" w:type="dxa"/>
        </w:tblCellMar>
        <w:tblLook w:val="0000" w:firstRow="0" w:lastRow="0" w:firstColumn="0" w:lastColumn="0" w:noHBand="0" w:noVBand="0"/>
      </w:tblPr>
      <w:tblGrid>
        <w:gridCol w:w="8"/>
        <w:gridCol w:w="2491"/>
        <w:gridCol w:w="1542"/>
        <w:gridCol w:w="1422"/>
        <w:gridCol w:w="1183"/>
        <w:gridCol w:w="848"/>
        <w:gridCol w:w="614"/>
        <w:gridCol w:w="392"/>
        <w:gridCol w:w="818"/>
        <w:gridCol w:w="11"/>
      </w:tblGrid>
      <w:tr w:rsidR="00E05FCD" w14:paraId="4A0C3680" w14:textId="77777777" w:rsidTr="002D6E34">
        <w:trPr>
          <w:gridBefore w:val="1"/>
          <w:gridAfter w:val="1"/>
          <w:wBefore w:w="8" w:type="dxa"/>
          <w:wAfter w:w="11" w:type="dxa"/>
          <w:trHeight w:val="217"/>
        </w:trPr>
        <w:tc>
          <w:tcPr>
            <w:tcW w:w="9310" w:type="dxa"/>
            <w:gridSpan w:val="8"/>
            <w:tcBorders>
              <w:top w:val="single" w:sz="7" w:space="0" w:color="000000"/>
              <w:left w:val="single" w:sz="7" w:space="0" w:color="000000"/>
              <w:right w:val="single" w:sz="7" w:space="0" w:color="000000"/>
            </w:tcBorders>
            <w:tcMar>
              <w:top w:w="39" w:type="dxa"/>
              <w:left w:w="39" w:type="dxa"/>
              <w:bottom w:w="39" w:type="dxa"/>
              <w:right w:w="39" w:type="dxa"/>
            </w:tcMar>
          </w:tcPr>
          <w:p w14:paraId="1C2B73F5" w14:textId="6B87520F" w:rsidR="00E05FCD" w:rsidRDefault="00004863" w:rsidP="00B16491">
            <w:pPr>
              <w:jc w:val="center"/>
            </w:pPr>
            <w:r>
              <w:rPr>
                <w:b/>
                <w:color w:val="000000"/>
                <w:sz w:val="20"/>
              </w:rPr>
              <w:lastRenderedPageBreak/>
              <w:t>G</w:t>
            </w:r>
            <w:r w:rsidR="00E05FCD">
              <w:rPr>
                <w:b/>
                <w:color w:val="000000"/>
                <w:sz w:val="20"/>
              </w:rPr>
              <w:t>eographic Distribution of Home Mortgage Loans</w:t>
            </w:r>
          </w:p>
        </w:tc>
      </w:tr>
      <w:tr w:rsidR="00E05FCD" w14:paraId="5F13A2B2" w14:textId="77777777" w:rsidTr="002D6E34">
        <w:trPr>
          <w:gridBefore w:val="1"/>
          <w:gridAfter w:val="1"/>
          <w:wBefore w:w="8" w:type="dxa"/>
          <w:wAfter w:w="11" w:type="dxa"/>
          <w:trHeight w:val="384"/>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86C4897" w14:textId="77777777" w:rsidR="00E05FCD" w:rsidRDefault="00E05FCD" w:rsidP="00B16491">
            <w:r>
              <w:rPr>
                <w:b/>
                <w:color w:val="000000"/>
                <w:sz w:val="20"/>
              </w:rPr>
              <w:t>Tract Income Level</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298ED7" w14:textId="77777777" w:rsidR="00E05FCD" w:rsidRDefault="00E05FCD" w:rsidP="00B16491">
            <w:pPr>
              <w:jc w:val="center"/>
            </w:pPr>
            <w:r>
              <w:rPr>
                <w:b/>
                <w:color w:val="000000"/>
                <w:sz w:val="20"/>
              </w:rPr>
              <w:t>% of  Owner-Occupied Housing Units</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599A9C" w14:textId="77777777" w:rsidR="00E05FCD" w:rsidRDefault="00E05FCD" w:rsidP="00B16491">
            <w:pPr>
              <w:jc w:val="center"/>
            </w:pPr>
            <w:r>
              <w:rPr>
                <w:b/>
                <w:color w:val="000000"/>
                <w:sz w:val="20"/>
              </w:rPr>
              <w:t>Aggregate Performance</w:t>
            </w:r>
            <w:r>
              <w:rPr>
                <w:b/>
                <w:color w:val="000000"/>
                <w:sz w:val="20"/>
              </w:rPr>
              <w:br/>
              <w:t>% of #</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8D179B" w14:textId="77777777" w:rsidR="00E05FCD" w:rsidRDefault="00E05FCD" w:rsidP="00B16491">
            <w:pPr>
              <w:jc w:val="center"/>
            </w:pPr>
            <w:r>
              <w:rPr>
                <w:b/>
                <w:color w:val="000000"/>
                <w:sz w:val="20"/>
              </w:rPr>
              <w:t>#</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CF7358" w14:textId="77777777" w:rsidR="00E05FCD" w:rsidRDefault="00E05FCD" w:rsidP="00B16491">
            <w:pPr>
              <w:jc w:val="center"/>
            </w:pPr>
            <w:r>
              <w:rPr>
                <w:b/>
                <w:color w:val="000000"/>
                <w:sz w:val="20"/>
              </w:rPr>
              <w:t>%</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288CF3C" w14:textId="77777777" w:rsidR="00E05FCD" w:rsidRDefault="00E05FCD" w:rsidP="00B16491">
            <w:pPr>
              <w:jc w:val="center"/>
            </w:pPr>
            <w:r>
              <w:rPr>
                <w:b/>
                <w:color w:val="000000"/>
                <w:sz w:val="20"/>
              </w:rPr>
              <w:t>$(000s)</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830997" w14:textId="77777777" w:rsidR="00E05FCD" w:rsidRDefault="00E05FCD" w:rsidP="00B16491">
            <w:pPr>
              <w:jc w:val="center"/>
            </w:pPr>
            <w:r>
              <w:rPr>
                <w:b/>
                <w:color w:val="000000"/>
                <w:sz w:val="20"/>
              </w:rPr>
              <w:t>%</w:t>
            </w:r>
          </w:p>
        </w:tc>
      </w:tr>
      <w:tr w:rsidR="00E05FCD" w14:paraId="7AABCB9A"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557363" w14:textId="77777777" w:rsidR="00E05FCD" w:rsidRDefault="00E05FCD" w:rsidP="00B16491">
            <w:r>
              <w:rPr>
                <w:color w:val="000000"/>
                <w:sz w:val="20"/>
              </w:rPr>
              <w:t>Low</w:t>
            </w:r>
          </w:p>
        </w:tc>
        <w:tc>
          <w:tcPr>
            <w:tcW w:w="6819"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865F2" w14:textId="77777777" w:rsidR="00E05FCD" w:rsidRDefault="00E05FCD" w:rsidP="00B16491"/>
        </w:tc>
      </w:tr>
      <w:tr w:rsidR="00E05FCD" w14:paraId="58A79F08"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BAED938" w14:textId="77777777" w:rsidR="00E05FCD" w:rsidRDefault="00E05FCD" w:rsidP="00B16491">
            <w:pPr>
              <w:jc w:val="right"/>
            </w:pPr>
            <w:r>
              <w:rPr>
                <w:color w:val="000000"/>
                <w:sz w:val="20"/>
              </w:rPr>
              <w:t>2018</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00000" w14:textId="77777777" w:rsidR="00E05FCD" w:rsidRDefault="00E05FCD" w:rsidP="00B16491">
            <w:pPr>
              <w:jc w:val="center"/>
            </w:pPr>
            <w:r>
              <w:rPr>
                <w:color w:val="000000"/>
                <w:sz w:val="20"/>
              </w:rPr>
              <w:t>8.8</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CE4DA" w14:textId="77777777" w:rsidR="00E05FCD" w:rsidRDefault="00E05FCD" w:rsidP="00B16491">
            <w:pPr>
              <w:jc w:val="center"/>
            </w:pPr>
            <w:r>
              <w:rPr>
                <w:color w:val="000000"/>
                <w:sz w:val="20"/>
              </w:rPr>
              <w:t>10.3</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46BEB" w14:textId="77777777" w:rsidR="00E05FCD" w:rsidRDefault="00E05FCD" w:rsidP="00B16491">
            <w:pPr>
              <w:jc w:val="center"/>
            </w:pPr>
            <w:r>
              <w:rPr>
                <w:color w:val="000000"/>
                <w:sz w:val="20"/>
              </w:rPr>
              <w:t>1</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CDF5A" w14:textId="77777777" w:rsidR="00E05FCD" w:rsidRDefault="00E05FCD" w:rsidP="00B16491">
            <w:pPr>
              <w:jc w:val="center"/>
            </w:pPr>
            <w:r>
              <w:rPr>
                <w:color w:val="000000"/>
                <w:sz w:val="20"/>
              </w:rPr>
              <w:t>7.1</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15664" w14:textId="77777777" w:rsidR="00E05FCD" w:rsidRDefault="00E05FCD" w:rsidP="00B16491">
            <w:pPr>
              <w:jc w:val="center"/>
            </w:pPr>
            <w:r>
              <w:rPr>
                <w:color w:val="000000"/>
                <w:sz w:val="20"/>
              </w:rPr>
              <w:t>111</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BF3DF" w14:textId="77777777" w:rsidR="00E05FCD" w:rsidRDefault="00E05FCD" w:rsidP="00B16491">
            <w:pPr>
              <w:jc w:val="center"/>
            </w:pPr>
            <w:r>
              <w:rPr>
                <w:color w:val="000000"/>
                <w:sz w:val="20"/>
              </w:rPr>
              <w:t>1.7</w:t>
            </w:r>
          </w:p>
        </w:tc>
      </w:tr>
      <w:tr w:rsidR="00E05FCD" w14:paraId="3A2921B2"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318CDAD6" w14:textId="77777777" w:rsidR="00E05FCD" w:rsidRDefault="00E05FCD" w:rsidP="00B16491">
            <w:pPr>
              <w:jc w:val="right"/>
            </w:pPr>
            <w:r>
              <w:rPr>
                <w:color w:val="000000"/>
                <w:sz w:val="20"/>
              </w:rPr>
              <w:t>2019</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410EC" w14:textId="77777777" w:rsidR="00E05FCD" w:rsidRDefault="00E05FCD" w:rsidP="00B16491">
            <w:pPr>
              <w:jc w:val="center"/>
            </w:pPr>
            <w:r>
              <w:rPr>
                <w:color w:val="000000"/>
                <w:sz w:val="20"/>
              </w:rPr>
              <w:t>8.8</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9E4A9" w14:textId="77777777" w:rsidR="00E05FCD" w:rsidRDefault="00E05FCD" w:rsidP="00B16491">
            <w:pPr>
              <w:jc w:val="center"/>
            </w:pPr>
            <w:r>
              <w:rPr>
                <w:color w:val="000000"/>
                <w:sz w:val="20"/>
              </w:rPr>
              <w:t>10.2</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5E057" w14:textId="77777777" w:rsidR="00E05FCD" w:rsidRDefault="00E05FCD" w:rsidP="00B16491">
            <w:pPr>
              <w:jc w:val="center"/>
            </w:pPr>
            <w:r>
              <w:rPr>
                <w:color w:val="000000"/>
                <w:sz w:val="20"/>
              </w:rPr>
              <w:t>3</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C453E" w14:textId="77777777" w:rsidR="00E05FCD" w:rsidRDefault="00E05FCD" w:rsidP="00B16491">
            <w:pPr>
              <w:jc w:val="center"/>
            </w:pPr>
            <w:r>
              <w:rPr>
                <w:color w:val="000000"/>
                <w:sz w:val="20"/>
              </w:rPr>
              <w:t>8.1</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393AFC" w14:textId="77777777" w:rsidR="00E05FCD" w:rsidRDefault="00E05FCD" w:rsidP="00B16491">
            <w:pPr>
              <w:jc w:val="center"/>
            </w:pPr>
            <w:r>
              <w:rPr>
                <w:color w:val="000000"/>
                <w:sz w:val="20"/>
              </w:rPr>
              <w:t>513</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898C2" w14:textId="77777777" w:rsidR="00E05FCD" w:rsidRDefault="00E05FCD" w:rsidP="00B16491">
            <w:pPr>
              <w:jc w:val="center"/>
            </w:pPr>
            <w:r>
              <w:rPr>
                <w:color w:val="000000"/>
                <w:sz w:val="20"/>
              </w:rPr>
              <w:t>3.9</w:t>
            </w:r>
          </w:p>
        </w:tc>
      </w:tr>
      <w:tr w:rsidR="00E05FCD" w14:paraId="64AE4215"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6FE6D9F" w14:textId="77777777" w:rsidR="00E05FCD" w:rsidRDefault="00E05FCD" w:rsidP="00B16491">
            <w:r>
              <w:rPr>
                <w:color w:val="000000"/>
                <w:sz w:val="20"/>
              </w:rPr>
              <w:t>Moderate</w:t>
            </w:r>
          </w:p>
        </w:tc>
        <w:tc>
          <w:tcPr>
            <w:tcW w:w="6819"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0634C" w14:textId="77777777" w:rsidR="00E05FCD" w:rsidRDefault="00E05FCD" w:rsidP="00B16491"/>
        </w:tc>
      </w:tr>
      <w:tr w:rsidR="00E05FCD" w14:paraId="01F0D4E1"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C2A19FE" w14:textId="77777777" w:rsidR="00E05FCD" w:rsidRDefault="00E05FCD" w:rsidP="00B16491">
            <w:pPr>
              <w:jc w:val="right"/>
            </w:pPr>
            <w:r>
              <w:rPr>
                <w:color w:val="000000"/>
                <w:sz w:val="20"/>
              </w:rPr>
              <w:t>2018</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3CA23" w14:textId="77777777" w:rsidR="00E05FCD" w:rsidRDefault="00E05FCD" w:rsidP="00B16491">
            <w:pPr>
              <w:jc w:val="center"/>
            </w:pPr>
            <w:r>
              <w:rPr>
                <w:color w:val="000000"/>
                <w:sz w:val="20"/>
              </w:rPr>
              <w:t>36.2</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DE88A4" w14:textId="77777777" w:rsidR="00E05FCD" w:rsidRDefault="00E05FCD" w:rsidP="00B16491">
            <w:pPr>
              <w:jc w:val="center"/>
            </w:pPr>
            <w:r>
              <w:rPr>
                <w:color w:val="000000"/>
                <w:sz w:val="20"/>
              </w:rPr>
              <w:t>41.3</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2CD2F2" w14:textId="77777777" w:rsidR="00E05FCD" w:rsidRDefault="00E05FCD" w:rsidP="00B16491">
            <w:pPr>
              <w:jc w:val="center"/>
            </w:pPr>
            <w:r>
              <w:rPr>
                <w:color w:val="000000"/>
                <w:sz w:val="20"/>
              </w:rPr>
              <w:t>6</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55FCF" w14:textId="77777777" w:rsidR="00E05FCD" w:rsidRDefault="00E05FCD" w:rsidP="00B16491">
            <w:pPr>
              <w:jc w:val="center"/>
            </w:pPr>
            <w:r>
              <w:rPr>
                <w:color w:val="000000"/>
                <w:sz w:val="20"/>
              </w:rPr>
              <w:t>42.9</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9767F" w14:textId="77777777" w:rsidR="00E05FCD" w:rsidRDefault="00E05FCD" w:rsidP="00B16491">
            <w:pPr>
              <w:jc w:val="center"/>
            </w:pPr>
            <w:r>
              <w:rPr>
                <w:color w:val="000000"/>
                <w:sz w:val="20"/>
              </w:rPr>
              <w:t>2,425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3A7FF" w14:textId="77777777" w:rsidR="00E05FCD" w:rsidRDefault="00E05FCD" w:rsidP="00B16491">
            <w:pPr>
              <w:jc w:val="center"/>
            </w:pPr>
            <w:r>
              <w:rPr>
                <w:color w:val="000000"/>
                <w:sz w:val="20"/>
              </w:rPr>
              <w:t>38.1</w:t>
            </w:r>
          </w:p>
        </w:tc>
      </w:tr>
      <w:tr w:rsidR="00E05FCD" w14:paraId="4DB305C3"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F237D27" w14:textId="77777777" w:rsidR="00E05FCD" w:rsidRDefault="00E05FCD" w:rsidP="00B16491">
            <w:pPr>
              <w:jc w:val="right"/>
            </w:pPr>
            <w:r>
              <w:rPr>
                <w:color w:val="000000"/>
                <w:sz w:val="20"/>
              </w:rPr>
              <w:t>2019</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850A99" w14:textId="77777777" w:rsidR="00E05FCD" w:rsidRDefault="00E05FCD" w:rsidP="00B16491">
            <w:pPr>
              <w:jc w:val="center"/>
            </w:pPr>
            <w:r>
              <w:rPr>
                <w:color w:val="000000"/>
                <w:sz w:val="20"/>
              </w:rPr>
              <w:t>36.2</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F480BA" w14:textId="77777777" w:rsidR="00E05FCD" w:rsidRDefault="00E05FCD" w:rsidP="00B16491">
            <w:pPr>
              <w:jc w:val="center"/>
            </w:pPr>
            <w:r>
              <w:rPr>
                <w:color w:val="000000"/>
                <w:sz w:val="20"/>
              </w:rPr>
              <w:t>38.7</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B1DAF" w14:textId="77777777" w:rsidR="00E05FCD" w:rsidRDefault="00E05FCD" w:rsidP="00B16491">
            <w:pPr>
              <w:jc w:val="center"/>
            </w:pPr>
            <w:r>
              <w:rPr>
                <w:color w:val="000000"/>
                <w:sz w:val="20"/>
              </w:rPr>
              <w:t>21</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EB2AA" w14:textId="77777777" w:rsidR="00E05FCD" w:rsidRDefault="00E05FCD" w:rsidP="00B16491">
            <w:pPr>
              <w:jc w:val="center"/>
            </w:pPr>
            <w:r>
              <w:rPr>
                <w:color w:val="000000"/>
                <w:sz w:val="20"/>
              </w:rPr>
              <w:t>56.8</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919C6" w14:textId="77777777" w:rsidR="00E05FCD" w:rsidRDefault="00E05FCD" w:rsidP="00B16491">
            <w:pPr>
              <w:jc w:val="center"/>
            </w:pPr>
            <w:r>
              <w:rPr>
                <w:color w:val="000000"/>
                <w:sz w:val="20"/>
              </w:rPr>
              <w:t>7,715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2E77B3" w14:textId="77777777" w:rsidR="00E05FCD" w:rsidRDefault="00E05FCD" w:rsidP="00B16491">
            <w:pPr>
              <w:jc w:val="center"/>
            </w:pPr>
            <w:r>
              <w:rPr>
                <w:color w:val="000000"/>
                <w:sz w:val="20"/>
              </w:rPr>
              <w:t>58.5</w:t>
            </w:r>
          </w:p>
        </w:tc>
      </w:tr>
      <w:tr w:rsidR="00E05FCD" w14:paraId="244907A0"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F0EDDE" w14:textId="77777777" w:rsidR="00E05FCD" w:rsidRDefault="00E05FCD" w:rsidP="00B16491">
            <w:r>
              <w:rPr>
                <w:color w:val="000000"/>
                <w:sz w:val="20"/>
              </w:rPr>
              <w:t>Middle</w:t>
            </w:r>
          </w:p>
        </w:tc>
        <w:tc>
          <w:tcPr>
            <w:tcW w:w="6819"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E24A4C" w14:textId="77777777" w:rsidR="00E05FCD" w:rsidRDefault="00E05FCD" w:rsidP="00B16491"/>
        </w:tc>
      </w:tr>
      <w:tr w:rsidR="00E05FCD" w14:paraId="0B26200B"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0B63994" w14:textId="77777777" w:rsidR="00E05FCD" w:rsidRDefault="00E05FCD" w:rsidP="00B16491">
            <w:pPr>
              <w:jc w:val="right"/>
            </w:pPr>
            <w:r>
              <w:rPr>
                <w:color w:val="000000"/>
                <w:sz w:val="20"/>
              </w:rPr>
              <w:t>2018</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B9BF1" w14:textId="77777777" w:rsidR="00E05FCD" w:rsidRDefault="00E05FCD" w:rsidP="00B16491">
            <w:pPr>
              <w:jc w:val="center"/>
            </w:pPr>
            <w:r>
              <w:rPr>
                <w:color w:val="000000"/>
                <w:sz w:val="20"/>
              </w:rPr>
              <w:t>39.3</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A105D" w14:textId="77777777" w:rsidR="00E05FCD" w:rsidRDefault="00E05FCD" w:rsidP="00B16491">
            <w:pPr>
              <w:jc w:val="center"/>
            </w:pPr>
            <w:r>
              <w:rPr>
                <w:color w:val="000000"/>
                <w:sz w:val="20"/>
              </w:rPr>
              <w:t>36.9</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2B93E" w14:textId="77777777" w:rsidR="00E05FCD" w:rsidRDefault="00E05FCD" w:rsidP="00B16491">
            <w:pPr>
              <w:jc w:val="center"/>
            </w:pPr>
            <w:r>
              <w:rPr>
                <w:color w:val="000000"/>
                <w:sz w:val="20"/>
              </w:rPr>
              <w:t>5</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96A39" w14:textId="77777777" w:rsidR="00E05FCD" w:rsidRDefault="00E05FCD" w:rsidP="00B16491">
            <w:pPr>
              <w:jc w:val="center"/>
            </w:pPr>
            <w:r>
              <w:rPr>
                <w:color w:val="000000"/>
                <w:sz w:val="20"/>
              </w:rPr>
              <w:t>35.7</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CD95C" w14:textId="77777777" w:rsidR="00E05FCD" w:rsidRDefault="00E05FCD" w:rsidP="00B16491">
            <w:pPr>
              <w:jc w:val="center"/>
            </w:pPr>
            <w:r>
              <w:rPr>
                <w:color w:val="000000"/>
                <w:sz w:val="20"/>
              </w:rPr>
              <w:t>2,054</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B714B" w14:textId="77777777" w:rsidR="00E05FCD" w:rsidRDefault="00E05FCD" w:rsidP="00B16491">
            <w:pPr>
              <w:jc w:val="center"/>
            </w:pPr>
            <w:r>
              <w:rPr>
                <w:color w:val="000000"/>
                <w:sz w:val="20"/>
              </w:rPr>
              <w:t>32.3</w:t>
            </w:r>
          </w:p>
        </w:tc>
      </w:tr>
      <w:tr w:rsidR="00E05FCD" w14:paraId="34D3DD62"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0A7F8A6" w14:textId="77777777" w:rsidR="00E05FCD" w:rsidRDefault="00E05FCD" w:rsidP="00B16491">
            <w:pPr>
              <w:jc w:val="right"/>
            </w:pPr>
            <w:r>
              <w:rPr>
                <w:color w:val="000000"/>
                <w:sz w:val="20"/>
              </w:rPr>
              <w:t>2019</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ACA0D" w14:textId="77777777" w:rsidR="00E05FCD" w:rsidRDefault="00E05FCD" w:rsidP="00B16491">
            <w:pPr>
              <w:jc w:val="center"/>
            </w:pPr>
            <w:r>
              <w:rPr>
                <w:color w:val="000000"/>
                <w:sz w:val="20"/>
              </w:rPr>
              <w:t>39.3</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63514" w14:textId="77777777" w:rsidR="00E05FCD" w:rsidRDefault="00E05FCD" w:rsidP="00B16491">
            <w:pPr>
              <w:jc w:val="center"/>
            </w:pPr>
            <w:r>
              <w:rPr>
                <w:color w:val="000000"/>
                <w:sz w:val="20"/>
              </w:rPr>
              <w:t>38.9</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F30BC" w14:textId="77777777" w:rsidR="00E05FCD" w:rsidRDefault="00E05FCD" w:rsidP="00B16491">
            <w:pPr>
              <w:jc w:val="center"/>
            </w:pPr>
            <w:r>
              <w:rPr>
                <w:color w:val="000000"/>
                <w:sz w:val="20"/>
              </w:rPr>
              <w:t>13</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D6881" w14:textId="77777777" w:rsidR="00E05FCD" w:rsidRDefault="00E05FCD" w:rsidP="00B16491">
            <w:pPr>
              <w:jc w:val="center"/>
            </w:pPr>
            <w:r>
              <w:rPr>
                <w:color w:val="000000"/>
                <w:sz w:val="20"/>
              </w:rPr>
              <w:t>35.1</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EEC5ED" w14:textId="77777777" w:rsidR="00E05FCD" w:rsidRDefault="00E05FCD" w:rsidP="00B16491">
            <w:pPr>
              <w:jc w:val="center"/>
            </w:pPr>
            <w:r>
              <w:rPr>
                <w:color w:val="000000"/>
                <w:sz w:val="20"/>
              </w:rPr>
              <w:t>4,952</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2BDD41" w14:textId="77777777" w:rsidR="00E05FCD" w:rsidRDefault="00E05FCD" w:rsidP="00B16491">
            <w:pPr>
              <w:jc w:val="center"/>
            </w:pPr>
            <w:r>
              <w:rPr>
                <w:color w:val="000000"/>
                <w:sz w:val="20"/>
              </w:rPr>
              <w:t>37.6</w:t>
            </w:r>
          </w:p>
        </w:tc>
      </w:tr>
      <w:tr w:rsidR="00E05FCD" w14:paraId="4E0E658D"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E0B91D" w14:textId="77777777" w:rsidR="00E05FCD" w:rsidRDefault="00E05FCD" w:rsidP="00B16491">
            <w:r>
              <w:rPr>
                <w:color w:val="000000"/>
                <w:sz w:val="20"/>
              </w:rPr>
              <w:t>Upper</w:t>
            </w:r>
          </w:p>
        </w:tc>
        <w:tc>
          <w:tcPr>
            <w:tcW w:w="6819"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A766F" w14:textId="77777777" w:rsidR="00E05FCD" w:rsidRDefault="00E05FCD" w:rsidP="00B16491"/>
        </w:tc>
      </w:tr>
      <w:tr w:rsidR="00E05FCD" w14:paraId="06E75A1D"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95ABB46" w14:textId="77777777" w:rsidR="00E05FCD" w:rsidRDefault="00E05FCD" w:rsidP="00B16491">
            <w:pPr>
              <w:jc w:val="right"/>
            </w:pPr>
            <w:r>
              <w:rPr>
                <w:color w:val="000000"/>
                <w:sz w:val="20"/>
              </w:rPr>
              <w:t>2018</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F393B" w14:textId="77777777" w:rsidR="00E05FCD" w:rsidRDefault="00E05FCD" w:rsidP="00B16491">
            <w:pPr>
              <w:jc w:val="center"/>
            </w:pPr>
            <w:r>
              <w:rPr>
                <w:color w:val="000000"/>
                <w:sz w:val="20"/>
              </w:rPr>
              <w:t>15.6</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36D3E" w14:textId="77777777" w:rsidR="00E05FCD" w:rsidRDefault="00E05FCD" w:rsidP="00B16491">
            <w:pPr>
              <w:jc w:val="center"/>
            </w:pPr>
            <w:r>
              <w:rPr>
                <w:color w:val="000000"/>
                <w:sz w:val="20"/>
              </w:rPr>
              <w:t>11.5</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2B113" w14:textId="77777777" w:rsidR="00E05FCD" w:rsidRDefault="00E05FCD" w:rsidP="00B16491">
            <w:pPr>
              <w:jc w:val="center"/>
            </w:pPr>
            <w:r>
              <w:rPr>
                <w:color w:val="000000"/>
                <w:sz w:val="20"/>
              </w:rPr>
              <w:t>2</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FFFAB" w14:textId="77777777" w:rsidR="00E05FCD" w:rsidRDefault="00E05FCD" w:rsidP="00B16491">
            <w:pPr>
              <w:jc w:val="center"/>
            </w:pPr>
            <w:r>
              <w:rPr>
                <w:color w:val="000000"/>
                <w:sz w:val="20"/>
              </w:rPr>
              <w:t>14.3</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A00DD3" w14:textId="77777777" w:rsidR="00E05FCD" w:rsidRDefault="00E05FCD" w:rsidP="00B16491">
            <w:pPr>
              <w:jc w:val="center"/>
            </w:pPr>
            <w:r>
              <w:rPr>
                <w:color w:val="000000"/>
                <w:sz w:val="20"/>
              </w:rPr>
              <w:t>1,775</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3F352B" w14:textId="77777777" w:rsidR="00E05FCD" w:rsidRDefault="00E05FCD" w:rsidP="00B16491">
            <w:pPr>
              <w:jc w:val="center"/>
            </w:pPr>
            <w:r>
              <w:rPr>
                <w:color w:val="000000"/>
                <w:sz w:val="20"/>
              </w:rPr>
              <w:t>27.9</w:t>
            </w:r>
          </w:p>
        </w:tc>
      </w:tr>
      <w:tr w:rsidR="00E05FCD" w14:paraId="17BEB567"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478B371" w14:textId="77777777" w:rsidR="00E05FCD" w:rsidRDefault="00E05FCD" w:rsidP="00B16491">
            <w:pPr>
              <w:jc w:val="right"/>
            </w:pPr>
            <w:r>
              <w:rPr>
                <w:color w:val="000000"/>
                <w:sz w:val="20"/>
              </w:rPr>
              <w:t>2019</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8FCFF" w14:textId="77777777" w:rsidR="00E05FCD" w:rsidRDefault="00E05FCD" w:rsidP="00B16491">
            <w:pPr>
              <w:jc w:val="center"/>
            </w:pPr>
            <w:r>
              <w:rPr>
                <w:color w:val="000000"/>
                <w:sz w:val="20"/>
              </w:rPr>
              <w:t>15.6</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EA1BA" w14:textId="77777777" w:rsidR="00E05FCD" w:rsidRDefault="00E05FCD" w:rsidP="00B16491">
            <w:pPr>
              <w:jc w:val="center"/>
            </w:pPr>
            <w:r>
              <w:rPr>
                <w:color w:val="000000"/>
                <w:sz w:val="20"/>
              </w:rPr>
              <w:t>12.2</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EFCF0" w14:textId="77777777" w:rsidR="00E05FCD" w:rsidRDefault="00E05FCD" w:rsidP="00B16491">
            <w:pPr>
              <w:jc w:val="center"/>
            </w:pPr>
            <w:r>
              <w:rPr>
                <w:color w:val="000000"/>
                <w:sz w:val="20"/>
              </w:rPr>
              <w:t>0</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EA6F03" w14:textId="77777777" w:rsidR="00E05FCD" w:rsidRDefault="00E05FCD" w:rsidP="00B16491">
            <w:pPr>
              <w:jc w:val="center"/>
            </w:pPr>
            <w:r>
              <w:rPr>
                <w:color w:val="000000"/>
                <w:sz w:val="20"/>
              </w:rPr>
              <w:t>0.0</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1882D" w14:textId="77777777" w:rsidR="00E05FCD" w:rsidRDefault="00E05FCD" w:rsidP="00B16491">
            <w:pPr>
              <w:jc w:val="center"/>
            </w:pPr>
            <w:r>
              <w:rPr>
                <w:color w:val="000000"/>
                <w:sz w:val="20"/>
              </w:rPr>
              <w:t>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20820" w14:textId="77777777" w:rsidR="00E05FCD" w:rsidRDefault="00E05FCD" w:rsidP="00B16491">
            <w:pPr>
              <w:jc w:val="center"/>
            </w:pPr>
            <w:r>
              <w:rPr>
                <w:color w:val="000000"/>
                <w:sz w:val="20"/>
              </w:rPr>
              <w:t>0.0</w:t>
            </w:r>
          </w:p>
        </w:tc>
      </w:tr>
      <w:tr w:rsidR="00E05FCD" w14:paraId="3662F300"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41FAFA" w14:textId="77777777" w:rsidR="00E05FCD" w:rsidRDefault="00E05FCD" w:rsidP="00B16491">
            <w:r>
              <w:rPr>
                <w:color w:val="000000"/>
                <w:sz w:val="20"/>
              </w:rPr>
              <w:t>Not Available</w:t>
            </w:r>
          </w:p>
        </w:tc>
        <w:tc>
          <w:tcPr>
            <w:tcW w:w="6819"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5F208" w14:textId="77777777" w:rsidR="00E05FCD" w:rsidRDefault="00E05FCD" w:rsidP="00B16491"/>
        </w:tc>
      </w:tr>
      <w:tr w:rsidR="00E05FCD" w14:paraId="49BE1886"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D111587" w14:textId="77777777" w:rsidR="00E05FCD" w:rsidRDefault="00E05FCD" w:rsidP="00B16491">
            <w:pPr>
              <w:jc w:val="right"/>
            </w:pPr>
            <w:r>
              <w:rPr>
                <w:color w:val="000000"/>
                <w:sz w:val="20"/>
              </w:rPr>
              <w:t>2018</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739D4E" w14:textId="77777777" w:rsidR="00E05FCD" w:rsidRDefault="00E05FCD" w:rsidP="00B16491">
            <w:pPr>
              <w:jc w:val="center"/>
            </w:pPr>
            <w:r>
              <w:rPr>
                <w:color w:val="000000"/>
                <w:sz w:val="20"/>
              </w:rPr>
              <w:t>0.0</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69B31" w14:textId="77777777" w:rsidR="00E05FCD" w:rsidRDefault="00E05FCD" w:rsidP="00B16491">
            <w:pPr>
              <w:jc w:val="center"/>
            </w:pPr>
            <w:r>
              <w:rPr>
                <w:color w:val="000000"/>
                <w:sz w:val="20"/>
              </w:rPr>
              <w:t>0.0</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C892F" w14:textId="77777777" w:rsidR="00E05FCD" w:rsidRDefault="00E05FCD" w:rsidP="00B16491">
            <w:pPr>
              <w:jc w:val="center"/>
            </w:pPr>
            <w:r>
              <w:rPr>
                <w:color w:val="000000"/>
                <w:sz w:val="20"/>
              </w:rPr>
              <w:t>0</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79681" w14:textId="77777777" w:rsidR="00E05FCD" w:rsidRDefault="00E05FCD" w:rsidP="00B16491">
            <w:pPr>
              <w:jc w:val="center"/>
            </w:pPr>
            <w:r>
              <w:rPr>
                <w:color w:val="000000"/>
                <w:sz w:val="20"/>
              </w:rPr>
              <w:t>0.0</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5C92D" w14:textId="77777777" w:rsidR="00E05FCD" w:rsidRDefault="00E05FCD" w:rsidP="00B16491">
            <w:pPr>
              <w:jc w:val="center"/>
            </w:pPr>
            <w:r>
              <w:rPr>
                <w:color w:val="000000"/>
                <w:sz w:val="20"/>
              </w:rPr>
              <w:t>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395FF" w14:textId="77777777" w:rsidR="00E05FCD" w:rsidRDefault="00E05FCD" w:rsidP="00B16491">
            <w:pPr>
              <w:jc w:val="center"/>
            </w:pPr>
            <w:r>
              <w:rPr>
                <w:color w:val="000000"/>
                <w:sz w:val="20"/>
              </w:rPr>
              <w:t>0.0</w:t>
            </w:r>
          </w:p>
        </w:tc>
      </w:tr>
      <w:tr w:rsidR="00E05FCD" w14:paraId="4B3A8EAA" w14:textId="77777777" w:rsidTr="002D6E34">
        <w:trPr>
          <w:gridBefore w:val="1"/>
          <w:gridAfter w:val="1"/>
          <w:wBefore w:w="8" w:type="dxa"/>
          <w:wAfter w:w="11" w:type="dxa"/>
          <w:trHeight w:val="139"/>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CBFB20F" w14:textId="77777777" w:rsidR="00E05FCD" w:rsidRDefault="00E05FCD" w:rsidP="00B16491">
            <w:pPr>
              <w:jc w:val="right"/>
            </w:pPr>
            <w:r>
              <w:rPr>
                <w:color w:val="000000"/>
                <w:sz w:val="20"/>
              </w:rPr>
              <w:t>2019</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EBA14" w14:textId="77777777" w:rsidR="00E05FCD" w:rsidRDefault="00E05FCD" w:rsidP="00B16491">
            <w:pPr>
              <w:jc w:val="center"/>
            </w:pPr>
            <w:r>
              <w:rPr>
                <w:color w:val="000000"/>
                <w:sz w:val="20"/>
              </w:rPr>
              <w:t>0.0</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52F77" w14:textId="77777777" w:rsidR="00E05FCD" w:rsidRDefault="00E05FCD" w:rsidP="00B16491">
            <w:pPr>
              <w:jc w:val="center"/>
            </w:pPr>
            <w:r>
              <w:rPr>
                <w:color w:val="000000"/>
                <w:sz w:val="20"/>
              </w:rPr>
              <w:t>0.0</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8AA36E" w14:textId="77777777" w:rsidR="00E05FCD" w:rsidRDefault="00E05FCD" w:rsidP="00B16491">
            <w:pPr>
              <w:jc w:val="center"/>
            </w:pPr>
            <w:r>
              <w:rPr>
                <w:color w:val="000000"/>
                <w:sz w:val="20"/>
              </w:rPr>
              <w:t>0</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C5E9B" w14:textId="77777777" w:rsidR="00E05FCD" w:rsidRDefault="00E05FCD" w:rsidP="00B16491">
            <w:pPr>
              <w:jc w:val="center"/>
            </w:pPr>
            <w:r>
              <w:rPr>
                <w:color w:val="000000"/>
                <w:sz w:val="20"/>
              </w:rPr>
              <w:t>0.0</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645E0" w14:textId="77777777" w:rsidR="00E05FCD" w:rsidRDefault="00E05FCD" w:rsidP="00B16491">
            <w:pPr>
              <w:jc w:val="center"/>
            </w:pPr>
            <w:r>
              <w:rPr>
                <w:color w:val="000000"/>
                <w:sz w:val="20"/>
              </w:rPr>
              <w:t>0</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37133" w14:textId="77777777" w:rsidR="00E05FCD" w:rsidRDefault="00E05FCD" w:rsidP="00B16491">
            <w:pPr>
              <w:jc w:val="center"/>
            </w:pPr>
            <w:r>
              <w:rPr>
                <w:color w:val="000000"/>
                <w:sz w:val="20"/>
              </w:rPr>
              <w:t>0.0</w:t>
            </w:r>
          </w:p>
        </w:tc>
      </w:tr>
      <w:tr w:rsidR="00E05FCD" w14:paraId="62CB2D5B" w14:textId="77777777" w:rsidTr="002D6E34">
        <w:trPr>
          <w:gridBefore w:val="1"/>
          <w:gridAfter w:val="1"/>
          <w:wBefore w:w="8" w:type="dxa"/>
          <w:wAfter w:w="11" w:type="dxa"/>
          <w:trHeight w:val="161"/>
        </w:trPr>
        <w:tc>
          <w:tcPr>
            <w:tcW w:w="24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7FE122" w14:textId="77777777" w:rsidR="00E05FCD" w:rsidRDefault="00E05FCD" w:rsidP="00B16491">
            <w:r>
              <w:rPr>
                <w:b/>
                <w:color w:val="000000"/>
                <w:sz w:val="20"/>
              </w:rPr>
              <w:t>Totals</w:t>
            </w:r>
          </w:p>
        </w:tc>
        <w:tc>
          <w:tcPr>
            <w:tcW w:w="6819" w:type="dxa"/>
            <w:gridSpan w:val="7"/>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C92DE" w14:textId="77777777" w:rsidR="00E05FCD" w:rsidRDefault="00E05FCD" w:rsidP="00B16491"/>
        </w:tc>
      </w:tr>
      <w:tr w:rsidR="00E05FCD" w14:paraId="60040BE5"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797ECAD" w14:textId="77777777" w:rsidR="00E05FCD" w:rsidRDefault="00E05FCD" w:rsidP="00B16491">
            <w:pPr>
              <w:jc w:val="right"/>
            </w:pPr>
            <w:r>
              <w:rPr>
                <w:b/>
                <w:color w:val="000000"/>
                <w:sz w:val="20"/>
              </w:rPr>
              <w:t>2018</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F82EA" w14:textId="77777777" w:rsidR="00E05FCD" w:rsidRDefault="00E05FCD" w:rsidP="00B16491">
            <w:pPr>
              <w:jc w:val="center"/>
            </w:pPr>
            <w:r>
              <w:rPr>
                <w:b/>
                <w:color w:val="000000"/>
                <w:sz w:val="20"/>
              </w:rPr>
              <w:t>100.0</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E0B3A" w14:textId="77777777" w:rsidR="00E05FCD" w:rsidRDefault="00E05FCD" w:rsidP="00B16491">
            <w:pPr>
              <w:jc w:val="center"/>
            </w:pPr>
            <w:r>
              <w:rPr>
                <w:b/>
                <w:color w:val="000000"/>
                <w:sz w:val="20"/>
              </w:rPr>
              <w:t>100.0</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156BC" w14:textId="77777777" w:rsidR="00E05FCD" w:rsidRDefault="00E05FCD" w:rsidP="00B16491">
            <w:pPr>
              <w:jc w:val="center"/>
            </w:pPr>
            <w:r>
              <w:rPr>
                <w:b/>
                <w:color w:val="000000"/>
                <w:sz w:val="20"/>
              </w:rPr>
              <w:t>14</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939A6" w14:textId="77777777" w:rsidR="00E05FCD" w:rsidRDefault="00E05FCD" w:rsidP="00B16491">
            <w:pPr>
              <w:jc w:val="center"/>
            </w:pPr>
            <w:r>
              <w:rPr>
                <w:b/>
                <w:color w:val="000000"/>
                <w:sz w:val="20"/>
              </w:rPr>
              <w:t>100.0</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C5567E" w14:textId="77777777" w:rsidR="00E05FCD" w:rsidRDefault="00E05FCD" w:rsidP="00B16491">
            <w:pPr>
              <w:jc w:val="center"/>
            </w:pPr>
            <w:r>
              <w:rPr>
                <w:b/>
                <w:color w:val="000000"/>
                <w:sz w:val="20"/>
              </w:rPr>
              <w:t>6,364</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3FAA9" w14:textId="77777777" w:rsidR="00E05FCD" w:rsidRDefault="00E05FCD" w:rsidP="00B16491">
            <w:pPr>
              <w:jc w:val="center"/>
            </w:pPr>
            <w:r>
              <w:rPr>
                <w:b/>
                <w:color w:val="000000"/>
                <w:sz w:val="20"/>
              </w:rPr>
              <w:t>100.0</w:t>
            </w:r>
          </w:p>
        </w:tc>
      </w:tr>
      <w:tr w:rsidR="00E05FCD" w14:paraId="45189D11" w14:textId="77777777" w:rsidTr="002D6E34">
        <w:trPr>
          <w:gridBefore w:val="1"/>
          <w:gridAfter w:val="1"/>
          <w:wBefore w:w="8" w:type="dxa"/>
          <w:wAfter w:w="11" w:type="dxa"/>
          <w:trHeight w:val="150"/>
        </w:trPr>
        <w:tc>
          <w:tcPr>
            <w:tcW w:w="2491"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6493C9E" w14:textId="77777777" w:rsidR="00E05FCD" w:rsidRDefault="00E05FCD" w:rsidP="00B16491">
            <w:pPr>
              <w:jc w:val="right"/>
            </w:pPr>
            <w:r>
              <w:rPr>
                <w:b/>
                <w:color w:val="000000"/>
                <w:sz w:val="20"/>
              </w:rPr>
              <w:t>2019</w:t>
            </w:r>
          </w:p>
        </w:tc>
        <w:tc>
          <w:tcPr>
            <w:tcW w:w="15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72682" w14:textId="77777777" w:rsidR="00E05FCD" w:rsidRDefault="00E05FCD" w:rsidP="00B16491">
            <w:pPr>
              <w:jc w:val="center"/>
            </w:pPr>
            <w:r>
              <w:rPr>
                <w:b/>
                <w:color w:val="000000"/>
                <w:sz w:val="20"/>
              </w:rPr>
              <w:t>100.0</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D0A0A" w14:textId="77777777" w:rsidR="00E05FCD" w:rsidRDefault="00E05FCD" w:rsidP="00B16491">
            <w:pPr>
              <w:jc w:val="center"/>
            </w:pPr>
            <w:r>
              <w:rPr>
                <w:b/>
                <w:color w:val="000000"/>
                <w:sz w:val="20"/>
              </w:rPr>
              <w:t>100.0</w:t>
            </w:r>
          </w:p>
        </w:tc>
        <w:tc>
          <w:tcPr>
            <w:tcW w:w="11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F7000B" w14:textId="77777777" w:rsidR="00E05FCD" w:rsidRDefault="00E05FCD" w:rsidP="00B16491">
            <w:pPr>
              <w:jc w:val="center"/>
            </w:pPr>
            <w:r>
              <w:rPr>
                <w:b/>
                <w:color w:val="000000"/>
                <w:sz w:val="20"/>
              </w:rPr>
              <w:t>37</w:t>
            </w:r>
          </w:p>
        </w:tc>
        <w:tc>
          <w:tcPr>
            <w:tcW w:w="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97ABE" w14:textId="77777777" w:rsidR="00E05FCD" w:rsidRDefault="00E05FCD" w:rsidP="00B16491">
            <w:pPr>
              <w:jc w:val="center"/>
            </w:pPr>
            <w:r>
              <w:rPr>
                <w:b/>
                <w:color w:val="000000"/>
                <w:sz w:val="20"/>
              </w:rPr>
              <w:t>100.0</w:t>
            </w:r>
          </w:p>
        </w:tc>
        <w:tc>
          <w:tcPr>
            <w:tcW w:w="1006"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68F35" w14:textId="77777777" w:rsidR="00E05FCD" w:rsidRDefault="00E05FCD" w:rsidP="00B16491">
            <w:pPr>
              <w:jc w:val="center"/>
            </w:pPr>
            <w:r>
              <w:rPr>
                <w:b/>
                <w:color w:val="000000"/>
                <w:sz w:val="20"/>
              </w:rPr>
              <w:t>13,179</w:t>
            </w:r>
          </w:p>
        </w:tc>
        <w:tc>
          <w:tcPr>
            <w:tcW w:w="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0C955" w14:textId="77777777" w:rsidR="00E05FCD" w:rsidRDefault="00E05FCD" w:rsidP="00B16491">
            <w:pPr>
              <w:jc w:val="center"/>
            </w:pPr>
            <w:r>
              <w:rPr>
                <w:b/>
                <w:color w:val="000000"/>
                <w:sz w:val="20"/>
              </w:rPr>
              <w:t>100.0</w:t>
            </w:r>
          </w:p>
        </w:tc>
      </w:tr>
      <w:tr w:rsidR="00E05FCD" w14:paraId="0DBFF2AB" w14:textId="77777777" w:rsidTr="002D6E34">
        <w:trPr>
          <w:gridBefore w:val="1"/>
          <w:gridAfter w:val="1"/>
          <w:wBefore w:w="8" w:type="dxa"/>
          <w:wAfter w:w="11" w:type="dxa"/>
          <w:trHeight w:val="323"/>
        </w:trPr>
        <w:tc>
          <w:tcPr>
            <w:tcW w:w="9310" w:type="dxa"/>
            <w:gridSpan w:val="8"/>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C4E7130" w14:textId="33A89374" w:rsidR="00E05FCD" w:rsidRDefault="00E05FCD" w:rsidP="00B16491">
            <w:r>
              <w:rPr>
                <w:i/>
                <w:color w:val="000000"/>
                <w:sz w:val="16"/>
              </w:rPr>
              <w:t xml:space="preserve">Source: 2015 ACS; </w:t>
            </w:r>
            <w:r w:rsidR="00AF3D0A">
              <w:rPr>
                <w:i/>
                <w:color w:val="000000"/>
                <w:sz w:val="16"/>
              </w:rPr>
              <w:t>Credit Union Data</w:t>
            </w:r>
            <w:r>
              <w:rPr>
                <w:i/>
                <w:color w:val="000000"/>
                <w:sz w:val="16"/>
              </w:rPr>
              <w:t>, 2018 &amp; 2019 HMDA Aggregate Data, "--" data not available.</w:t>
            </w:r>
          </w:p>
          <w:p w14:paraId="7A619C8E" w14:textId="42CA1F07" w:rsidR="00E05FCD" w:rsidRDefault="00E05FCD" w:rsidP="00E05FCD">
            <w:r>
              <w:rPr>
                <w:i/>
                <w:color w:val="000000"/>
                <w:sz w:val="16"/>
              </w:rPr>
              <w:t>Due to rounding, totals may not equal 100.0%</w:t>
            </w:r>
          </w:p>
        </w:tc>
      </w:tr>
      <w:tr w:rsidR="00BF2444" w:rsidRPr="00BF2444" w14:paraId="473BF5FD" w14:textId="77777777" w:rsidTr="002D6E34">
        <w:tblPrEx>
          <w:tblLook w:val="04A0" w:firstRow="1" w:lastRow="0" w:firstColumn="1" w:lastColumn="0" w:noHBand="0" w:noVBand="1"/>
        </w:tblPrEx>
        <w:trPr>
          <w:trHeight w:val="23"/>
        </w:trPr>
        <w:tc>
          <w:tcPr>
            <w:tcW w:w="8108" w:type="dxa"/>
            <w:gridSpan w:val="7"/>
            <w:hideMark/>
          </w:tcPr>
          <w:p w14:paraId="2E1C7CFE" w14:textId="77777777" w:rsidR="009D0E57" w:rsidRPr="00BF2444" w:rsidRDefault="009D0E57" w:rsidP="009D0E57">
            <w:pPr>
              <w:rPr>
                <w:color w:val="FF0000"/>
                <w:highlight w:val="yellow"/>
              </w:rPr>
            </w:pPr>
          </w:p>
        </w:tc>
        <w:tc>
          <w:tcPr>
            <w:tcW w:w="1221" w:type="dxa"/>
            <w:gridSpan w:val="3"/>
          </w:tcPr>
          <w:p w14:paraId="15F3DB97" w14:textId="77777777" w:rsidR="009D0E57" w:rsidRPr="00BF2444" w:rsidRDefault="009D0E57" w:rsidP="009D0E57">
            <w:pPr>
              <w:pStyle w:val="EmptyCellLayoutStyle"/>
              <w:spacing w:after="0" w:line="240" w:lineRule="auto"/>
              <w:rPr>
                <w:color w:val="FF0000"/>
                <w:highlight w:val="yellow"/>
              </w:rPr>
            </w:pPr>
          </w:p>
        </w:tc>
      </w:tr>
    </w:tbl>
    <w:p w14:paraId="3490B9C9" w14:textId="77777777" w:rsidR="002D6E34" w:rsidRDefault="002D6E34" w:rsidP="009D0E57">
      <w:pPr>
        <w:rPr>
          <w:b/>
          <w:bCs/>
          <w:u w:val="single"/>
        </w:rPr>
      </w:pPr>
    </w:p>
    <w:p w14:paraId="6258C559" w14:textId="2C0E1D8F" w:rsidR="009D0E57" w:rsidRPr="00471447" w:rsidRDefault="009D0E57" w:rsidP="002D6E34">
      <w:pPr>
        <w:jc w:val="both"/>
        <w:rPr>
          <w:b/>
          <w:bCs/>
          <w:u w:val="single"/>
        </w:rPr>
      </w:pPr>
      <w:r w:rsidRPr="00471447">
        <w:rPr>
          <w:b/>
          <w:bCs/>
          <w:u w:val="single"/>
        </w:rPr>
        <w:t>Borrower Profile</w:t>
      </w:r>
    </w:p>
    <w:p w14:paraId="0297CA64" w14:textId="77777777" w:rsidR="009D0E57" w:rsidRPr="00471447" w:rsidRDefault="009D0E57" w:rsidP="002D6E34">
      <w:pPr>
        <w:jc w:val="both"/>
        <w:rPr>
          <w:b/>
          <w:bCs/>
          <w:u w:val="single"/>
        </w:rPr>
      </w:pPr>
    </w:p>
    <w:p w14:paraId="143C16C1" w14:textId="27D1A9D1" w:rsidR="009D0E57" w:rsidRPr="007F4224" w:rsidRDefault="009D0E57" w:rsidP="002D6E34">
      <w:pPr>
        <w:jc w:val="both"/>
        <w:rPr>
          <w:bCs/>
        </w:rPr>
      </w:pPr>
      <w:r w:rsidRPr="00471447">
        <w:rPr>
          <w:bCs/>
        </w:rPr>
        <w:t xml:space="preserve">The distribution of borrowers </w:t>
      </w:r>
      <w:r w:rsidRPr="00AC5DE1">
        <w:rPr>
          <w:bCs/>
        </w:rPr>
        <w:t>reflects good</w:t>
      </w:r>
      <w:r w:rsidRPr="004F2F22">
        <w:rPr>
          <w:bCs/>
        </w:rPr>
        <w:t xml:space="preserve"> penetration </w:t>
      </w:r>
      <w:r w:rsidRPr="00471447">
        <w:rPr>
          <w:bCs/>
        </w:rPr>
        <w:t>among individuals of different incomes levels</w:t>
      </w:r>
      <w:r w:rsidR="005B5ABE">
        <w:rPr>
          <w:bCs/>
        </w:rPr>
        <w:t>, including low- and moderate-income borrowers</w:t>
      </w:r>
      <w:r w:rsidR="004002BD">
        <w:rPr>
          <w:bCs/>
        </w:rPr>
        <w:t xml:space="preserve">.  </w:t>
      </w:r>
      <w:r w:rsidRPr="00471447">
        <w:rPr>
          <w:bCs/>
        </w:rPr>
        <w:t>Examiners focused on percentage, by numb</w:t>
      </w:r>
      <w:r w:rsidRPr="00D467AD">
        <w:rPr>
          <w:bCs/>
        </w:rPr>
        <w:t xml:space="preserve">er, of </w:t>
      </w:r>
      <w:r w:rsidRPr="007F4224">
        <w:rPr>
          <w:bCs/>
        </w:rPr>
        <w:t>home mortgage loans to low- and moderate-income borrowers.</w:t>
      </w:r>
    </w:p>
    <w:p w14:paraId="648FEB72" w14:textId="27B521E5" w:rsidR="00C830A8" w:rsidRPr="007F4224" w:rsidRDefault="00C830A8" w:rsidP="002D6E34">
      <w:pPr>
        <w:jc w:val="both"/>
        <w:rPr>
          <w:bCs/>
        </w:rPr>
      </w:pPr>
    </w:p>
    <w:p w14:paraId="339466F5" w14:textId="3C9215F5" w:rsidR="00C830A8" w:rsidRPr="00AA43D1" w:rsidRDefault="009D0E57" w:rsidP="002D6E34">
      <w:pPr>
        <w:jc w:val="both"/>
        <w:rPr>
          <w:bCs/>
        </w:rPr>
      </w:pPr>
      <w:r w:rsidRPr="007F4224">
        <w:rPr>
          <w:bCs/>
        </w:rPr>
        <w:t xml:space="preserve">As shown in the following table, the credit union’s lending to low-income borrowers </w:t>
      </w:r>
      <w:r w:rsidR="00BE6CFC">
        <w:rPr>
          <w:bCs/>
        </w:rPr>
        <w:t>was above</w:t>
      </w:r>
      <w:r w:rsidRPr="007F4224">
        <w:rPr>
          <w:bCs/>
        </w:rPr>
        <w:t xml:space="preserve"> aggregate data in both 2018 </w:t>
      </w:r>
      <w:r w:rsidR="00C830A8" w:rsidRPr="007F4224">
        <w:rPr>
          <w:bCs/>
        </w:rPr>
        <w:t>and 2019</w:t>
      </w:r>
      <w:r w:rsidR="002D6E34">
        <w:rPr>
          <w:bCs/>
        </w:rPr>
        <w:t>, with p</w:t>
      </w:r>
      <w:r w:rsidR="00C830A8" w:rsidRPr="00AA43D1">
        <w:rPr>
          <w:bCs/>
        </w:rPr>
        <w:t>erformance improv</w:t>
      </w:r>
      <w:r w:rsidR="002D6E34">
        <w:rPr>
          <w:bCs/>
        </w:rPr>
        <w:t>ing</w:t>
      </w:r>
      <w:r w:rsidR="00C830A8" w:rsidRPr="00AA43D1">
        <w:rPr>
          <w:bCs/>
        </w:rPr>
        <w:t xml:space="preserve"> </w:t>
      </w:r>
      <w:r w:rsidRPr="00AA43D1">
        <w:rPr>
          <w:bCs/>
        </w:rPr>
        <w:t>in 2019</w:t>
      </w:r>
      <w:r w:rsidR="002D6E34">
        <w:rPr>
          <w:bCs/>
        </w:rPr>
        <w:t xml:space="preserve">. </w:t>
      </w:r>
      <w:r w:rsidRPr="00AA43D1">
        <w:rPr>
          <w:bCs/>
        </w:rPr>
        <w:t>The percentage of low-income families is typically higher than lending to these families, as a low-income family in the assessment ar</w:t>
      </w:r>
      <w:r w:rsidR="00AA43D1" w:rsidRPr="00AA43D1">
        <w:rPr>
          <w:bCs/>
        </w:rPr>
        <w:t>ea, earning less than</w:t>
      </w:r>
      <w:r w:rsidRPr="00AA43D1">
        <w:rPr>
          <w:bCs/>
        </w:rPr>
        <w:t xml:space="preserve"> $57,750, may </w:t>
      </w:r>
      <w:r w:rsidRPr="007F4224">
        <w:rPr>
          <w:bCs/>
        </w:rPr>
        <w:t xml:space="preserve">have difficulty qualifying for a mortgage under conventional </w:t>
      </w:r>
      <w:r w:rsidRPr="00AA43D1">
        <w:rPr>
          <w:bCs/>
        </w:rPr>
        <w:t xml:space="preserve">underwriting standards, considering the </w:t>
      </w:r>
      <w:r w:rsidR="00BE6CFC">
        <w:rPr>
          <w:bCs/>
        </w:rPr>
        <w:t>median credit purchase originations of $567,148.</w:t>
      </w:r>
    </w:p>
    <w:p w14:paraId="57D96944" w14:textId="77777777" w:rsidR="00C830A8" w:rsidRPr="00AA43D1" w:rsidRDefault="00C830A8" w:rsidP="002D6E34">
      <w:pPr>
        <w:jc w:val="both"/>
        <w:rPr>
          <w:bCs/>
        </w:rPr>
      </w:pPr>
    </w:p>
    <w:p w14:paraId="5B2BAA4D" w14:textId="21C4E785" w:rsidR="009D0E57" w:rsidRPr="00AA43D1" w:rsidRDefault="009D0E57" w:rsidP="002D6E34">
      <w:pPr>
        <w:jc w:val="both"/>
        <w:rPr>
          <w:bCs/>
        </w:rPr>
      </w:pPr>
      <w:r w:rsidRPr="00AA43D1">
        <w:rPr>
          <w:bCs/>
        </w:rPr>
        <w:t>The credit union’s lending to moderate</w:t>
      </w:r>
      <w:r w:rsidR="00C830A8" w:rsidRPr="00AA43D1">
        <w:rPr>
          <w:bCs/>
        </w:rPr>
        <w:t xml:space="preserve">-income borrowers </w:t>
      </w:r>
      <w:r w:rsidR="00AA43D1" w:rsidRPr="00AA43D1">
        <w:rPr>
          <w:bCs/>
        </w:rPr>
        <w:t>was below</w:t>
      </w:r>
      <w:r w:rsidR="00C830A8" w:rsidRPr="00AA43D1">
        <w:rPr>
          <w:bCs/>
        </w:rPr>
        <w:t xml:space="preserve"> </w:t>
      </w:r>
      <w:r w:rsidRPr="00AA43D1">
        <w:rPr>
          <w:bCs/>
        </w:rPr>
        <w:t xml:space="preserve">aggregate </w:t>
      </w:r>
      <w:r w:rsidR="00AA43D1" w:rsidRPr="00AA43D1">
        <w:rPr>
          <w:bCs/>
        </w:rPr>
        <w:t xml:space="preserve">and the percentage of families demographic </w:t>
      </w:r>
      <w:r w:rsidRPr="00AA43D1">
        <w:rPr>
          <w:bCs/>
        </w:rPr>
        <w:t xml:space="preserve">data </w:t>
      </w:r>
      <w:r w:rsidR="00AA43D1" w:rsidRPr="00AA43D1">
        <w:rPr>
          <w:bCs/>
        </w:rPr>
        <w:t>in</w:t>
      </w:r>
      <w:r w:rsidRPr="00AA43D1">
        <w:rPr>
          <w:bCs/>
        </w:rPr>
        <w:t xml:space="preserve"> 2018</w:t>
      </w:r>
      <w:r w:rsidR="002D6E34">
        <w:rPr>
          <w:bCs/>
        </w:rPr>
        <w:t xml:space="preserve">. </w:t>
      </w:r>
      <w:r w:rsidR="00AA43D1" w:rsidRPr="00AA43D1">
        <w:rPr>
          <w:bCs/>
        </w:rPr>
        <w:t xml:space="preserve">The credit union’s </w:t>
      </w:r>
      <w:r w:rsidRPr="00AA43D1">
        <w:rPr>
          <w:bCs/>
        </w:rPr>
        <w:t xml:space="preserve">2019 </w:t>
      </w:r>
      <w:r w:rsidR="00C830A8" w:rsidRPr="00AA43D1">
        <w:rPr>
          <w:bCs/>
        </w:rPr>
        <w:t xml:space="preserve">performance </w:t>
      </w:r>
      <w:r w:rsidR="00EC6635">
        <w:rPr>
          <w:bCs/>
        </w:rPr>
        <w:t>was above the aggregate</w:t>
      </w:r>
      <w:r w:rsidR="004002BD">
        <w:rPr>
          <w:bCs/>
        </w:rPr>
        <w:t xml:space="preserve">.  </w:t>
      </w:r>
    </w:p>
    <w:p w14:paraId="665C41DC" w14:textId="202A3658" w:rsidR="003817A2" w:rsidRPr="00306498" w:rsidRDefault="003817A2" w:rsidP="002D6E34">
      <w:pPr>
        <w:jc w:val="both"/>
        <w:rPr>
          <w:bCs/>
        </w:rPr>
      </w:pPr>
    </w:p>
    <w:p w14:paraId="0E7396E1" w14:textId="59688226" w:rsidR="003817A2" w:rsidRPr="00D5144E" w:rsidRDefault="003817A2" w:rsidP="002D6E34">
      <w:pPr>
        <w:pStyle w:val="Default"/>
        <w:jc w:val="both"/>
        <w:rPr>
          <w:color w:val="auto"/>
        </w:rPr>
      </w:pPr>
      <w:r w:rsidRPr="00EC6635">
        <w:rPr>
          <w:color w:val="auto"/>
        </w:rPr>
        <w:lastRenderedPageBreak/>
        <w:t>Market share data from 2019 further supports the credit union’s good performance</w:t>
      </w:r>
      <w:r w:rsidR="004002BD">
        <w:rPr>
          <w:color w:val="auto"/>
        </w:rPr>
        <w:t xml:space="preserve">. </w:t>
      </w:r>
      <w:r w:rsidR="002D6E34">
        <w:rPr>
          <w:color w:val="auto"/>
        </w:rPr>
        <w:t>T</w:t>
      </w:r>
      <w:r w:rsidR="00CB5DFE">
        <w:rPr>
          <w:color w:val="auto"/>
        </w:rPr>
        <w:t>he credit union</w:t>
      </w:r>
      <w:r w:rsidR="006B4183" w:rsidRPr="00EC6635">
        <w:rPr>
          <w:color w:val="auto"/>
        </w:rPr>
        <w:t xml:space="preserve"> ranked 17</w:t>
      </w:r>
      <w:r w:rsidRPr="00EC6635">
        <w:rPr>
          <w:color w:val="auto"/>
          <w:vertAlign w:val="superscript"/>
        </w:rPr>
        <w:t>th</w:t>
      </w:r>
      <w:r w:rsidR="006B4183" w:rsidRPr="00EC6635">
        <w:rPr>
          <w:color w:val="auto"/>
        </w:rPr>
        <w:t xml:space="preserve"> out of 114</w:t>
      </w:r>
      <w:r w:rsidRPr="00EC6635">
        <w:rPr>
          <w:color w:val="auto"/>
        </w:rPr>
        <w:t xml:space="preserve"> lenders with a</w:t>
      </w:r>
      <w:r w:rsidR="006B4183" w:rsidRPr="00EC6635">
        <w:rPr>
          <w:color w:val="auto"/>
        </w:rPr>
        <w:t xml:space="preserve"> 1.3</w:t>
      </w:r>
      <w:r w:rsidRPr="00EC6635">
        <w:rPr>
          <w:color w:val="auto"/>
        </w:rPr>
        <w:t xml:space="preserve"> percent market </w:t>
      </w:r>
      <w:r w:rsidR="006B4183" w:rsidRPr="00EC6635">
        <w:rPr>
          <w:color w:val="auto"/>
        </w:rPr>
        <w:t>share in lending to low</w:t>
      </w:r>
      <w:r w:rsidR="00306498" w:rsidRPr="00EC6635">
        <w:rPr>
          <w:color w:val="auto"/>
        </w:rPr>
        <w:t>-</w:t>
      </w:r>
      <w:r w:rsidRPr="00EC6635">
        <w:rPr>
          <w:color w:val="auto"/>
        </w:rPr>
        <w:t>income borrowers</w:t>
      </w:r>
      <w:r w:rsidR="006B4183" w:rsidRPr="00EC6635">
        <w:rPr>
          <w:color w:val="auto"/>
        </w:rPr>
        <w:t xml:space="preserve"> and ranked 39</w:t>
      </w:r>
      <w:r w:rsidR="006B4183" w:rsidRPr="00EC6635">
        <w:rPr>
          <w:color w:val="auto"/>
          <w:vertAlign w:val="superscript"/>
        </w:rPr>
        <w:t>th</w:t>
      </w:r>
      <w:r w:rsidR="006B4183" w:rsidRPr="00EC6635">
        <w:rPr>
          <w:color w:val="auto"/>
        </w:rPr>
        <w:t xml:space="preserve"> out of 169 lenders with a 0.5 percent market share in lending to moderate-income borrowers</w:t>
      </w:r>
      <w:r w:rsidR="004002BD">
        <w:rPr>
          <w:color w:val="auto"/>
        </w:rPr>
        <w:t xml:space="preserve">. </w:t>
      </w:r>
      <w:r w:rsidRPr="00EC6635">
        <w:rPr>
          <w:color w:val="auto"/>
        </w:rPr>
        <w:t>In both cases</w:t>
      </w:r>
      <w:r w:rsidR="002D6E34">
        <w:rPr>
          <w:color w:val="auto"/>
        </w:rPr>
        <w:t>,</w:t>
      </w:r>
      <w:r w:rsidRPr="00EC6635">
        <w:rPr>
          <w:color w:val="auto"/>
        </w:rPr>
        <w:t xml:space="preserve"> the credit union’s rank</w:t>
      </w:r>
      <w:r w:rsidR="00EC6635" w:rsidRPr="00EC6635">
        <w:rPr>
          <w:color w:val="auto"/>
        </w:rPr>
        <w:t xml:space="preserve"> exceeded its overall rank</w:t>
      </w:r>
      <w:r w:rsidRPr="00EC6635">
        <w:rPr>
          <w:color w:val="auto"/>
        </w:rPr>
        <w:t>, exhibiting a concentration of lending to low- and moderate-income borrowers.</w:t>
      </w:r>
    </w:p>
    <w:p w14:paraId="5AD5CAEA" w14:textId="46075BA2" w:rsidR="007B2E7B" w:rsidRDefault="007B2E7B" w:rsidP="002D6E34">
      <w:pPr>
        <w:jc w:val="both"/>
        <w:rPr>
          <w:bCs/>
          <w:color w:val="FF0000"/>
        </w:rPr>
      </w:pPr>
    </w:p>
    <w:tbl>
      <w:tblPr>
        <w:tblW w:w="0" w:type="auto"/>
        <w:tblCellMar>
          <w:left w:w="0" w:type="dxa"/>
          <w:right w:w="0" w:type="dxa"/>
        </w:tblCellMar>
        <w:tblLook w:val="0000" w:firstRow="0" w:lastRow="0" w:firstColumn="0" w:lastColumn="0" w:noHBand="0" w:noVBand="0"/>
      </w:tblPr>
      <w:tblGrid>
        <w:gridCol w:w="2255"/>
        <w:gridCol w:w="1417"/>
        <w:gridCol w:w="1431"/>
        <w:gridCol w:w="1121"/>
        <w:gridCol w:w="991"/>
        <w:gridCol w:w="1136"/>
        <w:gridCol w:w="991"/>
      </w:tblGrid>
      <w:tr w:rsidR="007B2E7B" w14:paraId="6CDDC2E7" w14:textId="77777777" w:rsidTr="002D6E34">
        <w:trPr>
          <w:trHeight w:val="24"/>
        </w:trPr>
        <w:tc>
          <w:tcPr>
            <w:tcW w:w="9342" w:type="dxa"/>
            <w:gridSpan w:val="7"/>
            <w:tcBorders>
              <w:top w:val="single" w:sz="7" w:space="0" w:color="000000"/>
              <w:left w:val="single" w:sz="7" w:space="0" w:color="000000"/>
              <w:right w:val="single" w:sz="7" w:space="0" w:color="000000"/>
            </w:tcBorders>
            <w:tcMar>
              <w:top w:w="39" w:type="dxa"/>
              <w:left w:w="39" w:type="dxa"/>
              <w:bottom w:w="39" w:type="dxa"/>
              <w:right w:w="39" w:type="dxa"/>
            </w:tcMar>
          </w:tcPr>
          <w:p w14:paraId="053C1427" w14:textId="62867437" w:rsidR="007B2E7B" w:rsidRDefault="007B2E7B" w:rsidP="00B16491">
            <w:pPr>
              <w:jc w:val="center"/>
            </w:pPr>
            <w:r>
              <w:rPr>
                <w:b/>
                <w:color w:val="000000"/>
                <w:sz w:val="20"/>
              </w:rPr>
              <w:t>Distribution of Home Mortgage Loans by Borrower Income Level</w:t>
            </w:r>
          </w:p>
        </w:tc>
      </w:tr>
      <w:tr w:rsidR="007B2E7B" w14:paraId="09BE5D18" w14:textId="77777777" w:rsidTr="007B2E7B">
        <w:trPr>
          <w:trHeight w:val="498"/>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10CEF5A" w14:textId="77777777" w:rsidR="007B2E7B" w:rsidRDefault="007B2E7B" w:rsidP="00B16491">
            <w:r>
              <w:rPr>
                <w:b/>
                <w:color w:val="000000"/>
                <w:sz w:val="20"/>
              </w:rPr>
              <w:t>Borrower Income Level</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4732D4" w14:textId="77777777" w:rsidR="007B2E7B" w:rsidRDefault="007B2E7B" w:rsidP="00B16491">
            <w:pPr>
              <w:jc w:val="center"/>
            </w:pPr>
            <w:r>
              <w:rPr>
                <w:b/>
                <w:color w:val="000000"/>
                <w:sz w:val="20"/>
              </w:rPr>
              <w:t>% of  Families</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E75AE7A" w14:textId="77777777" w:rsidR="007B2E7B" w:rsidRDefault="007B2E7B" w:rsidP="00B16491">
            <w:pPr>
              <w:jc w:val="center"/>
            </w:pPr>
            <w:r>
              <w:rPr>
                <w:b/>
                <w:color w:val="000000"/>
                <w:sz w:val="20"/>
              </w:rPr>
              <w:t>Aggregate Performance</w:t>
            </w:r>
            <w:r>
              <w:rPr>
                <w:b/>
                <w:color w:val="000000"/>
                <w:sz w:val="20"/>
              </w:rPr>
              <w:br/>
              <w:t>% of #</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3B378C2" w14:textId="77777777" w:rsidR="007B2E7B" w:rsidRDefault="007B2E7B" w:rsidP="00B16491">
            <w:pPr>
              <w:jc w:val="center"/>
            </w:pPr>
            <w:r>
              <w:rPr>
                <w:b/>
                <w:color w:val="000000"/>
                <w:sz w:val="20"/>
              </w:rPr>
              <w:t>#</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72C5676" w14:textId="77777777" w:rsidR="007B2E7B" w:rsidRDefault="007B2E7B" w:rsidP="00B16491">
            <w:pPr>
              <w:jc w:val="center"/>
            </w:pPr>
            <w:r>
              <w:rPr>
                <w:b/>
                <w:color w:val="000000"/>
                <w:sz w:val="20"/>
              </w:rPr>
              <w:t>%</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AFDB83F" w14:textId="77777777" w:rsidR="007B2E7B" w:rsidRDefault="007B2E7B" w:rsidP="00B16491">
            <w:pPr>
              <w:jc w:val="center"/>
            </w:pPr>
            <w:r>
              <w:rPr>
                <w:b/>
                <w:color w:val="000000"/>
                <w:sz w:val="20"/>
              </w:rPr>
              <w:t>$(000s)</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2921864" w14:textId="77777777" w:rsidR="007B2E7B" w:rsidRDefault="007B2E7B" w:rsidP="00B16491">
            <w:pPr>
              <w:jc w:val="center"/>
            </w:pPr>
            <w:r>
              <w:rPr>
                <w:b/>
                <w:color w:val="000000"/>
                <w:sz w:val="20"/>
              </w:rPr>
              <w:t>%</w:t>
            </w:r>
          </w:p>
        </w:tc>
      </w:tr>
      <w:tr w:rsidR="007B2E7B" w14:paraId="272765A1"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7060E00" w14:textId="77777777" w:rsidR="007B2E7B" w:rsidRDefault="007B2E7B" w:rsidP="00B16491">
            <w:r>
              <w:rPr>
                <w:color w:val="000000"/>
                <w:sz w:val="20"/>
              </w:rPr>
              <w:t>Low</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3FD40" w14:textId="77777777" w:rsidR="007B2E7B" w:rsidRDefault="007B2E7B" w:rsidP="00B16491"/>
        </w:tc>
      </w:tr>
      <w:tr w:rsidR="007B2E7B" w14:paraId="4FBEBEC1"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D72A230" w14:textId="77777777" w:rsidR="007B2E7B" w:rsidRDefault="007B2E7B" w:rsidP="00B16491">
            <w:pPr>
              <w:jc w:val="right"/>
            </w:pPr>
            <w:r>
              <w:rPr>
                <w:color w:val="000000"/>
                <w:sz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4D6F8" w14:textId="77777777" w:rsidR="007B2E7B" w:rsidRDefault="007B2E7B" w:rsidP="00B16491">
            <w:pPr>
              <w:jc w:val="center"/>
            </w:pPr>
            <w:r>
              <w:rPr>
                <w:color w:val="000000"/>
                <w:sz w:val="20"/>
              </w:rPr>
              <w:t>32.0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79F2B" w14:textId="77777777" w:rsidR="007B2E7B" w:rsidRDefault="007B2E7B" w:rsidP="00B16491">
            <w:pPr>
              <w:jc w:val="center"/>
            </w:pPr>
            <w:r>
              <w:rPr>
                <w:color w:val="000000"/>
                <w:sz w:val="20"/>
              </w:rPr>
              <w:t>5.7</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1FB80" w14:textId="77777777" w:rsidR="007B2E7B" w:rsidRDefault="007B2E7B" w:rsidP="00B16491">
            <w:pPr>
              <w:jc w:val="center"/>
            </w:pPr>
            <w:r>
              <w:rPr>
                <w:color w:val="000000"/>
                <w:sz w:val="20"/>
              </w:rPr>
              <w:t>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A5743" w14:textId="77777777" w:rsidR="007B2E7B" w:rsidRDefault="007B2E7B" w:rsidP="00B16491">
            <w:pPr>
              <w:jc w:val="center"/>
            </w:pPr>
            <w:r>
              <w:rPr>
                <w:color w:val="000000"/>
                <w:sz w:val="20"/>
              </w:rPr>
              <w:t>7.1</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B25F2F" w14:textId="77777777" w:rsidR="007B2E7B" w:rsidRDefault="007B2E7B" w:rsidP="00B16491">
            <w:pPr>
              <w:jc w:val="center"/>
            </w:pPr>
            <w:r>
              <w:rPr>
                <w:color w:val="000000"/>
                <w:sz w:val="20"/>
              </w:rPr>
              <w:t>18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A709C" w14:textId="77777777" w:rsidR="007B2E7B" w:rsidRDefault="007B2E7B" w:rsidP="00B16491">
            <w:pPr>
              <w:jc w:val="center"/>
            </w:pPr>
            <w:r>
              <w:rPr>
                <w:color w:val="000000"/>
                <w:sz w:val="20"/>
              </w:rPr>
              <w:t>0.3</w:t>
            </w:r>
          </w:p>
        </w:tc>
      </w:tr>
      <w:tr w:rsidR="007B2E7B" w14:paraId="7EE5DF14"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3A8C0C9" w14:textId="77777777" w:rsidR="007B2E7B" w:rsidRDefault="007B2E7B" w:rsidP="00B16491">
            <w:pPr>
              <w:jc w:val="right"/>
            </w:pPr>
            <w:r>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8D495" w14:textId="77777777" w:rsidR="007B2E7B" w:rsidRDefault="007B2E7B" w:rsidP="00B16491">
            <w:pPr>
              <w:jc w:val="center"/>
            </w:pPr>
            <w:r>
              <w:rPr>
                <w:color w:val="000000"/>
                <w:sz w:val="20"/>
              </w:rPr>
              <w:t>32.0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031BE" w14:textId="77777777" w:rsidR="007B2E7B" w:rsidRDefault="007B2E7B" w:rsidP="00B16491">
            <w:pPr>
              <w:jc w:val="center"/>
            </w:pPr>
            <w:r>
              <w:rPr>
                <w:color w:val="000000"/>
                <w:sz w:val="20"/>
              </w:rPr>
              <w:t>4.6</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12927" w14:textId="77777777" w:rsidR="007B2E7B" w:rsidRDefault="007B2E7B" w:rsidP="00B16491">
            <w:pPr>
              <w:jc w:val="center"/>
            </w:pPr>
            <w:r>
              <w:rPr>
                <w:color w:val="000000"/>
                <w:sz w:val="20"/>
              </w:rPr>
              <w:t>6</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4A2FE" w14:textId="77777777" w:rsidR="007B2E7B" w:rsidRDefault="007B2E7B" w:rsidP="00B16491">
            <w:pPr>
              <w:jc w:val="center"/>
            </w:pPr>
            <w:r>
              <w:rPr>
                <w:color w:val="000000"/>
                <w:sz w:val="20"/>
              </w:rPr>
              <w:t>16.2</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DE4B6" w14:textId="77777777" w:rsidR="007B2E7B" w:rsidRDefault="007B2E7B" w:rsidP="00B16491">
            <w:pPr>
              <w:jc w:val="center"/>
            </w:pPr>
            <w:r>
              <w:rPr>
                <w:color w:val="000000"/>
                <w:sz w:val="20"/>
              </w:rPr>
              <w:t>881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BC5F3" w14:textId="77777777" w:rsidR="007B2E7B" w:rsidRDefault="007B2E7B" w:rsidP="00B16491">
            <w:pPr>
              <w:jc w:val="center"/>
            </w:pPr>
            <w:r>
              <w:rPr>
                <w:color w:val="000000"/>
                <w:sz w:val="20"/>
              </w:rPr>
              <w:t>6.7</w:t>
            </w:r>
          </w:p>
        </w:tc>
      </w:tr>
      <w:tr w:rsidR="007B2E7B" w14:paraId="258C6007"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3AC005E" w14:textId="77777777" w:rsidR="007B2E7B" w:rsidRDefault="007B2E7B" w:rsidP="00B16491">
            <w:r>
              <w:rPr>
                <w:color w:val="000000"/>
                <w:sz w:val="20"/>
              </w:rPr>
              <w:t>Moderate</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70AF7" w14:textId="77777777" w:rsidR="007B2E7B" w:rsidRDefault="007B2E7B" w:rsidP="00B16491"/>
        </w:tc>
      </w:tr>
      <w:tr w:rsidR="007B2E7B" w14:paraId="0E06465D"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54CAC29" w14:textId="77777777" w:rsidR="007B2E7B" w:rsidRDefault="007B2E7B" w:rsidP="00B16491">
            <w:pPr>
              <w:jc w:val="right"/>
            </w:pPr>
            <w:r>
              <w:rPr>
                <w:color w:val="000000"/>
                <w:sz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755C8A" w14:textId="77777777" w:rsidR="007B2E7B" w:rsidRDefault="007B2E7B" w:rsidP="00B16491">
            <w:pPr>
              <w:jc w:val="center"/>
            </w:pPr>
            <w:r>
              <w:rPr>
                <w:color w:val="000000"/>
                <w:sz w:val="20"/>
              </w:rPr>
              <w:t>18.7</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6BE416" w14:textId="77777777" w:rsidR="007B2E7B" w:rsidRDefault="007B2E7B" w:rsidP="00B16491">
            <w:pPr>
              <w:jc w:val="center"/>
            </w:pPr>
            <w:r>
              <w:rPr>
                <w:color w:val="000000"/>
                <w:sz w:val="20"/>
              </w:rPr>
              <w:t>15.8</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1A048C" w14:textId="77777777" w:rsidR="007B2E7B" w:rsidRDefault="007B2E7B" w:rsidP="00B16491">
            <w:pPr>
              <w:jc w:val="center"/>
            </w:pPr>
            <w:r>
              <w:rPr>
                <w:color w:val="000000"/>
                <w:sz w:val="20"/>
              </w:rPr>
              <w:t>2</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D3F90" w14:textId="77777777" w:rsidR="007B2E7B" w:rsidRDefault="007B2E7B" w:rsidP="00B16491">
            <w:pPr>
              <w:jc w:val="center"/>
            </w:pPr>
            <w:r>
              <w:rPr>
                <w:color w:val="000000"/>
                <w:sz w:val="20"/>
              </w:rPr>
              <w:t>14.3</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C1C7A" w14:textId="77777777" w:rsidR="007B2E7B" w:rsidRDefault="007B2E7B" w:rsidP="00B16491">
            <w:pPr>
              <w:jc w:val="center"/>
            </w:pPr>
            <w:r>
              <w:rPr>
                <w:color w:val="000000"/>
                <w:sz w:val="20"/>
              </w:rPr>
              <w:t>1,611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D51C3" w14:textId="77777777" w:rsidR="007B2E7B" w:rsidRDefault="007B2E7B" w:rsidP="00B16491">
            <w:pPr>
              <w:jc w:val="center"/>
            </w:pPr>
            <w:r>
              <w:rPr>
                <w:color w:val="000000"/>
                <w:sz w:val="20"/>
              </w:rPr>
              <w:t>25.3</w:t>
            </w:r>
          </w:p>
        </w:tc>
      </w:tr>
      <w:tr w:rsidR="007B2E7B" w14:paraId="52059768"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1C60AD2" w14:textId="77777777" w:rsidR="007B2E7B" w:rsidRDefault="007B2E7B" w:rsidP="00B16491">
            <w:pPr>
              <w:jc w:val="right"/>
            </w:pPr>
            <w:r>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9D422" w14:textId="77777777" w:rsidR="007B2E7B" w:rsidRDefault="007B2E7B" w:rsidP="00B16491">
            <w:pPr>
              <w:jc w:val="center"/>
            </w:pPr>
            <w:r>
              <w:rPr>
                <w:color w:val="000000"/>
                <w:sz w:val="20"/>
              </w:rPr>
              <w:t>18.7</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BFEE2" w14:textId="77777777" w:rsidR="007B2E7B" w:rsidRDefault="007B2E7B" w:rsidP="00B16491">
            <w:pPr>
              <w:jc w:val="center"/>
            </w:pPr>
            <w:r>
              <w:rPr>
                <w:color w:val="000000"/>
                <w:sz w:val="20"/>
              </w:rPr>
              <w:t>15.7</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DF878" w14:textId="77777777" w:rsidR="007B2E7B" w:rsidRDefault="007B2E7B" w:rsidP="00B16491">
            <w:pPr>
              <w:jc w:val="center"/>
            </w:pPr>
            <w:r>
              <w:rPr>
                <w:color w:val="000000"/>
                <w:sz w:val="20"/>
              </w:rPr>
              <w:t>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201AA" w14:textId="77777777" w:rsidR="007B2E7B" w:rsidRDefault="007B2E7B" w:rsidP="00B16491">
            <w:pPr>
              <w:jc w:val="center"/>
            </w:pPr>
            <w:r>
              <w:rPr>
                <w:color w:val="000000"/>
                <w:sz w:val="20"/>
              </w:rPr>
              <w:t>18.9</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6AA28" w14:textId="77777777" w:rsidR="007B2E7B" w:rsidRDefault="007B2E7B" w:rsidP="00B16491">
            <w:pPr>
              <w:jc w:val="center"/>
            </w:pPr>
            <w:r>
              <w:rPr>
                <w:color w:val="000000"/>
                <w:sz w:val="20"/>
              </w:rPr>
              <w:t>2,653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A7A60" w14:textId="77777777" w:rsidR="007B2E7B" w:rsidRDefault="007B2E7B" w:rsidP="00B16491">
            <w:pPr>
              <w:jc w:val="center"/>
            </w:pPr>
            <w:r>
              <w:rPr>
                <w:color w:val="000000"/>
                <w:sz w:val="20"/>
              </w:rPr>
              <w:t>20.1</w:t>
            </w:r>
          </w:p>
        </w:tc>
      </w:tr>
      <w:tr w:rsidR="007B2E7B" w14:paraId="39A25121"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8E5C27" w14:textId="77777777" w:rsidR="007B2E7B" w:rsidRDefault="007B2E7B" w:rsidP="00B16491">
            <w:r>
              <w:rPr>
                <w:color w:val="000000"/>
                <w:sz w:val="20"/>
              </w:rPr>
              <w:t>Middle</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2292B" w14:textId="77777777" w:rsidR="007B2E7B" w:rsidRDefault="007B2E7B" w:rsidP="00B16491"/>
        </w:tc>
      </w:tr>
      <w:tr w:rsidR="007B2E7B" w14:paraId="272C2E7E"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30F3828" w14:textId="77777777" w:rsidR="007B2E7B" w:rsidRDefault="007B2E7B" w:rsidP="00B16491">
            <w:pPr>
              <w:jc w:val="right"/>
            </w:pPr>
            <w:r>
              <w:rPr>
                <w:color w:val="000000"/>
                <w:sz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A0FDB" w14:textId="77777777" w:rsidR="007B2E7B" w:rsidRDefault="007B2E7B" w:rsidP="00B16491">
            <w:pPr>
              <w:jc w:val="center"/>
            </w:pPr>
            <w:r>
              <w:rPr>
                <w:color w:val="000000"/>
                <w:sz w:val="20"/>
              </w:rPr>
              <w:t>19.5</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EF650" w14:textId="77777777" w:rsidR="007B2E7B" w:rsidRDefault="007B2E7B" w:rsidP="00B16491">
            <w:pPr>
              <w:jc w:val="center"/>
            </w:pPr>
            <w:r>
              <w:rPr>
                <w:color w:val="000000"/>
                <w:sz w:val="20"/>
              </w:rPr>
              <w:t>23.5</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C25EB" w14:textId="77777777" w:rsidR="007B2E7B" w:rsidRDefault="007B2E7B" w:rsidP="00B16491">
            <w:pPr>
              <w:jc w:val="center"/>
            </w:pPr>
            <w:r>
              <w:rPr>
                <w:color w:val="000000"/>
                <w:sz w:val="20"/>
              </w:rPr>
              <w:t>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76D75" w14:textId="77777777" w:rsidR="007B2E7B" w:rsidRDefault="007B2E7B" w:rsidP="00B16491">
            <w:pPr>
              <w:jc w:val="center"/>
            </w:pPr>
            <w:r>
              <w:rPr>
                <w:color w:val="000000"/>
                <w:sz w:val="20"/>
              </w:rPr>
              <w:t>21.4</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EE71C" w14:textId="77777777" w:rsidR="007B2E7B" w:rsidRDefault="007B2E7B" w:rsidP="00B16491">
            <w:pPr>
              <w:jc w:val="center"/>
            </w:pPr>
            <w:r>
              <w:rPr>
                <w:color w:val="000000"/>
                <w:sz w:val="20"/>
              </w:rPr>
              <w:t>465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51390" w14:textId="77777777" w:rsidR="007B2E7B" w:rsidRDefault="007B2E7B" w:rsidP="00B16491">
            <w:pPr>
              <w:jc w:val="center"/>
            </w:pPr>
            <w:r>
              <w:rPr>
                <w:color w:val="000000"/>
                <w:sz w:val="20"/>
              </w:rPr>
              <w:t>7.3</w:t>
            </w:r>
          </w:p>
        </w:tc>
      </w:tr>
      <w:tr w:rsidR="007B2E7B" w14:paraId="0DA1DE0F"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5004D92" w14:textId="77777777" w:rsidR="007B2E7B" w:rsidRDefault="007B2E7B" w:rsidP="00B16491">
            <w:pPr>
              <w:jc w:val="right"/>
            </w:pPr>
            <w:r>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CC3E9" w14:textId="77777777" w:rsidR="007B2E7B" w:rsidRDefault="007B2E7B" w:rsidP="00B16491">
            <w:pPr>
              <w:jc w:val="center"/>
            </w:pPr>
            <w:r>
              <w:rPr>
                <w:color w:val="000000"/>
                <w:sz w:val="20"/>
              </w:rPr>
              <w:t>19.5</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4B4BD" w14:textId="77777777" w:rsidR="007B2E7B" w:rsidRDefault="007B2E7B" w:rsidP="00B16491">
            <w:pPr>
              <w:jc w:val="center"/>
            </w:pPr>
            <w:r>
              <w:rPr>
                <w:color w:val="000000"/>
                <w:sz w:val="20"/>
              </w:rPr>
              <w:t>22.3</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66A22" w14:textId="77777777" w:rsidR="007B2E7B" w:rsidRDefault="007B2E7B" w:rsidP="00B16491">
            <w:pPr>
              <w:jc w:val="center"/>
            </w:pPr>
            <w:r>
              <w:rPr>
                <w:color w:val="000000"/>
                <w:sz w:val="20"/>
              </w:rPr>
              <w:t>13</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29264" w14:textId="77777777" w:rsidR="007B2E7B" w:rsidRDefault="007B2E7B" w:rsidP="00B16491">
            <w:pPr>
              <w:jc w:val="center"/>
            </w:pPr>
            <w:r>
              <w:rPr>
                <w:color w:val="000000"/>
                <w:sz w:val="20"/>
              </w:rPr>
              <w:t>35.1</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C6B981" w14:textId="77777777" w:rsidR="007B2E7B" w:rsidRDefault="007B2E7B" w:rsidP="00B16491">
            <w:pPr>
              <w:jc w:val="center"/>
            </w:pPr>
            <w:r>
              <w:rPr>
                <w:color w:val="000000"/>
                <w:sz w:val="20"/>
              </w:rPr>
              <w:t>3,957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76606" w14:textId="77777777" w:rsidR="007B2E7B" w:rsidRDefault="007B2E7B" w:rsidP="00B16491">
            <w:pPr>
              <w:jc w:val="center"/>
            </w:pPr>
            <w:r>
              <w:rPr>
                <w:color w:val="000000"/>
                <w:sz w:val="20"/>
              </w:rPr>
              <w:t>30.0</w:t>
            </w:r>
          </w:p>
        </w:tc>
      </w:tr>
      <w:tr w:rsidR="007B2E7B" w14:paraId="4F343517"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D08BD1" w14:textId="77777777" w:rsidR="007B2E7B" w:rsidRDefault="007B2E7B" w:rsidP="00B16491">
            <w:r>
              <w:rPr>
                <w:color w:val="000000"/>
                <w:sz w:val="20"/>
              </w:rPr>
              <w:t>Upper</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08466" w14:textId="77777777" w:rsidR="007B2E7B" w:rsidRDefault="007B2E7B" w:rsidP="00B16491"/>
        </w:tc>
      </w:tr>
      <w:tr w:rsidR="007B2E7B" w14:paraId="405EE6DB"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0E58CE6" w14:textId="77777777" w:rsidR="007B2E7B" w:rsidRDefault="007B2E7B" w:rsidP="00B16491">
            <w:pPr>
              <w:jc w:val="right"/>
            </w:pPr>
            <w:r>
              <w:rPr>
                <w:color w:val="000000"/>
                <w:sz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B095B" w14:textId="77777777" w:rsidR="007B2E7B" w:rsidRDefault="007B2E7B" w:rsidP="00B16491">
            <w:pPr>
              <w:jc w:val="center"/>
            </w:pPr>
            <w:r>
              <w:rPr>
                <w:color w:val="000000"/>
                <w:sz w:val="20"/>
              </w:rPr>
              <w:t>29.8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2AB92" w14:textId="77777777" w:rsidR="007B2E7B" w:rsidRDefault="007B2E7B" w:rsidP="00B16491">
            <w:pPr>
              <w:jc w:val="center"/>
            </w:pPr>
            <w:r>
              <w:rPr>
                <w:color w:val="000000"/>
                <w:sz w:val="20"/>
              </w:rPr>
              <w:t>41.1</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CCCC3" w14:textId="77777777" w:rsidR="007B2E7B" w:rsidRDefault="007B2E7B" w:rsidP="00B16491">
            <w:pPr>
              <w:jc w:val="center"/>
            </w:pPr>
            <w:r>
              <w:rPr>
                <w:color w:val="000000"/>
                <w:sz w:val="20"/>
              </w:rPr>
              <w:t>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8550B" w14:textId="77777777" w:rsidR="007B2E7B" w:rsidRDefault="007B2E7B" w:rsidP="00B16491">
            <w:pPr>
              <w:jc w:val="center"/>
            </w:pPr>
            <w:r>
              <w:rPr>
                <w:color w:val="000000"/>
                <w:sz w:val="20"/>
              </w:rPr>
              <w:t>57.1</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358BE" w14:textId="77777777" w:rsidR="007B2E7B" w:rsidRDefault="007B2E7B" w:rsidP="00B16491">
            <w:pPr>
              <w:jc w:val="center"/>
            </w:pPr>
            <w:r>
              <w:rPr>
                <w:color w:val="000000"/>
                <w:sz w:val="20"/>
              </w:rPr>
              <w:t>4,271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05162" w14:textId="77777777" w:rsidR="007B2E7B" w:rsidRDefault="007B2E7B" w:rsidP="00B16491">
            <w:pPr>
              <w:jc w:val="center"/>
            </w:pPr>
            <w:r>
              <w:rPr>
                <w:color w:val="000000"/>
                <w:sz w:val="20"/>
              </w:rPr>
              <w:t>67.1</w:t>
            </w:r>
          </w:p>
        </w:tc>
      </w:tr>
      <w:tr w:rsidR="007B2E7B" w14:paraId="1A81638C"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3CB39A0" w14:textId="77777777" w:rsidR="007B2E7B" w:rsidRDefault="007B2E7B" w:rsidP="00B16491">
            <w:pPr>
              <w:jc w:val="right"/>
            </w:pPr>
            <w:r>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E6F56" w14:textId="77777777" w:rsidR="007B2E7B" w:rsidRDefault="007B2E7B" w:rsidP="00B16491">
            <w:pPr>
              <w:jc w:val="center"/>
            </w:pPr>
            <w:r>
              <w:rPr>
                <w:color w:val="000000"/>
                <w:sz w:val="20"/>
              </w:rPr>
              <w:t>29.8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229A3" w14:textId="77777777" w:rsidR="007B2E7B" w:rsidRDefault="007B2E7B" w:rsidP="00B16491">
            <w:pPr>
              <w:jc w:val="center"/>
            </w:pPr>
            <w:r>
              <w:rPr>
                <w:color w:val="000000"/>
                <w:sz w:val="20"/>
              </w:rPr>
              <w:t>44.5</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F3FB34" w14:textId="77777777" w:rsidR="007B2E7B" w:rsidRDefault="007B2E7B" w:rsidP="00B16491">
            <w:pPr>
              <w:jc w:val="center"/>
            </w:pPr>
            <w:r>
              <w:rPr>
                <w:color w:val="000000"/>
                <w:sz w:val="20"/>
              </w:rPr>
              <w:t>11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F8BB15" w14:textId="77777777" w:rsidR="007B2E7B" w:rsidRDefault="007B2E7B" w:rsidP="00B16491">
            <w:pPr>
              <w:jc w:val="center"/>
            </w:pPr>
            <w:r>
              <w:rPr>
                <w:color w:val="000000"/>
                <w:sz w:val="20"/>
              </w:rPr>
              <w:t>29.7</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DC928" w14:textId="77777777" w:rsidR="007B2E7B" w:rsidRDefault="007B2E7B" w:rsidP="00B16491">
            <w:pPr>
              <w:jc w:val="center"/>
            </w:pPr>
            <w:r>
              <w:rPr>
                <w:color w:val="000000"/>
                <w:sz w:val="20"/>
              </w:rPr>
              <w:t>5,688</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AC3AB" w14:textId="77777777" w:rsidR="007B2E7B" w:rsidRDefault="007B2E7B" w:rsidP="00B16491">
            <w:pPr>
              <w:jc w:val="center"/>
            </w:pPr>
            <w:r>
              <w:rPr>
                <w:color w:val="000000"/>
                <w:sz w:val="20"/>
              </w:rPr>
              <w:t>43.2</w:t>
            </w:r>
          </w:p>
        </w:tc>
      </w:tr>
      <w:tr w:rsidR="007B2E7B" w14:paraId="56A3B2C4"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D49EF7" w14:textId="77777777" w:rsidR="007B2E7B" w:rsidRDefault="007B2E7B" w:rsidP="00B16491">
            <w:r>
              <w:rPr>
                <w:color w:val="000000"/>
                <w:sz w:val="20"/>
              </w:rPr>
              <w:t>Not Available</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350E9" w14:textId="77777777" w:rsidR="007B2E7B" w:rsidRDefault="007B2E7B" w:rsidP="00B16491"/>
        </w:tc>
      </w:tr>
      <w:tr w:rsidR="007B2E7B" w14:paraId="436DC420"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10DE4EA" w14:textId="77777777" w:rsidR="007B2E7B" w:rsidRDefault="007B2E7B" w:rsidP="00B16491">
            <w:pPr>
              <w:jc w:val="right"/>
            </w:pPr>
            <w:r>
              <w:rPr>
                <w:color w:val="000000"/>
                <w:sz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13CB6F" w14:textId="77777777" w:rsidR="007B2E7B" w:rsidRDefault="007B2E7B" w:rsidP="00B16491">
            <w:pPr>
              <w:jc w:val="center"/>
            </w:pPr>
            <w:r>
              <w:rPr>
                <w:color w:val="000000"/>
                <w:sz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7046C7" w14:textId="77777777" w:rsidR="007B2E7B" w:rsidRDefault="007B2E7B" w:rsidP="00B16491">
            <w:pPr>
              <w:jc w:val="center"/>
            </w:pPr>
            <w:r>
              <w:rPr>
                <w:color w:val="000000"/>
                <w:sz w:val="20"/>
              </w:rPr>
              <w:t>13.9</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58180A" w14:textId="77777777" w:rsidR="007B2E7B" w:rsidRDefault="007B2E7B" w:rsidP="00B16491">
            <w:pPr>
              <w:jc w:val="center"/>
            </w:pPr>
            <w:r>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9EDFA6" w14:textId="77777777" w:rsidR="007B2E7B" w:rsidRDefault="007B2E7B" w:rsidP="00B16491">
            <w:pPr>
              <w:jc w:val="center"/>
            </w:pPr>
            <w:r>
              <w:rPr>
                <w:color w:val="000000"/>
                <w:sz w:val="20"/>
              </w:rPr>
              <w:t>0.0</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F696A1" w14:textId="77777777" w:rsidR="007B2E7B" w:rsidRDefault="007B2E7B" w:rsidP="00B16491">
            <w:pPr>
              <w:jc w:val="center"/>
            </w:pPr>
            <w:r>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D8896" w14:textId="77777777" w:rsidR="007B2E7B" w:rsidRDefault="007B2E7B" w:rsidP="00B16491">
            <w:pPr>
              <w:jc w:val="center"/>
            </w:pPr>
            <w:r>
              <w:rPr>
                <w:color w:val="000000"/>
                <w:sz w:val="20"/>
              </w:rPr>
              <w:t>0.0</w:t>
            </w:r>
          </w:p>
        </w:tc>
      </w:tr>
      <w:tr w:rsidR="007B2E7B" w14:paraId="1A8C9923" w14:textId="77777777" w:rsidTr="007B2E7B">
        <w:trPr>
          <w:trHeight w:val="166"/>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509CD19" w14:textId="77777777" w:rsidR="007B2E7B" w:rsidRDefault="007B2E7B" w:rsidP="00B16491">
            <w:pPr>
              <w:jc w:val="right"/>
            </w:pPr>
            <w:r>
              <w:rPr>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E313E" w14:textId="77777777" w:rsidR="007B2E7B" w:rsidRDefault="007B2E7B" w:rsidP="00B16491">
            <w:pPr>
              <w:jc w:val="center"/>
            </w:pPr>
            <w:r>
              <w:rPr>
                <w:color w:val="000000"/>
                <w:sz w:val="20"/>
              </w:rPr>
              <w:t>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3E658" w14:textId="77777777" w:rsidR="007B2E7B" w:rsidRDefault="007B2E7B" w:rsidP="00B16491">
            <w:pPr>
              <w:jc w:val="center"/>
            </w:pPr>
            <w:r>
              <w:rPr>
                <w:color w:val="000000"/>
                <w:sz w:val="20"/>
              </w:rPr>
              <w:t>12.9</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8C178" w14:textId="77777777" w:rsidR="007B2E7B" w:rsidRDefault="007B2E7B" w:rsidP="00B16491">
            <w:pPr>
              <w:jc w:val="center"/>
            </w:pPr>
            <w:r>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92EA0A" w14:textId="77777777" w:rsidR="007B2E7B" w:rsidRDefault="007B2E7B" w:rsidP="00B16491">
            <w:pPr>
              <w:jc w:val="center"/>
            </w:pPr>
            <w:r>
              <w:rPr>
                <w:color w:val="000000"/>
                <w:sz w:val="20"/>
              </w:rPr>
              <w:t>0.0</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96C7A" w14:textId="77777777" w:rsidR="007B2E7B" w:rsidRDefault="007B2E7B" w:rsidP="00B16491">
            <w:pPr>
              <w:jc w:val="center"/>
            </w:pPr>
            <w:r>
              <w:rPr>
                <w:color w:val="000000"/>
                <w:sz w:val="20"/>
              </w:rPr>
              <w:t>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38545" w14:textId="77777777" w:rsidR="007B2E7B" w:rsidRDefault="007B2E7B" w:rsidP="00B16491">
            <w:pPr>
              <w:jc w:val="center"/>
            </w:pPr>
            <w:r>
              <w:rPr>
                <w:color w:val="000000"/>
                <w:sz w:val="20"/>
              </w:rPr>
              <w:t>0.0</w:t>
            </w:r>
          </w:p>
        </w:tc>
      </w:tr>
      <w:tr w:rsidR="007B2E7B" w14:paraId="7F508DE0"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DB8AF0" w14:textId="77777777" w:rsidR="007B2E7B" w:rsidRDefault="007B2E7B" w:rsidP="00B16491">
            <w:r>
              <w:rPr>
                <w:b/>
                <w:color w:val="000000"/>
                <w:sz w:val="20"/>
              </w:rPr>
              <w:t>Totals</w:t>
            </w:r>
          </w:p>
        </w:tc>
        <w:tc>
          <w:tcPr>
            <w:tcW w:w="7087"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DEE01" w14:textId="77777777" w:rsidR="007B2E7B" w:rsidRDefault="007B2E7B" w:rsidP="00B16491"/>
        </w:tc>
      </w:tr>
      <w:tr w:rsidR="007B2E7B" w14:paraId="504A238D"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05FD1B2" w14:textId="77777777" w:rsidR="007B2E7B" w:rsidRDefault="007B2E7B" w:rsidP="00B16491">
            <w:pPr>
              <w:jc w:val="right"/>
            </w:pPr>
            <w:r>
              <w:rPr>
                <w:b/>
                <w:color w:val="000000"/>
                <w:sz w:val="20"/>
              </w:rPr>
              <w:t>2018</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FC754E" w14:textId="77777777" w:rsidR="007B2E7B" w:rsidRDefault="007B2E7B" w:rsidP="00B16491">
            <w:pPr>
              <w:jc w:val="center"/>
            </w:pPr>
            <w:r>
              <w:rPr>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CEA6F" w14:textId="77777777" w:rsidR="007B2E7B" w:rsidRDefault="007B2E7B" w:rsidP="00B16491">
            <w:pPr>
              <w:jc w:val="center"/>
            </w:pPr>
            <w:r>
              <w:rPr>
                <w:b/>
                <w:color w:val="000000"/>
                <w:sz w:val="20"/>
              </w:rPr>
              <w:t>100.0</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A6789" w14:textId="77777777" w:rsidR="007B2E7B" w:rsidRDefault="007B2E7B" w:rsidP="00B16491">
            <w:pPr>
              <w:jc w:val="center"/>
            </w:pPr>
            <w:r>
              <w:rPr>
                <w:b/>
                <w:color w:val="000000"/>
                <w:sz w:val="20"/>
              </w:rPr>
              <w:t>14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2C9FC" w14:textId="77777777" w:rsidR="007B2E7B" w:rsidRDefault="007B2E7B" w:rsidP="00B16491">
            <w:pPr>
              <w:jc w:val="center"/>
            </w:pPr>
            <w:r>
              <w:rPr>
                <w:b/>
                <w:color w:val="000000"/>
                <w:sz w:val="20"/>
              </w:rPr>
              <w:t>100.0</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BB2DF" w14:textId="77777777" w:rsidR="007B2E7B" w:rsidRDefault="007B2E7B" w:rsidP="00B16491">
            <w:pPr>
              <w:jc w:val="center"/>
            </w:pPr>
            <w:r>
              <w:rPr>
                <w:b/>
                <w:color w:val="000000"/>
                <w:sz w:val="20"/>
              </w:rPr>
              <w:t>6,364</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9E52F" w14:textId="77777777" w:rsidR="007B2E7B" w:rsidRDefault="007B2E7B" w:rsidP="00B16491">
            <w:pPr>
              <w:jc w:val="center"/>
            </w:pPr>
            <w:r>
              <w:rPr>
                <w:b/>
                <w:color w:val="000000"/>
                <w:sz w:val="20"/>
              </w:rPr>
              <w:t>100.0</w:t>
            </w:r>
          </w:p>
        </w:tc>
      </w:tr>
      <w:tr w:rsidR="007B2E7B" w14:paraId="35855BCB" w14:textId="77777777" w:rsidTr="007B2E7B">
        <w:trPr>
          <w:trHeight w:val="181"/>
        </w:trPr>
        <w:tc>
          <w:tcPr>
            <w:tcW w:w="2255"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742AC24" w14:textId="77777777" w:rsidR="007B2E7B" w:rsidRDefault="007B2E7B" w:rsidP="00B16491">
            <w:pPr>
              <w:jc w:val="right"/>
            </w:pPr>
            <w:r>
              <w:rPr>
                <w:b/>
                <w:color w:val="000000"/>
                <w:sz w:val="20"/>
              </w:rPr>
              <w:t>2019</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2CBB3" w14:textId="77777777" w:rsidR="007B2E7B" w:rsidRDefault="007B2E7B" w:rsidP="00B16491">
            <w:pPr>
              <w:jc w:val="center"/>
            </w:pPr>
            <w:r>
              <w:rPr>
                <w:b/>
                <w:color w:val="000000"/>
                <w:sz w:val="20"/>
              </w:rPr>
              <w:t>100.0</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D7E13" w14:textId="77777777" w:rsidR="007B2E7B" w:rsidRDefault="007B2E7B" w:rsidP="00B16491">
            <w:pPr>
              <w:jc w:val="center"/>
            </w:pPr>
            <w:r>
              <w:rPr>
                <w:b/>
                <w:color w:val="000000"/>
                <w:sz w:val="20"/>
              </w:rPr>
              <w:t>100.0</w:t>
            </w:r>
          </w:p>
        </w:tc>
        <w:tc>
          <w:tcPr>
            <w:tcW w:w="11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A75E5" w14:textId="77777777" w:rsidR="007B2E7B" w:rsidRDefault="007B2E7B" w:rsidP="00B16491">
            <w:pPr>
              <w:jc w:val="center"/>
            </w:pPr>
            <w:r>
              <w:rPr>
                <w:b/>
                <w:color w:val="000000"/>
                <w:sz w:val="20"/>
              </w:rPr>
              <w:t>37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9A79C" w14:textId="77777777" w:rsidR="007B2E7B" w:rsidRDefault="007B2E7B" w:rsidP="00B16491">
            <w:pPr>
              <w:jc w:val="center"/>
            </w:pPr>
            <w:r>
              <w:rPr>
                <w:b/>
                <w:color w:val="000000"/>
                <w:sz w:val="20"/>
              </w:rPr>
              <w:t>100.0</w:t>
            </w:r>
          </w:p>
        </w:tc>
        <w:tc>
          <w:tcPr>
            <w:tcW w:w="11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FE836" w14:textId="77777777" w:rsidR="007B2E7B" w:rsidRDefault="007B2E7B" w:rsidP="00B16491">
            <w:pPr>
              <w:jc w:val="center"/>
            </w:pPr>
            <w:r>
              <w:rPr>
                <w:b/>
                <w:color w:val="000000"/>
                <w:sz w:val="20"/>
              </w:rPr>
              <w:t>13,179</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EC1F9C" w14:textId="77777777" w:rsidR="007B2E7B" w:rsidRDefault="007B2E7B" w:rsidP="00B16491">
            <w:pPr>
              <w:jc w:val="center"/>
            </w:pPr>
            <w:r>
              <w:rPr>
                <w:b/>
                <w:color w:val="000000"/>
                <w:sz w:val="20"/>
              </w:rPr>
              <w:t>100.0</w:t>
            </w:r>
          </w:p>
        </w:tc>
      </w:tr>
      <w:tr w:rsidR="007B2E7B" w14:paraId="4065BF75" w14:textId="77777777" w:rsidTr="007B2E7B">
        <w:trPr>
          <w:trHeight w:val="410"/>
        </w:trPr>
        <w:tc>
          <w:tcPr>
            <w:tcW w:w="9342"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81F5675" w14:textId="7D03D038" w:rsidR="007B2E7B" w:rsidRDefault="007B2E7B" w:rsidP="00B16491">
            <w:r>
              <w:rPr>
                <w:i/>
                <w:color w:val="000000"/>
                <w:sz w:val="16"/>
              </w:rPr>
              <w:t xml:space="preserve">Source: 2015 ACS; </w:t>
            </w:r>
            <w:r w:rsidR="00AF3D0A">
              <w:rPr>
                <w:i/>
                <w:color w:val="000000"/>
                <w:sz w:val="16"/>
              </w:rPr>
              <w:t>Credit Union Data</w:t>
            </w:r>
            <w:r>
              <w:rPr>
                <w:i/>
                <w:color w:val="000000"/>
                <w:sz w:val="16"/>
              </w:rPr>
              <w:t>, 2018 &amp; 2019 HMDA Aggregate Data, "--" data not available.</w:t>
            </w:r>
          </w:p>
          <w:p w14:paraId="1AF4E79A" w14:textId="5117D7ED" w:rsidR="007B2E7B" w:rsidRDefault="007B2E7B" w:rsidP="007B2E7B">
            <w:r>
              <w:rPr>
                <w:i/>
                <w:color w:val="000000"/>
                <w:sz w:val="16"/>
              </w:rPr>
              <w:t>Due to rounding, totals may not equal 100.0%</w:t>
            </w:r>
          </w:p>
        </w:tc>
      </w:tr>
    </w:tbl>
    <w:p w14:paraId="37A6AE95" w14:textId="4F51D005" w:rsidR="002905E9" w:rsidRPr="00BF2444" w:rsidRDefault="002905E9" w:rsidP="009D0E57">
      <w:pPr>
        <w:rPr>
          <w:bCs/>
          <w:color w:val="FF0000"/>
        </w:rPr>
      </w:pPr>
    </w:p>
    <w:p w14:paraId="4E8763FF" w14:textId="77777777" w:rsidR="002C0D97" w:rsidRPr="002C0D97" w:rsidRDefault="002C0D97" w:rsidP="002D6E34">
      <w:pPr>
        <w:pStyle w:val="QuickFormat1"/>
        <w:jc w:val="both"/>
        <w:rPr>
          <w:i/>
        </w:rPr>
      </w:pPr>
      <w:r w:rsidRPr="002C0D97">
        <w:rPr>
          <w:i/>
        </w:rPr>
        <w:t>Lending-Related Activities</w:t>
      </w:r>
    </w:p>
    <w:p w14:paraId="56BA0914" w14:textId="77777777" w:rsidR="002C0D97" w:rsidRDefault="002C0D97" w:rsidP="002D6E34">
      <w:pPr>
        <w:pStyle w:val="QuickFormat1"/>
        <w:jc w:val="both"/>
      </w:pPr>
    </w:p>
    <w:p w14:paraId="60A347C7" w14:textId="1D281BF2" w:rsidR="002C0D97" w:rsidRDefault="002C0D97" w:rsidP="002D6E34">
      <w:pPr>
        <w:pStyle w:val="QuickFormat1"/>
        <w:jc w:val="both"/>
        <w:rPr>
          <w:b w:val="0"/>
        </w:rPr>
      </w:pPr>
      <w:r w:rsidRPr="002C0D97">
        <w:rPr>
          <w:b w:val="0"/>
        </w:rPr>
        <w:t>The credit union’s record of community development lending reflects a commitment to expanding housing for low- and moderate-income individuals and developing businesses of different sizes</w:t>
      </w:r>
      <w:r w:rsidR="004002BD">
        <w:rPr>
          <w:b w:val="0"/>
        </w:rPr>
        <w:t xml:space="preserve">.  </w:t>
      </w:r>
      <w:r w:rsidRPr="002C0D97">
        <w:rPr>
          <w:b w:val="0"/>
        </w:rPr>
        <w:t xml:space="preserve">The following represent notable examples of </w:t>
      </w:r>
      <w:r w:rsidRPr="002C0D97">
        <w:rPr>
          <w:b w:val="0"/>
          <w:lang w:val="en-US"/>
        </w:rPr>
        <w:t xml:space="preserve">credit union </w:t>
      </w:r>
      <w:r w:rsidRPr="002C0D97">
        <w:rPr>
          <w:b w:val="0"/>
        </w:rPr>
        <w:t>lending activity</w:t>
      </w:r>
      <w:r w:rsidRPr="002C0D97">
        <w:rPr>
          <w:b w:val="0"/>
          <w:lang w:val="en-US"/>
        </w:rPr>
        <w:t xml:space="preserve"> linked to low- and moderate-income populations</w:t>
      </w:r>
      <w:r w:rsidR="004002BD">
        <w:rPr>
          <w:b w:val="0"/>
        </w:rPr>
        <w:t xml:space="preserve">.  </w:t>
      </w:r>
    </w:p>
    <w:p w14:paraId="259385DD" w14:textId="2CC19420" w:rsidR="002C0D97" w:rsidRDefault="002C0D97" w:rsidP="002D6E34">
      <w:pPr>
        <w:pStyle w:val="QuickFormat1"/>
        <w:jc w:val="both"/>
        <w:rPr>
          <w:b w:val="0"/>
        </w:rPr>
      </w:pPr>
    </w:p>
    <w:p w14:paraId="0DF2797B" w14:textId="1BCA8F77" w:rsidR="00B33D4D" w:rsidRPr="002C0D97" w:rsidRDefault="00B33D4D" w:rsidP="002D6E34">
      <w:pPr>
        <w:pStyle w:val="QuickFormat1"/>
        <w:numPr>
          <w:ilvl w:val="0"/>
          <w:numId w:val="27"/>
        </w:numPr>
        <w:jc w:val="both"/>
        <w:rPr>
          <w:b w:val="0"/>
        </w:rPr>
      </w:pPr>
      <w:r>
        <w:rPr>
          <w:b w:val="0"/>
          <w:lang w:val="en-US"/>
        </w:rPr>
        <w:t>Th</w:t>
      </w:r>
      <w:r w:rsidR="00883C92">
        <w:rPr>
          <w:b w:val="0"/>
          <w:lang w:val="en-US"/>
        </w:rPr>
        <w:t>e credit union originated a $2.7</w:t>
      </w:r>
      <w:r>
        <w:rPr>
          <w:b w:val="0"/>
          <w:lang w:val="en-US"/>
        </w:rPr>
        <w:t xml:space="preserve"> million loan in Somerville MA in 2019</w:t>
      </w:r>
      <w:r w:rsidR="00222EEC">
        <w:rPr>
          <w:b w:val="0"/>
          <w:lang w:val="en-US"/>
        </w:rPr>
        <w:t xml:space="preserve">. </w:t>
      </w:r>
      <w:r>
        <w:rPr>
          <w:b w:val="0"/>
          <w:lang w:val="en-US"/>
        </w:rPr>
        <w:t>The purpose of the loan is to develop a 5-unit condominium project</w:t>
      </w:r>
      <w:r w:rsidR="004002BD">
        <w:rPr>
          <w:b w:val="0"/>
          <w:lang w:val="en-US"/>
        </w:rPr>
        <w:t xml:space="preserve">.  </w:t>
      </w:r>
      <w:r>
        <w:rPr>
          <w:b w:val="0"/>
          <w:lang w:val="en-US"/>
        </w:rPr>
        <w:t xml:space="preserve">All five units are deed restricted and </w:t>
      </w:r>
      <w:r w:rsidR="00883C92">
        <w:rPr>
          <w:b w:val="0"/>
          <w:lang w:val="en-US"/>
        </w:rPr>
        <w:t>targeted specifically to moderate-income borrowers</w:t>
      </w:r>
      <w:r w:rsidR="004002BD">
        <w:rPr>
          <w:b w:val="0"/>
          <w:lang w:val="en-US"/>
        </w:rPr>
        <w:t xml:space="preserve">.  </w:t>
      </w:r>
    </w:p>
    <w:p w14:paraId="26D0E7CC" w14:textId="5A0784C4" w:rsidR="002C0D97" w:rsidRDefault="002C0D97" w:rsidP="002D6E34">
      <w:pPr>
        <w:pStyle w:val="QuickFormat1"/>
        <w:jc w:val="both"/>
      </w:pPr>
    </w:p>
    <w:p w14:paraId="6D7D495D" w14:textId="77777777" w:rsidR="002C0D97" w:rsidRDefault="002C0D97" w:rsidP="002D6E34">
      <w:pPr>
        <w:pStyle w:val="QuickFormat1"/>
        <w:jc w:val="both"/>
      </w:pPr>
    </w:p>
    <w:p w14:paraId="1727F9D7" w14:textId="4EEFCD49" w:rsidR="003912CC" w:rsidRPr="00FC70F4" w:rsidRDefault="003912CC" w:rsidP="002D6E34">
      <w:pPr>
        <w:pStyle w:val="QuickFormat1"/>
        <w:jc w:val="both"/>
        <w:rPr>
          <w:color w:val="auto"/>
          <w:sz w:val="24"/>
          <w:szCs w:val="24"/>
          <w:u w:val="single"/>
        </w:rPr>
      </w:pPr>
      <w:r w:rsidRPr="00FC70F4">
        <w:rPr>
          <w:color w:val="auto"/>
          <w:sz w:val="24"/>
          <w:szCs w:val="24"/>
          <w:u w:val="single"/>
        </w:rPr>
        <w:lastRenderedPageBreak/>
        <w:t>Response to Complaints</w:t>
      </w:r>
    </w:p>
    <w:p w14:paraId="73A87DBA" w14:textId="77777777" w:rsidR="003912CC" w:rsidRPr="00FC70F4" w:rsidRDefault="003912CC" w:rsidP="002D6E34">
      <w:pPr>
        <w:pStyle w:val="QuickFormat1"/>
        <w:jc w:val="both"/>
        <w:rPr>
          <w:color w:val="auto"/>
          <w:sz w:val="24"/>
          <w:szCs w:val="24"/>
        </w:rPr>
      </w:pPr>
    </w:p>
    <w:p w14:paraId="21EC337F" w14:textId="029BAB9E" w:rsidR="003912CC" w:rsidRDefault="00BB1B65" w:rsidP="002D6E34">
      <w:pPr>
        <w:jc w:val="both"/>
      </w:pPr>
      <w:r w:rsidRPr="00FC70F4">
        <w:t>The c</w:t>
      </w:r>
      <w:r w:rsidR="003912CC" w:rsidRPr="00FC70F4">
        <w:t xml:space="preserve">redit </w:t>
      </w:r>
      <w:r w:rsidRPr="00FC70F4">
        <w:t>u</w:t>
      </w:r>
      <w:r w:rsidR="003912CC" w:rsidRPr="00FC70F4">
        <w:t>nion did not receive any CRA-related complaints during the evaluation period.</w:t>
      </w:r>
    </w:p>
    <w:p w14:paraId="4407D3D0" w14:textId="02CB6752" w:rsidR="0052422E" w:rsidRPr="00BB7E10" w:rsidRDefault="0052422E" w:rsidP="002D6E34">
      <w:pPr>
        <w:keepLines/>
        <w:ind w:right="-144"/>
        <w:jc w:val="both"/>
        <w:rPr>
          <w:bCs/>
          <w:szCs w:val="28"/>
          <w:highlight w:val="yellow"/>
        </w:rPr>
      </w:pPr>
    </w:p>
    <w:p w14:paraId="5E78A5F6" w14:textId="77777777" w:rsidR="002A0304" w:rsidRPr="00BE6CFC" w:rsidRDefault="002A0304" w:rsidP="002D6E34">
      <w:pPr>
        <w:pStyle w:val="QuickFormat1"/>
        <w:jc w:val="both"/>
        <w:rPr>
          <w:sz w:val="24"/>
          <w:szCs w:val="24"/>
          <w:u w:val="single"/>
        </w:rPr>
      </w:pPr>
      <w:r w:rsidRPr="00BE6CFC">
        <w:rPr>
          <w:sz w:val="24"/>
          <w:szCs w:val="24"/>
          <w:u w:val="single"/>
        </w:rPr>
        <w:t>Discriminatory or Other Illegal Credit Practices</w:t>
      </w:r>
      <w:r w:rsidRPr="00BE6CFC">
        <w:rPr>
          <w:sz w:val="24"/>
          <w:szCs w:val="24"/>
          <w:u w:val="single"/>
          <w:lang w:val="en-US"/>
        </w:rPr>
        <w:t xml:space="preserve"> – Fair Lending Policies and Procedures</w:t>
      </w:r>
      <w:r w:rsidRPr="00BE6CFC">
        <w:rPr>
          <w:sz w:val="24"/>
          <w:szCs w:val="24"/>
          <w:u w:val="single"/>
        </w:rPr>
        <w:t xml:space="preserve"> </w:t>
      </w:r>
    </w:p>
    <w:p w14:paraId="5583C534" w14:textId="77777777" w:rsidR="002A0304" w:rsidRPr="00BE6CFC" w:rsidRDefault="002A0304" w:rsidP="002D6E34">
      <w:pPr>
        <w:keepLines/>
        <w:ind w:left="-144" w:right="-144"/>
        <w:jc w:val="both"/>
        <w:rPr>
          <w:i/>
          <w:iCs/>
        </w:rPr>
      </w:pPr>
    </w:p>
    <w:p w14:paraId="39CA7CA8" w14:textId="565A53E7" w:rsidR="00AE063B" w:rsidRPr="0056477D" w:rsidRDefault="002A0304" w:rsidP="00AE063B">
      <w:pPr>
        <w:keepLines/>
        <w:ind w:right="-144"/>
        <w:jc w:val="both"/>
        <w:rPr>
          <w:b/>
          <w:bCs/>
          <w:sz w:val="28"/>
          <w:szCs w:val="28"/>
        </w:rPr>
      </w:pPr>
      <w:r w:rsidRPr="00484658">
        <w:t>The Division of Banks provides comments regarding the institution’s fair lending policies and procedures pursuant to Regulatory Bulletin 1.3-106</w:t>
      </w:r>
      <w:r w:rsidR="00222EEC">
        <w:t xml:space="preserve">. </w:t>
      </w:r>
      <w:r w:rsidRPr="00484658">
        <w:t>The fair lending review was conducted in accordance with the Federal Financial Institutions Examination Council (FFIEC) Interagency Fair Lending Examination Procedures</w:t>
      </w:r>
      <w:r w:rsidR="004002BD">
        <w:t xml:space="preserve">.  </w:t>
      </w:r>
      <w:r w:rsidRPr="00484658">
        <w:t>Based on these proce</w:t>
      </w:r>
      <w:r>
        <w:t xml:space="preserve">dures, </w:t>
      </w:r>
      <w:r w:rsidR="00AE063B">
        <w:t>e</w:t>
      </w:r>
      <w:r w:rsidR="00AE063B" w:rsidRPr="00BE6CFC">
        <w:rPr>
          <w:bCs/>
          <w:szCs w:val="28"/>
        </w:rPr>
        <w:t>xaminers did not identify any evidence of discriminatory or other illegal credit practices; therefore, this consideration did not impact the credit union’s overall rating.</w:t>
      </w:r>
    </w:p>
    <w:p w14:paraId="07C388C6" w14:textId="77777777" w:rsidR="002A0304" w:rsidRPr="00AC55EF" w:rsidRDefault="002A0304" w:rsidP="002D6E34">
      <w:pPr>
        <w:tabs>
          <w:tab w:val="center" w:pos="4680"/>
        </w:tabs>
        <w:jc w:val="both"/>
        <w:rPr>
          <w:b/>
          <w:spacing w:val="-4"/>
          <w:highlight w:val="yellow"/>
        </w:rPr>
      </w:pPr>
    </w:p>
    <w:p w14:paraId="7362BF03" w14:textId="77777777" w:rsidR="002A0304" w:rsidRPr="002F39DE" w:rsidRDefault="002A0304" w:rsidP="00AE063B">
      <w:pPr>
        <w:autoSpaceDE w:val="0"/>
        <w:autoSpaceDN w:val="0"/>
        <w:adjustRightInd w:val="0"/>
        <w:spacing w:after="240"/>
        <w:jc w:val="both"/>
        <w:rPr>
          <w:b/>
          <w:i/>
          <w:spacing w:val="-4"/>
        </w:rPr>
      </w:pPr>
      <w:r>
        <w:rPr>
          <w:b/>
          <w:i/>
          <w:spacing w:val="-4"/>
        </w:rPr>
        <w:t>Minority Application Flow</w:t>
      </w:r>
    </w:p>
    <w:p w14:paraId="2E46C0F0" w14:textId="42A91378" w:rsidR="002A0304" w:rsidRDefault="002A0304" w:rsidP="002D6E34">
      <w:pPr>
        <w:autoSpaceDE w:val="0"/>
        <w:autoSpaceDN w:val="0"/>
        <w:adjustRightInd w:val="0"/>
        <w:jc w:val="both"/>
        <w:rPr>
          <w:color w:val="000000"/>
        </w:rPr>
      </w:pPr>
      <w:r>
        <w:rPr>
          <w:color w:val="000000"/>
        </w:rPr>
        <w:t>The credit union</w:t>
      </w:r>
      <w:r w:rsidRPr="00B075D6">
        <w:rPr>
          <w:color w:val="000000"/>
        </w:rPr>
        <w:t xml:space="preserve">’s </w:t>
      </w:r>
      <w:r>
        <w:rPr>
          <w:color w:val="000000"/>
        </w:rPr>
        <w:t>level of lending</w:t>
      </w:r>
      <w:r w:rsidRPr="00B075D6">
        <w:rPr>
          <w:color w:val="000000"/>
        </w:rPr>
        <w:t xml:space="preserve"> w</w:t>
      </w:r>
      <w:r w:rsidR="00AE063B">
        <w:rPr>
          <w:color w:val="000000"/>
        </w:rPr>
        <w:t>as</w:t>
      </w:r>
      <w:r w:rsidRPr="00B075D6">
        <w:rPr>
          <w:color w:val="000000"/>
        </w:rPr>
        <w:t xml:space="preserve"> reviewed to determine if the application flow from the different </w:t>
      </w:r>
      <w:r>
        <w:rPr>
          <w:color w:val="000000"/>
        </w:rPr>
        <w:t>racial groups within the credit union</w:t>
      </w:r>
      <w:r w:rsidRPr="00B075D6">
        <w:rPr>
          <w:color w:val="000000"/>
        </w:rPr>
        <w:t>’s assessment area was reflective of the assessment area’s demographics.</w:t>
      </w:r>
    </w:p>
    <w:p w14:paraId="6B6491EC" w14:textId="77777777" w:rsidR="002A0304" w:rsidRPr="00B075D6" w:rsidRDefault="002A0304" w:rsidP="002D6E34">
      <w:pPr>
        <w:autoSpaceDE w:val="0"/>
        <w:autoSpaceDN w:val="0"/>
        <w:adjustRightInd w:val="0"/>
        <w:jc w:val="both"/>
        <w:rPr>
          <w:color w:val="000000"/>
        </w:rPr>
      </w:pPr>
    </w:p>
    <w:p w14:paraId="0C3F09AB" w14:textId="2E08C4B0" w:rsidR="002A0304" w:rsidRDefault="002A0304" w:rsidP="002D6E34">
      <w:pPr>
        <w:autoSpaceDE w:val="0"/>
        <w:autoSpaceDN w:val="0"/>
        <w:adjustRightInd w:val="0"/>
        <w:jc w:val="both"/>
        <w:rPr>
          <w:color w:val="000000"/>
        </w:rPr>
      </w:pPr>
      <w:r w:rsidRPr="00A206E2">
        <w:rPr>
          <w:color w:val="000000"/>
        </w:rPr>
        <w:t xml:space="preserve">According to the 2015 ACS Census Data, the credit union’s assessment area contained a total population of </w:t>
      </w:r>
      <w:r w:rsidR="00480E42" w:rsidRPr="00A206E2">
        <w:rPr>
          <w:color w:val="000000"/>
        </w:rPr>
        <w:t>348,144</w:t>
      </w:r>
      <w:r w:rsidRPr="00A206E2">
        <w:rPr>
          <w:color w:val="000000"/>
        </w:rPr>
        <w:t xml:space="preserve"> individuals, of which </w:t>
      </w:r>
      <w:r w:rsidR="00480E42" w:rsidRPr="00A206E2">
        <w:rPr>
          <w:color w:val="000000"/>
        </w:rPr>
        <w:t>37.9</w:t>
      </w:r>
      <w:r w:rsidRPr="00A206E2">
        <w:rPr>
          <w:color w:val="000000"/>
        </w:rPr>
        <w:t xml:space="preserve"> percent are minorities</w:t>
      </w:r>
      <w:r w:rsidR="004002BD">
        <w:rPr>
          <w:color w:val="000000"/>
        </w:rPr>
        <w:t xml:space="preserve">.  </w:t>
      </w:r>
      <w:r w:rsidRPr="00A206E2">
        <w:rPr>
          <w:color w:val="000000"/>
        </w:rPr>
        <w:t xml:space="preserve">The minority population represented is </w:t>
      </w:r>
      <w:r w:rsidR="00480E42" w:rsidRPr="00A206E2">
        <w:rPr>
          <w:color w:val="000000"/>
        </w:rPr>
        <w:t>10.8</w:t>
      </w:r>
      <w:r w:rsidRPr="00A206E2">
        <w:rPr>
          <w:color w:val="000000"/>
        </w:rPr>
        <w:t xml:space="preserve"> percent Black/African American, </w:t>
      </w:r>
      <w:r w:rsidR="00480E42" w:rsidRPr="00A206E2">
        <w:rPr>
          <w:color w:val="000000"/>
        </w:rPr>
        <w:t>13</w:t>
      </w:r>
      <w:r w:rsidRPr="00A206E2">
        <w:rPr>
          <w:color w:val="000000"/>
        </w:rPr>
        <w:t xml:space="preserve"> percent Asian, 0</w:t>
      </w:r>
      <w:r w:rsidR="00480E42" w:rsidRPr="00A206E2">
        <w:rPr>
          <w:color w:val="000000"/>
        </w:rPr>
        <w:t xml:space="preserve">.1 percent American Indian, 10.2 </w:t>
      </w:r>
      <w:r w:rsidRPr="00A206E2">
        <w:rPr>
          <w:color w:val="000000"/>
        </w:rPr>
        <w:t>perc</w:t>
      </w:r>
      <w:r w:rsidR="00480E42" w:rsidRPr="00A206E2">
        <w:rPr>
          <w:color w:val="000000"/>
        </w:rPr>
        <w:t>ent Hispanic or Latino, and 3.8</w:t>
      </w:r>
      <w:r w:rsidRPr="00A206E2">
        <w:rPr>
          <w:color w:val="000000"/>
        </w:rPr>
        <w:t xml:space="preserve"> percent other</w:t>
      </w:r>
      <w:r w:rsidR="004002BD">
        <w:rPr>
          <w:color w:val="000000"/>
        </w:rPr>
        <w:t xml:space="preserve">.  </w:t>
      </w:r>
    </w:p>
    <w:p w14:paraId="69628D35" w14:textId="77777777" w:rsidR="002A0304" w:rsidRDefault="002A0304" w:rsidP="002D6E34">
      <w:pPr>
        <w:autoSpaceDE w:val="0"/>
        <w:autoSpaceDN w:val="0"/>
        <w:adjustRightInd w:val="0"/>
        <w:jc w:val="both"/>
        <w:rPr>
          <w:color w:val="000000"/>
        </w:rPr>
      </w:pPr>
    </w:p>
    <w:p w14:paraId="583993F7" w14:textId="31847FB6" w:rsidR="00AE063B" w:rsidRDefault="002A0304" w:rsidP="002D6E34">
      <w:pPr>
        <w:autoSpaceDE w:val="0"/>
        <w:autoSpaceDN w:val="0"/>
        <w:adjustRightInd w:val="0"/>
        <w:jc w:val="both"/>
        <w:rPr>
          <w:color w:val="000000"/>
        </w:rPr>
      </w:pPr>
      <w:r>
        <w:rPr>
          <w:color w:val="000000"/>
        </w:rPr>
        <w:t>The credit union</w:t>
      </w:r>
      <w:r w:rsidRPr="00B075D6">
        <w:rPr>
          <w:color w:val="000000"/>
        </w:rPr>
        <w:t xml:space="preserve">’s </w:t>
      </w:r>
      <w:r>
        <w:rPr>
          <w:color w:val="000000"/>
        </w:rPr>
        <w:t xml:space="preserve">HMDA LARs in 2018 and 2019 were compared with </w:t>
      </w:r>
      <w:r w:rsidRPr="00B075D6">
        <w:rPr>
          <w:color w:val="000000"/>
        </w:rPr>
        <w:t>the aggregate’s lending performance</w:t>
      </w:r>
      <w:r>
        <w:rPr>
          <w:color w:val="000000"/>
        </w:rPr>
        <w:t xml:space="preserve"> for the same years</w:t>
      </w:r>
      <w:r w:rsidR="004002BD">
        <w:rPr>
          <w:color w:val="000000"/>
        </w:rPr>
        <w:t xml:space="preserve">.  </w:t>
      </w:r>
      <w:r w:rsidRPr="00B075D6">
        <w:rPr>
          <w:color w:val="000000"/>
        </w:rPr>
        <w:t>The comparison of this data assists in deriving reasonable expectations for t</w:t>
      </w:r>
      <w:r>
        <w:rPr>
          <w:color w:val="000000"/>
        </w:rPr>
        <w:t>he rate of applications the credit union</w:t>
      </w:r>
      <w:r w:rsidRPr="00B075D6">
        <w:rPr>
          <w:color w:val="000000"/>
        </w:rPr>
        <w:t xml:space="preserve"> received from minority </w:t>
      </w:r>
      <w:r>
        <w:rPr>
          <w:color w:val="000000"/>
        </w:rPr>
        <w:t>home mortgage loan applicants</w:t>
      </w:r>
      <w:r w:rsidR="004002BD">
        <w:rPr>
          <w:color w:val="000000"/>
        </w:rPr>
        <w:t xml:space="preserve">.  </w:t>
      </w:r>
    </w:p>
    <w:p w14:paraId="43242A3B" w14:textId="77777777" w:rsidR="00AE063B" w:rsidRDefault="00AE063B" w:rsidP="002D6E34">
      <w:pPr>
        <w:autoSpaceDE w:val="0"/>
        <w:autoSpaceDN w:val="0"/>
        <w:adjustRightInd w:val="0"/>
        <w:jc w:val="both"/>
        <w:rPr>
          <w:color w:val="000000"/>
        </w:rPr>
      </w:pPr>
    </w:p>
    <w:p w14:paraId="34F39F8A" w14:textId="3014DE4F" w:rsidR="002A0304" w:rsidRDefault="007F548A" w:rsidP="00AE063B">
      <w:pPr>
        <w:autoSpaceDE w:val="0"/>
        <w:autoSpaceDN w:val="0"/>
        <w:adjustRightInd w:val="0"/>
        <w:jc w:val="both"/>
      </w:pPr>
      <w:r>
        <w:rPr>
          <w:color w:val="000000"/>
        </w:rPr>
        <w:t>The credit union’s racial minority application flow was consistently below the aggregate lending trends in 2018 and 2019</w:t>
      </w:r>
      <w:r w:rsidR="00222EEC">
        <w:t xml:space="preserve">. </w:t>
      </w:r>
      <w:r>
        <w:t>The largest gap occurred among minority application flow to the Asian demographic.</w:t>
      </w:r>
    </w:p>
    <w:p w14:paraId="013C2E81" w14:textId="77777777" w:rsidR="002A0304" w:rsidRDefault="002A0304" w:rsidP="00AE063B">
      <w:pPr>
        <w:autoSpaceDE w:val="0"/>
        <w:autoSpaceDN w:val="0"/>
        <w:adjustRightInd w:val="0"/>
        <w:jc w:val="both"/>
      </w:pPr>
    </w:p>
    <w:p w14:paraId="7CD0B545" w14:textId="2936962E" w:rsidR="002A0304" w:rsidRPr="008913A3" w:rsidRDefault="007F548A" w:rsidP="00AE063B">
      <w:pPr>
        <w:autoSpaceDE w:val="0"/>
        <w:autoSpaceDN w:val="0"/>
        <w:adjustRightInd w:val="0"/>
        <w:jc w:val="both"/>
      </w:pPr>
      <w:r>
        <w:rPr>
          <w:color w:val="000000"/>
        </w:rPr>
        <w:t xml:space="preserve">The credit union’s ethnic minority application flow </w:t>
      </w:r>
      <w:r w:rsidR="00A0765D">
        <w:rPr>
          <w:color w:val="000000"/>
        </w:rPr>
        <w:t xml:space="preserve">was consistently above </w:t>
      </w:r>
      <w:r w:rsidRPr="00A0765D">
        <w:rPr>
          <w:color w:val="000000"/>
        </w:rPr>
        <w:t>t</w:t>
      </w:r>
      <w:r>
        <w:rPr>
          <w:color w:val="000000"/>
        </w:rPr>
        <w:t>he aggregate lending trends in 2018 and 2019</w:t>
      </w:r>
      <w:r w:rsidR="004002BD">
        <w:rPr>
          <w:color w:val="000000"/>
        </w:rPr>
        <w:t xml:space="preserve">.  </w:t>
      </w:r>
      <w:r>
        <w:rPr>
          <w:color w:val="000000"/>
        </w:rPr>
        <w:t>While the percentage of ethnic minority applications decreased in 2019, the number of applications doubled from 2018 to 2019</w:t>
      </w:r>
      <w:r w:rsidR="004002BD">
        <w:rPr>
          <w:color w:val="000000"/>
        </w:rPr>
        <w:t xml:space="preserve">.  </w:t>
      </w:r>
    </w:p>
    <w:p w14:paraId="6DC710ED" w14:textId="77777777" w:rsidR="002A0304" w:rsidRDefault="002A0304" w:rsidP="00AE063B">
      <w:pPr>
        <w:autoSpaceDE w:val="0"/>
        <w:autoSpaceDN w:val="0"/>
        <w:adjustRightInd w:val="0"/>
        <w:jc w:val="both"/>
      </w:pPr>
    </w:p>
    <w:p w14:paraId="08E13908" w14:textId="4788D1DC" w:rsidR="002A0304" w:rsidRDefault="00CD0C28" w:rsidP="00AE063B">
      <w:pPr>
        <w:autoSpaceDE w:val="0"/>
        <w:autoSpaceDN w:val="0"/>
        <w:adjustRightInd w:val="0"/>
        <w:jc w:val="both"/>
      </w:pPr>
      <w:r>
        <w:t xml:space="preserve">While the credit union’s ethnic minority application flow is </w:t>
      </w:r>
      <w:r w:rsidR="00A0765D">
        <w:t>good,</w:t>
      </w:r>
      <w:r>
        <w:t xml:space="preserve"> the racial minority application flow exhibits a consistent gap between the credit union and aggregate lending trends</w:t>
      </w:r>
      <w:r w:rsidR="004002BD">
        <w:t xml:space="preserve">.  </w:t>
      </w:r>
      <w:r w:rsidR="002A0304" w:rsidRPr="00A0765D">
        <w:t>Difficulty in penetrating the Asian demographic is a characteristic shared by several local credit unions in the assessment area, as mortgage companies and depository institutions with broad mortgage lender operations represent a relatively larger market share among Asian applicants</w:t>
      </w:r>
      <w:r w:rsidR="004002BD">
        <w:t xml:space="preserve">.  </w:t>
      </w:r>
      <w:r w:rsidRPr="00A0765D">
        <w:t>All credit unions received 83 of the 1,945 applications from consumers identified as Asian in the assessment area</w:t>
      </w:r>
      <w:r w:rsidR="004002BD">
        <w:t xml:space="preserve">.  </w:t>
      </w:r>
      <w:r w:rsidR="002A0304" w:rsidRPr="00A0765D">
        <w:t xml:space="preserve">The credit union mitigates </w:t>
      </w:r>
      <w:r w:rsidRPr="00A0765D">
        <w:t xml:space="preserve">the performance through </w:t>
      </w:r>
      <w:r w:rsidR="002A0304" w:rsidRPr="00A0765D">
        <w:t>utilizing employees that act as resources for applicants with limited English proficiency</w:t>
      </w:r>
      <w:r w:rsidR="004002BD">
        <w:t xml:space="preserve">.  </w:t>
      </w:r>
      <w:r w:rsidR="002A0304" w:rsidRPr="00A0765D">
        <w:t xml:space="preserve">Languages represented include </w:t>
      </w:r>
      <w:r w:rsidRPr="00A0765D">
        <w:t>Portuguese, Spanish, and Mandarin</w:t>
      </w:r>
      <w:r w:rsidR="004002BD">
        <w:t xml:space="preserve">.  </w:t>
      </w:r>
      <w:r w:rsidR="007C60E8" w:rsidRPr="00BE6CFC">
        <w:t>Further mitigating factors include the credit union’s outreach</w:t>
      </w:r>
      <w:r w:rsidR="007C60E8" w:rsidRPr="00A0765D">
        <w:t xml:space="preserve"> and t</w:t>
      </w:r>
      <w:r w:rsidRPr="00A0765D">
        <w:t xml:space="preserve">he </w:t>
      </w:r>
      <w:r w:rsidRPr="00A0765D">
        <w:lastRenderedPageBreak/>
        <w:t>credit union</w:t>
      </w:r>
      <w:r w:rsidR="007C60E8" w:rsidRPr="00A0765D">
        <w:t>’</w:t>
      </w:r>
      <w:r w:rsidRPr="00A0765D">
        <w:t>s geographic application flow</w:t>
      </w:r>
      <w:r w:rsidR="007C60E8" w:rsidRPr="00A0765D">
        <w:t>, which</w:t>
      </w:r>
      <w:r w:rsidRPr="00A0765D">
        <w:t xml:space="preserve"> exhibits reasonable penetration of majority-minority census tracts</w:t>
      </w:r>
      <w:r w:rsidR="004002BD">
        <w:t xml:space="preserve">.  </w:t>
      </w:r>
    </w:p>
    <w:p w14:paraId="43558ECB" w14:textId="77777777" w:rsidR="002A0304" w:rsidRDefault="002A0304" w:rsidP="00AE063B">
      <w:pPr>
        <w:autoSpaceDE w:val="0"/>
        <w:autoSpaceDN w:val="0"/>
        <w:adjustRightInd w:val="0"/>
        <w:jc w:val="both"/>
        <w:rPr>
          <w:color w:val="000000"/>
        </w:rPr>
      </w:pPr>
    </w:p>
    <w:p w14:paraId="4453E600" w14:textId="77777777" w:rsidR="002A0304" w:rsidRPr="00B075D6" w:rsidRDefault="002A0304" w:rsidP="00AE063B">
      <w:pPr>
        <w:autoSpaceDE w:val="0"/>
        <w:autoSpaceDN w:val="0"/>
        <w:adjustRightInd w:val="0"/>
        <w:jc w:val="both"/>
        <w:rPr>
          <w:color w:val="000000"/>
        </w:rPr>
      </w:pPr>
      <w:r w:rsidRPr="00B075D6">
        <w:rPr>
          <w:color w:val="000000"/>
        </w:rPr>
        <w:t>Considering the demographic composition of the assessment area and comparisons to aggregate</w:t>
      </w:r>
      <w:r>
        <w:rPr>
          <w:color w:val="000000"/>
        </w:rPr>
        <w:t xml:space="preserve"> data in 2018 and 2019, the credit union</w:t>
      </w:r>
      <w:r w:rsidRPr="00B075D6">
        <w:rPr>
          <w:color w:val="000000"/>
        </w:rPr>
        <w:t>’s minority application flow is reasonable.</w:t>
      </w:r>
    </w:p>
    <w:p w14:paraId="504761F8" w14:textId="2ABC43FB" w:rsidR="002A0304" w:rsidRDefault="002A0304" w:rsidP="00AE063B">
      <w:pPr>
        <w:keepLines/>
        <w:ind w:right="-144"/>
        <w:jc w:val="both"/>
        <w:rPr>
          <w:bCs/>
          <w:szCs w:val="28"/>
        </w:rPr>
      </w:pPr>
    </w:p>
    <w:p w14:paraId="1B3E62C0" w14:textId="77777777" w:rsidR="00AE063B" w:rsidRDefault="00AE063B" w:rsidP="00AE063B">
      <w:pPr>
        <w:autoSpaceDE w:val="0"/>
        <w:autoSpaceDN w:val="0"/>
        <w:adjustRightInd w:val="0"/>
        <w:jc w:val="both"/>
        <w:rPr>
          <w:color w:val="000000"/>
        </w:rPr>
      </w:pPr>
      <w:r w:rsidRPr="00B075D6">
        <w:rPr>
          <w:color w:val="000000"/>
        </w:rPr>
        <w:t>Refer to the table below for informatio</w:t>
      </w:r>
      <w:r>
        <w:rPr>
          <w:color w:val="000000"/>
        </w:rPr>
        <w:t>n on the credit union</w:t>
      </w:r>
      <w:r w:rsidRPr="00B075D6">
        <w:rPr>
          <w:color w:val="000000"/>
        </w:rPr>
        <w:t>’s minority application flow as well as t</w:t>
      </w:r>
      <w:r>
        <w:rPr>
          <w:color w:val="000000"/>
        </w:rPr>
        <w:t>he aggregate lenders in the credit union’</w:t>
      </w:r>
      <w:r w:rsidRPr="00B075D6">
        <w:rPr>
          <w:color w:val="000000"/>
        </w:rPr>
        <w:t>s assessment area.</w:t>
      </w:r>
    </w:p>
    <w:p w14:paraId="435F2821" w14:textId="77777777" w:rsidR="00AE063B" w:rsidRDefault="00AE063B" w:rsidP="00AE063B">
      <w:pPr>
        <w:autoSpaceDE w:val="0"/>
        <w:autoSpaceDN w:val="0"/>
        <w:adjustRightInd w:val="0"/>
        <w:rPr>
          <w:color w:val="000000"/>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823"/>
        <w:gridCol w:w="971"/>
        <w:gridCol w:w="1216"/>
        <w:gridCol w:w="948"/>
        <w:gridCol w:w="823"/>
        <w:gridCol w:w="1182"/>
        <w:gridCol w:w="6"/>
      </w:tblGrid>
      <w:tr w:rsidR="00AE063B" w:rsidRPr="00B075D6" w14:paraId="1707544F" w14:textId="77777777" w:rsidTr="00672457">
        <w:trPr>
          <w:gridAfter w:val="1"/>
          <w:wAfter w:w="10" w:type="dxa"/>
          <w:trHeight w:val="397"/>
          <w:jc w:val="center"/>
        </w:trPr>
        <w:tc>
          <w:tcPr>
            <w:tcW w:w="9256" w:type="dxa"/>
            <w:gridSpan w:val="7"/>
            <w:hideMark/>
          </w:tcPr>
          <w:p w14:paraId="349365A9" w14:textId="77777777" w:rsidR="00AE063B" w:rsidRPr="00B075D6" w:rsidRDefault="00AE063B" w:rsidP="00672457">
            <w:pPr>
              <w:spacing w:line="256" w:lineRule="auto"/>
              <w:jc w:val="center"/>
              <w:rPr>
                <w:rFonts w:eastAsia="Calibri"/>
                <w:b/>
                <w:sz w:val="20"/>
                <w:szCs w:val="20"/>
              </w:rPr>
            </w:pPr>
            <w:r w:rsidRPr="00B075D6">
              <w:rPr>
                <w:rFonts w:eastAsia="Calibri"/>
                <w:b/>
                <w:sz w:val="20"/>
                <w:szCs w:val="20"/>
              </w:rPr>
              <w:t>MINORITY APPLICATION FLOW</w:t>
            </w:r>
          </w:p>
          <w:p w14:paraId="15AFDEE9" w14:textId="77777777" w:rsidR="00AE063B" w:rsidRPr="00B075D6" w:rsidRDefault="00AE063B" w:rsidP="00672457">
            <w:pPr>
              <w:spacing w:line="256" w:lineRule="auto"/>
              <w:jc w:val="center"/>
              <w:rPr>
                <w:rFonts w:eastAsia="Calibri"/>
                <w:b/>
                <w:sz w:val="20"/>
                <w:szCs w:val="20"/>
              </w:rPr>
            </w:pPr>
          </w:p>
        </w:tc>
      </w:tr>
      <w:tr w:rsidR="00AE063B" w:rsidRPr="00B075D6" w14:paraId="70BF26E7" w14:textId="77777777" w:rsidTr="00672457">
        <w:trPr>
          <w:gridAfter w:val="1"/>
          <w:wAfter w:w="6" w:type="dxa"/>
          <w:cantSplit/>
          <w:trHeight w:val="722"/>
          <w:jc w:val="center"/>
        </w:trPr>
        <w:tc>
          <w:tcPr>
            <w:tcW w:w="3297" w:type="dxa"/>
            <w:vMerge w:val="restart"/>
          </w:tcPr>
          <w:p w14:paraId="0F3A0F01" w14:textId="77777777" w:rsidR="00AE063B" w:rsidRPr="00B075D6" w:rsidRDefault="00AE063B" w:rsidP="00672457">
            <w:pPr>
              <w:keepNext/>
              <w:tabs>
                <w:tab w:val="left" w:pos="480"/>
                <w:tab w:val="left" w:pos="960"/>
                <w:tab w:val="left" w:pos="6840"/>
              </w:tabs>
              <w:spacing w:line="256" w:lineRule="auto"/>
              <w:jc w:val="both"/>
              <w:outlineLvl w:val="0"/>
              <w:rPr>
                <w:rFonts w:eastAsia="Calibri"/>
                <w:spacing w:val="-3"/>
                <w:sz w:val="20"/>
                <w:szCs w:val="20"/>
              </w:rPr>
            </w:pPr>
          </w:p>
          <w:p w14:paraId="415E4499"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RACE</w:t>
            </w:r>
          </w:p>
        </w:tc>
        <w:tc>
          <w:tcPr>
            <w:tcW w:w="1794" w:type="dxa"/>
            <w:gridSpan w:val="2"/>
            <w:hideMark/>
          </w:tcPr>
          <w:p w14:paraId="587A7401" w14:textId="77777777" w:rsidR="00AE063B" w:rsidRPr="00B075D6" w:rsidRDefault="00AE063B" w:rsidP="00672457">
            <w:pPr>
              <w:spacing w:line="256" w:lineRule="auto"/>
              <w:jc w:val="center"/>
              <w:rPr>
                <w:rFonts w:eastAsia="Calibri"/>
                <w:b/>
                <w:sz w:val="20"/>
                <w:szCs w:val="20"/>
              </w:rPr>
            </w:pPr>
            <w:r>
              <w:rPr>
                <w:rFonts w:eastAsia="Calibri"/>
                <w:b/>
                <w:sz w:val="20"/>
                <w:szCs w:val="20"/>
              </w:rPr>
              <w:t>Credit Union</w:t>
            </w:r>
            <w:r w:rsidRPr="00B075D6">
              <w:rPr>
                <w:rFonts w:eastAsia="Calibri"/>
                <w:b/>
                <w:sz w:val="20"/>
                <w:szCs w:val="20"/>
              </w:rPr>
              <w:t xml:space="preserve"> </w:t>
            </w:r>
          </w:p>
          <w:p w14:paraId="6CC11CB5" w14:textId="77777777" w:rsidR="00AE063B" w:rsidRPr="00B075D6" w:rsidRDefault="00AE063B" w:rsidP="00672457">
            <w:pPr>
              <w:spacing w:line="256" w:lineRule="auto"/>
              <w:jc w:val="center"/>
              <w:rPr>
                <w:rFonts w:eastAsia="Calibri"/>
                <w:b/>
                <w:sz w:val="20"/>
                <w:szCs w:val="20"/>
              </w:rPr>
            </w:pPr>
            <w:r w:rsidRPr="00B075D6">
              <w:rPr>
                <w:rFonts w:eastAsia="Calibri"/>
                <w:b/>
                <w:sz w:val="20"/>
                <w:szCs w:val="20"/>
              </w:rPr>
              <w:t xml:space="preserve"> 2018</w:t>
            </w:r>
          </w:p>
        </w:tc>
        <w:tc>
          <w:tcPr>
            <w:tcW w:w="1216" w:type="dxa"/>
            <w:shd w:val="pct12" w:color="000000" w:fill="FFFFFF"/>
            <w:hideMark/>
          </w:tcPr>
          <w:p w14:paraId="47773D7F"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2018 Aggregate Data</w:t>
            </w:r>
          </w:p>
        </w:tc>
        <w:tc>
          <w:tcPr>
            <w:tcW w:w="1771" w:type="dxa"/>
            <w:gridSpan w:val="2"/>
            <w:shd w:val="clear" w:color="auto" w:fill="auto"/>
            <w:hideMark/>
          </w:tcPr>
          <w:p w14:paraId="447F00C9"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Credit Union</w:t>
            </w:r>
          </w:p>
          <w:p w14:paraId="574DFC14"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 xml:space="preserve"> 2019</w:t>
            </w:r>
          </w:p>
        </w:tc>
        <w:tc>
          <w:tcPr>
            <w:tcW w:w="1182" w:type="dxa"/>
            <w:shd w:val="clear" w:color="auto" w:fill="D9D9D9"/>
          </w:tcPr>
          <w:p w14:paraId="65CC7C08"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2019 Aggregate Data</w:t>
            </w:r>
          </w:p>
        </w:tc>
      </w:tr>
      <w:tr w:rsidR="00AE063B" w:rsidRPr="00B075D6" w14:paraId="0E922766" w14:textId="77777777" w:rsidTr="00672457">
        <w:trPr>
          <w:cantSplit/>
          <w:trHeight w:val="250"/>
          <w:jc w:val="center"/>
        </w:trPr>
        <w:tc>
          <w:tcPr>
            <w:tcW w:w="3297" w:type="dxa"/>
            <w:vMerge/>
            <w:vAlign w:val="center"/>
            <w:hideMark/>
          </w:tcPr>
          <w:p w14:paraId="7044709D" w14:textId="77777777" w:rsidR="00AE063B" w:rsidRPr="00B075D6" w:rsidRDefault="00AE063B" w:rsidP="00672457">
            <w:pPr>
              <w:spacing w:line="256" w:lineRule="auto"/>
              <w:rPr>
                <w:rFonts w:eastAsia="Calibri"/>
                <w:b/>
                <w:spacing w:val="-3"/>
                <w:sz w:val="20"/>
                <w:szCs w:val="20"/>
              </w:rPr>
            </w:pPr>
          </w:p>
        </w:tc>
        <w:tc>
          <w:tcPr>
            <w:tcW w:w="823" w:type="dxa"/>
            <w:hideMark/>
          </w:tcPr>
          <w:p w14:paraId="0CA12B41"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w:t>
            </w:r>
          </w:p>
        </w:tc>
        <w:tc>
          <w:tcPr>
            <w:tcW w:w="971" w:type="dxa"/>
            <w:hideMark/>
          </w:tcPr>
          <w:p w14:paraId="1E05059A"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w:t>
            </w:r>
          </w:p>
        </w:tc>
        <w:tc>
          <w:tcPr>
            <w:tcW w:w="1216" w:type="dxa"/>
            <w:shd w:val="pct12" w:color="000000" w:fill="FFFFFF"/>
            <w:hideMark/>
          </w:tcPr>
          <w:p w14:paraId="41B4A622"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w:t>
            </w:r>
          </w:p>
        </w:tc>
        <w:tc>
          <w:tcPr>
            <w:tcW w:w="948" w:type="dxa"/>
            <w:shd w:val="clear" w:color="auto" w:fill="auto"/>
            <w:hideMark/>
          </w:tcPr>
          <w:p w14:paraId="4A56413D"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w:t>
            </w:r>
          </w:p>
        </w:tc>
        <w:tc>
          <w:tcPr>
            <w:tcW w:w="823" w:type="dxa"/>
            <w:shd w:val="clear" w:color="auto" w:fill="FFFFFF"/>
            <w:hideMark/>
          </w:tcPr>
          <w:p w14:paraId="6A11A7A9"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w:t>
            </w:r>
          </w:p>
        </w:tc>
        <w:tc>
          <w:tcPr>
            <w:tcW w:w="1188" w:type="dxa"/>
            <w:gridSpan w:val="2"/>
            <w:shd w:val="clear" w:color="auto" w:fill="D9D9D9"/>
          </w:tcPr>
          <w:p w14:paraId="4259EAD1"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w:t>
            </w:r>
          </w:p>
        </w:tc>
      </w:tr>
      <w:tr w:rsidR="00AE063B" w:rsidRPr="00B075D6" w14:paraId="7CE29FF2" w14:textId="77777777" w:rsidTr="00672457">
        <w:trPr>
          <w:gridAfter w:val="1"/>
          <w:wAfter w:w="6" w:type="dxa"/>
          <w:trHeight w:val="236"/>
          <w:jc w:val="center"/>
        </w:trPr>
        <w:tc>
          <w:tcPr>
            <w:tcW w:w="3297" w:type="dxa"/>
            <w:hideMark/>
          </w:tcPr>
          <w:p w14:paraId="17FE34DF"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American Indian/ Alaska Native</w:t>
            </w:r>
          </w:p>
        </w:tc>
        <w:tc>
          <w:tcPr>
            <w:tcW w:w="823" w:type="dxa"/>
            <w:hideMark/>
          </w:tcPr>
          <w:p w14:paraId="0E3F0710"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w:t>
            </w:r>
          </w:p>
        </w:tc>
        <w:tc>
          <w:tcPr>
            <w:tcW w:w="971" w:type="dxa"/>
            <w:hideMark/>
          </w:tcPr>
          <w:p w14:paraId="22FE9F32"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0.0</w:t>
            </w:r>
          </w:p>
        </w:tc>
        <w:tc>
          <w:tcPr>
            <w:tcW w:w="1216" w:type="dxa"/>
            <w:shd w:val="pct12" w:color="000000" w:fill="FFFFFF"/>
            <w:hideMark/>
          </w:tcPr>
          <w:p w14:paraId="1D2E055A" w14:textId="77777777" w:rsidR="00AE063B" w:rsidRPr="00B075D6" w:rsidRDefault="00AE063B" w:rsidP="00672457">
            <w:pPr>
              <w:tabs>
                <w:tab w:val="left" w:pos="180"/>
              </w:tabs>
              <w:spacing w:line="256" w:lineRule="auto"/>
              <w:jc w:val="center"/>
              <w:rPr>
                <w:rFonts w:eastAsia="Calibri"/>
                <w:spacing w:val="-3"/>
                <w:sz w:val="20"/>
                <w:szCs w:val="20"/>
              </w:rPr>
            </w:pPr>
            <w:r>
              <w:rPr>
                <w:rFonts w:eastAsia="Calibri"/>
                <w:spacing w:val="-3"/>
                <w:sz w:val="20"/>
                <w:szCs w:val="20"/>
              </w:rPr>
              <w:t>0.3</w:t>
            </w:r>
          </w:p>
        </w:tc>
        <w:tc>
          <w:tcPr>
            <w:tcW w:w="948" w:type="dxa"/>
            <w:shd w:val="clear" w:color="auto" w:fill="auto"/>
            <w:hideMark/>
          </w:tcPr>
          <w:p w14:paraId="09900C6A"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w:t>
            </w:r>
          </w:p>
        </w:tc>
        <w:tc>
          <w:tcPr>
            <w:tcW w:w="823" w:type="dxa"/>
            <w:shd w:val="clear" w:color="auto" w:fill="auto"/>
            <w:hideMark/>
          </w:tcPr>
          <w:p w14:paraId="7638F341"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0.0</w:t>
            </w:r>
          </w:p>
        </w:tc>
        <w:tc>
          <w:tcPr>
            <w:tcW w:w="1182" w:type="dxa"/>
            <w:shd w:val="clear" w:color="auto" w:fill="D9D9D9"/>
          </w:tcPr>
          <w:p w14:paraId="01D90006"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0.3</w:t>
            </w:r>
          </w:p>
        </w:tc>
      </w:tr>
      <w:tr w:rsidR="00AE063B" w:rsidRPr="00B075D6" w14:paraId="045A0DE1" w14:textId="77777777" w:rsidTr="00672457">
        <w:trPr>
          <w:gridAfter w:val="1"/>
          <w:wAfter w:w="6" w:type="dxa"/>
          <w:trHeight w:val="236"/>
          <w:jc w:val="center"/>
        </w:trPr>
        <w:tc>
          <w:tcPr>
            <w:tcW w:w="3297" w:type="dxa"/>
            <w:hideMark/>
          </w:tcPr>
          <w:p w14:paraId="1D1F08D8"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Asian</w:t>
            </w:r>
          </w:p>
        </w:tc>
        <w:tc>
          <w:tcPr>
            <w:tcW w:w="823" w:type="dxa"/>
            <w:hideMark/>
          </w:tcPr>
          <w:p w14:paraId="4AA30FAC"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w:t>
            </w:r>
          </w:p>
        </w:tc>
        <w:tc>
          <w:tcPr>
            <w:tcW w:w="971" w:type="dxa"/>
            <w:hideMark/>
          </w:tcPr>
          <w:p w14:paraId="6C9D2514"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0.0</w:t>
            </w:r>
          </w:p>
        </w:tc>
        <w:tc>
          <w:tcPr>
            <w:tcW w:w="1216" w:type="dxa"/>
            <w:shd w:val="pct12" w:color="000000" w:fill="FFFFFF"/>
            <w:hideMark/>
          </w:tcPr>
          <w:p w14:paraId="63A46A2C"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14.7</w:t>
            </w:r>
          </w:p>
        </w:tc>
        <w:tc>
          <w:tcPr>
            <w:tcW w:w="948" w:type="dxa"/>
            <w:shd w:val="clear" w:color="auto" w:fill="auto"/>
            <w:hideMark/>
          </w:tcPr>
          <w:p w14:paraId="358A0834"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w:t>
            </w:r>
          </w:p>
        </w:tc>
        <w:tc>
          <w:tcPr>
            <w:tcW w:w="823" w:type="dxa"/>
            <w:shd w:val="clear" w:color="auto" w:fill="auto"/>
            <w:hideMark/>
          </w:tcPr>
          <w:p w14:paraId="0B699427"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1.9</w:t>
            </w:r>
          </w:p>
        </w:tc>
        <w:tc>
          <w:tcPr>
            <w:tcW w:w="1182" w:type="dxa"/>
            <w:shd w:val="clear" w:color="auto" w:fill="D9D9D9"/>
          </w:tcPr>
          <w:p w14:paraId="6C6546CD"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14.4</w:t>
            </w:r>
          </w:p>
        </w:tc>
      </w:tr>
      <w:tr w:rsidR="00AE063B" w:rsidRPr="00B075D6" w14:paraId="2707C784" w14:textId="77777777" w:rsidTr="00672457">
        <w:trPr>
          <w:gridAfter w:val="1"/>
          <w:wAfter w:w="6" w:type="dxa"/>
          <w:trHeight w:val="308"/>
          <w:jc w:val="center"/>
        </w:trPr>
        <w:tc>
          <w:tcPr>
            <w:tcW w:w="3297" w:type="dxa"/>
            <w:hideMark/>
          </w:tcPr>
          <w:p w14:paraId="0DD31754"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Black/ African American</w:t>
            </w:r>
          </w:p>
        </w:tc>
        <w:tc>
          <w:tcPr>
            <w:tcW w:w="823" w:type="dxa"/>
            <w:hideMark/>
          </w:tcPr>
          <w:p w14:paraId="7632B9E5"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w:t>
            </w:r>
          </w:p>
        </w:tc>
        <w:tc>
          <w:tcPr>
            <w:tcW w:w="971" w:type="dxa"/>
            <w:hideMark/>
          </w:tcPr>
          <w:p w14:paraId="131271DE"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9.1</w:t>
            </w:r>
          </w:p>
        </w:tc>
        <w:tc>
          <w:tcPr>
            <w:tcW w:w="1216" w:type="dxa"/>
            <w:shd w:val="pct12" w:color="000000" w:fill="FFFFFF"/>
            <w:hideMark/>
          </w:tcPr>
          <w:p w14:paraId="45A705E0" w14:textId="77777777" w:rsidR="00AE063B" w:rsidRPr="00B075D6" w:rsidRDefault="00AE063B" w:rsidP="00672457">
            <w:pPr>
              <w:spacing w:line="256" w:lineRule="auto"/>
              <w:jc w:val="center"/>
              <w:rPr>
                <w:rFonts w:eastAsia="Calibri"/>
                <w:spacing w:val="-3"/>
                <w:sz w:val="20"/>
                <w:szCs w:val="20"/>
                <w:highlight w:val="yellow"/>
              </w:rPr>
            </w:pPr>
            <w:r>
              <w:rPr>
                <w:rFonts w:eastAsia="Calibri"/>
                <w:spacing w:val="-3"/>
                <w:sz w:val="20"/>
                <w:szCs w:val="20"/>
              </w:rPr>
              <w:t>5.1</w:t>
            </w:r>
          </w:p>
        </w:tc>
        <w:tc>
          <w:tcPr>
            <w:tcW w:w="948" w:type="dxa"/>
            <w:shd w:val="clear" w:color="auto" w:fill="auto"/>
            <w:hideMark/>
          </w:tcPr>
          <w:p w14:paraId="33992D01"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w:t>
            </w:r>
          </w:p>
        </w:tc>
        <w:tc>
          <w:tcPr>
            <w:tcW w:w="823" w:type="dxa"/>
            <w:shd w:val="clear" w:color="auto" w:fill="auto"/>
            <w:hideMark/>
          </w:tcPr>
          <w:p w14:paraId="166055E9"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3.8</w:t>
            </w:r>
          </w:p>
        </w:tc>
        <w:tc>
          <w:tcPr>
            <w:tcW w:w="1182" w:type="dxa"/>
            <w:shd w:val="clear" w:color="auto" w:fill="D9D9D9"/>
          </w:tcPr>
          <w:p w14:paraId="08CC7742"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4.9</w:t>
            </w:r>
          </w:p>
        </w:tc>
      </w:tr>
      <w:tr w:rsidR="00AE063B" w:rsidRPr="00B075D6" w14:paraId="2D4733E1" w14:textId="77777777" w:rsidTr="00672457">
        <w:trPr>
          <w:gridAfter w:val="1"/>
          <w:wAfter w:w="6" w:type="dxa"/>
          <w:trHeight w:val="236"/>
          <w:jc w:val="center"/>
        </w:trPr>
        <w:tc>
          <w:tcPr>
            <w:tcW w:w="3297" w:type="dxa"/>
            <w:hideMark/>
          </w:tcPr>
          <w:p w14:paraId="707DD0B1"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Hawaiian/Pacific Islander</w:t>
            </w:r>
          </w:p>
        </w:tc>
        <w:tc>
          <w:tcPr>
            <w:tcW w:w="823" w:type="dxa"/>
            <w:hideMark/>
          </w:tcPr>
          <w:p w14:paraId="25BC09EB"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0</w:t>
            </w:r>
          </w:p>
        </w:tc>
        <w:tc>
          <w:tcPr>
            <w:tcW w:w="971" w:type="dxa"/>
            <w:hideMark/>
          </w:tcPr>
          <w:p w14:paraId="39D53A56" w14:textId="77777777" w:rsidR="00AE063B" w:rsidRPr="00B075D6" w:rsidRDefault="00AE063B" w:rsidP="00672457">
            <w:pPr>
              <w:spacing w:line="256" w:lineRule="auto"/>
              <w:jc w:val="center"/>
              <w:rPr>
                <w:rFonts w:eastAsia="Calibri"/>
                <w:spacing w:val="-3"/>
                <w:sz w:val="20"/>
                <w:szCs w:val="20"/>
              </w:rPr>
            </w:pPr>
            <w:r w:rsidRPr="00B075D6">
              <w:rPr>
                <w:rFonts w:eastAsia="Calibri"/>
                <w:spacing w:val="-3"/>
                <w:sz w:val="20"/>
                <w:szCs w:val="20"/>
              </w:rPr>
              <w:t>0.0</w:t>
            </w:r>
          </w:p>
        </w:tc>
        <w:tc>
          <w:tcPr>
            <w:tcW w:w="1216" w:type="dxa"/>
            <w:shd w:val="pct12" w:color="000000" w:fill="FFFFFF"/>
            <w:hideMark/>
          </w:tcPr>
          <w:p w14:paraId="442BD766" w14:textId="77777777" w:rsidR="00AE063B" w:rsidRPr="00B075D6" w:rsidRDefault="00AE063B" w:rsidP="00672457">
            <w:pPr>
              <w:spacing w:line="256" w:lineRule="auto"/>
              <w:jc w:val="center"/>
              <w:rPr>
                <w:rFonts w:eastAsia="Calibri"/>
                <w:spacing w:val="-3"/>
                <w:sz w:val="20"/>
                <w:szCs w:val="20"/>
                <w:highlight w:val="yellow"/>
              </w:rPr>
            </w:pPr>
            <w:r>
              <w:rPr>
                <w:rFonts w:eastAsia="Calibri"/>
                <w:spacing w:val="-3"/>
                <w:sz w:val="20"/>
                <w:szCs w:val="20"/>
              </w:rPr>
              <w:t>0.1</w:t>
            </w:r>
          </w:p>
        </w:tc>
        <w:tc>
          <w:tcPr>
            <w:tcW w:w="948" w:type="dxa"/>
            <w:shd w:val="clear" w:color="auto" w:fill="auto"/>
            <w:hideMark/>
          </w:tcPr>
          <w:p w14:paraId="60F33BF2"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w:t>
            </w:r>
          </w:p>
        </w:tc>
        <w:tc>
          <w:tcPr>
            <w:tcW w:w="823" w:type="dxa"/>
            <w:shd w:val="clear" w:color="auto" w:fill="auto"/>
            <w:hideMark/>
          </w:tcPr>
          <w:p w14:paraId="6E4F8F39"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0.0</w:t>
            </w:r>
          </w:p>
        </w:tc>
        <w:tc>
          <w:tcPr>
            <w:tcW w:w="1182" w:type="dxa"/>
            <w:shd w:val="clear" w:color="auto" w:fill="D9D9D9"/>
          </w:tcPr>
          <w:p w14:paraId="7D367584"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0.2</w:t>
            </w:r>
          </w:p>
        </w:tc>
      </w:tr>
      <w:tr w:rsidR="00AE063B" w:rsidRPr="00B075D6" w14:paraId="188244EC" w14:textId="77777777" w:rsidTr="00672457">
        <w:trPr>
          <w:gridAfter w:val="1"/>
          <w:wAfter w:w="6" w:type="dxa"/>
          <w:trHeight w:val="236"/>
          <w:jc w:val="center"/>
        </w:trPr>
        <w:tc>
          <w:tcPr>
            <w:tcW w:w="3297" w:type="dxa"/>
            <w:hideMark/>
          </w:tcPr>
          <w:p w14:paraId="1F9DFA02"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2 or more Minority</w:t>
            </w:r>
          </w:p>
        </w:tc>
        <w:tc>
          <w:tcPr>
            <w:tcW w:w="823" w:type="dxa"/>
            <w:hideMark/>
          </w:tcPr>
          <w:p w14:paraId="0A8CEC35"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w:t>
            </w:r>
          </w:p>
        </w:tc>
        <w:tc>
          <w:tcPr>
            <w:tcW w:w="971" w:type="dxa"/>
            <w:hideMark/>
          </w:tcPr>
          <w:p w14:paraId="5B4E59AF"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0.0</w:t>
            </w:r>
          </w:p>
        </w:tc>
        <w:tc>
          <w:tcPr>
            <w:tcW w:w="1216" w:type="dxa"/>
            <w:shd w:val="pct12" w:color="000000" w:fill="FFFFFF"/>
            <w:hideMark/>
          </w:tcPr>
          <w:p w14:paraId="67D383C3" w14:textId="77777777" w:rsidR="00AE063B" w:rsidRPr="00B075D6" w:rsidRDefault="00AE063B" w:rsidP="00672457">
            <w:pPr>
              <w:spacing w:line="256" w:lineRule="auto"/>
              <w:jc w:val="center"/>
              <w:rPr>
                <w:rFonts w:eastAsia="Calibri"/>
                <w:spacing w:val="-3"/>
                <w:sz w:val="20"/>
                <w:szCs w:val="20"/>
                <w:highlight w:val="yellow"/>
              </w:rPr>
            </w:pPr>
            <w:r>
              <w:rPr>
                <w:rFonts w:eastAsia="Calibri"/>
                <w:spacing w:val="-3"/>
                <w:sz w:val="20"/>
                <w:szCs w:val="20"/>
              </w:rPr>
              <w:t>0.3</w:t>
            </w:r>
          </w:p>
        </w:tc>
        <w:tc>
          <w:tcPr>
            <w:tcW w:w="948" w:type="dxa"/>
            <w:shd w:val="clear" w:color="auto" w:fill="auto"/>
            <w:hideMark/>
          </w:tcPr>
          <w:p w14:paraId="3872ACFA"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w:t>
            </w:r>
          </w:p>
        </w:tc>
        <w:tc>
          <w:tcPr>
            <w:tcW w:w="823" w:type="dxa"/>
            <w:shd w:val="clear" w:color="auto" w:fill="auto"/>
            <w:hideMark/>
          </w:tcPr>
          <w:p w14:paraId="2262C432"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0.0</w:t>
            </w:r>
          </w:p>
        </w:tc>
        <w:tc>
          <w:tcPr>
            <w:tcW w:w="1182" w:type="dxa"/>
            <w:shd w:val="clear" w:color="auto" w:fill="D9D9D9"/>
          </w:tcPr>
          <w:p w14:paraId="420D6FAE"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0.1</w:t>
            </w:r>
          </w:p>
        </w:tc>
      </w:tr>
      <w:tr w:rsidR="00AE063B" w:rsidRPr="00B075D6" w14:paraId="3364A739" w14:textId="77777777" w:rsidTr="00672457">
        <w:trPr>
          <w:gridAfter w:val="1"/>
          <w:wAfter w:w="6" w:type="dxa"/>
          <w:trHeight w:val="236"/>
          <w:jc w:val="center"/>
        </w:trPr>
        <w:tc>
          <w:tcPr>
            <w:tcW w:w="3297" w:type="dxa"/>
            <w:hideMark/>
          </w:tcPr>
          <w:p w14:paraId="589ADBFD"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Joint Race (White/Minority)</w:t>
            </w:r>
          </w:p>
        </w:tc>
        <w:tc>
          <w:tcPr>
            <w:tcW w:w="823" w:type="dxa"/>
            <w:hideMark/>
          </w:tcPr>
          <w:p w14:paraId="47F652F9"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w:t>
            </w:r>
          </w:p>
        </w:tc>
        <w:tc>
          <w:tcPr>
            <w:tcW w:w="971" w:type="dxa"/>
            <w:hideMark/>
          </w:tcPr>
          <w:p w14:paraId="4FDA0109"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4.6</w:t>
            </w:r>
          </w:p>
        </w:tc>
        <w:tc>
          <w:tcPr>
            <w:tcW w:w="1216" w:type="dxa"/>
            <w:shd w:val="pct12" w:color="000000" w:fill="FFFFFF"/>
            <w:hideMark/>
          </w:tcPr>
          <w:p w14:paraId="7966834B" w14:textId="77777777" w:rsidR="00AE063B" w:rsidRPr="00B075D6" w:rsidRDefault="00AE063B" w:rsidP="00672457">
            <w:pPr>
              <w:spacing w:line="256" w:lineRule="auto"/>
              <w:jc w:val="center"/>
              <w:rPr>
                <w:rFonts w:eastAsia="Calibri"/>
                <w:spacing w:val="-3"/>
                <w:sz w:val="20"/>
                <w:szCs w:val="20"/>
                <w:highlight w:val="yellow"/>
              </w:rPr>
            </w:pPr>
            <w:r>
              <w:rPr>
                <w:rFonts w:eastAsia="Calibri"/>
                <w:spacing w:val="-3"/>
                <w:sz w:val="20"/>
                <w:szCs w:val="20"/>
              </w:rPr>
              <w:t>2.4</w:t>
            </w:r>
          </w:p>
        </w:tc>
        <w:tc>
          <w:tcPr>
            <w:tcW w:w="948" w:type="dxa"/>
            <w:shd w:val="clear" w:color="auto" w:fill="auto"/>
            <w:hideMark/>
          </w:tcPr>
          <w:p w14:paraId="6CC7C9F5"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w:t>
            </w:r>
          </w:p>
        </w:tc>
        <w:tc>
          <w:tcPr>
            <w:tcW w:w="823" w:type="dxa"/>
            <w:shd w:val="clear" w:color="auto" w:fill="auto"/>
            <w:hideMark/>
          </w:tcPr>
          <w:p w14:paraId="479BA3A1"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3.8</w:t>
            </w:r>
          </w:p>
        </w:tc>
        <w:tc>
          <w:tcPr>
            <w:tcW w:w="1182" w:type="dxa"/>
            <w:shd w:val="clear" w:color="auto" w:fill="D9D9D9"/>
          </w:tcPr>
          <w:p w14:paraId="38E1396C"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2.6</w:t>
            </w:r>
          </w:p>
        </w:tc>
      </w:tr>
      <w:tr w:rsidR="00AE063B" w:rsidRPr="00B075D6" w14:paraId="1BB38E0A" w14:textId="77777777" w:rsidTr="00672457">
        <w:trPr>
          <w:gridAfter w:val="1"/>
          <w:wAfter w:w="6" w:type="dxa"/>
          <w:trHeight w:val="236"/>
          <w:jc w:val="center"/>
        </w:trPr>
        <w:tc>
          <w:tcPr>
            <w:tcW w:w="3297" w:type="dxa"/>
            <w:hideMark/>
          </w:tcPr>
          <w:p w14:paraId="376FF805"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 xml:space="preserve">Total </w:t>
            </w:r>
            <w:r>
              <w:rPr>
                <w:rFonts w:eastAsia="Calibri"/>
                <w:b/>
                <w:spacing w:val="-3"/>
                <w:sz w:val="20"/>
                <w:szCs w:val="20"/>
              </w:rPr>
              <w:t xml:space="preserve">Racial </w:t>
            </w:r>
            <w:r w:rsidRPr="00B075D6">
              <w:rPr>
                <w:rFonts w:eastAsia="Calibri"/>
                <w:b/>
                <w:spacing w:val="-3"/>
                <w:sz w:val="20"/>
                <w:szCs w:val="20"/>
              </w:rPr>
              <w:t>Minority</w:t>
            </w:r>
          </w:p>
        </w:tc>
        <w:tc>
          <w:tcPr>
            <w:tcW w:w="823" w:type="dxa"/>
            <w:hideMark/>
          </w:tcPr>
          <w:p w14:paraId="5D8AA823" w14:textId="77777777" w:rsidR="00AE063B" w:rsidRPr="00B075D6" w:rsidRDefault="00AE063B" w:rsidP="00672457">
            <w:pPr>
              <w:spacing w:line="256" w:lineRule="auto"/>
              <w:jc w:val="center"/>
              <w:rPr>
                <w:rFonts w:eastAsia="Calibri"/>
                <w:b/>
                <w:sz w:val="20"/>
                <w:szCs w:val="20"/>
              </w:rPr>
            </w:pPr>
            <w:r>
              <w:rPr>
                <w:rFonts w:eastAsia="Calibri"/>
                <w:b/>
                <w:sz w:val="20"/>
                <w:szCs w:val="20"/>
              </w:rPr>
              <w:t>3</w:t>
            </w:r>
          </w:p>
        </w:tc>
        <w:tc>
          <w:tcPr>
            <w:tcW w:w="971" w:type="dxa"/>
            <w:hideMark/>
          </w:tcPr>
          <w:p w14:paraId="2B613C21"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13.7</w:t>
            </w:r>
          </w:p>
        </w:tc>
        <w:tc>
          <w:tcPr>
            <w:tcW w:w="1216" w:type="dxa"/>
            <w:shd w:val="pct12" w:color="000000" w:fill="FFFFFF"/>
            <w:hideMark/>
          </w:tcPr>
          <w:p w14:paraId="4C4C89AA" w14:textId="77777777" w:rsidR="00AE063B" w:rsidRPr="00B075D6" w:rsidRDefault="00AE063B" w:rsidP="00672457">
            <w:pPr>
              <w:spacing w:line="256" w:lineRule="auto"/>
              <w:jc w:val="center"/>
              <w:rPr>
                <w:rFonts w:eastAsia="Calibri"/>
                <w:b/>
                <w:spacing w:val="-3"/>
                <w:sz w:val="20"/>
                <w:szCs w:val="20"/>
                <w:highlight w:val="yellow"/>
              </w:rPr>
            </w:pPr>
            <w:r>
              <w:rPr>
                <w:rFonts w:eastAsia="Calibri"/>
                <w:b/>
                <w:spacing w:val="-3"/>
                <w:sz w:val="20"/>
                <w:szCs w:val="20"/>
              </w:rPr>
              <w:t>22.9</w:t>
            </w:r>
          </w:p>
        </w:tc>
        <w:tc>
          <w:tcPr>
            <w:tcW w:w="948" w:type="dxa"/>
            <w:shd w:val="clear" w:color="auto" w:fill="auto"/>
            <w:hideMark/>
          </w:tcPr>
          <w:p w14:paraId="2F4A2A22"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5</w:t>
            </w:r>
          </w:p>
        </w:tc>
        <w:tc>
          <w:tcPr>
            <w:tcW w:w="823" w:type="dxa"/>
            <w:shd w:val="clear" w:color="auto" w:fill="auto"/>
            <w:hideMark/>
          </w:tcPr>
          <w:p w14:paraId="4B3F18FE"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9.5</w:t>
            </w:r>
          </w:p>
        </w:tc>
        <w:tc>
          <w:tcPr>
            <w:tcW w:w="1182" w:type="dxa"/>
            <w:shd w:val="clear" w:color="auto" w:fill="D9D9D9"/>
          </w:tcPr>
          <w:p w14:paraId="4EAE9C6B"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22.4</w:t>
            </w:r>
          </w:p>
        </w:tc>
      </w:tr>
      <w:tr w:rsidR="00AE063B" w:rsidRPr="00B075D6" w14:paraId="29D51D07" w14:textId="77777777" w:rsidTr="00672457">
        <w:trPr>
          <w:gridAfter w:val="1"/>
          <w:wAfter w:w="6" w:type="dxa"/>
          <w:trHeight w:val="236"/>
          <w:jc w:val="center"/>
        </w:trPr>
        <w:tc>
          <w:tcPr>
            <w:tcW w:w="3297" w:type="dxa"/>
            <w:hideMark/>
          </w:tcPr>
          <w:p w14:paraId="525CCEF4"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White</w:t>
            </w:r>
          </w:p>
        </w:tc>
        <w:tc>
          <w:tcPr>
            <w:tcW w:w="823" w:type="dxa"/>
            <w:hideMark/>
          </w:tcPr>
          <w:p w14:paraId="4D7C3EC1"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17</w:t>
            </w:r>
          </w:p>
        </w:tc>
        <w:tc>
          <w:tcPr>
            <w:tcW w:w="971" w:type="dxa"/>
            <w:hideMark/>
          </w:tcPr>
          <w:p w14:paraId="32806355"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77.2</w:t>
            </w:r>
          </w:p>
        </w:tc>
        <w:tc>
          <w:tcPr>
            <w:tcW w:w="1216" w:type="dxa"/>
            <w:shd w:val="pct12" w:color="000000" w:fill="FFFFFF"/>
            <w:hideMark/>
          </w:tcPr>
          <w:p w14:paraId="026F78F8"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51.6</w:t>
            </w:r>
          </w:p>
        </w:tc>
        <w:tc>
          <w:tcPr>
            <w:tcW w:w="948" w:type="dxa"/>
            <w:shd w:val="clear" w:color="auto" w:fill="auto"/>
            <w:hideMark/>
          </w:tcPr>
          <w:p w14:paraId="09806158"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40</w:t>
            </w:r>
          </w:p>
        </w:tc>
        <w:tc>
          <w:tcPr>
            <w:tcW w:w="823" w:type="dxa"/>
            <w:shd w:val="clear" w:color="auto" w:fill="auto"/>
            <w:hideMark/>
          </w:tcPr>
          <w:p w14:paraId="1D2316A2"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75.5</w:t>
            </w:r>
          </w:p>
        </w:tc>
        <w:tc>
          <w:tcPr>
            <w:tcW w:w="1182" w:type="dxa"/>
            <w:shd w:val="clear" w:color="auto" w:fill="D9D9D9"/>
          </w:tcPr>
          <w:p w14:paraId="66280F05"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50.9</w:t>
            </w:r>
          </w:p>
        </w:tc>
      </w:tr>
      <w:tr w:rsidR="00AE063B" w:rsidRPr="00B075D6" w14:paraId="6C460959" w14:textId="77777777" w:rsidTr="00672457">
        <w:trPr>
          <w:gridAfter w:val="1"/>
          <w:wAfter w:w="6" w:type="dxa"/>
          <w:trHeight w:val="236"/>
          <w:jc w:val="center"/>
        </w:trPr>
        <w:tc>
          <w:tcPr>
            <w:tcW w:w="3297" w:type="dxa"/>
            <w:hideMark/>
          </w:tcPr>
          <w:p w14:paraId="6FC76E68"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Race Not Available</w:t>
            </w:r>
          </w:p>
        </w:tc>
        <w:tc>
          <w:tcPr>
            <w:tcW w:w="823" w:type="dxa"/>
            <w:hideMark/>
          </w:tcPr>
          <w:p w14:paraId="50E375F4"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w:t>
            </w:r>
          </w:p>
        </w:tc>
        <w:tc>
          <w:tcPr>
            <w:tcW w:w="971" w:type="dxa"/>
            <w:hideMark/>
          </w:tcPr>
          <w:p w14:paraId="4130FA51"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9.1</w:t>
            </w:r>
          </w:p>
        </w:tc>
        <w:tc>
          <w:tcPr>
            <w:tcW w:w="1216" w:type="dxa"/>
            <w:shd w:val="pct12" w:color="000000" w:fill="FFFFFF"/>
            <w:hideMark/>
          </w:tcPr>
          <w:p w14:paraId="0EFFC5C1"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25.5</w:t>
            </w:r>
          </w:p>
        </w:tc>
        <w:tc>
          <w:tcPr>
            <w:tcW w:w="948" w:type="dxa"/>
            <w:shd w:val="clear" w:color="auto" w:fill="auto"/>
            <w:hideMark/>
          </w:tcPr>
          <w:p w14:paraId="055225CE"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8</w:t>
            </w:r>
          </w:p>
        </w:tc>
        <w:tc>
          <w:tcPr>
            <w:tcW w:w="823" w:type="dxa"/>
            <w:shd w:val="clear" w:color="auto" w:fill="auto"/>
            <w:hideMark/>
          </w:tcPr>
          <w:p w14:paraId="3B80F527"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15.1</w:t>
            </w:r>
          </w:p>
        </w:tc>
        <w:tc>
          <w:tcPr>
            <w:tcW w:w="1182" w:type="dxa"/>
            <w:shd w:val="clear" w:color="auto" w:fill="D9D9D9"/>
          </w:tcPr>
          <w:p w14:paraId="5D499E2D"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26.7</w:t>
            </w:r>
          </w:p>
        </w:tc>
      </w:tr>
      <w:tr w:rsidR="00AE063B" w:rsidRPr="00B075D6" w14:paraId="6C5EA0A4" w14:textId="77777777" w:rsidTr="00672457">
        <w:trPr>
          <w:gridAfter w:val="1"/>
          <w:wAfter w:w="6" w:type="dxa"/>
          <w:trHeight w:val="236"/>
          <w:jc w:val="center"/>
        </w:trPr>
        <w:tc>
          <w:tcPr>
            <w:tcW w:w="3297" w:type="dxa"/>
            <w:hideMark/>
          </w:tcPr>
          <w:p w14:paraId="55E195D7"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Total</w:t>
            </w:r>
          </w:p>
        </w:tc>
        <w:tc>
          <w:tcPr>
            <w:tcW w:w="823" w:type="dxa"/>
            <w:hideMark/>
          </w:tcPr>
          <w:p w14:paraId="4A3E3258"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22</w:t>
            </w:r>
          </w:p>
        </w:tc>
        <w:tc>
          <w:tcPr>
            <w:tcW w:w="971" w:type="dxa"/>
            <w:hideMark/>
          </w:tcPr>
          <w:p w14:paraId="4F1E409F"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c>
          <w:tcPr>
            <w:tcW w:w="1216" w:type="dxa"/>
            <w:shd w:val="pct12" w:color="000000" w:fill="FFFFFF"/>
            <w:hideMark/>
          </w:tcPr>
          <w:p w14:paraId="56A1E7C1"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c>
          <w:tcPr>
            <w:tcW w:w="948" w:type="dxa"/>
            <w:shd w:val="clear" w:color="auto" w:fill="auto"/>
            <w:hideMark/>
          </w:tcPr>
          <w:p w14:paraId="1C44C8B5"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53</w:t>
            </w:r>
          </w:p>
        </w:tc>
        <w:tc>
          <w:tcPr>
            <w:tcW w:w="823" w:type="dxa"/>
            <w:shd w:val="clear" w:color="auto" w:fill="auto"/>
            <w:hideMark/>
          </w:tcPr>
          <w:p w14:paraId="15D48952"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c>
          <w:tcPr>
            <w:tcW w:w="1182" w:type="dxa"/>
            <w:shd w:val="clear" w:color="auto" w:fill="D9D9D9"/>
          </w:tcPr>
          <w:p w14:paraId="15A4BFCC"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r>
      <w:tr w:rsidR="00AE063B" w:rsidRPr="00B075D6" w14:paraId="23803431" w14:textId="77777777" w:rsidTr="00672457">
        <w:trPr>
          <w:gridAfter w:val="1"/>
          <w:wAfter w:w="6" w:type="dxa"/>
          <w:trHeight w:val="236"/>
          <w:jc w:val="center"/>
        </w:trPr>
        <w:tc>
          <w:tcPr>
            <w:tcW w:w="3297" w:type="dxa"/>
            <w:hideMark/>
          </w:tcPr>
          <w:p w14:paraId="0545A1E0"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ETHNICITY</w:t>
            </w:r>
          </w:p>
        </w:tc>
        <w:tc>
          <w:tcPr>
            <w:tcW w:w="823" w:type="dxa"/>
          </w:tcPr>
          <w:p w14:paraId="5B5FD03C" w14:textId="77777777" w:rsidR="00AE063B" w:rsidRPr="00B075D6" w:rsidRDefault="00AE063B" w:rsidP="00672457">
            <w:pPr>
              <w:spacing w:line="256" w:lineRule="auto"/>
              <w:jc w:val="center"/>
              <w:rPr>
                <w:rFonts w:eastAsia="Calibri"/>
                <w:b/>
                <w:spacing w:val="-3"/>
                <w:sz w:val="20"/>
                <w:szCs w:val="20"/>
              </w:rPr>
            </w:pPr>
          </w:p>
        </w:tc>
        <w:tc>
          <w:tcPr>
            <w:tcW w:w="971" w:type="dxa"/>
          </w:tcPr>
          <w:p w14:paraId="05C4810A" w14:textId="77777777" w:rsidR="00AE063B" w:rsidRPr="00B075D6" w:rsidRDefault="00AE063B" w:rsidP="00672457">
            <w:pPr>
              <w:spacing w:line="256" w:lineRule="auto"/>
              <w:jc w:val="center"/>
              <w:rPr>
                <w:rFonts w:eastAsia="Calibri"/>
                <w:b/>
                <w:spacing w:val="-3"/>
                <w:sz w:val="20"/>
                <w:szCs w:val="20"/>
              </w:rPr>
            </w:pPr>
          </w:p>
        </w:tc>
        <w:tc>
          <w:tcPr>
            <w:tcW w:w="1216" w:type="dxa"/>
            <w:shd w:val="pct12" w:color="000000" w:fill="FFFFFF"/>
          </w:tcPr>
          <w:p w14:paraId="5E971E0B" w14:textId="77777777" w:rsidR="00AE063B" w:rsidRPr="00B075D6" w:rsidRDefault="00AE063B" w:rsidP="00672457">
            <w:pPr>
              <w:spacing w:line="256" w:lineRule="auto"/>
              <w:jc w:val="center"/>
              <w:rPr>
                <w:rFonts w:eastAsia="Calibri"/>
                <w:b/>
                <w:color w:val="FF0000"/>
                <w:spacing w:val="-3"/>
                <w:sz w:val="20"/>
                <w:szCs w:val="20"/>
              </w:rPr>
            </w:pPr>
          </w:p>
        </w:tc>
        <w:tc>
          <w:tcPr>
            <w:tcW w:w="948" w:type="dxa"/>
          </w:tcPr>
          <w:p w14:paraId="66687BC9" w14:textId="77777777" w:rsidR="00AE063B" w:rsidRPr="00B075D6" w:rsidRDefault="00AE063B" w:rsidP="00672457">
            <w:pPr>
              <w:spacing w:line="256" w:lineRule="auto"/>
              <w:jc w:val="center"/>
              <w:rPr>
                <w:rFonts w:eastAsia="Calibri"/>
                <w:b/>
                <w:spacing w:val="-3"/>
                <w:sz w:val="20"/>
                <w:szCs w:val="20"/>
              </w:rPr>
            </w:pPr>
          </w:p>
        </w:tc>
        <w:tc>
          <w:tcPr>
            <w:tcW w:w="823" w:type="dxa"/>
          </w:tcPr>
          <w:p w14:paraId="5161CE85" w14:textId="77777777" w:rsidR="00AE063B" w:rsidRPr="00B075D6" w:rsidRDefault="00AE063B" w:rsidP="00672457">
            <w:pPr>
              <w:spacing w:line="256" w:lineRule="auto"/>
              <w:jc w:val="center"/>
              <w:rPr>
                <w:rFonts w:eastAsia="Calibri"/>
                <w:b/>
                <w:spacing w:val="-3"/>
                <w:sz w:val="20"/>
                <w:szCs w:val="20"/>
              </w:rPr>
            </w:pPr>
          </w:p>
        </w:tc>
        <w:tc>
          <w:tcPr>
            <w:tcW w:w="1182" w:type="dxa"/>
            <w:shd w:val="clear" w:color="auto" w:fill="D9D9D9"/>
          </w:tcPr>
          <w:p w14:paraId="303CB1DD" w14:textId="77777777" w:rsidR="00AE063B" w:rsidRPr="00B075D6" w:rsidRDefault="00AE063B" w:rsidP="00672457">
            <w:pPr>
              <w:spacing w:line="256" w:lineRule="auto"/>
              <w:jc w:val="center"/>
              <w:rPr>
                <w:rFonts w:eastAsia="Calibri"/>
                <w:b/>
                <w:spacing w:val="-3"/>
                <w:sz w:val="20"/>
                <w:szCs w:val="20"/>
              </w:rPr>
            </w:pPr>
          </w:p>
        </w:tc>
      </w:tr>
      <w:tr w:rsidR="00AE063B" w:rsidRPr="00B075D6" w14:paraId="62265F3D" w14:textId="77777777" w:rsidTr="00672457">
        <w:trPr>
          <w:gridAfter w:val="1"/>
          <w:wAfter w:w="6" w:type="dxa"/>
          <w:trHeight w:val="236"/>
          <w:jc w:val="center"/>
        </w:trPr>
        <w:tc>
          <w:tcPr>
            <w:tcW w:w="3297" w:type="dxa"/>
            <w:hideMark/>
          </w:tcPr>
          <w:p w14:paraId="085F0B87"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Hispanic or Latino</w:t>
            </w:r>
          </w:p>
        </w:tc>
        <w:tc>
          <w:tcPr>
            <w:tcW w:w="823" w:type="dxa"/>
            <w:hideMark/>
          </w:tcPr>
          <w:p w14:paraId="4149F7B6"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2</w:t>
            </w:r>
          </w:p>
        </w:tc>
        <w:tc>
          <w:tcPr>
            <w:tcW w:w="971" w:type="dxa"/>
            <w:hideMark/>
          </w:tcPr>
          <w:p w14:paraId="4DB0C766"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9.1</w:t>
            </w:r>
          </w:p>
        </w:tc>
        <w:tc>
          <w:tcPr>
            <w:tcW w:w="1216" w:type="dxa"/>
            <w:shd w:val="pct12" w:color="000000" w:fill="FFFFFF"/>
            <w:hideMark/>
          </w:tcPr>
          <w:p w14:paraId="11DE7C6F"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6.7</w:t>
            </w:r>
          </w:p>
        </w:tc>
        <w:tc>
          <w:tcPr>
            <w:tcW w:w="948" w:type="dxa"/>
            <w:hideMark/>
          </w:tcPr>
          <w:p w14:paraId="1F5862C7"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7</w:t>
            </w:r>
          </w:p>
        </w:tc>
        <w:tc>
          <w:tcPr>
            <w:tcW w:w="823" w:type="dxa"/>
            <w:hideMark/>
          </w:tcPr>
          <w:p w14:paraId="1CD22577"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13.2</w:t>
            </w:r>
          </w:p>
        </w:tc>
        <w:tc>
          <w:tcPr>
            <w:tcW w:w="1182" w:type="dxa"/>
            <w:shd w:val="clear" w:color="auto" w:fill="D9D9D9"/>
          </w:tcPr>
          <w:p w14:paraId="44F41069"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6.4</w:t>
            </w:r>
          </w:p>
        </w:tc>
      </w:tr>
      <w:tr w:rsidR="00AE063B" w:rsidRPr="00B075D6" w14:paraId="488428A8" w14:textId="77777777" w:rsidTr="00672457">
        <w:trPr>
          <w:gridAfter w:val="1"/>
          <w:wAfter w:w="6" w:type="dxa"/>
          <w:trHeight w:val="236"/>
          <w:jc w:val="center"/>
        </w:trPr>
        <w:tc>
          <w:tcPr>
            <w:tcW w:w="3297" w:type="dxa"/>
            <w:hideMark/>
          </w:tcPr>
          <w:p w14:paraId="752091DB"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Joint (Hisp/Lat /Not Hisp/Lat)</w:t>
            </w:r>
          </w:p>
        </w:tc>
        <w:tc>
          <w:tcPr>
            <w:tcW w:w="823" w:type="dxa"/>
            <w:hideMark/>
          </w:tcPr>
          <w:p w14:paraId="7D887192"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2</w:t>
            </w:r>
          </w:p>
        </w:tc>
        <w:tc>
          <w:tcPr>
            <w:tcW w:w="971" w:type="dxa"/>
            <w:hideMark/>
          </w:tcPr>
          <w:p w14:paraId="7679E758"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9.1</w:t>
            </w:r>
          </w:p>
        </w:tc>
        <w:tc>
          <w:tcPr>
            <w:tcW w:w="1216" w:type="dxa"/>
            <w:shd w:val="pct12" w:color="000000" w:fill="FFFFFF"/>
            <w:hideMark/>
          </w:tcPr>
          <w:p w14:paraId="3DAD1E2B"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1.3</w:t>
            </w:r>
          </w:p>
        </w:tc>
        <w:tc>
          <w:tcPr>
            <w:tcW w:w="948" w:type="dxa"/>
            <w:hideMark/>
          </w:tcPr>
          <w:p w14:paraId="356B338F"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w:t>
            </w:r>
          </w:p>
        </w:tc>
        <w:tc>
          <w:tcPr>
            <w:tcW w:w="823" w:type="dxa"/>
            <w:hideMark/>
          </w:tcPr>
          <w:p w14:paraId="6CA5C9EA"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1.9</w:t>
            </w:r>
          </w:p>
        </w:tc>
        <w:tc>
          <w:tcPr>
            <w:tcW w:w="1182" w:type="dxa"/>
            <w:shd w:val="clear" w:color="auto" w:fill="D9D9D9"/>
          </w:tcPr>
          <w:p w14:paraId="2F401576"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1.0</w:t>
            </w:r>
          </w:p>
        </w:tc>
      </w:tr>
      <w:tr w:rsidR="00AE063B" w:rsidRPr="00B075D6" w14:paraId="2F73D4D3" w14:textId="77777777" w:rsidTr="00672457">
        <w:trPr>
          <w:gridAfter w:val="1"/>
          <w:wAfter w:w="6" w:type="dxa"/>
          <w:trHeight w:val="236"/>
          <w:jc w:val="center"/>
        </w:trPr>
        <w:tc>
          <w:tcPr>
            <w:tcW w:w="3297" w:type="dxa"/>
          </w:tcPr>
          <w:p w14:paraId="1118983D" w14:textId="77777777" w:rsidR="00AE063B" w:rsidRPr="002F39DE" w:rsidRDefault="00AE063B" w:rsidP="00672457">
            <w:pPr>
              <w:spacing w:line="256" w:lineRule="auto"/>
              <w:jc w:val="center"/>
              <w:rPr>
                <w:rFonts w:eastAsia="Calibri"/>
                <w:b/>
                <w:spacing w:val="-3"/>
                <w:sz w:val="20"/>
                <w:szCs w:val="20"/>
              </w:rPr>
            </w:pPr>
            <w:r w:rsidRPr="002F39DE">
              <w:rPr>
                <w:rFonts w:eastAsia="Calibri"/>
                <w:b/>
                <w:spacing w:val="-3"/>
                <w:sz w:val="20"/>
                <w:szCs w:val="20"/>
              </w:rPr>
              <w:t>Total Ethnic Minority</w:t>
            </w:r>
          </w:p>
        </w:tc>
        <w:tc>
          <w:tcPr>
            <w:tcW w:w="823" w:type="dxa"/>
          </w:tcPr>
          <w:p w14:paraId="77952284" w14:textId="77777777" w:rsidR="00AE063B" w:rsidRPr="002F39DE" w:rsidRDefault="00AE063B" w:rsidP="00672457">
            <w:pPr>
              <w:spacing w:line="256" w:lineRule="auto"/>
              <w:jc w:val="center"/>
              <w:rPr>
                <w:rFonts w:eastAsia="Calibri"/>
                <w:b/>
                <w:spacing w:val="-3"/>
                <w:sz w:val="20"/>
                <w:szCs w:val="20"/>
              </w:rPr>
            </w:pPr>
            <w:r>
              <w:rPr>
                <w:rFonts w:eastAsia="Calibri"/>
                <w:b/>
                <w:spacing w:val="-3"/>
                <w:sz w:val="20"/>
                <w:szCs w:val="20"/>
              </w:rPr>
              <w:t>4</w:t>
            </w:r>
          </w:p>
        </w:tc>
        <w:tc>
          <w:tcPr>
            <w:tcW w:w="971" w:type="dxa"/>
          </w:tcPr>
          <w:p w14:paraId="2F5A114C" w14:textId="77777777" w:rsidR="00AE063B" w:rsidRPr="002F39DE" w:rsidRDefault="00AE063B" w:rsidP="00672457">
            <w:pPr>
              <w:spacing w:line="256" w:lineRule="auto"/>
              <w:jc w:val="center"/>
              <w:rPr>
                <w:rFonts w:eastAsia="Calibri"/>
                <w:b/>
                <w:spacing w:val="-3"/>
                <w:sz w:val="20"/>
                <w:szCs w:val="20"/>
              </w:rPr>
            </w:pPr>
            <w:r>
              <w:rPr>
                <w:rFonts w:eastAsia="Calibri"/>
                <w:b/>
                <w:spacing w:val="-3"/>
                <w:sz w:val="20"/>
                <w:szCs w:val="20"/>
              </w:rPr>
              <w:t>18.2</w:t>
            </w:r>
          </w:p>
        </w:tc>
        <w:tc>
          <w:tcPr>
            <w:tcW w:w="1216" w:type="dxa"/>
            <w:shd w:val="pct12" w:color="000000" w:fill="FFFFFF"/>
          </w:tcPr>
          <w:p w14:paraId="2D566774" w14:textId="77777777" w:rsidR="00AE063B" w:rsidRPr="002F39DE" w:rsidRDefault="00AE063B" w:rsidP="00672457">
            <w:pPr>
              <w:spacing w:line="256" w:lineRule="auto"/>
              <w:jc w:val="center"/>
              <w:rPr>
                <w:rFonts w:eastAsia="Calibri"/>
                <w:b/>
                <w:spacing w:val="-3"/>
                <w:sz w:val="20"/>
                <w:szCs w:val="20"/>
              </w:rPr>
            </w:pPr>
            <w:r>
              <w:rPr>
                <w:rFonts w:eastAsia="Calibri"/>
                <w:b/>
                <w:spacing w:val="-3"/>
                <w:sz w:val="20"/>
                <w:szCs w:val="20"/>
              </w:rPr>
              <w:t>8.0</w:t>
            </w:r>
          </w:p>
        </w:tc>
        <w:tc>
          <w:tcPr>
            <w:tcW w:w="948" w:type="dxa"/>
          </w:tcPr>
          <w:p w14:paraId="66CB949F" w14:textId="77777777" w:rsidR="00AE063B" w:rsidRPr="002F39DE" w:rsidRDefault="00AE063B" w:rsidP="00672457">
            <w:pPr>
              <w:spacing w:line="256" w:lineRule="auto"/>
              <w:jc w:val="center"/>
              <w:rPr>
                <w:rFonts w:eastAsia="Calibri"/>
                <w:b/>
                <w:spacing w:val="-3"/>
                <w:sz w:val="20"/>
                <w:szCs w:val="20"/>
              </w:rPr>
            </w:pPr>
            <w:r>
              <w:rPr>
                <w:rFonts w:eastAsia="Calibri"/>
                <w:b/>
                <w:spacing w:val="-3"/>
                <w:sz w:val="20"/>
                <w:szCs w:val="20"/>
              </w:rPr>
              <w:t>8</w:t>
            </w:r>
          </w:p>
        </w:tc>
        <w:tc>
          <w:tcPr>
            <w:tcW w:w="823" w:type="dxa"/>
          </w:tcPr>
          <w:p w14:paraId="2B117C8B" w14:textId="77777777" w:rsidR="00AE063B" w:rsidRPr="002F39DE" w:rsidRDefault="00AE063B" w:rsidP="00672457">
            <w:pPr>
              <w:spacing w:line="256" w:lineRule="auto"/>
              <w:jc w:val="center"/>
              <w:rPr>
                <w:rFonts w:eastAsia="Calibri"/>
                <w:b/>
                <w:spacing w:val="-3"/>
                <w:sz w:val="20"/>
                <w:szCs w:val="20"/>
              </w:rPr>
            </w:pPr>
            <w:r>
              <w:rPr>
                <w:rFonts w:eastAsia="Calibri"/>
                <w:b/>
                <w:spacing w:val="-3"/>
                <w:sz w:val="20"/>
                <w:szCs w:val="20"/>
              </w:rPr>
              <w:t>15.1</w:t>
            </w:r>
          </w:p>
        </w:tc>
        <w:tc>
          <w:tcPr>
            <w:tcW w:w="1182" w:type="dxa"/>
            <w:shd w:val="clear" w:color="auto" w:fill="D9D9D9"/>
          </w:tcPr>
          <w:p w14:paraId="58E39FBC" w14:textId="77777777" w:rsidR="00AE063B" w:rsidRPr="002F39DE" w:rsidRDefault="00AE063B" w:rsidP="00672457">
            <w:pPr>
              <w:spacing w:line="256" w:lineRule="auto"/>
              <w:jc w:val="center"/>
              <w:rPr>
                <w:rFonts w:eastAsia="Calibri"/>
                <w:b/>
                <w:spacing w:val="-3"/>
                <w:sz w:val="20"/>
                <w:szCs w:val="20"/>
              </w:rPr>
            </w:pPr>
            <w:r>
              <w:rPr>
                <w:rFonts w:eastAsia="Calibri"/>
                <w:b/>
                <w:spacing w:val="-3"/>
                <w:sz w:val="20"/>
                <w:szCs w:val="20"/>
              </w:rPr>
              <w:t>7.4</w:t>
            </w:r>
          </w:p>
        </w:tc>
      </w:tr>
      <w:tr w:rsidR="00AE063B" w:rsidRPr="00B075D6" w14:paraId="56E5A7AD" w14:textId="77777777" w:rsidTr="00672457">
        <w:trPr>
          <w:gridAfter w:val="1"/>
          <w:wAfter w:w="6" w:type="dxa"/>
          <w:trHeight w:val="236"/>
          <w:jc w:val="center"/>
        </w:trPr>
        <w:tc>
          <w:tcPr>
            <w:tcW w:w="3297" w:type="dxa"/>
          </w:tcPr>
          <w:p w14:paraId="09B88137"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Not Hispanic or Latino</w:t>
            </w:r>
          </w:p>
        </w:tc>
        <w:tc>
          <w:tcPr>
            <w:tcW w:w="823" w:type="dxa"/>
          </w:tcPr>
          <w:p w14:paraId="0641D74D" w14:textId="77777777" w:rsidR="00AE063B" w:rsidRDefault="00AE063B" w:rsidP="00672457">
            <w:pPr>
              <w:spacing w:line="256" w:lineRule="auto"/>
              <w:jc w:val="center"/>
              <w:rPr>
                <w:rFonts w:eastAsia="Calibri"/>
                <w:b/>
                <w:spacing w:val="-3"/>
                <w:sz w:val="20"/>
                <w:szCs w:val="20"/>
              </w:rPr>
            </w:pPr>
            <w:r>
              <w:rPr>
                <w:rFonts w:eastAsia="Calibri"/>
                <w:spacing w:val="-3"/>
                <w:sz w:val="20"/>
                <w:szCs w:val="20"/>
              </w:rPr>
              <w:t>15</w:t>
            </w:r>
          </w:p>
        </w:tc>
        <w:tc>
          <w:tcPr>
            <w:tcW w:w="971" w:type="dxa"/>
          </w:tcPr>
          <w:p w14:paraId="26ED60EB" w14:textId="77777777" w:rsidR="00AE063B" w:rsidRDefault="00AE063B" w:rsidP="00672457">
            <w:pPr>
              <w:spacing w:line="256" w:lineRule="auto"/>
              <w:jc w:val="center"/>
              <w:rPr>
                <w:rFonts w:eastAsia="Calibri"/>
                <w:b/>
                <w:spacing w:val="-3"/>
                <w:sz w:val="20"/>
                <w:szCs w:val="20"/>
              </w:rPr>
            </w:pPr>
            <w:r>
              <w:rPr>
                <w:rFonts w:eastAsia="Calibri"/>
                <w:spacing w:val="-3"/>
                <w:sz w:val="20"/>
                <w:szCs w:val="20"/>
              </w:rPr>
              <w:t>68.2</w:t>
            </w:r>
          </w:p>
        </w:tc>
        <w:tc>
          <w:tcPr>
            <w:tcW w:w="1216" w:type="dxa"/>
            <w:shd w:val="pct12" w:color="000000" w:fill="FFFFFF"/>
          </w:tcPr>
          <w:p w14:paraId="7BABD6D5" w14:textId="77777777" w:rsidR="00AE063B" w:rsidRDefault="00AE063B" w:rsidP="00672457">
            <w:pPr>
              <w:spacing w:line="256" w:lineRule="auto"/>
              <w:jc w:val="center"/>
              <w:rPr>
                <w:rFonts w:eastAsia="Calibri"/>
                <w:b/>
                <w:spacing w:val="-3"/>
                <w:sz w:val="20"/>
                <w:szCs w:val="20"/>
              </w:rPr>
            </w:pPr>
            <w:r>
              <w:rPr>
                <w:rFonts w:eastAsia="Calibri"/>
                <w:spacing w:val="-3"/>
                <w:sz w:val="20"/>
                <w:szCs w:val="20"/>
              </w:rPr>
              <w:t>66.7</w:t>
            </w:r>
          </w:p>
        </w:tc>
        <w:tc>
          <w:tcPr>
            <w:tcW w:w="948" w:type="dxa"/>
          </w:tcPr>
          <w:p w14:paraId="0A5DA3D1" w14:textId="77777777" w:rsidR="00AE063B" w:rsidRDefault="00AE063B" w:rsidP="00672457">
            <w:pPr>
              <w:spacing w:line="256" w:lineRule="auto"/>
              <w:jc w:val="center"/>
              <w:rPr>
                <w:rFonts w:eastAsia="Calibri"/>
                <w:spacing w:val="-3"/>
                <w:sz w:val="20"/>
                <w:szCs w:val="20"/>
              </w:rPr>
            </w:pPr>
            <w:r>
              <w:rPr>
                <w:rFonts w:eastAsia="Calibri"/>
                <w:spacing w:val="-3"/>
                <w:sz w:val="20"/>
                <w:szCs w:val="20"/>
              </w:rPr>
              <w:t>38</w:t>
            </w:r>
          </w:p>
        </w:tc>
        <w:tc>
          <w:tcPr>
            <w:tcW w:w="823" w:type="dxa"/>
          </w:tcPr>
          <w:p w14:paraId="456234E9" w14:textId="77777777" w:rsidR="00AE063B" w:rsidRDefault="00AE063B" w:rsidP="00672457">
            <w:pPr>
              <w:spacing w:line="256" w:lineRule="auto"/>
              <w:jc w:val="center"/>
              <w:rPr>
                <w:rFonts w:eastAsia="Calibri"/>
                <w:b/>
                <w:spacing w:val="-3"/>
                <w:sz w:val="20"/>
                <w:szCs w:val="20"/>
              </w:rPr>
            </w:pPr>
            <w:r>
              <w:rPr>
                <w:rFonts w:eastAsia="Calibri"/>
                <w:spacing w:val="-3"/>
                <w:sz w:val="20"/>
                <w:szCs w:val="20"/>
              </w:rPr>
              <w:t>71.7</w:t>
            </w:r>
          </w:p>
        </w:tc>
        <w:tc>
          <w:tcPr>
            <w:tcW w:w="1182" w:type="dxa"/>
            <w:shd w:val="clear" w:color="auto" w:fill="D9D9D9"/>
          </w:tcPr>
          <w:p w14:paraId="63949A05" w14:textId="77777777" w:rsidR="00AE063B" w:rsidRDefault="00AE063B" w:rsidP="00672457">
            <w:pPr>
              <w:spacing w:line="256" w:lineRule="auto"/>
              <w:jc w:val="center"/>
              <w:rPr>
                <w:rFonts w:eastAsia="Calibri"/>
                <w:b/>
                <w:spacing w:val="-3"/>
                <w:sz w:val="20"/>
                <w:szCs w:val="20"/>
              </w:rPr>
            </w:pPr>
            <w:r>
              <w:rPr>
                <w:rFonts w:eastAsia="Calibri"/>
                <w:spacing w:val="-3"/>
                <w:sz w:val="20"/>
                <w:szCs w:val="20"/>
              </w:rPr>
              <w:t>66.4</w:t>
            </w:r>
          </w:p>
        </w:tc>
      </w:tr>
      <w:tr w:rsidR="00AE063B" w:rsidRPr="00B075D6" w14:paraId="3F5D1178" w14:textId="77777777" w:rsidTr="00672457">
        <w:trPr>
          <w:gridAfter w:val="1"/>
          <w:wAfter w:w="6" w:type="dxa"/>
          <w:trHeight w:val="236"/>
          <w:jc w:val="center"/>
        </w:trPr>
        <w:tc>
          <w:tcPr>
            <w:tcW w:w="3297" w:type="dxa"/>
            <w:hideMark/>
          </w:tcPr>
          <w:p w14:paraId="435E8D56" w14:textId="77777777" w:rsidR="00AE063B" w:rsidRPr="00B075D6" w:rsidRDefault="00AE063B" w:rsidP="00672457">
            <w:pPr>
              <w:spacing w:line="256" w:lineRule="auto"/>
              <w:rPr>
                <w:rFonts w:eastAsia="Calibri"/>
                <w:spacing w:val="-3"/>
                <w:sz w:val="20"/>
                <w:szCs w:val="20"/>
              </w:rPr>
            </w:pPr>
            <w:r w:rsidRPr="00B075D6">
              <w:rPr>
                <w:rFonts w:eastAsia="Calibri"/>
                <w:spacing w:val="-3"/>
                <w:sz w:val="20"/>
                <w:szCs w:val="20"/>
              </w:rPr>
              <w:t>Ethnicity Not Available</w:t>
            </w:r>
          </w:p>
        </w:tc>
        <w:tc>
          <w:tcPr>
            <w:tcW w:w="823" w:type="dxa"/>
            <w:hideMark/>
          </w:tcPr>
          <w:p w14:paraId="1D60EEE4"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3</w:t>
            </w:r>
          </w:p>
        </w:tc>
        <w:tc>
          <w:tcPr>
            <w:tcW w:w="971" w:type="dxa"/>
            <w:hideMark/>
          </w:tcPr>
          <w:p w14:paraId="2AB961B8"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13.6</w:t>
            </w:r>
          </w:p>
        </w:tc>
        <w:tc>
          <w:tcPr>
            <w:tcW w:w="1216" w:type="dxa"/>
            <w:shd w:val="pct12" w:color="000000" w:fill="FFFFFF"/>
            <w:hideMark/>
          </w:tcPr>
          <w:p w14:paraId="24E68EDC"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25.3</w:t>
            </w:r>
          </w:p>
        </w:tc>
        <w:tc>
          <w:tcPr>
            <w:tcW w:w="948" w:type="dxa"/>
            <w:hideMark/>
          </w:tcPr>
          <w:p w14:paraId="3C035E8C"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7</w:t>
            </w:r>
          </w:p>
        </w:tc>
        <w:tc>
          <w:tcPr>
            <w:tcW w:w="823" w:type="dxa"/>
            <w:hideMark/>
          </w:tcPr>
          <w:p w14:paraId="684EE56B"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13.2</w:t>
            </w:r>
          </w:p>
        </w:tc>
        <w:tc>
          <w:tcPr>
            <w:tcW w:w="1182" w:type="dxa"/>
            <w:shd w:val="clear" w:color="auto" w:fill="D9D9D9"/>
          </w:tcPr>
          <w:p w14:paraId="35C41B6E" w14:textId="77777777" w:rsidR="00AE063B" w:rsidRPr="00B075D6" w:rsidRDefault="00AE063B" w:rsidP="00672457">
            <w:pPr>
              <w:spacing w:line="256" w:lineRule="auto"/>
              <w:jc w:val="center"/>
              <w:rPr>
                <w:rFonts w:eastAsia="Calibri"/>
                <w:spacing w:val="-3"/>
                <w:sz w:val="20"/>
                <w:szCs w:val="20"/>
              </w:rPr>
            </w:pPr>
            <w:r>
              <w:rPr>
                <w:rFonts w:eastAsia="Calibri"/>
                <w:spacing w:val="-3"/>
                <w:sz w:val="20"/>
                <w:szCs w:val="20"/>
              </w:rPr>
              <w:t>26.2</w:t>
            </w:r>
          </w:p>
        </w:tc>
      </w:tr>
      <w:tr w:rsidR="00AE063B" w:rsidRPr="00B075D6" w14:paraId="3E55ECA4" w14:textId="77777777" w:rsidTr="00672457">
        <w:trPr>
          <w:gridAfter w:val="1"/>
          <w:wAfter w:w="6" w:type="dxa"/>
          <w:trHeight w:val="236"/>
          <w:jc w:val="center"/>
        </w:trPr>
        <w:tc>
          <w:tcPr>
            <w:tcW w:w="3297" w:type="dxa"/>
            <w:hideMark/>
          </w:tcPr>
          <w:p w14:paraId="7073FF82"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Total</w:t>
            </w:r>
          </w:p>
        </w:tc>
        <w:tc>
          <w:tcPr>
            <w:tcW w:w="823" w:type="dxa"/>
            <w:hideMark/>
          </w:tcPr>
          <w:p w14:paraId="2D1E130B"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22</w:t>
            </w:r>
          </w:p>
        </w:tc>
        <w:tc>
          <w:tcPr>
            <w:tcW w:w="971" w:type="dxa"/>
            <w:hideMark/>
          </w:tcPr>
          <w:p w14:paraId="75CD475D"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c>
          <w:tcPr>
            <w:tcW w:w="1216" w:type="dxa"/>
            <w:shd w:val="pct12" w:color="000000" w:fill="FFFFFF"/>
            <w:hideMark/>
          </w:tcPr>
          <w:p w14:paraId="5F37A7BB"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c>
          <w:tcPr>
            <w:tcW w:w="948" w:type="dxa"/>
            <w:hideMark/>
          </w:tcPr>
          <w:p w14:paraId="752A8EF7" w14:textId="77777777" w:rsidR="00AE063B" w:rsidRPr="00B075D6" w:rsidRDefault="00AE063B" w:rsidP="00672457">
            <w:pPr>
              <w:spacing w:line="256" w:lineRule="auto"/>
              <w:jc w:val="center"/>
              <w:rPr>
                <w:rFonts w:eastAsia="Calibri"/>
                <w:b/>
                <w:spacing w:val="-3"/>
                <w:sz w:val="20"/>
                <w:szCs w:val="20"/>
              </w:rPr>
            </w:pPr>
            <w:r>
              <w:rPr>
                <w:rFonts w:eastAsia="Calibri"/>
                <w:b/>
                <w:spacing w:val="-3"/>
                <w:sz w:val="20"/>
                <w:szCs w:val="20"/>
              </w:rPr>
              <w:t>53</w:t>
            </w:r>
          </w:p>
        </w:tc>
        <w:tc>
          <w:tcPr>
            <w:tcW w:w="823" w:type="dxa"/>
            <w:hideMark/>
          </w:tcPr>
          <w:p w14:paraId="7CBB985B"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c>
          <w:tcPr>
            <w:tcW w:w="1182" w:type="dxa"/>
            <w:shd w:val="clear" w:color="auto" w:fill="D9D9D9"/>
          </w:tcPr>
          <w:p w14:paraId="43D0DA5D" w14:textId="77777777" w:rsidR="00AE063B" w:rsidRPr="00B075D6" w:rsidRDefault="00AE063B" w:rsidP="00672457">
            <w:pPr>
              <w:spacing w:line="256" w:lineRule="auto"/>
              <w:jc w:val="center"/>
              <w:rPr>
                <w:rFonts w:eastAsia="Calibri"/>
                <w:b/>
                <w:spacing w:val="-3"/>
                <w:sz w:val="20"/>
                <w:szCs w:val="20"/>
              </w:rPr>
            </w:pPr>
            <w:r w:rsidRPr="00B075D6">
              <w:rPr>
                <w:rFonts w:eastAsia="Calibri"/>
                <w:b/>
                <w:spacing w:val="-3"/>
                <w:sz w:val="20"/>
                <w:szCs w:val="20"/>
              </w:rPr>
              <w:t>100.0</w:t>
            </w:r>
          </w:p>
        </w:tc>
      </w:tr>
      <w:tr w:rsidR="00AE063B" w:rsidRPr="00B075D6" w14:paraId="7779835D" w14:textId="77777777" w:rsidTr="00672457">
        <w:trPr>
          <w:trHeight w:val="177"/>
          <w:jc w:val="center"/>
        </w:trPr>
        <w:tc>
          <w:tcPr>
            <w:tcW w:w="9263" w:type="dxa"/>
            <w:gridSpan w:val="8"/>
          </w:tcPr>
          <w:p w14:paraId="016414AB" w14:textId="77777777" w:rsidR="00AE063B" w:rsidRPr="002F39DE" w:rsidRDefault="00AE063B" w:rsidP="00672457">
            <w:pPr>
              <w:autoSpaceDE w:val="0"/>
              <w:autoSpaceDN w:val="0"/>
              <w:adjustRightInd w:val="0"/>
              <w:rPr>
                <w:color w:val="000000"/>
              </w:rPr>
            </w:pPr>
            <w:r w:rsidRPr="00B075D6">
              <w:rPr>
                <w:i/>
                <w:spacing w:val="-4"/>
                <w:sz w:val="16"/>
                <w:szCs w:val="16"/>
              </w:rPr>
              <w:t xml:space="preserve">Source: HMDA Aggregate Data 2018 and 2019     </w:t>
            </w:r>
          </w:p>
        </w:tc>
      </w:tr>
    </w:tbl>
    <w:p w14:paraId="0BB17D2D" w14:textId="77777777" w:rsidR="00AE063B" w:rsidRDefault="00AE063B" w:rsidP="00AE063B">
      <w:pPr>
        <w:autoSpaceDE w:val="0"/>
        <w:autoSpaceDN w:val="0"/>
        <w:adjustRightInd w:val="0"/>
        <w:rPr>
          <w:color w:val="000000"/>
        </w:rPr>
      </w:pPr>
    </w:p>
    <w:p w14:paraId="542328D2" w14:textId="4E91987C" w:rsidR="00CD0C28" w:rsidRDefault="00CD0C28" w:rsidP="00416B86">
      <w:pPr>
        <w:keepLines/>
        <w:ind w:right="-144"/>
        <w:rPr>
          <w:bCs/>
          <w:szCs w:val="28"/>
        </w:rPr>
      </w:pPr>
    </w:p>
    <w:p w14:paraId="56AA9C0A" w14:textId="48D5D732" w:rsidR="00CD0C28" w:rsidRDefault="00CD0C28" w:rsidP="00AE063B">
      <w:pPr>
        <w:jc w:val="center"/>
        <w:rPr>
          <w:b/>
          <w:bCs/>
          <w:sz w:val="28"/>
          <w:szCs w:val="28"/>
        </w:rPr>
      </w:pPr>
      <w:r>
        <w:rPr>
          <w:b/>
          <w:bCs/>
          <w:sz w:val="28"/>
          <w:szCs w:val="28"/>
        </w:rPr>
        <w:t>EVALUATION OF INVESTMENTS AND SERVICES</w:t>
      </w:r>
    </w:p>
    <w:p w14:paraId="3E0F9447" w14:textId="0FA2DF76" w:rsidR="00CD0C28" w:rsidRDefault="00CD0C28" w:rsidP="00AE063B">
      <w:pPr>
        <w:rPr>
          <w:b/>
          <w:bCs/>
          <w:sz w:val="28"/>
          <w:szCs w:val="28"/>
        </w:rPr>
      </w:pPr>
    </w:p>
    <w:p w14:paraId="76635ED2" w14:textId="6677BAF9" w:rsidR="00CD0C28" w:rsidRPr="00AE063B" w:rsidRDefault="00CD0C28" w:rsidP="00AE063B">
      <w:pPr>
        <w:jc w:val="both"/>
      </w:pPr>
      <w:r w:rsidRPr="00AE063B">
        <w:t>The CRA regulation for small institutions provides for the review of investments and services at the institution’s option</w:t>
      </w:r>
      <w:r w:rsidR="00222EEC" w:rsidRPr="00AE063B">
        <w:t xml:space="preserve">. </w:t>
      </w:r>
      <w:r w:rsidRPr="00AE063B">
        <w:t xml:space="preserve">Credit Union management </w:t>
      </w:r>
      <w:r w:rsidR="00FC5866" w:rsidRPr="00AE063B">
        <w:t xml:space="preserve">opted for a review of community </w:t>
      </w:r>
      <w:r w:rsidRPr="00AE063B">
        <w:t>development investments and services</w:t>
      </w:r>
      <w:r w:rsidR="00222EEC" w:rsidRPr="00AE063B">
        <w:t xml:space="preserve">. </w:t>
      </w:r>
      <w:r w:rsidRPr="00AE063B">
        <w:t>The review supports the overall CRA rating</w:t>
      </w:r>
      <w:r w:rsidR="00222EEC" w:rsidRPr="00AE063B">
        <w:t xml:space="preserve">. </w:t>
      </w:r>
      <w:r w:rsidRPr="00AE063B">
        <w:t>The Credit Union has committed time and resources to partnering with organizations in the community that meet the definition of community development and are qualified for CRA purposes.</w:t>
      </w:r>
    </w:p>
    <w:p w14:paraId="51B4BB2D" w14:textId="7003EE47" w:rsidR="00FC5866" w:rsidRPr="00AE063B" w:rsidRDefault="00FC5866" w:rsidP="00AE063B">
      <w:pPr>
        <w:jc w:val="both"/>
      </w:pPr>
    </w:p>
    <w:p w14:paraId="61D9150C" w14:textId="2FD25F4D" w:rsidR="00FC5866" w:rsidRPr="00AE063B" w:rsidRDefault="0089282C" w:rsidP="00AE063B">
      <w:pPr>
        <w:jc w:val="both"/>
        <w:rPr>
          <w:b/>
          <w:bCs/>
        </w:rPr>
      </w:pPr>
      <w:r w:rsidRPr="00AE063B">
        <w:rPr>
          <w:b/>
          <w:bCs/>
        </w:rPr>
        <w:t>Community Development Services</w:t>
      </w:r>
    </w:p>
    <w:p w14:paraId="349EE58A" w14:textId="1F130D33" w:rsidR="0089282C" w:rsidRPr="00AE063B" w:rsidRDefault="0089282C" w:rsidP="00AE063B">
      <w:pPr>
        <w:jc w:val="both"/>
        <w:rPr>
          <w:b/>
          <w:bCs/>
        </w:rPr>
      </w:pPr>
    </w:p>
    <w:p w14:paraId="2128DD78" w14:textId="40585687" w:rsidR="0089282C" w:rsidRPr="00AE063B" w:rsidRDefault="0089282C" w:rsidP="00AE063B">
      <w:pPr>
        <w:pStyle w:val="ListParagraph"/>
        <w:numPr>
          <w:ilvl w:val="0"/>
          <w:numId w:val="24"/>
        </w:numPr>
        <w:ind w:left="360"/>
        <w:jc w:val="both"/>
        <w:rPr>
          <w:rFonts w:ascii="Times New Roman" w:hAnsi="Times New Roman" w:cs="Times New Roman"/>
        </w:rPr>
      </w:pPr>
      <w:r w:rsidRPr="00AE063B">
        <w:rPr>
          <w:rFonts w:ascii="Times New Roman" w:hAnsi="Times New Roman" w:cs="Times New Roman"/>
          <w:i/>
        </w:rPr>
        <w:t>Mass Alliance for Portuguese Speakers (MAPS)</w:t>
      </w:r>
      <w:r w:rsidR="006866DF" w:rsidRPr="00AE063B">
        <w:rPr>
          <w:rFonts w:ascii="Times New Roman" w:hAnsi="Times New Roman" w:cs="Times New Roman"/>
          <w:i/>
        </w:rPr>
        <w:t xml:space="preserve"> </w:t>
      </w:r>
      <w:r w:rsidR="006866DF" w:rsidRPr="00AE063B">
        <w:rPr>
          <w:rFonts w:ascii="Times New Roman" w:hAnsi="Times New Roman" w:cs="Times New Roman"/>
        </w:rPr>
        <w:t xml:space="preserve">– </w:t>
      </w:r>
      <w:r w:rsidRPr="00AE063B">
        <w:rPr>
          <w:rFonts w:ascii="Times New Roman" w:hAnsi="Times New Roman" w:cs="Times New Roman"/>
        </w:rPr>
        <w:t>The</w:t>
      </w:r>
      <w:r w:rsidR="006866DF" w:rsidRPr="00AE063B">
        <w:rPr>
          <w:rFonts w:ascii="Times New Roman" w:hAnsi="Times New Roman" w:cs="Times New Roman"/>
        </w:rPr>
        <w:t xml:space="preserve"> </w:t>
      </w:r>
      <w:r w:rsidRPr="00AE063B">
        <w:rPr>
          <w:rFonts w:ascii="Times New Roman" w:hAnsi="Times New Roman" w:cs="Times New Roman"/>
        </w:rPr>
        <w:t>organization’s mission is to improve the lives of Portuguese-speaking individuals and families from Massachusetts</w:t>
      </w:r>
      <w:r w:rsidR="00222EEC" w:rsidRPr="00AE063B">
        <w:rPr>
          <w:rFonts w:ascii="Times New Roman" w:hAnsi="Times New Roman" w:cs="Times New Roman"/>
        </w:rPr>
        <w:t xml:space="preserve">. </w:t>
      </w:r>
      <w:r w:rsidRPr="00AE063B">
        <w:rPr>
          <w:rFonts w:ascii="Times New Roman" w:hAnsi="Times New Roman" w:cs="Times New Roman"/>
        </w:rPr>
        <w:t xml:space="preserve">The organization works with Brazilian, Cape Verdean, Portuguese and others to increase access </w:t>
      </w:r>
      <w:r w:rsidRPr="00AE063B">
        <w:rPr>
          <w:rFonts w:ascii="Times New Roman" w:hAnsi="Times New Roman" w:cs="Times New Roman"/>
        </w:rPr>
        <w:lastRenderedPageBreak/>
        <w:t>and remove barriers to health, education, social services and community development</w:t>
      </w:r>
      <w:r w:rsidR="00222EEC" w:rsidRPr="00AE063B">
        <w:rPr>
          <w:rFonts w:ascii="Times New Roman" w:hAnsi="Times New Roman" w:cs="Times New Roman"/>
        </w:rPr>
        <w:t xml:space="preserve">. </w:t>
      </w:r>
      <w:r w:rsidRPr="00AE063B">
        <w:rPr>
          <w:rFonts w:ascii="Times New Roman" w:hAnsi="Times New Roman" w:cs="Times New Roman"/>
        </w:rPr>
        <w:t>The credit union cooperates with MAPS in several initiatives:</w:t>
      </w:r>
    </w:p>
    <w:p w14:paraId="044C826B" w14:textId="44F337A3" w:rsidR="0089282C" w:rsidRPr="00AE063B" w:rsidRDefault="0089282C" w:rsidP="00AE063B">
      <w:pPr>
        <w:pStyle w:val="ListParagraph"/>
        <w:numPr>
          <w:ilvl w:val="0"/>
          <w:numId w:val="28"/>
        </w:numPr>
        <w:jc w:val="both"/>
        <w:rPr>
          <w:rFonts w:ascii="Times New Roman" w:hAnsi="Times New Roman" w:cs="Times New Roman"/>
          <w:b/>
          <w:bCs/>
        </w:rPr>
      </w:pPr>
      <w:r w:rsidRPr="00AE063B">
        <w:rPr>
          <w:rFonts w:ascii="Times New Roman" w:hAnsi="Times New Roman" w:cs="Times New Roman"/>
        </w:rPr>
        <w:t>Members of the Credit Union are eligible to take classes on English proficiency at MAPS for free</w:t>
      </w:r>
      <w:r w:rsidR="004002BD" w:rsidRPr="00AE063B">
        <w:rPr>
          <w:rFonts w:ascii="Times New Roman" w:hAnsi="Times New Roman" w:cs="Times New Roman"/>
        </w:rPr>
        <w:t xml:space="preserve">.  </w:t>
      </w:r>
    </w:p>
    <w:p w14:paraId="296D60B3" w14:textId="3E022A3F" w:rsidR="0089282C" w:rsidRPr="00AE063B" w:rsidRDefault="00BE6CFC" w:rsidP="00AE063B">
      <w:pPr>
        <w:pStyle w:val="ListParagraph"/>
        <w:numPr>
          <w:ilvl w:val="0"/>
          <w:numId w:val="28"/>
        </w:numPr>
        <w:jc w:val="both"/>
        <w:rPr>
          <w:rFonts w:ascii="Times New Roman" w:hAnsi="Times New Roman" w:cs="Times New Roman"/>
          <w:b/>
          <w:bCs/>
        </w:rPr>
      </w:pPr>
      <w:r w:rsidRPr="00AE063B">
        <w:rPr>
          <w:rFonts w:ascii="Times New Roman" w:hAnsi="Times New Roman" w:cs="Times New Roman"/>
        </w:rPr>
        <w:t>The Credit Union developed a citizenship loan program</w:t>
      </w:r>
      <w:r w:rsidR="004002BD" w:rsidRPr="00AE063B">
        <w:rPr>
          <w:rFonts w:ascii="Times New Roman" w:hAnsi="Times New Roman" w:cs="Times New Roman"/>
        </w:rPr>
        <w:t xml:space="preserve">.  </w:t>
      </w:r>
    </w:p>
    <w:p w14:paraId="38EE2C6D" w14:textId="71CCC5C3" w:rsidR="0089282C" w:rsidRPr="00AE063B" w:rsidRDefault="0089282C" w:rsidP="00AE063B">
      <w:pPr>
        <w:pStyle w:val="ListParagraph"/>
        <w:numPr>
          <w:ilvl w:val="0"/>
          <w:numId w:val="28"/>
        </w:numPr>
        <w:jc w:val="both"/>
        <w:rPr>
          <w:rFonts w:ascii="Times New Roman" w:hAnsi="Times New Roman" w:cs="Times New Roman"/>
          <w:b/>
          <w:bCs/>
        </w:rPr>
      </w:pPr>
      <w:r w:rsidRPr="00AE063B">
        <w:rPr>
          <w:rFonts w:ascii="Times New Roman" w:hAnsi="Times New Roman" w:cs="Times New Roman"/>
        </w:rPr>
        <w:t xml:space="preserve">In addition, the Credit Union has </w:t>
      </w:r>
      <w:r w:rsidR="00962152" w:rsidRPr="00AE063B">
        <w:rPr>
          <w:rFonts w:ascii="Times New Roman" w:hAnsi="Times New Roman" w:cs="Times New Roman"/>
        </w:rPr>
        <w:t>conducted</w:t>
      </w:r>
      <w:r w:rsidRPr="00AE063B">
        <w:rPr>
          <w:rFonts w:ascii="Times New Roman" w:hAnsi="Times New Roman" w:cs="Times New Roman"/>
        </w:rPr>
        <w:t xml:space="preserve"> several </w:t>
      </w:r>
      <w:r w:rsidR="00962152" w:rsidRPr="00AE063B">
        <w:rPr>
          <w:rFonts w:ascii="Times New Roman" w:hAnsi="Times New Roman" w:cs="Times New Roman"/>
        </w:rPr>
        <w:t xml:space="preserve">basic </w:t>
      </w:r>
      <w:r w:rsidR="00AF74FA" w:rsidRPr="00AE063B">
        <w:rPr>
          <w:rFonts w:ascii="Times New Roman" w:hAnsi="Times New Roman" w:cs="Times New Roman"/>
        </w:rPr>
        <w:t>home buying</w:t>
      </w:r>
      <w:r w:rsidR="00962152" w:rsidRPr="00AE063B">
        <w:rPr>
          <w:rFonts w:ascii="Times New Roman" w:hAnsi="Times New Roman" w:cs="Times New Roman"/>
        </w:rPr>
        <w:t xml:space="preserve"> seminars for employees and clients of MAPS.</w:t>
      </w:r>
    </w:p>
    <w:p w14:paraId="0AC0CB8A" w14:textId="77777777" w:rsidR="00962152" w:rsidRPr="00AE063B" w:rsidRDefault="00962152" w:rsidP="00AE063B">
      <w:pPr>
        <w:jc w:val="both"/>
        <w:rPr>
          <w:b/>
          <w:bCs/>
        </w:rPr>
      </w:pPr>
    </w:p>
    <w:p w14:paraId="79058EB5" w14:textId="0627958D" w:rsidR="00DD5EC6" w:rsidRPr="00AE063B" w:rsidRDefault="00274DF9" w:rsidP="00AE063B">
      <w:pPr>
        <w:pStyle w:val="ListParagraph"/>
        <w:keepLines/>
        <w:numPr>
          <w:ilvl w:val="0"/>
          <w:numId w:val="24"/>
        </w:numPr>
        <w:ind w:left="360"/>
        <w:jc w:val="both"/>
        <w:rPr>
          <w:rFonts w:ascii="Times New Roman" w:hAnsi="Times New Roman" w:cs="Times New Roman"/>
          <w:bCs/>
        </w:rPr>
      </w:pPr>
      <w:r w:rsidRPr="00AE063B">
        <w:rPr>
          <w:rFonts w:ascii="Times New Roman" w:hAnsi="Times New Roman" w:cs="Times New Roman"/>
          <w:bCs/>
          <w:i/>
        </w:rPr>
        <w:t xml:space="preserve">Community Cooks: </w:t>
      </w:r>
      <w:r w:rsidR="00DD5EC6" w:rsidRPr="00AE063B">
        <w:rPr>
          <w:rFonts w:ascii="Times New Roman" w:hAnsi="Times New Roman" w:cs="Times New Roman"/>
          <w:bCs/>
          <w:i/>
        </w:rPr>
        <w:t>Short</w:t>
      </w:r>
      <w:r w:rsidRPr="00AE063B">
        <w:rPr>
          <w:rFonts w:ascii="Times New Roman" w:hAnsi="Times New Roman" w:cs="Times New Roman"/>
          <w:bCs/>
          <w:i/>
        </w:rPr>
        <w:t>stop Transitional Housing</w:t>
      </w:r>
      <w:r w:rsidRPr="00AE063B">
        <w:rPr>
          <w:rFonts w:ascii="Times New Roman" w:hAnsi="Times New Roman" w:cs="Times New Roman"/>
          <w:bCs/>
        </w:rPr>
        <w:t xml:space="preserve"> – The credit union participates in the community cooks program, providing prepared meals for at risk youth in the Shortstop Transitional Housing program</w:t>
      </w:r>
      <w:r w:rsidR="00222EEC" w:rsidRPr="00AE063B">
        <w:rPr>
          <w:rFonts w:ascii="Times New Roman" w:hAnsi="Times New Roman" w:cs="Times New Roman"/>
          <w:bCs/>
        </w:rPr>
        <w:t xml:space="preserve">. </w:t>
      </w:r>
      <w:r w:rsidRPr="00AE063B">
        <w:rPr>
          <w:rFonts w:ascii="Times New Roman" w:hAnsi="Times New Roman" w:cs="Times New Roman"/>
          <w:bCs/>
        </w:rPr>
        <w:t xml:space="preserve">In </w:t>
      </w:r>
      <w:r w:rsidR="00AF74FA" w:rsidRPr="00AE063B">
        <w:rPr>
          <w:rFonts w:ascii="Times New Roman" w:hAnsi="Times New Roman" w:cs="Times New Roman"/>
          <w:bCs/>
        </w:rPr>
        <w:t>addition</w:t>
      </w:r>
      <w:r w:rsidRPr="00AE063B">
        <w:rPr>
          <w:rFonts w:ascii="Times New Roman" w:hAnsi="Times New Roman" w:cs="Times New Roman"/>
          <w:bCs/>
        </w:rPr>
        <w:t xml:space="preserve"> to providing meals, the employees use their financial expertise by providing basic financial literacy information to help the clients make wise decisions.</w:t>
      </w:r>
    </w:p>
    <w:p w14:paraId="2A315CC2" w14:textId="77777777" w:rsidR="00274DF9" w:rsidRPr="00AE063B" w:rsidRDefault="00274DF9" w:rsidP="00AE063B">
      <w:pPr>
        <w:pStyle w:val="ListParagraph"/>
        <w:keepLines/>
        <w:ind w:left="360"/>
        <w:jc w:val="both"/>
        <w:rPr>
          <w:rFonts w:ascii="Times New Roman" w:hAnsi="Times New Roman" w:cs="Times New Roman"/>
          <w:bCs/>
        </w:rPr>
      </w:pPr>
    </w:p>
    <w:p w14:paraId="38E14E59" w14:textId="7B731BEA" w:rsidR="00CD0C28" w:rsidRPr="00AE063B" w:rsidRDefault="00962152" w:rsidP="00AE063B">
      <w:pPr>
        <w:pStyle w:val="ListParagraph"/>
        <w:keepLines/>
        <w:numPr>
          <w:ilvl w:val="0"/>
          <w:numId w:val="24"/>
        </w:numPr>
        <w:ind w:left="360"/>
        <w:jc w:val="both"/>
        <w:rPr>
          <w:rFonts w:ascii="Times New Roman" w:hAnsi="Times New Roman" w:cs="Times New Roman"/>
          <w:bCs/>
        </w:rPr>
      </w:pPr>
      <w:r w:rsidRPr="00AE063B">
        <w:rPr>
          <w:rFonts w:ascii="Times New Roman" w:hAnsi="Times New Roman" w:cs="Times New Roman"/>
          <w:bCs/>
          <w:i/>
        </w:rPr>
        <w:t>Basic Banking College</w:t>
      </w:r>
      <w:r w:rsidRPr="00AE063B">
        <w:rPr>
          <w:rFonts w:ascii="Times New Roman" w:hAnsi="Times New Roman" w:cs="Times New Roman"/>
          <w:bCs/>
        </w:rPr>
        <w:t xml:space="preserve"> </w:t>
      </w:r>
      <w:r w:rsidRPr="00AE063B">
        <w:rPr>
          <w:rFonts w:ascii="Times New Roman" w:hAnsi="Times New Roman" w:cs="Times New Roman"/>
          <w:bCs/>
          <w:i/>
        </w:rPr>
        <w:t>Prep</w:t>
      </w:r>
      <w:r w:rsidRPr="00AE063B">
        <w:rPr>
          <w:rFonts w:ascii="Times New Roman" w:hAnsi="Times New Roman" w:cs="Times New Roman"/>
          <w:bCs/>
        </w:rPr>
        <w:t xml:space="preserve"> – The credit union offers a basic banking educational seminar for young people planning to attend postsecondary education</w:t>
      </w:r>
      <w:r w:rsidR="00222EEC" w:rsidRPr="00AE063B">
        <w:rPr>
          <w:rFonts w:ascii="Times New Roman" w:hAnsi="Times New Roman" w:cs="Times New Roman"/>
          <w:bCs/>
        </w:rPr>
        <w:t xml:space="preserve">. </w:t>
      </w:r>
      <w:r w:rsidRPr="00AE063B">
        <w:rPr>
          <w:rFonts w:ascii="Times New Roman" w:hAnsi="Times New Roman" w:cs="Times New Roman"/>
          <w:bCs/>
        </w:rPr>
        <w:t xml:space="preserve">The credit union has provided this education to Somerville High School, Medford Vocational School, and a local Somerville Public after </w:t>
      </w:r>
      <w:r w:rsidR="00222EEC" w:rsidRPr="00AE063B">
        <w:rPr>
          <w:rFonts w:ascii="Times New Roman" w:hAnsi="Times New Roman" w:cs="Times New Roman"/>
          <w:bCs/>
        </w:rPr>
        <w:t>school;</w:t>
      </w:r>
      <w:r w:rsidRPr="00AE063B">
        <w:rPr>
          <w:rFonts w:ascii="Times New Roman" w:hAnsi="Times New Roman" w:cs="Times New Roman"/>
          <w:bCs/>
        </w:rPr>
        <w:t xml:space="preserve"> the majority of students at these institutions qualify for free or reduced lunch.</w:t>
      </w:r>
    </w:p>
    <w:p w14:paraId="3E5FF074" w14:textId="77777777" w:rsidR="004D72F4" w:rsidRPr="00AE063B" w:rsidRDefault="004D72F4" w:rsidP="00AE063B">
      <w:pPr>
        <w:pStyle w:val="ListParagraph"/>
        <w:keepLines/>
        <w:ind w:left="360"/>
        <w:jc w:val="both"/>
        <w:rPr>
          <w:rFonts w:ascii="Times New Roman" w:hAnsi="Times New Roman" w:cs="Times New Roman"/>
          <w:bCs/>
        </w:rPr>
      </w:pPr>
    </w:p>
    <w:p w14:paraId="3488AAD9" w14:textId="03F71EDE" w:rsidR="0059405D" w:rsidRPr="00AE063B" w:rsidRDefault="0059405D" w:rsidP="00AE063B">
      <w:pPr>
        <w:pStyle w:val="ListParagraph"/>
        <w:keepLines/>
        <w:numPr>
          <w:ilvl w:val="0"/>
          <w:numId w:val="24"/>
        </w:numPr>
        <w:ind w:left="360"/>
        <w:jc w:val="both"/>
        <w:rPr>
          <w:rFonts w:ascii="Times New Roman" w:hAnsi="Times New Roman" w:cs="Times New Roman"/>
          <w:bCs/>
        </w:rPr>
      </w:pPr>
      <w:r w:rsidRPr="00AE063B">
        <w:rPr>
          <w:rFonts w:ascii="Times New Roman" w:hAnsi="Times New Roman" w:cs="Times New Roman"/>
          <w:bCs/>
          <w:i/>
        </w:rPr>
        <w:t>Mutual Aid Medford and Somerville (MAMAS)</w:t>
      </w:r>
      <w:r w:rsidRPr="00AE063B">
        <w:rPr>
          <w:rFonts w:ascii="Times New Roman" w:hAnsi="Times New Roman" w:cs="Times New Roman"/>
          <w:bCs/>
        </w:rPr>
        <w:t xml:space="preserve"> </w:t>
      </w:r>
      <w:r w:rsidR="007B5A7C" w:rsidRPr="00AE063B">
        <w:rPr>
          <w:rFonts w:ascii="Times New Roman" w:hAnsi="Times New Roman" w:cs="Times New Roman"/>
          <w:bCs/>
        </w:rPr>
        <w:t>–</w:t>
      </w:r>
      <w:r w:rsidRPr="00AE063B">
        <w:rPr>
          <w:rFonts w:ascii="Times New Roman" w:hAnsi="Times New Roman" w:cs="Times New Roman"/>
          <w:bCs/>
        </w:rPr>
        <w:t xml:space="preserve"> </w:t>
      </w:r>
      <w:r w:rsidR="007B5A7C" w:rsidRPr="00AE063B">
        <w:rPr>
          <w:rFonts w:ascii="Times New Roman" w:hAnsi="Times New Roman" w:cs="Times New Roman"/>
          <w:bCs/>
        </w:rPr>
        <w:t>This organization facilitates resources for Somerville and Medford Neighborhoods</w:t>
      </w:r>
      <w:r w:rsidR="00222EEC" w:rsidRPr="00AE063B">
        <w:rPr>
          <w:rFonts w:ascii="Times New Roman" w:hAnsi="Times New Roman" w:cs="Times New Roman"/>
          <w:bCs/>
        </w:rPr>
        <w:t xml:space="preserve">. </w:t>
      </w:r>
      <w:r w:rsidR="007B5A7C" w:rsidRPr="00AE063B">
        <w:rPr>
          <w:rFonts w:ascii="Times New Roman" w:hAnsi="Times New Roman" w:cs="Times New Roman"/>
          <w:bCs/>
        </w:rPr>
        <w:t>A board member for the credit union acts as a point person for the Union Square Neighborhood, coordinating initiatives including food access, housing resources, and financial aid.</w:t>
      </w:r>
    </w:p>
    <w:p w14:paraId="3818EB74" w14:textId="77777777" w:rsidR="004D72F4" w:rsidRPr="00AE063B" w:rsidRDefault="004D72F4" w:rsidP="00AE063B">
      <w:pPr>
        <w:pStyle w:val="ListParagraph"/>
        <w:keepLines/>
        <w:ind w:left="360"/>
        <w:jc w:val="both"/>
        <w:rPr>
          <w:rFonts w:ascii="Times New Roman" w:hAnsi="Times New Roman" w:cs="Times New Roman"/>
          <w:bCs/>
        </w:rPr>
      </w:pPr>
    </w:p>
    <w:p w14:paraId="41996353" w14:textId="682DCB63" w:rsidR="007B5A7C" w:rsidRPr="00AE063B" w:rsidRDefault="007B5A7C" w:rsidP="00AE063B">
      <w:pPr>
        <w:pStyle w:val="ListParagraph"/>
        <w:keepLines/>
        <w:numPr>
          <w:ilvl w:val="0"/>
          <w:numId w:val="24"/>
        </w:numPr>
        <w:ind w:left="360"/>
        <w:jc w:val="both"/>
        <w:rPr>
          <w:rFonts w:ascii="Times New Roman" w:hAnsi="Times New Roman" w:cs="Times New Roman"/>
          <w:bCs/>
        </w:rPr>
      </w:pPr>
      <w:r w:rsidRPr="00AE063B">
        <w:rPr>
          <w:rFonts w:ascii="Times New Roman" w:hAnsi="Times New Roman" w:cs="Times New Roman"/>
          <w:bCs/>
          <w:i/>
        </w:rPr>
        <w:t>East Cambridge Business Association</w:t>
      </w:r>
      <w:r w:rsidRPr="00AE063B">
        <w:rPr>
          <w:rFonts w:ascii="Times New Roman" w:hAnsi="Times New Roman" w:cs="Times New Roman"/>
          <w:bCs/>
        </w:rPr>
        <w:t xml:space="preserve"> – The association provides technical assistance for small busines</w:t>
      </w:r>
      <w:r w:rsidR="0005605D" w:rsidRPr="00AE063B">
        <w:rPr>
          <w:rFonts w:ascii="Times New Roman" w:hAnsi="Times New Roman" w:cs="Times New Roman"/>
          <w:bCs/>
        </w:rPr>
        <w:t>ses in the area</w:t>
      </w:r>
      <w:r w:rsidR="00222EEC" w:rsidRPr="00AE063B">
        <w:rPr>
          <w:rFonts w:ascii="Times New Roman" w:hAnsi="Times New Roman" w:cs="Times New Roman"/>
          <w:bCs/>
        </w:rPr>
        <w:t xml:space="preserve">. </w:t>
      </w:r>
      <w:r w:rsidR="0005605D" w:rsidRPr="00AE063B">
        <w:rPr>
          <w:rFonts w:ascii="Times New Roman" w:hAnsi="Times New Roman" w:cs="Times New Roman"/>
          <w:bCs/>
        </w:rPr>
        <w:t xml:space="preserve">The secretary of the credit union board </w:t>
      </w:r>
      <w:r w:rsidRPr="00AE063B">
        <w:rPr>
          <w:rFonts w:ascii="Times New Roman" w:hAnsi="Times New Roman" w:cs="Times New Roman"/>
          <w:bCs/>
        </w:rPr>
        <w:t>acts as a board member for this organization.</w:t>
      </w:r>
    </w:p>
    <w:p w14:paraId="63E19697" w14:textId="77777777" w:rsidR="004D72F4" w:rsidRPr="00AE063B" w:rsidRDefault="004D72F4" w:rsidP="00AE063B">
      <w:pPr>
        <w:pStyle w:val="ListParagraph"/>
        <w:keepLines/>
        <w:ind w:left="360"/>
        <w:jc w:val="both"/>
        <w:rPr>
          <w:rFonts w:ascii="Times New Roman" w:hAnsi="Times New Roman" w:cs="Times New Roman"/>
          <w:bCs/>
        </w:rPr>
      </w:pPr>
    </w:p>
    <w:p w14:paraId="294D3876" w14:textId="4DABF1BD" w:rsidR="0030741E" w:rsidRPr="00AE063B" w:rsidRDefault="0099182D" w:rsidP="00AE063B">
      <w:pPr>
        <w:pStyle w:val="ListParagraph"/>
        <w:keepLines/>
        <w:numPr>
          <w:ilvl w:val="0"/>
          <w:numId w:val="24"/>
        </w:numPr>
        <w:ind w:left="360"/>
        <w:jc w:val="both"/>
        <w:rPr>
          <w:rFonts w:ascii="Times New Roman" w:hAnsi="Times New Roman" w:cs="Times New Roman"/>
          <w:bCs/>
        </w:rPr>
      </w:pPr>
      <w:r w:rsidRPr="00AE063B">
        <w:rPr>
          <w:rFonts w:ascii="Times New Roman" w:hAnsi="Times New Roman" w:cs="Times New Roman"/>
          <w:bCs/>
          <w:i/>
        </w:rPr>
        <w:t>Branch Utilization</w:t>
      </w:r>
      <w:r w:rsidRPr="00AE063B">
        <w:rPr>
          <w:rFonts w:ascii="Times New Roman" w:hAnsi="Times New Roman" w:cs="Times New Roman"/>
          <w:bCs/>
        </w:rPr>
        <w:t xml:space="preserve"> – The credit union uses its branches and retail network to host and fundraise charitable initiatives</w:t>
      </w:r>
      <w:r w:rsidR="00222EEC" w:rsidRPr="00AE063B">
        <w:rPr>
          <w:rFonts w:ascii="Times New Roman" w:hAnsi="Times New Roman" w:cs="Times New Roman"/>
          <w:bCs/>
        </w:rPr>
        <w:t xml:space="preserve">. </w:t>
      </w:r>
      <w:r w:rsidRPr="00AE063B">
        <w:rPr>
          <w:rFonts w:ascii="Times New Roman" w:hAnsi="Times New Roman" w:cs="Times New Roman"/>
          <w:bCs/>
        </w:rPr>
        <w:t>The recent efforts that qualify for community development include:</w:t>
      </w:r>
    </w:p>
    <w:p w14:paraId="01813CE2" w14:textId="7C12313F" w:rsidR="0099182D" w:rsidRPr="00AE063B" w:rsidRDefault="0099182D" w:rsidP="00AE063B">
      <w:pPr>
        <w:pStyle w:val="ListParagraph"/>
        <w:keepLines/>
        <w:numPr>
          <w:ilvl w:val="0"/>
          <w:numId w:val="29"/>
        </w:numPr>
        <w:jc w:val="both"/>
        <w:rPr>
          <w:rFonts w:ascii="Times New Roman" w:hAnsi="Times New Roman" w:cs="Times New Roman"/>
          <w:bCs/>
        </w:rPr>
      </w:pPr>
      <w:r w:rsidRPr="00AE063B">
        <w:rPr>
          <w:rFonts w:ascii="Times New Roman" w:hAnsi="Times New Roman" w:cs="Times New Roman"/>
          <w:bCs/>
        </w:rPr>
        <w:t>Kiwanis Club of Somerville “</w:t>
      </w:r>
      <w:r w:rsidR="00BD3A99" w:rsidRPr="00AE063B">
        <w:rPr>
          <w:rFonts w:ascii="Times New Roman" w:hAnsi="Times New Roman" w:cs="Times New Roman"/>
          <w:bCs/>
        </w:rPr>
        <w:t>Back to School” supply drive</w:t>
      </w:r>
    </w:p>
    <w:p w14:paraId="4AAAE18F" w14:textId="5526DC7E" w:rsidR="00BD3A99" w:rsidRPr="00AE063B" w:rsidRDefault="00BD3A99" w:rsidP="00AE063B">
      <w:pPr>
        <w:pStyle w:val="ListParagraph"/>
        <w:keepLines/>
        <w:numPr>
          <w:ilvl w:val="0"/>
          <w:numId w:val="29"/>
        </w:numPr>
        <w:jc w:val="both"/>
        <w:rPr>
          <w:rFonts w:ascii="Times New Roman" w:hAnsi="Times New Roman" w:cs="Times New Roman"/>
          <w:bCs/>
        </w:rPr>
      </w:pPr>
      <w:r w:rsidRPr="00AE063B">
        <w:rPr>
          <w:rFonts w:ascii="Times New Roman" w:hAnsi="Times New Roman" w:cs="Times New Roman"/>
          <w:bCs/>
        </w:rPr>
        <w:t>Massachusetts Coalition for the Homeless “A Bed for Every Child” fundraiser</w:t>
      </w:r>
    </w:p>
    <w:p w14:paraId="4EE5BD31" w14:textId="2571DF9B" w:rsidR="00BD3A99" w:rsidRPr="00AE063B" w:rsidRDefault="00BD3A99" w:rsidP="00AE063B">
      <w:pPr>
        <w:pStyle w:val="ListParagraph"/>
        <w:keepLines/>
        <w:numPr>
          <w:ilvl w:val="0"/>
          <w:numId w:val="29"/>
        </w:numPr>
        <w:jc w:val="both"/>
        <w:rPr>
          <w:rFonts w:ascii="Times New Roman" w:hAnsi="Times New Roman" w:cs="Times New Roman"/>
          <w:bCs/>
        </w:rPr>
      </w:pPr>
      <w:r w:rsidRPr="00AE063B">
        <w:rPr>
          <w:rFonts w:ascii="Times New Roman" w:hAnsi="Times New Roman" w:cs="Times New Roman"/>
          <w:bCs/>
        </w:rPr>
        <w:t>Local food, clothing, blanket, and book drives to benefit homeless shelters.</w:t>
      </w:r>
    </w:p>
    <w:p w14:paraId="1C9BFF06" w14:textId="77777777" w:rsidR="0005605D" w:rsidRPr="00AE063B" w:rsidRDefault="0005605D" w:rsidP="00AE063B">
      <w:pPr>
        <w:keepLines/>
        <w:jc w:val="both"/>
        <w:rPr>
          <w:bCs/>
        </w:rPr>
      </w:pPr>
    </w:p>
    <w:p w14:paraId="332C712D" w14:textId="7AED1049" w:rsidR="00CD0C28" w:rsidRPr="00AE063B" w:rsidRDefault="00AA0CF1" w:rsidP="00AE063B">
      <w:pPr>
        <w:keepLines/>
        <w:jc w:val="both"/>
        <w:rPr>
          <w:b/>
          <w:bCs/>
        </w:rPr>
      </w:pPr>
      <w:r w:rsidRPr="00AE063B">
        <w:rPr>
          <w:b/>
          <w:bCs/>
        </w:rPr>
        <w:t>Community Development Investments</w:t>
      </w:r>
    </w:p>
    <w:p w14:paraId="7396B70E" w14:textId="3DD4A377" w:rsidR="00AA0CF1" w:rsidRPr="00AE063B" w:rsidRDefault="00AA0CF1" w:rsidP="00AE063B">
      <w:pPr>
        <w:keepLines/>
        <w:jc w:val="both"/>
        <w:rPr>
          <w:bCs/>
        </w:rPr>
      </w:pPr>
    </w:p>
    <w:p w14:paraId="4B1E83F9" w14:textId="71F40566" w:rsidR="00CD0C28" w:rsidRPr="00AE063B" w:rsidRDefault="004D72F4" w:rsidP="00AE063B">
      <w:pPr>
        <w:keepLines/>
        <w:jc w:val="both"/>
      </w:pPr>
      <w:r w:rsidRPr="00AE063B">
        <w:t>A qualified investment for the purposes of this CRA evaluation is a lawful investment deposit, membership share or grant that has community development as its primary purpose</w:t>
      </w:r>
      <w:r w:rsidR="00222EEC" w:rsidRPr="00AE063B">
        <w:t xml:space="preserve">. </w:t>
      </w:r>
      <w:r w:rsidRPr="00AE063B">
        <w:t xml:space="preserve">During the examination </w:t>
      </w:r>
      <w:r w:rsidR="00222EEC" w:rsidRPr="00AE063B">
        <w:t>timeframe,</w:t>
      </w:r>
      <w:r w:rsidRPr="00AE063B">
        <w:t xml:space="preserve"> the Credit Union granted </w:t>
      </w:r>
      <w:r w:rsidR="00D40F30" w:rsidRPr="00AE063B">
        <w:t>$77</w:t>
      </w:r>
      <w:r w:rsidR="00574A6D" w:rsidRPr="00AE063B">
        <w:t>,092</w:t>
      </w:r>
      <w:r w:rsidRPr="00AE063B">
        <w:t xml:space="preserve"> in donations granted to CRA qualified organizations as community development</w:t>
      </w:r>
      <w:r w:rsidR="00222EEC" w:rsidRPr="00AE063B">
        <w:t xml:space="preserve">. </w:t>
      </w:r>
      <w:r w:rsidRPr="00AE063B">
        <w:t>The organizations are highlighted below:</w:t>
      </w:r>
    </w:p>
    <w:p w14:paraId="26B496FD" w14:textId="38571511" w:rsidR="00D40F30" w:rsidRPr="00AE063B" w:rsidRDefault="00D40F30" w:rsidP="00AE063B">
      <w:pPr>
        <w:keepLines/>
        <w:jc w:val="both"/>
      </w:pPr>
    </w:p>
    <w:p w14:paraId="2629D7C5" w14:textId="31C18232" w:rsidR="004D72F4" w:rsidRPr="00AE063B" w:rsidRDefault="00D40F30" w:rsidP="00AE063B">
      <w:pPr>
        <w:pStyle w:val="ListParagraph"/>
        <w:keepLines/>
        <w:numPr>
          <w:ilvl w:val="0"/>
          <w:numId w:val="26"/>
        </w:numPr>
        <w:spacing w:after="240"/>
        <w:ind w:left="360"/>
        <w:jc w:val="both"/>
        <w:rPr>
          <w:rFonts w:ascii="Times New Roman" w:hAnsi="Times New Roman" w:cs="Times New Roman"/>
        </w:rPr>
      </w:pPr>
      <w:r w:rsidRPr="00AE063B">
        <w:rPr>
          <w:rFonts w:ascii="Times New Roman" w:hAnsi="Times New Roman" w:cs="Times New Roman"/>
          <w:i/>
        </w:rPr>
        <w:t xml:space="preserve">Mass Alliance for Portuguese Speakers (MAPS) – </w:t>
      </w:r>
      <w:r w:rsidRPr="00AE063B">
        <w:rPr>
          <w:rFonts w:ascii="Times New Roman" w:hAnsi="Times New Roman" w:cs="Times New Roman"/>
        </w:rPr>
        <w:t>The organization provides social service support for first generation immigrants, which correlate to low- and moderate-income populations</w:t>
      </w:r>
      <w:r w:rsidR="00222EEC" w:rsidRPr="00AE063B">
        <w:rPr>
          <w:rFonts w:ascii="Times New Roman" w:hAnsi="Times New Roman" w:cs="Times New Roman"/>
        </w:rPr>
        <w:t xml:space="preserve">. </w:t>
      </w:r>
      <w:r w:rsidRPr="00AE063B">
        <w:rPr>
          <w:rFonts w:ascii="Times New Roman" w:hAnsi="Times New Roman" w:cs="Times New Roman"/>
        </w:rPr>
        <w:t>The credit union provided multiple donations to this organization</w:t>
      </w:r>
      <w:r w:rsidR="00C450A7" w:rsidRPr="00AE063B">
        <w:rPr>
          <w:rFonts w:ascii="Times New Roman" w:hAnsi="Times New Roman" w:cs="Times New Roman"/>
        </w:rPr>
        <w:t xml:space="preserve"> during the evaluation period.</w:t>
      </w:r>
    </w:p>
    <w:p w14:paraId="35CBE9DC" w14:textId="0C319031" w:rsidR="00C450A7" w:rsidRPr="00AE063B" w:rsidRDefault="00C660DC" w:rsidP="00AE063B">
      <w:pPr>
        <w:pStyle w:val="ListParagraph"/>
        <w:keepLines/>
        <w:numPr>
          <w:ilvl w:val="0"/>
          <w:numId w:val="26"/>
        </w:numPr>
        <w:spacing w:after="240"/>
        <w:ind w:left="360"/>
        <w:jc w:val="both"/>
        <w:rPr>
          <w:rFonts w:ascii="Times New Roman" w:hAnsi="Times New Roman" w:cs="Times New Roman"/>
        </w:rPr>
      </w:pPr>
      <w:r w:rsidRPr="00AE063B">
        <w:rPr>
          <w:rFonts w:ascii="Times New Roman" w:hAnsi="Times New Roman" w:cs="Times New Roman"/>
          <w:i/>
        </w:rPr>
        <w:lastRenderedPageBreak/>
        <w:t>East Cambridge Business Association</w:t>
      </w:r>
      <w:r w:rsidRPr="00AE063B">
        <w:rPr>
          <w:rFonts w:ascii="Times New Roman" w:hAnsi="Times New Roman" w:cs="Times New Roman"/>
        </w:rPr>
        <w:t xml:space="preserve"> – The organization supports the economic development of small businesses in a low-income area</w:t>
      </w:r>
      <w:r w:rsidR="00222EEC" w:rsidRPr="00AE063B">
        <w:rPr>
          <w:rFonts w:ascii="Times New Roman" w:hAnsi="Times New Roman" w:cs="Times New Roman"/>
        </w:rPr>
        <w:t xml:space="preserve">. </w:t>
      </w:r>
      <w:r w:rsidRPr="00AE063B">
        <w:rPr>
          <w:rFonts w:ascii="Times New Roman" w:hAnsi="Times New Roman" w:cs="Times New Roman"/>
        </w:rPr>
        <w:t>The credit union provided donations to support the association</w:t>
      </w:r>
      <w:r w:rsidR="00896343" w:rsidRPr="00AE063B">
        <w:rPr>
          <w:rFonts w:ascii="Times New Roman" w:hAnsi="Times New Roman" w:cs="Times New Roman"/>
        </w:rPr>
        <w:t>’</w:t>
      </w:r>
      <w:r w:rsidRPr="00AE063B">
        <w:rPr>
          <w:rFonts w:ascii="Times New Roman" w:hAnsi="Times New Roman" w:cs="Times New Roman"/>
        </w:rPr>
        <w:t>s economic development efforts.</w:t>
      </w:r>
    </w:p>
    <w:p w14:paraId="68241D37" w14:textId="1A099E5D" w:rsidR="00C660DC" w:rsidRPr="00AE063B" w:rsidRDefault="00146620" w:rsidP="00AE063B">
      <w:pPr>
        <w:pStyle w:val="ListParagraph"/>
        <w:keepLines/>
        <w:numPr>
          <w:ilvl w:val="0"/>
          <w:numId w:val="26"/>
        </w:numPr>
        <w:spacing w:after="240"/>
        <w:ind w:left="360"/>
        <w:jc w:val="both"/>
        <w:rPr>
          <w:rFonts w:ascii="Times New Roman" w:hAnsi="Times New Roman" w:cs="Times New Roman"/>
        </w:rPr>
      </w:pPr>
      <w:r w:rsidRPr="00AE063B">
        <w:rPr>
          <w:rFonts w:ascii="Times New Roman" w:hAnsi="Times New Roman" w:cs="Times New Roman"/>
          <w:i/>
        </w:rPr>
        <w:t>Community Cooks</w:t>
      </w:r>
      <w:r w:rsidRPr="00AE063B">
        <w:rPr>
          <w:rFonts w:ascii="Times New Roman" w:hAnsi="Times New Roman" w:cs="Times New Roman"/>
        </w:rPr>
        <w:t xml:space="preserve"> – This organization is a food assistance program based in Somerville</w:t>
      </w:r>
      <w:r w:rsidR="00222EEC" w:rsidRPr="00AE063B">
        <w:rPr>
          <w:rFonts w:ascii="Times New Roman" w:hAnsi="Times New Roman" w:cs="Times New Roman"/>
        </w:rPr>
        <w:t xml:space="preserve">. </w:t>
      </w:r>
      <w:r w:rsidRPr="00AE063B">
        <w:rPr>
          <w:rFonts w:ascii="Times New Roman" w:hAnsi="Times New Roman" w:cs="Times New Roman"/>
        </w:rPr>
        <w:t xml:space="preserve">The organization mobilizes volunteers from </w:t>
      </w:r>
      <w:r w:rsidR="00222EEC" w:rsidRPr="00AE063B">
        <w:rPr>
          <w:rFonts w:ascii="Times New Roman" w:hAnsi="Times New Roman" w:cs="Times New Roman"/>
        </w:rPr>
        <w:t>faith-based</w:t>
      </w:r>
      <w:r w:rsidRPr="00AE063B">
        <w:rPr>
          <w:rFonts w:ascii="Times New Roman" w:hAnsi="Times New Roman" w:cs="Times New Roman"/>
        </w:rPr>
        <w:t xml:space="preserve"> groups, businesses and individuals to provide meals to vulnerable neighbors from human service agencies</w:t>
      </w:r>
      <w:r w:rsidR="00222EEC" w:rsidRPr="00AE063B">
        <w:rPr>
          <w:rFonts w:ascii="Times New Roman" w:hAnsi="Times New Roman" w:cs="Times New Roman"/>
        </w:rPr>
        <w:t xml:space="preserve">. </w:t>
      </w:r>
      <w:r w:rsidRPr="00AE063B">
        <w:rPr>
          <w:rFonts w:ascii="Times New Roman" w:hAnsi="Times New Roman" w:cs="Times New Roman"/>
        </w:rPr>
        <w:t>The credit union has provided multiple donations to this organization during the evaluation period.</w:t>
      </w:r>
    </w:p>
    <w:p w14:paraId="12BDFE03" w14:textId="1C79D793" w:rsidR="00146620" w:rsidRPr="00AE063B" w:rsidRDefault="00146620" w:rsidP="00AE063B">
      <w:pPr>
        <w:pStyle w:val="ListParagraph"/>
        <w:keepLines/>
        <w:numPr>
          <w:ilvl w:val="0"/>
          <w:numId w:val="26"/>
        </w:numPr>
        <w:spacing w:after="240"/>
        <w:ind w:left="360"/>
        <w:jc w:val="both"/>
        <w:rPr>
          <w:rFonts w:ascii="Times New Roman" w:hAnsi="Times New Roman" w:cs="Times New Roman"/>
        </w:rPr>
      </w:pPr>
      <w:r w:rsidRPr="00AE063B">
        <w:rPr>
          <w:rFonts w:ascii="Times New Roman" w:hAnsi="Times New Roman" w:cs="Times New Roman"/>
          <w:i/>
        </w:rPr>
        <w:t>Somerville Homeless Coalition</w:t>
      </w:r>
      <w:r w:rsidRPr="00AE063B">
        <w:rPr>
          <w:rFonts w:ascii="Times New Roman" w:hAnsi="Times New Roman" w:cs="Times New Roman"/>
        </w:rPr>
        <w:t xml:space="preserve"> – This program provides shelter and housing assistance for individuals in need</w:t>
      </w:r>
      <w:r w:rsidR="00222EEC" w:rsidRPr="00AE063B">
        <w:rPr>
          <w:rFonts w:ascii="Times New Roman" w:hAnsi="Times New Roman" w:cs="Times New Roman"/>
        </w:rPr>
        <w:t xml:space="preserve">. </w:t>
      </w:r>
      <w:r w:rsidRPr="00AE063B">
        <w:rPr>
          <w:rFonts w:ascii="Times New Roman" w:hAnsi="Times New Roman" w:cs="Times New Roman"/>
        </w:rPr>
        <w:t>The credit union provided donation support to this organization.</w:t>
      </w:r>
    </w:p>
    <w:p w14:paraId="3C42C27B" w14:textId="3D71143B" w:rsidR="00146620" w:rsidRPr="00AE063B" w:rsidRDefault="000E0990" w:rsidP="00AE063B">
      <w:pPr>
        <w:pStyle w:val="ListParagraph"/>
        <w:keepLines/>
        <w:numPr>
          <w:ilvl w:val="0"/>
          <w:numId w:val="26"/>
        </w:numPr>
        <w:spacing w:after="240"/>
        <w:ind w:left="360"/>
        <w:jc w:val="both"/>
        <w:rPr>
          <w:rFonts w:ascii="Times New Roman" w:hAnsi="Times New Roman" w:cs="Times New Roman"/>
        </w:rPr>
      </w:pPr>
      <w:r w:rsidRPr="00AE063B">
        <w:rPr>
          <w:rFonts w:ascii="Times New Roman" w:hAnsi="Times New Roman" w:cs="Times New Roman"/>
          <w:i/>
        </w:rPr>
        <w:t xml:space="preserve">A Bed For Every Child </w:t>
      </w:r>
      <w:r w:rsidRPr="00AE063B">
        <w:rPr>
          <w:rFonts w:ascii="Times New Roman" w:hAnsi="Times New Roman" w:cs="Times New Roman"/>
        </w:rPr>
        <w:t>– This program was created by advocates from the Massachusetts Coalition for the Homeless</w:t>
      </w:r>
      <w:r w:rsidR="00222EEC" w:rsidRPr="00AE063B">
        <w:rPr>
          <w:rFonts w:ascii="Times New Roman" w:hAnsi="Times New Roman" w:cs="Times New Roman"/>
        </w:rPr>
        <w:t xml:space="preserve">. </w:t>
      </w:r>
      <w:r w:rsidR="00A059DE" w:rsidRPr="00AE063B">
        <w:rPr>
          <w:rFonts w:ascii="Times New Roman" w:hAnsi="Times New Roman" w:cs="Times New Roman"/>
        </w:rPr>
        <w:t>The mission is to aid families living in poverty that may not have a bed</w:t>
      </w:r>
      <w:r w:rsidR="00222EEC" w:rsidRPr="00AE063B">
        <w:rPr>
          <w:rFonts w:ascii="Times New Roman" w:hAnsi="Times New Roman" w:cs="Times New Roman"/>
        </w:rPr>
        <w:t xml:space="preserve">. </w:t>
      </w:r>
      <w:r w:rsidR="00A059DE" w:rsidRPr="00AE063B">
        <w:rPr>
          <w:rFonts w:ascii="Times New Roman" w:hAnsi="Times New Roman" w:cs="Times New Roman"/>
        </w:rPr>
        <w:t xml:space="preserve">The Cooperative Credit Union Association has partnered with this initiative, and </w:t>
      </w:r>
      <w:r w:rsidR="00CB5DFE" w:rsidRPr="00AE063B">
        <w:rPr>
          <w:rFonts w:ascii="Times New Roman" w:hAnsi="Times New Roman" w:cs="Times New Roman"/>
        </w:rPr>
        <w:t>the credit union</w:t>
      </w:r>
      <w:r w:rsidR="00A059DE" w:rsidRPr="00AE063B">
        <w:rPr>
          <w:rFonts w:ascii="Times New Roman" w:hAnsi="Times New Roman" w:cs="Times New Roman"/>
        </w:rPr>
        <w:t xml:space="preserve"> has made multiple donations during the evaluation period.</w:t>
      </w:r>
    </w:p>
    <w:p w14:paraId="4C6E12F2" w14:textId="2BB4C6C8" w:rsidR="00574497" w:rsidRPr="00AE063B" w:rsidRDefault="00574497" w:rsidP="00AE063B">
      <w:pPr>
        <w:pStyle w:val="ListParagraph"/>
        <w:keepLines/>
        <w:numPr>
          <w:ilvl w:val="0"/>
          <w:numId w:val="26"/>
        </w:numPr>
        <w:spacing w:after="240"/>
        <w:ind w:left="360"/>
        <w:jc w:val="both"/>
        <w:rPr>
          <w:rFonts w:ascii="Times New Roman" w:hAnsi="Times New Roman" w:cs="Times New Roman"/>
        </w:rPr>
      </w:pPr>
      <w:r w:rsidRPr="00AE063B">
        <w:rPr>
          <w:rFonts w:ascii="Times New Roman" w:hAnsi="Times New Roman" w:cs="Times New Roman"/>
          <w:i/>
        </w:rPr>
        <w:t>Union Square Main Streets</w:t>
      </w:r>
      <w:r w:rsidRPr="00AE063B">
        <w:rPr>
          <w:rFonts w:ascii="Times New Roman" w:hAnsi="Times New Roman" w:cs="Times New Roman"/>
        </w:rPr>
        <w:t xml:space="preserve"> – This business association aims to assist local businesses in a moderate-income community in Somerville</w:t>
      </w:r>
      <w:r w:rsidR="00222EEC" w:rsidRPr="00AE063B">
        <w:rPr>
          <w:rFonts w:ascii="Times New Roman" w:hAnsi="Times New Roman" w:cs="Times New Roman"/>
        </w:rPr>
        <w:t xml:space="preserve">. </w:t>
      </w:r>
      <w:r w:rsidR="00625EA9" w:rsidRPr="00AE063B">
        <w:rPr>
          <w:rFonts w:ascii="Times New Roman" w:hAnsi="Times New Roman" w:cs="Times New Roman"/>
        </w:rPr>
        <w:t xml:space="preserve">The economic development initiatives are supported by </w:t>
      </w:r>
      <w:r w:rsidR="00CB5DFE" w:rsidRPr="00AE063B">
        <w:rPr>
          <w:rFonts w:ascii="Times New Roman" w:hAnsi="Times New Roman" w:cs="Times New Roman"/>
        </w:rPr>
        <w:t>the credit union</w:t>
      </w:r>
      <w:r w:rsidR="00625EA9" w:rsidRPr="00AE063B">
        <w:rPr>
          <w:rFonts w:ascii="Times New Roman" w:hAnsi="Times New Roman" w:cs="Times New Roman"/>
        </w:rPr>
        <w:t xml:space="preserve"> through multiple donations.</w:t>
      </w:r>
    </w:p>
    <w:p w14:paraId="6B7A599D" w14:textId="77777777" w:rsidR="004D72F4" w:rsidRDefault="004D72F4" w:rsidP="00AE063B">
      <w:pPr>
        <w:keepLines/>
        <w:spacing w:after="240"/>
        <w:rPr>
          <w:bCs/>
          <w:szCs w:val="28"/>
        </w:rPr>
      </w:pPr>
    </w:p>
    <w:p w14:paraId="41993C5A" w14:textId="0BD96AFC" w:rsidR="0052422E" w:rsidRDefault="0052422E" w:rsidP="00AE063B">
      <w:pPr>
        <w:keepLines/>
        <w:spacing w:after="240"/>
        <w:rPr>
          <w:bCs/>
          <w:szCs w:val="28"/>
        </w:rPr>
      </w:pPr>
    </w:p>
    <w:p w14:paraId="2EE9FF18" w14:textId="1FF02BAC" w:rsidR="0052422E" w:rsidRDefault="0052422E" w:rsidP="00AE063B">
      <w:pPr>
        <w:keepLines/>
        <w:spacing w:after="240"/>
        <w:rPr>
          <w:bCs/>
          <w:szCs w:val="28"/>
        </w:rPr>
      </w:pPr>
    </w:p>
    <w:p w14:paraId="5BC826E5" w14:textId="496091A5" w:rsidR="0052422E" w:rsidRDefault="0052422E" w:rsidP="00AE063B">
      <w:pPr>
        <w:keepLines/>
        <w:spacing w:after="240"/>
        <w:rPr>
          <w:bCs/>
          <w:szCs w:val="28"/>
        </w:rPr>
      </w:pPr>
    </w:p>
    <w:p w14:paraId="18C04488" w14:textId="75FCEE1D" w:rsidR="0052422E" w:rsidRDefault="0052422E" w:rsidP="00AE063B">
      <w:pPr>
        <w:keepLines/>
        <w:spacing w:after="240"/>
        <w:rPr>
          <w:bCs/>
          <w:szCs w:val="28"/>
        </w:rPr>
      </w:pPr>
    </w:p>
    <w:p w14:paraId="0347C6B9" w14:textId="33450B72" w:rsidR="0052422E" w:rsidRDefault="0052422E" w:rsidP="00AE063B">
      <w:pPr>
        <w:keepLines/>
        <w:spacing w:after="240"/>
        <w:rPr>
          <w:b/>
          <w:bCs/>
          <w:sz w:val="28"/>
          <w:szCs w:val="28"/>
        </w:rPr>
      </w:pPr>
    </w:p>
    <w:p w14:paraId="7AD4E003" w14:textId="0C682464" w:rsidR="00AC5DE1" w:rsidRDefault="00AC5DE1" w:rsidP="00AE063B">
      <w:pPr>
        <w:keepLines/>
        <w:rPr>
          <w:b/>
          <w:bCs/>
          <w:sz w:val="28"/>
          <w:szCs w:val="28"/>
        </w:rPr>
      </w:pPr>
    </w:p>
    <w:p w14:paraId="1248BA37" w14:textId="6B670EC4" w:rsidR="00AC5DE1" w:rsidRDefault="00AC5DE1" w:rsidP="00AE063B">
      <w:pPr>
        <w:keepLines/>
        <w:rPr>
          <w:b/>
          <w:bCs/>
          <w:sz w:val="28"/>
          <w:szCs w:val="28"/>
        </w:rPr>
      </w:pPr>
    </w:p>
    <w:p w14:paraId="6BAE5376" w14:textId="21540D9E" w:rsidR="00AC5DE1" w:rsidRDefault="00AC5DE1" w:rsidP="00AE063B">
      <w:pPr>
        <w:keepLines/>
        <w:rPr>
          <w:b/>
          <w:bCs/>
          <w:sz w:val="28"/>
          <w:szCs w:val="28"/>
        </w:rPr>
      </w:pPr>
    </w:p>
    <w:p w14:paraId="309B2976" w14:textId="040E02E0" w:rsidR="00AC5DE1" w:rsidRDefault="00AC5DE1" w:rsidP="00AE063B">
      <w:pPr>
        <w:keepLines/>
        <w:rPr>
          <w:b/>
          <w:bCs/>
          <w:sz w:val="28"/>
          <w:szCs w:val="28"/>
        </w:rPr>
      </w:pPr>
    </w:p>
    <w:p w14:paraId="28910752" w14:textId="65AC4A9F" w:rsidR="00AC5DE1" w:rsidRDefault="00AC5DE1" w:rsidP="00AE063B">
      <w:pPr>
        <w:keepLines/>
        <w:rPr>
          <w:b/>
          <w:bCs/>
          <w:sz w:val="28"/>
          <w:szCs w:val="28"/>
        </w:rPr>
      </w:pPr>
    </w:p>
    <w:p w14:paraId="1DB7AA5A" w14:textId="51E12F86" w:rsidR="00AC5DE1" w:rsidRDefault="00AC5DE1" w:rsidP="00AE063B">
      <w:pPr>
        <w:keepLines/>
        <w:rPr>
          <w:b/>
          <w:bCs/>
          <w:sz w:val="28"/>
          <w:szCs w:val="28"/>
        </w:rPr>
      </w:pPr>
    </w:p>
    <w:p w14:paraId="46E9050A" w14:textId="5DFA2FCA" w:rsidR="00AC5DE1" w:rsidRDefault="00AC5DE1" w:rsidP="00AE063B">
      <w:pPr>
        <w:keepLines/>
        <w:rPr>
          <w:b/>
          <w:bCs/>
          <w:sz w:val="28"/>
          <w:szCs w:val="28"/>
        </w:rPr>
      </w:pPr>
    </w:p>
    <w:p w14:paraId="62084F4B" w14:textId="77777777" w:rsidR="00AC5DE1" w:rsidRPr="00734607" w:rsidRDefault="00AC5DE1" w:rsidP="00AE063B">
      <w:pPr>
        <w:keepLines/>
        <w:rPr>
          <w:b/>
          <w:bCs/>
          <w:sz w:val="28"/>
          <w:szCs w:val="28"/>
        </w:rPr>
      </w:pPr>
    </w:p>
    <w:p w14:paraId="79C8D05A" w14:textId="77777777" w:rsidR="00AE063B" w:rsidRDefault="00AE063B">
      <w:pPr>
        <w:spacing w:after="160" w:line="259" w:lineRule="auto"/>
        <w:rPr>
          <w:b/>
          <w:bCs/>
          <w:sz w:val="28"/>
          <w:szCs w:val="28"/>
        </w:rPr>
      </w:pPr>
      <w:r>
        <w:rPr>
          <w:b/>
          <w:bCs/>
          <w:sz w:val="28"/>
          <w:szCs w:val="28"/>
        </w:rPr>
        <w:br w:type="page"/>
      </w:r>
    </w:p>
    <w:p w14:paraId="1BAF4887" w14:textId="48F4FE33" w:rsidR="003912CC" w:rsidRPr="00B16491" w:rsidRDefault="003912CC" w:rsidP="00AE063B">
      <w:pPr>
        <w:jc w:val="center"/>
        <w:rPr>
          <w:b/>
          <w:bCs/>
          <w:sz w:val="28"/>
          <w:szCs w:val="28"/>
        </w:rPr>
      </w:pPr>
      <w:r w:rsidRPr="00B16491">
        <w:rPr>
          <w:b/>
          <w:bCs/>
          <w:sz w:val="28"/>
          <w:szCs w:val="28"/>
        </w:rPr>
        <w:lastRenderedPageBreak/>
        <w:t>GLOSSARY</w:t>
      </w:r>
    </w:p>
    <w:p w14:paraId="2E7E1638" w14:textId="77777777" w:rsidR="003912CC" w:rsidRPr="00B16491" w:rsidRDefault="003912CC" w:rsidP="00AE063B">
      <w:pPr>
        <w:rPr>
          <w:b/>
          <w:bCs/>
        </w:rPr>
      </w:pPr>
    </w:p>
    <w:p w14:paraId="36273E82" w14:textId="77777777" w:rsidR="003912CC" w:rsidRPr="00B16491" w:rsidRDefault="003912CC" w:rsidP="00AE063B">
      <w:pPr>
        <w:jc w:val="both"/>
      </w:pPr>
      <w:r w:rsidRPr="00B16491">
        <w:rPr>
          <w:b/>
          <w:bCs/>
        </w:rPr>
        <w:t>Aggregate Lending:</w:t>
      </w:r>
      <w:r w:rsidRPr="00B16491">
        <w:t xml:space="preserve">  The number of loans originated and purchased by all reporting lenders in specified income categories as a percentage of the aggregate number of loans originated and purchased by all reporting lenders in the metropolitan area/assessment area.</w:t>
      </w:r>
    </w:p>
    <w:p w14:paraId="1A95C4BD" w14:textId="77777777" w:rsidR="003912CC" w:rsidRPr="00B16491" w:rsidRDefault="003912CC" w:rsidP="00AE063B">
      <w:pPr>
        <w:jc w:val="both"/>
        <w:rPr>
          <w:b/>
          <w:bCs/>
        </w:rPr>
      </w:pPr>
    </w:p>
    <w:p w14:paraId="7EA95362" w14:textId="77777777" w:rsidR="003912CC" w:rsidRPr="00B16491" w:rsidRDefault="003912CC" w:rsidP="00AE063B">
      <w:pPr>
        <w:jc w:val="both"/>
        <w:rPr>
          <w:i/>
          <w:iCs/>
        </w:rPr>
      </w:pPr>
      <w:r w:rsidRPr="00B16491">
        <w:rPr>
          <w:b/>
          <w:bCs/>
        </w:rPr>
        <w:t xml:space="preserve">Area Median Income:  </w:t>
      </w:r>
      <w:r w:rsidRPr="00B16491">
        <w:t>The median family income for the MSA, if a person or geography is located in an MSA; or the statewide nonmetropolitan median family income, if a person or geography is located outside an MSA</w:t>
      </w:r>
      <w:r w:rsidRPr="00B16491">
        <w:rPr>
          <w:i/>
          <w:iCs/>
        </w:rPr>
        <w:t>.</w:t>
      </w:r>
    </w:p>
    <w:p w14:paraId="40F0D6CE" w14:textId="77777777" w:rsidR="003912CC" w:rsidRPr="00B16491" w:rsidRDefault="003912CC" w:rsidP="00AE063B">
      <w:pPr>
        <w:jc w:val="both"/>
        <w:rPr>
          <w:b/>
          <w:bCs/>
        </w:rPr>
      </w:pPr>
    </w:p>
    <w:p w14:paraId="726D6E94" w14:textId="77777777" w:rsidR="003912CC" w:rsidRPr="00B16491" w:rsidRDefault="003912CC" w:rsidP="00AE063B">
      <w:pPr>
        <w:jc w:val="both"/>
      </w:pPr>
      <w:r w:rsidRPr="00B16491">
        <w:rPr>
          <w:b/>
          <w:bCs/>
        </w:rPr>
        <w:t>Assessment Area:</w:t>
      </w:r>
      <w:r w:rsidRPr="00B16491">
        <w:t xml:space="preserve">  A geographic area delineated by the institution under the requirements of the Community Reinvestment Act.</w:t>
      </w:r>
    </w:p>
    <w:p w14:paraId="6B382A7C" w14:textId="77777777" w:rsidR="003912CC" w:rsidRPr="00B16491" w:rsidRDefault="003912CC" w:rsidP="00AE063B">
      <w:pPr>
        <w:jc w:val="both"/>
        <w:rPr>
          <w:b/>
          <w:bCs/>
        </w:rPr>
      </w:pPr>
    </w:p>
    <w:p w14:paraId="64C2C7AA" w14:textId="64191D0D" w:rsidR="003912CC" w:rsidRPr="00B16491" w:rsidRDefault="003912CC" w:rsidP="00AE063B">
      <w:pPr>
        <w:jc w:val="both"/>
      </w:pPr>
      <w:r w:rsidRPr="00B16491">
        <w:rPr>
          <w:b/>
          <w:bCs/>
        </w:rPr>
        <w:t xml:space="preserve">Census Tract:  </w:t>
      </w:r>
      <w:r w:rsidRPr="00B16491">
        <w:t>A small, relatively permanent statistical subdivision of a county or equivalent entity</w:t>
      </w:r>
      <w:r w:rsidR="004002BD">
        <w:t xml:space="preserve">.  </w:t>
      </w:r>
      <w:r w:rsidRPr="00B16491">
        <w:t>The primary purpose of census tracts is to provide a stable set of geographic units for the presentation of statistical data</w:t>
      </w:r>
      <w:r w:rsidR="004002BD">
        <w:t xml:space="preserve">.  </w:t>
      </w:r>
      <w:r w:rsidRPr="00B16491">
        <w:t>Census tracts generally have a population size between 1,200 and 8,000 people, with an optimum size of 4,000 people</w:t>
      </w:r>
      <w:r w:rsidR="004002BD">
        <w:t xml:space="preserve">.  </w:t>
      </w:r>
      <w:r w:rsidRPr="00B16491">
        <w:t>Census tract boundaries generally follow visible and identifiable features, but they may follow nonvisible legal boundaries in some instances</w:t>
      </w:r>
      <w:r w:rsidR="004002BD">
        <w:t xml:space="preserve">.  </w:t>
      </w:r>
      <w:r w:rsidRPr="00B16491">
        <w:t>State and county boundaries always are census tract boundaries</w:t>
      </w:r>
      <w:r w:rsidR="004002BD">
        <w:t xml:space="preserve">.  </w:t>
      </w:r>
    </w:p>
    <w:p w14:paraId="1F729EE6" w14:textId="77777777" w:rsidR="003912CC" w:rsidRPr="00B16491" w:rsidRDefault="003912CC" w:rsidP="00AE063B">
      <w:pPr>
        <w:jc w:val="both"/>
        <w:rPr>
          <w:b/>
          <w:bCs/>
        </w:rPr>
      </w:pPr>
    </w:p>
    <w:p w14:paraId="0B46A4BD" w14:textId="67A05ED6" w:rsidR="003912CC" w:rsidRPr="00B16491" w:rsidRDefault="003912CC" w:rsidP="00AE063B">
      <w:pPr>
        <w:widowControl w:val="0"/>
        <w:jc w:val="both"/>
      </w:pPr>
      <w:r w:rsidRPr="00B16491">
        <w:rPr>
          <w:b/>
          <w:bCs/>
        </w:rPr>
        <w:t xml:space="preserve">Combined Statistical Area (CSA):  </w:t>
      </w:r>
      <w:r w:rsidRPr="00B16491">
        <w:t>A combination of several adjacent metropolitan statistical areas or micropolitan statistical areas or a mix of the two, which are linked by economic ties</w:t>
      </w:r>
      <w:r w:rsidR="004002BD">
        <w:t xml:space="preserve">.  </w:t>
      </w:r>
    </w:p>
    <w:p w14:paraId="302AAF91" w14:textId="77777777" w:rsidR="003912CC" w:rsidRPr="00B16491" w:rsidRDefault="003912CC" w:rsidP="00AE063B">
      <w:pPr>
        <w:jc w:val="both"/>
      </w:pPr>
    </w:p>
    <w:p w14:paraId="709E1D66" w14:textId="7257626C" w:rsidR="003912CC" w:rsidRPr="00B16491" w:rsidRDefault="003912CC" w:rsidP="00AE063B">
      <w:pPr>
        <w:jc w:val="both"/>
        <w:rPr>
          <w:b/>
          <w:bCs/>
        </w:rPr>
      </w:pPr>
      <w:r w:rsidRPr="00B16491">
        <w:rPr>
          <w:b/>
          <w:bCs/>
        </w:rPr>
        <w:t xml:space="preserve">Consumer Loan(s):  </w:t>
      </w:r>
      <w:r w:rsidRPr="00B16491">
        <w:t>A loan(s) to one or more individuals for household, family, or other personal expenditures</w:t>
      </w:r>
      <w:r w:rsidR="004002BD">
        <w:t xml:space="preserve">.  </w:t>
      </w:r>
      <w:r w:rsidRPr="00B16491">
        <w:t>A consumer loan does not include a home mortgage, small business, or small farm loan</w:t>
      </w:r>
      <w:r w:rsidR="004002BD">
        <w:t xml:space="preserve">.  </w:t>
      </w:r>
      <w:r w:rsidRPr="00B16491">
        <w:t>This definition includes the following categories: motor vehicle loans, credit card loans, home equity loans, other secured consumer loans, and other unsecured consumer loans.</w:t>
      </w:r>
    </w:p>
    <w:p w14:paraId="7CDAB615" w14:textId="77777777" w:rsidR="003912CC" w:rsidRPr="00B16491" w:rsidRDefault="003912CC" w:rsidP="00AE063B">
      <w:pPr>
        <w:pStyle w:val="HTMLPreformatted"/>
        <w:jc w:val="both"/>
        <w:rPr>
          <w:rFonts w:ascii="Times New Roman" w:hAnsi="Times New Roman"/>
          <w:sz w:val="24"/>
          <w:szCs w:val="24"/>
        </w:rPr>
      </w:pPr>
    </w:p>
    <w:p w14:paraId="6D883059" w14:textId="557BA808"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Core Based Statistical Area (CBSA):  </w:t>
      </w:r>
      <w:r w:rsidRPr="00B16491">
        <w:t>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w:t>
      </w:r>
      <w:r w:rsidR="004002BD">
        <w:t xml:space="preserve">.  </w:t>
      </w:r>
      <w:r w:rsidRPr="00B16491">
        <w:t>Metropolitan and Micropolitan Statistical Areas are the two categories of CBSAs</w:t>
      </w:r>
      <w:r w:rsidR="004002BD">
        <w:t xml:space="preserve">.  </w:t>
      </w:r>
    </w:p>
    <w:p w14:paraId="1CB3B5C1" w14:textId="77777777" w:rsidR="003912CC" w:rsidRPr="00B16491" w:rsidRDefault="003912CC" w:rsidP="00AE063B">
      <w:pPr>
        <w:pStyle w:val="HTMLPreformatted"/>
        <w:jc w:val="both"/>
        <w:rPr>
          <w:rFonts w:ascii="Times New Roman" w:hAnsi="Times New Roman"/>
          <w:sz w:val="24"/>
          <w:szCs w:val="24"/>
        </w:rPr>
      </w:pPr>
    </w:p>
    <w:p w14:paraId="3550647C" w14:textId="7B072A74"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Family:</w:t>
      </w:r>
      <w:r w:rsidRPr="00B16491">
        <w:t xml:space="preserve">  Includes a householder and one or more other persons living in the same household who are related to the householder by birth, marriage, or adoption</w:t>
      </w:r>
      <w:r w:rsidR="004002BD">
        <w:t xml:space="preserve">.  </w:t>
      </w:r>
      <w:r w:rsidRPr="00B16491">
        <w:t>The number of family households always equals the number of families; however, a family household may also include non-relatives living with the family</w:t>
      </w:r>
      <w:r w:rsidR="004002BD">
        <w:t xml:space="preserve">.  </w:t>
      </w:r>
      <w:r w:rsidRPr="00B16491">
        <w:t>Families are classified by type as either a married-couple family or other family</w:t>
      </w:r>
      <w:r w:rsidR="004002BD">
        <w:t xml:space="preserve">.  </w:t>
      </w:r>
      <w:r w:rsidRPr="00B16491">
        <w:t>Other family is further classified into “male householder” (a family with a male householder and no wife present) or “female householder” (a family with a female householder and no husband present).</w:t>
      </w:r>
    </w:p>
    <w:p w14:paraId="682BCBCD"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3660BE"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Family Income:</w:t>
      </w:r>
      <w:r w:rsidRPr="00B16491">
        <w:t xml:space="preserve">  Includes the income of all members of a family that are age 15 and older.</w:t>
      </w:r>
    </w:p>
    <w:p w14:paraId="082A6119"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CDBAA29" w14:textId="2EC2079E"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FFIEC-Estimated Income Data:  </w:t>
      </w:r>
      <w:r w:rsidRPr="00B16491">
        <w:t xml:space="preserve">The Federal Financial Institutions Examination Council (FFIEC) issues annual estimates which update median family income from the metropolitan and </w:t>
      </w:r>
      <w:r w:rsidRPr="00B16491">
        <w:lastRenderedPageBreak/>
        <w:t>nonmetropolitan areas</w:t>
      </w:r>
      <w:r w:rsidR="004002BD">
        <w:t xml:space="preserve">.  </w:t>
      </w:r>
      <w:r w:rsidRPr="00B16491">
        <w:t>The FFIEC uses American Community Survey data and factors in information from other sources to arrive at an annual estimate that more closely reflects current economic conditions.</w:t>
      </w:r>
    </w:p>
    <w:p w14:paraId="721BDBEE"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12F06" w14:textId="1171A523"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Full-Scope Review:  </w:t>
      </w:r>
      <w:r w:rsidRPr="00B16491">
        <w:t>A full-scope review is accomplished when examiners complete all applicable interagency examination procedures for an assessment area</w:t>
      </w:r>
      <w:r w:rsidR="004002BD">
        <w:t xml:space="preserve">.  </w:t>
      </w:r>
      <w:r w:rsidRPr="00B16491">
        <w:t>Performance under applicable tests is analyzed considering performance context, quantitative factors (for example, geographic distribution, borrower profile, and total number and dollar amount of investments), and qualitative factors (for example, innovativeness, complexity, and responsiveness).</w:t>
      </w:r>
    </w:p>
    <w:p w14:paraId="4105D2DE"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7778C0" w14:textId="50D2667A"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6491">
        <w:rPr>
          <w:b/>
          <w:bCs/>
        </w:rPr>
        <w:t xml:space="preserve">Geography:  </w:t>
      </w:r>
      <w:r w:rsidRPr="00B16491">
        <w:t>A census tract delineated by the United States Bureau of the Census in the most recent decennial census</w:t>
      </w:r>
      <w:r w:rsidR="004002BD">
        <w:t xml:space="preserve">.  </w:t>
      </w:r>
      <w:r w:rsidRPr="00B16491">
        <w:br/>
      </w:r>
    </w:p>
    <w:p w14:paraId="5D601904" w14:textId="7B35EC4F"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Home Mortgage Disclosure Act (HMDA):  </w:t>
      </w:r>
      <w:r w:rsidRPr="00B16491">
        <w:t>The statute that requires certain mortgage lenders that do business or have banking offices in a metropolitan statistical area to file annual summary reports of their mortgage lending activity</w:t>
      </w:r>
      <w:r w:rsidR="004002BD">
        <w:t xml:space="preserve">.  </w:t>
      </w:r>
      <w:r w:rsidRPr="00B16491">
        <w:t>The reports include such data as the race, gender, and the income of applicants; the amount of loan requested; and the disposition of the application (approved, denied, and withdrawn).</w:t>
      </w:r>
    </w:p>
    <w:p w14:paraId="4AACA24B"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BDAEA0A"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Home Mortgage Disclosure Loan Application Register (HMDA LAR):</w:t>
      </w:r>
      <w:r w:rsidRPr="00B16491">
        <w:t xml:space="preserve">  The HMDA LARs record all applications received for residential purchase, refinance, home improvement, and temporary-to-permanent construction loans.</w:t>
      </w:r>
    </w:p>
    <w:p w14:paraId="785176D1"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48336C" w14:textId="4496CD90" w:rsidR="003912CC" w:rsidRPr="00B16491" w:rsidRDefault="003912CC" w:rsidP="00AE063B">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16491">
        <w:rPr>
          <w:rFonts w:ascii="Times New Roman" w:hAnsi="Times New Roman"/>
          <w:b/>
          <w:sz w:val="24"/>
          <w:szCs w:val="24"/>
        </w:rPr>
        <w:t>Home Mortgage Loans:</w:t>
      </w:r>
      <w:r w:rsidRPr="00B16491">
        <w:rPr>
          <w:rFonts w:ascii="Times New Roman" w:hAnsi="Times New Roman"/>
          <w:sz w:val="24"/>
          <w:szCs w:val="24"/>
        </w:rPr>
        <w:t xml:space="preserve">  Includes home purchase and home improvement loans as defined in the HMDA regulation</w:t>
      </w:r>
      <w:r w:rsidR="004002BD">
        <w:rPr>
          <w:rFonts w:ascii="Times New Roman" w:hAnsi="Times New Roman"/>
          <w:sz w:val="24"/>
          <w:szCs w:val="24"/>
        </w:rPr>
        <w:t xml:space="preserve">.  </w:t>
      </w:r>
      <w:r w:rsidRPr="00B16491">
        <w:rPr>
          <w:rFonts w:ascii="Times New Roman" w:hAnsi="Times New Roman"/>
          <w:sz w:val="24"/>
          <w:szCs w:val="24"/>
        </w:rPr>
        <w:t xml:space="preserve">This definition also includes multi-family (five or more families) dwelling loans, loans to purchase manufactured homes, and </w:t>
      </w:r>
      <w:r w:rsidR="000961FE" w:rsidRPr="00B16491">
        <w:rPr>
          <w:rFonts w:ascii="Times New Roman" w:hAnsi="Times New Roman"/>
          <w:sz w:val="24"/>
          <w:szCs w:val="24"/>
        </w:rPr>
        <w:t>refinancing</w:t>
      </w:r>
      <w:r w:rsidRPr="00B16491">
        <w:rPr>
          <w:rFonts w:ascii="Times New Roman" w:hAnsi="Times New Roman"/>
          <w:sz w:val="24"/>
          <w:szCs w:val="24"/>
        </w:rPr>
        <w:t xml:space="preserve"> of home improvement and home purchase loans.</w:t>
      </w:r>
    </w:p>
    <w:p w14:paraId="34E9AE0C" w14:textId="77777777" w:rsidR="003912CC" w:rsidRPr="00B16491" w:rsidRDefault="003912CC" w:rsidP="00AE063B">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p>
    <w:p w14:paraId="03C6C6D9" w14:textId="2A58E729"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Household:</w:t>
      </w:r>
      <w:r w:rsidRPr="00B16491">
        <w:t xml:space="preserve">  Includes all persons occupying a housing unit</w:t>
      </w:r>
      <w:r w:rsidR="004002BD">
        <w:t xml:space="preserve">.  </w:t>
      </w:r>
      <w:r w:rsidRPr="00B16491">
        <w:t>Persons not living in households are classified as living in group quarters</w:t>
      </w:r>
      <w:r w:rsidR="004002BD">
        <w:t xml:space="preserve">.  </w:t>
      </w:r>
      <w:r w:rsidRPr="00B16491">
        <w:t>In 100 percent tabulations, the count of households always equals the count of occupied housing units.</w:t>
      </w:r>
    </w:p>
    <w:p w14:paraId="7BC7270E"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2323514" w14:textId="7C865533"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Household Income:</w:t>
      </w:r>
      <w:r w:rsidRPr="00B16491">
        <w:t xml:space="preserve">  Includes the income of the householder and all other persons that are age 15 and older in the household, whether related to the householder or not</w:t>
      </w:r>
      <w:r w:rsidR="004002BD">
        <w:t xml:space="preserve">.  </w:t>
      </w:r>
      <w:r w:rsidRPr="00B16491">
        <w:t>Because many households are only one person, median household income is usually less than median family income.</w:t>
      </w:r>
    </w:p>
    <w:p w14:paraId="7B2B16CE"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16D52C"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Housing Unit:  </w:t>
      </w:r>
      <w:r w:rsidRPr="00B16491">
        <w:t>Includes a house, an apartment, a mobile home, a group of rooms, or a single room that is occupied as separate living quarters.</w:t>
      </w:r>
    </w:p>
    <w:p w14:paraId="69FCC808"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192CCF3" w14:textId="60007FAE"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Limited-Scope Review:  </w:t>
      </w:r>
      <w:r w:rsidRPr="00B16491">
        <w:t>A limited scope review is accomplished when examiners do not complete all applicable interagency examination procedures for an assessment area</w:t>
      </w:r>
      <w:r w:rsidR="004002BD">
        <w:t xml:space="preserve">.  </w:t>
      </w:r>
    </w:p>
    <w:p w14:paraId="17CD4B4A"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t>Performance under applicable tests is often analyzed using only quantitative factors (for example, geographic distribution, borrower profile, total number and dollar amount of investments, and branch distribution).</w:t>
      </w:r>
    </w:p>
    <w:p w14:paraId="39CE1486" w14:textId="41D78E3E"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Low-Income:  </w:t>
      </w:r>
      <w:r w:rsidRPr="00B16491">
        <w:t>Individual income that is less than 50 percent of the area median income, or a median family income that is less than 50 percent in the case of a geography</w:t>
      </w:r>
      <w:r w:rsidR="004002BD">
        <w:t xml:space="preserve">.  </w:t>
      </w:r>
    </w:p>
    <w:p w14:paraId="31F62CD3"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C2273D1"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lastRenderedPageBreak/>
        <w:t xml:space="preserve">Market Share:  </w:t>
      </w:r>
      <w:r w:rsidRPr="00B16491">
        <w:t>The number of loans originated and purchased by the institution as a percentage of the aggregate number of loans originated and purchased by all reporting lenders in the metropolitan area/assessment area.</w:t>
      </w:r>
    </w:p>
    <w:p w14:paraId="60C1F89C"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C6B50CB"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Median Income:  </w:t>
      </w:r>
      <w:r w:rsidRPr="00B16491">
        <w:t>The median income divides the income distribution into two equal parts, one having incomes above the median and other having incomes below the median.</w:t>
      </w:r>
    </w:p>
    <w:p w14:paraId="0C07203D"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86C893F" w14:textId="32647671"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Metropolitan Division (MD):  </w:t>
      </w:r>
      <w:r w:rsidRPr="00B16491">
        <w:t>A county or group of counties within a CBSA that contain(s) an urbanized area with a population of at least 2.5 million</w:t>
      </w:r>
      <w:r w:rsidR="004002BD">
        <w:t xml:space="preserve">.  </w:t>
      </w:r>
      <w:r w:rsidRPr="00B16491">
        <w:t>A MD is one or more main/secondary counties representing an employment center or centers, plus adjacent counties associated with the main/secondary county or counties through commuting ties</w:t>
      </w:r>
      <w:r w:rsidR="004002BD">
        <w:t xml:space="preserve">.  </w:t>
      </w:r>
    </w:p>
    <w:p w14:paraId="46D9FB7F"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3920729" w14:textId="7E388344"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Metropolitan Statistical Area (MSA):  </w:t>
      </w:r>
      <w:r w:rsidRPr="00B16491">
        <w:t>CBSA associated with at least one urbanized area having a population of at least 50,000</w:t>
      </w:r>
      <w:r w:rsidR="004002BD">
        <w:t xml:space="preserve">.  </w:t>
      </w:r>
      <w:r w:rsidRPr="00B16491">
        <w:t>The MSA comprises the central county or counties or equivalent entities containing the core, plus adjacent outlying counties having a high degree of social and economic integration with the central county or counties as measured through commuting</w:t>
      </w:r>
      <w:r w:rsidR="004002BD">
        <w:t xml:space="preserve">.  </w:t>
      </w:r>
    </w:p>
    <w:p w14:paraId="04298970"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88A437C"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Micropolitan Statistical Area:  </w:t>
      </w:r>
      <w:r w:rsidRPr="00B16491">
        <w:t>CBSA associated with at least one urbanized area having a population of at least 10,000, but less than 50,000.</w:t>
      </w:r>
    </w:p>
    <w:p w14:paraId="7B4BD5EB"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75A8B76"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Middle-Income:  </w:t>
      </w:r>
      <w:r w:rsidRPr="00B16491">
        <w:t>Individual income that is at least 80 percent and less than 120 percent of the area median income, or a median family income that is at least 80 and less than 120 percent in the case of a geography.</w:t>
      </w:r>
    </w:p>
    <w:p w14:paraId="57A507B5"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1257C6C"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6491">
        <w:rPr>
          <w:b/>
          <w:bCs/>
        </w:rPr>
        <w:t>Moderate-Income:</w:t>
      </w:r>
      <w:r w:rsidRPr="00B16491">
        <w:t xml:space="preserve">  Individual income that is at least 50 percent and less than 80 percent of the area median income, or a median family income that is at least 50 and less than 80 percent in the case of a geography.</w:t>
      </w:r>
    </w:p>
    <w:p w14:paraId="46233AFD"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09ACA36"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Multi-family:  </w:t>
      </w:r>
      <w:r w:rsidRPr="00B16491">
        <w:t>Refers to</w:t>
      </w:r>
      <w:r w:rsidRPr="00B16491">
        <w:rPr>
          <w:b/>
          <w:bCs/>
        </w:rPr>
        <w:t xml:space="preserve"> </w:t>
      </w:r>
      <w:r w:rsidRPr="00B16491">
        <w:t>a residential structure that contains five or more units.</w:t>
      </w:r>
    </w:p>
    <w:p w14:paraId="5D4C4C56"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3196D76" w14:textId="11567D7A"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Nonmetropolitan Area:</w:t>
      </w:r>
      <w:r w:rsidRPr="00B16491">
        <w:t xml:space="preserve">  All areas outside of metropolitan areas</w:t>
      </w:r>
      <w:r w:rsidR="004002BD">
        <w:t xml:space="preserve">.  </w:t>
      </w:r>
      <w:r w:rsidRPr="00B16491">
        <w:t>The definition of nonmetropolitan area is not consistent with the definition of rural areas</w:t>
      </w:r>
      <w:r w:rsidR="004002BD">
        <w:t xml:space="preserve">.  </w:t>
      </w:r>
      <w:r w:rsidRPr="00B16491">
        <w:t>Urban and rural classifications cut across the other hierarchies</w:t>
      </w:r>
      <w:r w:rsidR="004002BD">
        <w:t xml:space="preserve">.  </w:t>
      </w:r>
      <w:r w:rsidRPr="00B16491">
        <w:t>For example, there is generally urban and rural territory within metropolitan and nonmetropolitan areas.</w:t>
      </w:r>
    </w:p>
    <w:p w14:paraId="11892921"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5FB819F"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Owner-Occupied Units:</w:t>
      </w:r>
      <w:r w:rsidRPr="00B16491">
        <w:t xml:space="preserve">  Includes units occupied by the owner or co-owner, even if the unit has not been fully paid for or is mortgaged.</w:t>
      </w:r>
    </w:p>
    <w:p w14:paraId="2CA8982A"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AE25035" w14:textId="5DF18938"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val="0"/>
        </w:rPr>
      </w:pPr>
      <w:r w:rsidRPr="00B16491">
        <w:rPr>
          <w:b/>
          <w:bCs/>
        </w:rPr>
        <w:t>Rated Area:</w:t>
      </w:r>
      <w:r w:rsidRPr="00B16491">
        <w:t xml:space="preserve">  </w:t>
      </w:r>
      <w:r w:rsidRPr="00B16491">
        <w:rPr>
          <w:snapToGrid w:val="0"/>
        </w:rPr>
        <w:t>A rated area is a state or multistate metropolitan area</w:t>
      </w:r>
      <w:r w:rsidR="004002BD">
        <w:rPr>
          <w:snapToGrid w:val="0"/>
        </w:rPr>
        <w:t xml:space="preserve">.  </w:t>
      </w:r>
      <w:r w:rsidRPr="00B16491">
        <w:rPr>
          <w:snapToGrid w:val="0"/>
        </w:rPr>
        <w:t>For an institution with domestic branches in only one state, the institution’s CRA rating would be the state rating</w:t>
      </w:r>
      <w:r w:rsidR="004002BD">
        <w:rPr>
          <w:snapToGrid w:val="0"/>
        </w:rPr>
        <w:t xml:space="preserve">.  </w:t>
      </w:r>
      <w:r w:rsidRPr="00B16491">
        <w:rPr>
          <w:snapToGrid w:val="0"/>
        </w:rPr>
        <w:t>If an institution maintains domestic branches in more than one state, the institution will receive a rating for each state in which those branches are located</w:t>
      </w:r>
      <w:r w:rsidR="004002BD">
        <w:rPr>
          <w:snapToGrid w:val="0"/>
        </w:rPr>
        <w:t xml:space="preserve">.  </w:t>
      </w:r>
      <w:r w:rsidRPr="00B16491">
        <w:rPr>
          <w:snapToGrid w:val="0"/>
        </w:rPr>
        <w:t>If an institution maintains domestic branches in two or more states within a multistate metropolitan area, the institution will receive a rating for the multistate metropolitan area</w:t>
      </w:r>
      <w:r w:rsidR="004002BD">
        <w:rPr>
          <w:snapToGrid w:val="0"/>
        </w:rPr>
        <w:t xml:space="preserve">.  </w:t>
      </w:r>
    </w:p>
    <w:p w14:paraId="372BF000"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A2F54F"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Rural Area:</w:t>
      </w:r>
      <w:r w:rsidRPr="00B16491">
        <w:t xml:space="preserve">  Territories, populations, and housing units that are not classified as urban.</w:t>
      </w:r>
    </w:p>
    <w:p w14:paraId="25A9B237"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26ABA3" w14:textId="6766C113"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Small Business Loan:</w:t>
      </w:r>
      <w:r w:rsidRPr="00B16491">
        <w:t xml:space="preserve">  A loan included in “loans to small businesses” as defined in the Consolidated Report of Condition and Income (Call Report)</w:t>
      </w:r>
      <w:r w:rsidR="004002BD">
        <w:t xml:space="preserve">.  </w:t>
      </w:r>
      <w:r w:rsidRPr="00B16491">
        <w:t>These loans have original amounts of $1 million or less and are either secured by nonfarm nonresidential properties or are classified as commercial and industrial loans.</w:t>
      </w:r>
    </w:p>
    <w:p w14:paraId="38938D3E"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F9E5546" w14:textId="53C34C09"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 xml:space="preserve">Small Farm Loan:  </w:t>
      </w:r>
      <w:r w:rsidRPr="00B16491">
        <w:t>A loan included in “loans to small farms” as defined in the instructions for preparation of the Consolidated Report of Condition and Income (Call Report)</w:t>
      </w:r>
      <w:r w:rsidR="004002BD">
        <w:t xml:space="preserve">.  </w:t>
      </w:r>
      <w:r w:rsidRPr="00B16491">
        <w:t>These loans have original amounts of $500,000 or less and are either secured by farmland, including farm residential and other improvements, or are classified as loans to finance agricultural production and other loans to farmers.</w:t>
      </w:r>
    </w:p>
    <w:p w14:paraId="483A186D"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7C7D7B3" w14:textId="30C2C7EA"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Underserved Middle-Income Nonmetropolitan Geographies:</w:t>
      </w:r>
      <w:r w:rsidRPr="00B16491">
        <w:t xml:space="preserve">  A nonmetropolitan middle-income geography will be designated as underserved if it meets criteria for population size, density, and dispersion indicating the area’s population is sufficiently small, thin, and distant from a population center that the tract is likely to have difficulty financing the fixed costs of meeting essential community needs</w:t>
      </w:r>
      <w:r w:rsidR="004002BD">
        <w:t xml:space="preserve">.  </w:t>
      </w:r>
    </w:p>
    <w:p w14:paraId="48AAE084"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E7416C5" w14:textId="2821CC62"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Upper-Income:</w:t>
      </w:r>
      <w:r w:rsidRPr="00B16491">
        <w:t xml:space="preserve">  Individual income that is 120 percent or more of the area median income, or a median family income that is 120 percent or more in the case of a geography</w:t>
      </w:r>
      <w:r w:rsidR="004002BD">
        <w:t xml:space="preserve">.  </w:t>
      </w:r>
    </w:p>
    <w:p w14:paraId="269A7635"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EB5A5A6" w14:textId="2BBDA4DB"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rPr>
          <w:b/>
          <w:bCs/>
        </w:rPr>
        <w:t>Urban</w:t>
      </w:r>
      <w:r w:rsidRPr="00B16491">
        <w:t xml:space="preserve"> </w:t>
      </w:r>
      <w:r w:rsidRPr="00B16491">
        <w:rPr>
          <w:b/>
          <w:bCs/>
        </w:rPr>
        <w:t xml:space="preserve">Area:  </w:t>
      </w:r>
      <w:r w:rsidRPr="00B16491">
        <w:t>All territories, populations, and housing units in urbanized areas and in places of 2,500 or more persons outside urbanized areas</w:t>
      </w:r>
      <w:r w:rsidR="004002BD">
        <w:t xml:space="preserve">.  </w:t>
      </w:r>
      <w:r w:rsidRPr="00B16491">
        <w:t>More specifically, “urban” consists of territory, persons, and housing units in places of 2,500 or more persons incorporated as cities, villages, boroughs (except in Alaska and New York), and towns (except in the New England states, New York, and Wisconsin)</w:t>
      </w:r>
      <w:r w:rsidR="004002BD">
        <w:t xml:space="preserve">.  </w:t>
      </w:r>
    </w:p>
    <w:p w14:paraId="69A09556"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08E01BF"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6491">
        <w:t>“Urban” excludes the rural portions of “extended cities”; census designated place of 2,500 or more persons; and other territory, incorporated or unincorporated, including in urbanized areas.</w:t>
      </w:r>
    </w:p>
    <w:p w14:paraId="72E5DFBD"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7C55051" w14:textId="77777777" w:rsidR="003912CC" w:rsidRPr="00B16491" w:rsidRDefault="003912CC" w:rsidP="00AE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4"/>
          <w:sz w:val="28"/>
          <w:szCs w:val="28"/>
        </w:rPr>
        <w:sectPr w:rsidR="003912CC" w:rsidRPr="00B16491">
          <w:footerReference w:type="default" r:id="rId9"/>
          <w:pgSz w:w="12240" w:h="15840"/>
          <w:pgMar w:top="1440" w:right="1440" w:bottom="1440" w:left="1440" w:header="720" w:footer="720" w:gutter="0"/>
          <w:cols w:space="720"/>
        </w:sectPr>
      </w:pPr>
    </w:p>
    <w:p w14:paraId="67A71A9A" w14:textId="77777777" w:rsidR="003912CC" w:rsidRPr="00B16491" w:rsidRDefault="003912CC" w:rsidP="00AE063B">
      <w:pPr>
        <w:tabs>
          <w:tab w:val="center" w:pos="4680"/>
        </w:tabs>
        <w:jc w:val="center"/>
        <w:rPr>
          <w:b/>
          <w:spacing w:val="-3"/>
          <w:sz w:val="28"/>
          <w:szCs w:val="28"/>
        </w:rPr>
      </w:pPr>
      <w:r w:rsidRPr="00B16491">
        <w:rPr>
          <w:b/>
          <w:spacing w:val="-4"/>
          <w:sz w:val="28"/>
          <w:szCs w:val="28"/>
        </w:rPr>
        <w:lastRenderedPageBreak/>
        <w:t>PERFORMANCE EVALUATION DISCLOSURE GUIDE</w:t>
      </w:r>
    </w:p>
    <w:p w14:paraId="10B4646F" w14:textId="77777777" w:rsidR="003912CC" w:rsidRPr="00B16491" w:rsidRDefault="003912CC" w:rsidP="00AE063B">
      <w:pPr>
        <w:tabs>
          <w:tab w:val="left" w:pos="720"/>
          <w:tab w:val="left" w:pos="1320"/>
          <w:tab w:val="left" w:pos="1680"/>
        </w:tabs>
        <w:jc w:val="both"/>
        <w:rPr>
          <w:spacing w:val="-3"/>
        </w:rPr>
      </w:pPr>
    </w:p>
    <w:p w14:paraId="737DABAC" w14:textId="77777777" w:rsidR="003912CC" w:rsidRPr="00B16491" w:rsidRDefault="003912CC" w:rsidP="00AE063B">
      <w:pPr>
        <w:tabs>
          <w:tab w:val="left" w:pos="720"/>
          <w:tab w:val="left" w:pos="1320"/>
          <w:tab w:val="left" w:pos="1680"/>
        </w:tabs>
        <w:ind w:left="720" w:hanging="720"/>
        <w:jc w:val="both"/>
        <w:rPr>
          <w:spacing w:val="-3"/>
        </w:rPr>
      </w:pPr>
      <w:r w:rsidRPr="00B16491">
        <w:rPr>
          <w:spacing w:val="-3"/>
        </w:rPr>
        <w:tab/>
        <w:t>Massachusetts General Laws Chapter 167, Section 14, as amended, require all financial institution to take the following actions within 30 business days of receipt of the CRA evaluation of their institution:</w:t>
      </w:r>
    </w:p>
    <w:p w14:paraId="372FCBEA" w14:textId="77777777" w:rsidR="003912CC" w:rsidRPr="00B16491" w:rsidRDefault="003912CC" w:rsidP="00AE063B">
      <w:pPr>
        <w:tabs>
          <w:tab w:val="left" w:pos="720"/>
          <w:tab w:val="left" w:pos="1320"/>
          <w:tab w:val="left" w:pos="1680"/>
        </w:tabs>
        <w:jc w:val="both"/>
        <w:rPr>
          <w:spacing w:val="-3"/>
        </w:rPr>
      </w:pPr>
    </w:p>
    <w:p w14:paraId="3FAE8F2C" w14:textId="77777777" w:rsidR="003912CC" w:rsidRPr="00B16491" w:rsidRDefault="003912CC" w:rsidP="00AE063B">
      <w:pPr>
        <w:tabs>
          <w:tab w:val="left" w:pos="720"/>
          <w:tab w:val="left" w:pos="1320"/>
          <w:tab w:val="left" w:pos="1680"/>
        </w:tabs>
        <w:ind w:left="1320" w:hanging="1320"/>
        <w:jc w:val="both"/>
        <w:rPr>
          <w:spacing w:val="-3"/>
        </w:rPr>
      </w:pPr>
      <w:r w:rsidRPr="00B16491">
        <w:rPr>
          <w:spacing w:val="-3"/>
        </w:rPr>
        <w:tab/>
        <w:t xml:space="preserve">1) </w:t>
      </w:r>
      <w:r w:rsidRPr="00B16491">
        <w:rPr>
          <w:spacing w:val="-3"/>
        </w:rPr>
        <w:tab/>
        <w:t>Make its most current CRA performance evaluation available to the public;</w:t>
      </w:r>
    </w:p>
    <w:p w14:paraId="26B7698C" w14:textId="77777777" w:rsidR="003912CC" w:rsidRPr="00B16491" w:rsidRDefault="003912CC" w:rsidP="00AE063B">
      <w:pPr>
        <w:tabs>
          <w:tab w:val="left" w:pos="720"/>
          <w:tab w:val="left" w:pos="1320"/>
          <w:tab w:val="left" w:pos="1680"/>
        </w:tabs>
        <w:jc w:val="both"/>
        <w:rPr>
          <w:spacing w:val="-3"/>
        </w:rPr>
      </w:pPr>
    </w:p>
    <w:p w14:paraId="6558DC2D" w14:textId="77777777" w:rsidR="003912CC" w:rsidRPr="00B16491" w:rsidRDefault="003912CC" w:rsidP="00AE063B">
      <w:pPr>
        <w:tabs>
          <w:tab w:val="left" w:pos="720"/>
          <w:tab w:val="left" w:pos="1320"/>
          <w:tab w:val="left" w:pos="1680"/>
        </w:tabs>
        <w:ind w:left="1320" w:hanging="1320"/>
        <w:jc w:val="both"/>
        <w:rPr>
          <w:spacing w:val="-3"/>
        </w:rPr>
      </w:pPr>
      <w:r w:rsidRPr="00B16491">
        <w:rPr>
          <w:spacing w:val="-3"/>
        </w:rPr>
        <w:tab/>
        <w:t>2)</w:t>
      </w:r>
      <w:r w:rsidRPr="00B16491">
        <w:rPr>
          <w:spacing w:val="-3"/>
        </w:rPr>
        <w:tab/>
        <w:t>At a minimum, place the evaluation in the institution's CRA public file located at the head office and at a designated office in each assessment area;</w:t>
      </w:r>
    </w:p>
    <w:p w14:paraId="1D038CA8" w14:textId="77777777" w:rsidR="003912CC" w:rsidRPr="00B16491" w:rsidRDefault="003912CC" w:rsidP="00AE063B">
      <w:pPr>
        <w:tabs>
          <w:tab w:val="left" w:pos="720"/>
          <w:tab w:val="left" w:pos="1320"/>
          <w:tab w:val="left" w:pos="1680"/>
        </w:tabs>
        <w:jc w:val="both"/>
        <w:rPr>
          <w:spacing w:val="-3"/>
        </w:rPr>
      </w:pPr>
    </w:p>
    <w:p w14:paraId="2C37C87F" w14:textId="77777777" w:rsidR="003912CC" w:rsidRPr="00B16491" w:rsidRDefault="003912CC" w:rsidP="00AE063B">
      <w:pPr>
        <w:tabs>
          <w:tab w:val="left" w:pos="720"/>
          <w:tab w:val="left" w:pos="1320"/>
          <w:tab w:val="left" w:pos="1680"/>
        </w:tabs>
        <w:ind w:left="1320" w:hanging="1320"/>
        <w:jc w:val="both"/>
        <w:rPr>
          <w:spacing w:val="-3"/>
        </w:rPr>
      </w:pPr>
      <w:r w:rsidRPr="00B16491">
        <w:rPr>
          <w:spacing w:val="-3"/>
        </w:rPr>
        <w:tab/>
        <w:t>3)</w:t>
      </w:r>
      <w:r w:rsidRPr="00B16491">
        <w:rPr>
          <w:spacing w:val="-3"/>
        </w:rPr>
        <w:tab/>
        <w:t>Add the following language to the institution's required CRA public notice that is posted in each depository facility:</w:t>
      </w:r>
    </w:p>
    <w:p w14:paraId="73138434" w14:textId="77777777" w:rsidR="003912CC" w:rsidRPr="00B16491" w:rsidRDefault="003912CC" w:rsidP="00AE063B">
      <w:pPr>
        <w:tabs>
          <w:tab w:val="left" w:pos="720"/>
          <w:tab w:val="left" w:pos="1320"/>
          <w:tab w:val="left" w:pos="1680"/>
        </w:tabs>
        <w:jc w:val="both"/>
        <w:rPr>
          <w:spacing w:val="-3"/>
        </w:rPr>
      </w:pPr>
    </w:p>
    <w:p w14:paraId="4EC3B773" w14:textId="5F465B47" w:rsidR="003912CC" w:rsidRPr="00B16491" w:rsidRDefault="003912CC" w:rsidP="00AE063B">
      <w:pPr>
        <w:tabs>
          <w:tab w:val="left" w:pos="720"/>
          <w:tab w:val="left" w:pos="1320"/>
          <w:tab w:val="left" w:pos="1680"/>
        </w:tabs>
        <w:ind w:left="1320" w:hanging="1320"/>
        <w:jc w:val="both"/>
        <w:rPr>
          <w:spacing w:val="-3"/>
        </w:rPr>
      </w:pPr>
      <w:r w:rsidRPr="00B16491">
        <w:rPr>
          <w:spacing w:val="-3"/>
        </w:rPr>
        <w:tab/>
      </w:r>
      <w:r w:rsidRPr="00B16491">
        <w:rPr>
          <w:spacing w:val="-3"/>
        </w:rPr>
        <w:tab/>
        <w:t>"You may obtain the public section of our most recent CRA Performance Evaluation, which was prepared by the Massachusetts Division o</w:t>
      </w:r>
      <w:r w:rsidR="001668DF" w:rsidRPr="00B16491">
        <w:rPr>
          <w:spacing w:val="-3"/>
        </w:rPr>
        <w:t>f Banks, at (</w:t>
      </w:r>
      <w:r w:rsidR="005358C8">
        <w:rPr>
          <w:spacing w:val="-3"/>
        </w:rPr>
        <w:t>493 Somerville Ave, Somerville, MA 02143</w:t>
      </w:r>
      <w:r w:rsidR="00774FD7" w:rsidRPr="00B16491">
        <w:rPr>
          <w:spacing w:val="-3"/>
        </w:rPr>
        <w:t>)</w:t>
      </w:r>
    </w:p>
    <w:p w14:paraId="45619AA8" w14:textId="77777777" w:rsidR="003912CC" w:rsidRPr="00B16491" w:rsidRDefault="003912CC" w:rsidP="00AE063B">
      <w:pPr>
        <w:tabs>
          <w:tab w:val="left" w:pos="720"/>
          <w:tab w:val="left" w:pos="1320"/>
          <w:tab w:val="left" w:pos="1680"/>
        </w:tabs>
        <w:jc w:val="both"/>
        <w:rPr>
          <w:spacing w:val="-3"/>
        </w:rPr>
      </w:pPr>
    </w:p>
    <w:p w14:paraId="4C76FDBD" w14:textId="77777777" w:rsidR="003912CC" w:rsidRPr="00B16491" w:rsidRDefault="003912CC" w:rsidP="00AE063B">
      <w:pPr>
        <w:tabs>
          <w:tab w:val="left" w:pos="720"/>
          <w:tab w:val="left" w:pos="1320"/>
          <w:tab w:val="left" w:pos="1680"/>
        </w:tabs>
        <w:ind w:left="1320" w:hanging="1320"/>
        <w:jc w:val="both"/>
        <w:rPr>
          <w:spacing w:val="-3"/>
        </w:rPr>
      </w:pPr>
      <w:r w:rsidRPr="00B16491">
        <w:rPr>
          <w:spacing w:val="-3"/>
        </w:rPr>
        <w:tab/>
      </w:r>
      <w:r w:rsidRPr="00B16491">
        <w:rPr>
          <w:spacing w:val="-3"/>
        </w:rPr>
        <w:tab/>
        <w:t>[Please Note:  If the institution has more than one assessment area, each office (other than off</w:t>
      </w:r>
      <w:r w:rsidRPr="00B16491">
        <w:rPr>
          <w:spacing w:val="-3"/>
        </w:rPr>
        <w:noBreakHyphen/>
        <w:t>premises electronic deposit facilities) in that community shall also include the address of the designated office for that assessment area.]</w:t>
      </w:r>
    </w:p>
    <w:p w14:paraId="0BF12C48" w14:textId="77777777" w:rsidR="003912CC" w:rsidRPr="00B16491" w:rsidRDefault="003912CC" w:rsidP="00AE063B">
      <w:pPr>
        <w:tabs>
          <w:tab w:val="left" w:pos="720"/>
          <w:tab w:val="left" w:pos="1320"/>
          <w:tab w:val="left" w:pos="1680"/>
        </w:tabs>
        <w:jc w:val="both"/>
        <w:rPr>
          <w:spacing w:val="-3"/>
        </w:rPr>
      </w:pPr>
    </w:p>
    <w:p w14:paraId="3E3C79DB" w14:textId="0EC6F4D5" w:rsidR="003912CC" w:rsidRPr="00B16491" w:rsidRDefault="003912CC" w:rsidP="00AE063B">
      <w:pPr>
        <w:tabs>
          <w:tab w:val="left" w:pos="720"/>
          <w:tab w:val="left" w:pos="1320"/>
          <w:tab w:val="left" w:pos="1680"/>
        </w:tabs>
        <w:ind w:left="1320" w:hanging="1320"/>
        <w:jc w:val="both"/>
        <w:rPr>
          <w:spacing w:val="-3"/>
        </w:rPr>
      </w:pPr>
      <w:r w:rsidRPr="00B16491">
        <w:rPr>
          <w:spacing w:val="-3"/>
        </w:rPr>
        <w:tab/>
        <w:t>4)</w:t>
      </w:r>
      <w:r w:rsidRPr="00B16491">
        <w:rPr>
          <w:spacing w:val="-3"/>
        </w:rPr>
        <w:tab/>
        <w:t>Provide a copy of its current evaluation to the public, upon request</w:t>
      </w:r>
      <w:r w:rsidR="004002BD">
        <w:rPr>
          <w:spacing w:val="-3"/>
        </w:rPr>
        <w:t xml:space="preserve">.  </w:t>
      </w:r>
      <w:r w:rsidRPr="00B16491">
        <w:rPr>
          <w:spacing w:val="-3"/>
        </w:rPr>
        <w:t>In connection with this, the institution is authorized to charge a fee which does not exceed the cost of reproduction and mailing (if applicable).</w:t>
      </w:r>
    </w:p>
    <w:p w14:paraId="311BAD23" w14:textId="77777777" w:rsidR="003912CC" w:rsidRPr="00B16491" w:rsidRDefault="003912CC" w:rsidP="00AE063B">
      <w:pPr>
        <w:tabs>
          <w:tab w:val="left" w:pos="720"/>
          <w:tab w:val="left" w:pos="1320"/>
          <w:tab w:val="left" w:pos="1680"/>
        </w:tabs>
        <w:jc w:val="both"/>
        <w:rPr>
          <w:spacing w:val="-3"/>
        </w:rPr>
      </w:pPr>
    </w:p>
    <w:p w14:paraId="0DCDE4BF" w14:textId="77777777" w:rsidR="003912CC" w:rsidRPr="00B16491" w:rsidRDefault="003912CC" w:rsidP="00AE063B">
      <w:pPr>
        <w:tabs>
          <w:tab w:val="left" w:pos="720"/>
          <w:tab w:val="left" w:pos="1320"/>
          <w:tab w:val="left" w:pos="1680"/>
        </w:tabs>
        <w:jc w:val="both"/>
        <w:rPr>
          <w:spacing w:val="-3"/>
        </w:rPr>
      </w:pPr>
    </w:p>
    <w:p w14:paraId="2ECD1C60" w14:textId="204DB2F6" w:rsidR="003912CC" w:rsidRPr="00B16491" w:rsidRDefault="003912CC" w:rsidP="00AE063B">
      <w:pPr>
        <w:tabs>
          <w:tab w:val="left" w:pos="720"/>
          <w:tab w:val="left" w:pos="1320"/>
          <w:tab w:val="left" w:pos="1680"/>
        </w:tabs>
        <w:ind w:left="720" w:hanging="720"/>
        <w:jc w:val="both"/>
        <w:rPr>
          <w:spacing w:val="-3"/>
        </w:rPr>
      </w:pPr>
      <w:r w:rsidRPr="00B16491">
        <w:rPr>
          <w:spacing w:val="-3"/>
        </w:rPr>
        <w:tab/>
        <w:t>The format and content of the institution's evaluation, as prepared by its supervisory agencies, may not be altered or abridged in any manner</w:t>
      </w:r>
      <w:r w:rsidR="004002BD">
        <w:rPr>
          <w:spacing w:val="-3"/>
        </w:rPr>
        <w:t xml:space="preserve">.  </w:t>
      </w:r>
      <w:r w:rsidRPr="00B16491">
        <w:rPr>
          <w:spacing w:val="-3"/>
        </w:rPr>
        <w:t>The institution is encouraged to include its response to the evaluation in its CRA public file.</w:t>
      </w:r>
    </w:p>
    <w:p w14:paraId="0DC65011" w14:textId="77777777" w:rsidR="00C17780" w:rsidRPr="00B16491" w:rsidRDefault="00C17780" w:rsidP="00AE063B"/>
    <w:sectPr w:rsidR="00C17780" w:rsidRPr="00B164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596B" w14:textId="77777777" w:rsidR="006E0274" w:rsidRDefault="006E0274" w:rsidP="00F94B29">
      <w:r>
        <w:separator/>
      </w:r>
    </w:p>
  </w:endnote>
  <w:endnote w:type="continuationSeparator" w:id="0">
    <w:p w14:paraId="27FE87ED" w14:textId="77777777" w:rsidR="006E0274" w:rsidRDefault="006E0274" w:rsidP="00F9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D330" w14:textId="77777777" w:rsidR="006E0274" w:rsidRDefault="006E0274">
    <w:pPr>
      <w:pStyle w:val="Footer"/>
      <w:jc w:val="center"/>
    </w:pPr>
  </w:p>
  <w:p w14:paraId="4FB5AF47" w14:textId="77777777" w:rsidR="006E0274" w:rsidRDefault="006E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401786"/>
      <w:docPartObj>
        <w:docPartGallery w:val="Page Numbers (Bottom of Page)"/>
        <w:docPartUnique/>
      </w:docPartObj>
    </w:sdtPr>
    <w:sdtEndPr>
      <w:rPr>
        <w:noProof/>
      </w:rPr>
    </w:sdtEndPr>
    <w:sdtContent>
      <w:p w14:paraId="3B1465FE" w14:textId="2BA21BC5" w:rsidR="006E0274" w:rsidRDefault="006E0274">
        <w:pPr>
          <w:pStyle w:val="Footer"/>
          <w:jc w:val="center"/>
        </w:pPr>
        <w:r>
          <w:fldChar w:fldCharType="begin"/>
        </w:r>
        <w:r>
          <w:instrText xml:space="preserve"> PAGE   \* MERGEFORMAT </w:instrText>
        </w:r>
        <w:r>
          <w:fldChar w:fldCharType="separate"/>
        </w:r>
        <w:r w:rsidR="00F750EF">
          <w:rPr>
            <w:noProof/>
          </w:rPr>
          <w:t>14</w:t>
        </w:r>
        <w:r>
          <w:rPr>
            <w:noProof/>
          </w:rPr>
          <w:fldChar w:fldCharType="end"/>
        </w:r>
      </w:p>
    </w:sdtContent>
  </w:sdt>
  <w:p w14:paraId="1899A6E1" w14:textId="77777777" w:rsidR="006E0274" w:rsidRDefault="006E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201B7" w14:textId="77777777" w:rsidR="006E0274" w:rsidRDefault="006E0274" w:rsidP="00F94B29">
      <w:r>
        <w:separator/>
      </w:r>
    </w:p>
  </w:footnote>
  <w:footnote w:type="continuationSeparator" w:id="0">
    <w:p w14:paraId="68CF559E" w14:textId="77777777" w:rsidR="006E0274" w:rsidRDefault="006E0274" w:rsidP="00F94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A5A"/>
    <w:multiLevelType w:val="hybridMultilevel"/>
    <w:tmpl w:val="80E4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5784"/>
    <w:multiLevelType w:val="hybridMultilevel"/>
    <w:tmpl w:val="B480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8068C"/>
    <w:multiLevelType w:val="hybridMultilevel"/>
    <w:tmpl w:val="8F26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6F07C8"/>
    <w:multiLevelType w:val="hybridMultilevel"/>
    <w:tmpl w:val="587C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D6A46"/>
    <w:multiLevelType w:val="hybridMultilevel"/>
    <w:tmpl w:val="B390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A96813"/>
    <w:multiLevelType w:val="hybridMultilevel"/>
    <w:tmpl w:val="C626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F3CCC"/>
    <w:multiLevelType w:val="hybridMultilevel"/>
    <w:tmpl w:val="287C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51D76"/>
    <w:multiLevelType w:val="hybridMultilevel"/>
    <w:tmpl w:val="284EB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D25E9E"/>
    <w:multiLevelType w:val="hybridMultilevel"/>
    <w:tmpl w:val="4C1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93B4F"/>
    <w:multiLevelType w:val="hybridMultilevel"/>
    <w:tmpl w:val="27A2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F0ADE"/>
    <w:multiLevelType w:val="hybridMultilevel"/>
    <w:tmpl w:val="1B8AE7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AA54AC"/>
    <w:multiLevelType w:val="hybridMultilevel"/>
    <w:tmpl w:val="3E00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434D9"/>
    <w:multiLevelType w:val="hybridMultilevel"/>
    <w:tmpl w:val="6892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D310B"/>
    <w:multiLevelType w:val="hybridMultilevel"/>
    <w:tmpl w:val="6DF2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CA055C"/>
    <w:multiLevelType w:val="hybridMultilevel"/>
    <w:tmpl w:val="80BC5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5643CF"/>
    <w:multiLevelType w:val="hybridMultilevel"/>
    <w:tmpl w:val="304A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A0243"/>
    <w:multiLevelType w:val="hybridMultilevel"/>
    <w:tmpl w:val="D90A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24F71"/>
    <w:multiLevelType w:val="hybridMultilevel"/>
    <w:tmpl w:val="C0F05E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23212E"/>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63113F56"/>
    <w:multiLevelType w:val="hybridMultilevel"/>
    <w:tmpl w:val="111E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511E1"/>
    <w:multiLevelType w:val="multilevel"/>
    <w:tmpl w:val="2FC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A90CA4"/>
    <w:multiLevelType w:val="hybridMultilevel"/>
    <w:tmpl w:val="57EC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311DB"/>
    <w:multiLevelType w:val="hybridMultilevel"/>
    <w:tmpl w:val="41BC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F6AA3"/>
    <w:multiLevelType w:val="hybridMultilevel"/>
    <w:tmpl w:val="859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603EC"/>
    <w:multiLevelType w:val="hybridMultilevel"/>
    <w:tmpl w:val="24426F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8"/>
  </w:num>
  <w:num w:numId="3">
    <w:abstractNumId w:val="20"/>
  </w:num>
  <w:num w:numId="4">
    <w:abstractNumId w:val="2"/>
  </w:num>
  <w:num w:numId="5">
    <w:abstractNumId w:val="2"/>
  </w:num>
  <w:num w:numId="6">
    <w:abstractNumId w:val="13"/>
  </w:num>
  <w:num w:numId="7">
    <w:abstractNumId w:val="13"/>
  </w:num>
  <w:num w:numId="8">
    <w:abstractNumId w:val="1"/>
  </w:num>
  <w:num w:numId="9">
    <w:abstractNumId w:val="1"/>
  </w:num>
  <w:num w:numId="10">
    <w:abstractNumId w:val="8"/>
  </w:num>
  <w:num w:numId="11">
    <w:abstractNumId w:val="5"/>
  </w:num>
  <w:num w:numId="12">
    <w:abstractNumId w:val="6"/>
  </w:num>
  <w:num w:numId="13">
    <w:abstractNumId w:val="23"/>
  </w:num>
  <w:num w:numId="14">
    <w:abstractNumId w:val="14"/>
  </w:num>
  <w:num w:numId="15">
    <w:abstractNumId w:val="16"/>
  </w:num>
  <w:num w:numId="16">
    <w:abstractNumId w:val="3"/>
  </w:num>
  <w:num w:numId="17">
    <w:abstractNumId w:val="11"/>
  </w:num>
  <w:num w:numId="18">
    <w:abstractNumId w:val="9"/>
  </w:num>
  <w:num w:numId="19">
    <w:abstractNumId w:val="4"/>
  </w:num>
  <w:num w:numId="20">
    <w:abstractNumId w:val="7"/>
  </w:num>
  <w:num w:numId="21">
    <w:abstractNumId w:val="12"/>
  </w:num>
  <w:num w:numId="22">
    <w:abstractNumId w:val="0"/>
  </w:num>
  <w:num w:numId="23">
    <w:abstractNumId w:val="22"/>
  </w:num>
  <w:num w:numId="24">
    <w:abstractNumId w:val="10"/>
  </w:num>
  <w:num w:numId="25">
    <w:abstractNumId w:val="21"/>
  </w:num>
  <w:num w:numId="26">
    <w:abstractNumId w:val="15"/>
  </w:num>
  <w:num w:numId="27">
    <w:abstractNumId w:val="19"/>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CC"/>
    <w:rsid w:val="00004863"/>
    <w:rsid w:val="0000490B"/>
    <w:rsid w:val="000060E7"/>
    <w:rsid w:val="0001757D"/>
    <w:rsid w:val="00020CB5"/>
    <w:rsid w:val="000228BD"/>
    <w:rsid w:val="000239D0"/>
    <w:rsid w:val="0004187C"/>
    <w:rsid w:val="000552E0"/>
    <w:rsid w:val="0005605D"/>
    <w:rsid w:val="00060443"/>
    <w:rsid w:val="0006162D"/>
    <w:rsid w:val="0006294B"/>
    <w:rsid w:val="0007037A"/>
    <w:rsid w:val="0007136C"/>
    <w:rsid w:val="0008245E"/>
    <w:rsid w:val="00090781"/>
    <w:rsid w:val="00094C5B"/>
    <w:rsid w:val="00095926"/>
    <w:rsid w:val="000959F3"/>
    <w:rsid w:val="000961FE"/>
    <w:rsid w:val="000A0040"/>
    <w:rsid w:val="000A020D"/>
    <w:rsid w:val="000D42FC"/>
    <w:rsid w:val="000D47D0"/>
    <w:rsid w:val="000E0990"/>
    <w:rsid w:val="000E1EDA"/>
    <w:rsid w:val="000E6557"/>
    <w:rsid w:val="000F4B12"/>
    <w:rsid w:val="000F6038"/>
    <w:rsid w:val="001119D1"/>
    <w:rsid w:val="001202D8"/>
    <w:rsid w:val="00141D12"/>
    <w:rsid w:val="00146620"/>
    <w:rsid w:val="001527F2"/>
    <w:rsid w:val="00152E3F"/>
    <w:rsid w:val="00154167"/>
    <w:rsid w:val="00160DC4"/>
    <w:rsid w:val="00161D16"/>
    <w:rsid w:val="001643E9"/>
    <w:rsid w:val="00164715"/>
    <w:rsid w:val="001668DF"/>
    <w:rsid w:val="0017641A"/>
    <w:rsid w:val="00185BA5"/>
    <w:rsid w:val="001A302E"/>
    <w:rsid w:val="001A4D21"/>
    <w:rsid w:val="001A75BE"/>
    <w:rsid w:val="001A7680"/>
    <w:rsid w:val="001B38D6"/>
    <w:rsid w:val="001C5F84"/>
    <w:rsid w:val="001D6063"/>
    <w:rsid w:val="001D64B4"/>
    <w:rsid w:val="0020739F"/>
    <w:rsid w:val="00222EEC"/>
    <w:rsid w:val="002232FC"/>
    <w:rsid w:val="00224471"/>
    <w:rsid w:val="002246C2"/>
    <w:rsid w:val="00226976"/>
    <w:rsid w:val="00227B41"/>
    <w:rsid w:val="00237EBC"/>
    <w:rsid w:val="00243017"/>
    <w:rsid w:val="00243F7E"/>
    <w:rsid w:val="00263121"/>
    <w:rsid w:val="00270EFB"/>
    <w:rsid w:val="00274DF9"/>
    <w:rsid w:val="002768B8"/>
    <w:rsid w:val="0028764A"/>
    <w:rsid w:val="0028795B"/>
    <w:rsid w:val="002905E9"/>
    <w:rsid w:val="0029649E"/>
    <w:rsid w:val="002A0304"/>
    <w:rsid w:val="002A0E46"/>
    <w:rsid w:val="002A6FAB"/>
    <w:rsid w:val="002B0EF4"/>
    <w:rsid w:val="002B170F"/>
    <w:rsid w:val="002C0D97"/>
    <w:rsid w:val="002C2748"/>
    <w:rsid w:val="002C3A95"/>
    <w:rsid w:val="002C5572"/>
    <w:rsid w:val="002C5AA6"/>
    <w:rsid w:val="002C68BC"/>
    <w:rsid w:val="002D6E34"/>
    <w:rsid w:val="002D765B"/>
    <w:rsid w:val="002F109F"/>
    <w:rsid w:val="002F39DE"/>
    <w:rsid w:val="00302041"/>
    <w:rsid w:val="0030428A"/>
    <w:rsid w:val="00305A1A"/>
    <w:rsid w:val="00306498"/>
    <w:rsid w:val="0030741E"/>
    <w:rsid w:val="00307CF6"/>
    <w:rsid w:val="003133A1"/>
    <w:rsid w:val="003174E1"/>
    <w:rsid w:val="00317CB8"/>
    <w:rsid w:val="00324C9D"/>
    <w:rsid w:val="00324D21"/>
    <w:rsid w:val="00325DF5"/>
    <w:rsid w:val="00351C75"/>
    <w:rsid w:val="00351CA4"/>
    <w:rsid w:val="00353181"/>
    <w:rsid w:val="00362318"/>
    <w:rsid w:val="00363437"/>
    <w:rsid w:val="00372FBC"/>
    <w:rsid w:val="00375701"/>
    <w:rsid w:val="003817A2"/>
    <w:rsid w:val="003839FE"/>
    <w:rsid w:val="00386562"/>
    <w:rsid w:val="003912CC"/>
    <w:rsid w:val="00391469"/>
    <w:rsid w:val="0039562C"/>
    <w:rsid w:val="003A107C"/>
    <w:rsid w:val="003A233C"/>
    <w:rsid w:val="003A6221"/>
    <w:rsid w:val="003A6F0D"/>
    <w:rsid w:val="003B2807"/>
    <w:rsid w:val="003B2838"/>
    <w:rsid w:val="003B667C"/>
    <w:rsid w:val="003B772E"/>
    <w:rsid w:val="003C07A8"/>
    <w:rsid w:val="003C382B"/>
    <w:rsid w:val="003C612E"/>
    <w:rsid w:val="003D1017"/>
    <w:rsid w:val="003E4834"/>
    <w:rsid w:val="003E6ECB"/>
    <w:rsid w:val="003F4EAC"/>
    <w:rsid w:val="003F7DDA"/>
    <w:rsid w:val="00400176"/>
    <w:rsid w:val="004002BD"/>
    <w:rsid w:val="00402417"/>
    <w:rsid w:val="00402FAB"/>
    <w:rsid w:val="00416B86"/>
    <w:rsid w:val="00417826"/>
    <w:rsid w:val="00420161"/>
    <w:rsid w:val="00421BD8"/>
    <w:rsid w:val="00423790"/>
    <w:rsid w:val="00432E07"/>
    <w:rsid w:val="00440CDC"/>
    <w:rsid w:val="004450EE"/>
    <w:rsid w:val="00467B37"/>
    <w:rsid w:val="00471447"/>
    <w:rsid w:val="00474B9D"/>
    <w:rsid w:val="00476CD3"/>
    <w:rsid w:val="00480E42"/>
    <w:rsid w:val="00484658"/>
    <w:rsid w:val="004872CE"/>
    <w:rsid w:val="00490540"/>
    <w:rsid w:val="0049343D"/>
    <w:rsid w:val="004A6F23"/>
    <w:rsid w:val="004B3577"/>
    <w:rsid w:val="004C2674"/>
    <w:rsid w:val="004D72F4"/>
    <w:rsid w:val="004E411A"/>
    <w:rsid w:val="004E5AFF"/>
    <w:rsid w:val="004F2F22"/>
    <w:rsid w:val="00504335"/>
    <w:rsid w:val="0051180F"/>
    <w:rsid w:val="00513459"/>
    <w:rsid w:val="00514BD9"/>
    <w:rsid w:val="00520CCD"/>
    <w:rsid w:val="0052303F"/>
    <w:rsid w:val="0052422E"/>
    <w:rsid w:val="00534A90"/>
    <w:rsid w:val="005358C8"/>
    <w:rsid w:val="0053621E"/>
    <w:rsid w:val="00536AEF"/>
    <w:rsid w:val="00537796"/>
    <w:rsid w:val="0054137C"/>
    <w:rsid w:val="005472C7"/>
    <w:rsid w:val="00550F0A"/>
    <w:rsid w:val="0055130A"/>
    <w:rsid w:val="0056098C"/>
    <w:rsid w:val="005623F7"/>
    <w:rsid w:val="0056477D"/>
    <w:rsid w:val="005708AB"/>
    <w:rsid w:val="00574497"/>
    <w:rsid w:val="00574A6D"/>
    <w:rsid w:val="005761DD"/>
    <w:rsid w:val="00577130"/>
    <w:rsid w:val="005803D4"/>
    <w:rsid w:val="0059405D"/>
    <w:rsid w:val="00595092"/>
    <w:rsid w:val="00595988"/>
    <w:rsid w:val="005A374A"/>
    <w:rsid w:val="005A52DA"/>
    <w:rsid w:val="005B0D73"/>
    <w:rsid w:val="005B187B"/>
    <w:rsid w:val="005B5ABE"/>
    <w:rsid w:val="005C0D23"/>
    <w:rsid w:val="005D33DB"/>
    <w:rsid w:val="005E4F45"/>
    <w:rsid w:val="005F0090"/>
    <w:rsid w:val="006042CD"/>
    <w:rsid w:val="006048F2"/>
    <w:rsid w:val="00616682"/>
    <w:rsid w:val="00616A67"/>
    <w:rsid w:val="00625EA9"/>
    <w:rsid w:val="00631A42"/>
    <w:rsid w:val="006454EA"/>
    <w:rsid w:val="00651A38"/>
    <w:rsid w:val="0065620E"/>
    <w:rsid w:val="00660D36"/>
    <w:rsid w:val="0067529D"/>
    <w:rsid w:val="006815E0"/>
    <w:rsid w:val="006816D8"/>
    <w:rsid w:val="006843EB"/>
    <w:rsid w:val="00684A72"/>
    <w:rsid w:val="00685934"/>
    <w:rsid w:val="006866DF"/>
    <w:rsid w:val="00694FE9"/>
    <w:rsid w:val="00696EED"/>
    <w:rsid w:val="006A4727"/>
    <w:rsid w:val="006A70A1"/>
    <w:rsid w:val="006B020A"/>
    <w:rsid w:val="006B2E79"/>
    <w:rsid w:val="006B4183"/>
    <w:rsid w:val="006B6DF7"/>
    <w:rsid w:val="006C0684"/>
    <w:rsid w:val="006C5F91"/>
    <w:rsid w:val="006D6CD7"/>
    <w:rsid w:val="006D79B3"/>
    <w:rsid w:val="006E0274"/>
    <w:rsid w:val="006F22B6"/>
    <w:rsid w:val="006F27A5"/>
    <w:rsid w:val="006F65D9"/>
    <w:rsid w:val="007036CB"/>
    <w:rsid w:val="00713A51"/>
    <w:rsid w:val="00714F63"/>
    <w:rsid w:val="0071732F"/>
    <w:rsid w:val="00720B43"/>
    <w:rsid w:val="00720E16"/>
    <w:rsid w:val="007241EF"/>
    <w:rsid w:val="007244AC"/>
    <w:rsid w:val="00725281"/>
    <w:rsid w:val="00725DA9"/>
    <w:rsid w:val="0072614D"/>
    <w:rsid w:val="00726F33"/>
    <w:rsid w:val="00734607"/>
    <w:rsid w:val="00735725"/>
    <w:rsid w:val="00737B15"/>
    <w:rsid w:val="00751953"/>
    <w:rsid w:val="007635C5"/>
    <w:rsid w:val="00765819"/>
    <w:rsid w:val="007672B5"/>
    <w:rsid w:val="00767B82"/>
    <w:rsid w:val="00774087"/>
    <w:rsid w:val="00774FD7"/>
    <w:rsid w:val="00775344"/>
    <w:rsid w:val="007765ED"/>
    <w:rsid w:val="00776EBF"/>
    <w:rsid w:val="00777DEE"/>
    <w:rsid w:val="00784DC4"/>
    <w:rsid w:val="00790929"/>
    <w:rsid w:val="00790E9C"/>
    <w:rsid w:val="007911CF"/>
    <w:rsid w:val="00792B1B"/>
    <w:rsid w:val="00796937"/>
    <w:rsid w:val="007A41E6"/>
    <w:rsid w:val="007A53A5"/>
    <w:rsid w:val="007B2D0F"/>
    <w:rsid w:val="007B2E7B"/>
    <w:rsid w:val="007B5A7C"/>
    <w:rsid w:val="007B66A6"/>
    <w:rsid w:val="007C2FB3"/>
    <w:rsid w:val="007C60E8"/>
    <w:rsid w:val="007E26F6"/>
    <w:rsid w:val="007E42D1"/>
    <w:rsid w:val="007E5F78"/>
    <w:rsid w:val="007F4224"/>
    <w:rsid w:val="007F548A"/>
    <w:rsid w:val="007F611F"/>
    <w:rsid w:val="0080021C"/>
    <w:rsid w:val="008046F9"/>
    <w:rsid w:val="008245EE"/>
    <w:rsid w:val="00825959"/>
    <w:rsid w:val="00847176"/>
    <w:rsid w:val="008544CA"/>
    <w:rsid w:val="00854E8A"/>
    <w:rsid w:val="008574EE"/>
    <w:rsid w:val="00860708"/>
    <w:rsid w:val="00866640"/>
    <w:rsid w:val="008666AD"/>
    <w:rsid w:val="008666D8"/>
    <w:rsid w:val="00871387"/>
    <w:rsid w:val="00877F63"/>
    <w:rsid w:val="00883C92"/>
    <w:rsid w:val="00884044"/>
    <w:rsid w:val="008913A3"/>
    <w:rsid w:val="0089282C"/>
    <w:rsid w:val="00893E1A"/>
    <w:rsid w:val="008943B4"/>
    <w:rsid w:val="00896343"/>
    <w:rsid w:val="008975B0"/>
    <w:rsid w:val="008A44E3"/>
    <w:rsid w:val="008B0E69"/>
    <w:rsid w:val="008B77A5"/>
    <w:rsid w:val="008C7905"/>
    <w:rsid w:val="008D006A"/>
    <w:rsid w:val="008D1D05"/>
    <w:rsid w:val="008D299C"/>
    <w:rsid w:val="008D4E34"/>
    <w:rsid w:val="00902DD8"/>
    <w:rsid w:val="0090338F"/>
    <w:rsid w:val="00907424"/>
    <w:rsid w:val="00907467"/>
    <w:rsid w:val="00914C75"/>
    <w:rsid w:val="00916C87"/>
    <w:rsid w:val="00917242"/>
    <w:rsid w:val="00922A26"/>
    <w:rsid w:val="009305BA"/>
    <w:rsid w:val="0093689E"/>
    <w:rsid w:val="00944EB8"/>
    <w:rsid w:val="00951F0B"/>
    <w:rsid w:val="00957548"/>
    <w:rsid w:val="00962152"/>
    <w:rsid w:val="00965727"/>
    <w:rsid w:val="00975048"/>
    <w:rsid w:val="00975846"/>
    <w:rsid w:val="0099182D"/>
    <w:rsid w:val="00992356"/>
    <w:rsid w:val="00997298"/>
    <w:rsid w:val="009A0187"/>
    <w:rsid w:val="009A0890"/>
    <w:rsid w:val="009A1C2E"/>
    <w:rsid w:val="009A1F20"/>
    <w:rsid w:val="009A7E05"/>
    <w:rsid w:val="009B0922"/>
    <w:rsid w:val="009B6A2A"/>
    <w:rsid w:val="009C762C"/>
    <w:rsid w:val="009D0E57"/>
    <w:rsid w:val="009D6479"/>
    <w:rsid w:val="009E4DC5"/>
    <w:rsid w:val="009E510E"/>
    <w:rsid w:val="009F2DDB"/>
    <w:rsid w:val="009F3392"/>
    <w:rsid w:val="009F486F"/>
    <w:rsid w:val="009F6FB2"/>
    <w:rsid w:val="00A00C11"/>
    <w:rsid w:val="00A034FA"/>
    <w:rsid w:val="00A0351B"/>
    <w:rsid w:val="00A059DE"/>
    <w:rsid w:val="00A0765D"/>
    <w:rsid w:val="00A076AC"/>
    <w:rsid w:val="00A1575F"/>
    <w:rsid w:val="00A200BB"/>
    <w:rsid w:val="00A206E2"/>
    <w:rsid w:val="00A22650"/>
    <w:rsid w:val="00A235A2"/>
    <w:rsid w:val="00A2377A"/>
    <w:rsid w:val="00A23934"/>
    <w:rsid w:val="00A264C4"/>
    <w:rsid w:val="00A37A2C"/>
    <w:rsid w:val="00A44C19"/>
    <w:rsid w:val="00A56A2C"/>
    <w:rsid w:val="00A64633"/>
    <w:rsid w:val="00A86E43"/>
    <w:rsid w:val="00A87FFB"/>
    <w:rsid w:val="00A9499E"/>
    <w:rsid w:val="00A976E3"/>
    <w:rsid w:val="00AA0CF1"/>
    <w:rsid w:val="00AA43D1"/>
    <w:rsid w:val="00AB3CB4"/>
    <w:rsid w:val="00AC55EF"/>
    <w:rsid w:val="00AC5DE1"/>
    <w:rsid w:val="00AD153F"/>
    <w:rsid w:val="00AD285B"/>
    <w:rsid w:val="00AD3975"/>
    <w:rsid w:val="00AE063B"/>
    <w:rsid w:val="00AE45A9"/>
    <w:rsid w:val="00AF3D0A"/>
    <w:rsid w:val="00AF7297"/>
    <w:rsid w:val="00AF74FA"/>
    <w:rsid w:val="00B06B95"/>
    <w:rsid w:val="00B16491"/>
    <w:rsid w:val="00B328AB"/>
    <w:rsid w:val="00B32D7B"/>
    <w:rsid w:val="00B33329"/>
    <w:rsid w:val="00B33D4D"/>
    <w:rsid w:val="00B61663"/>
    <w:rsid w:val="00B6190D"/>
    <w:rsid w:val="00B72637"/>
    <w:rsid w:val="00B74AB2"/>
    <w:rsid w:val="00B80514"/>
    <w:rsid w:val="00B80DFC"/>
    <w:rsid w:val="00B837DD"/>
    <w:rsid w:val="00B93567"/>
    <w:rsid w:val="00BA39AE"/>
    <w:rsid w:val="00BB1B65"/>
    <w:rsid w:val="00BB268B"/>
    <w:rsid w:val="00BB72D4"/>
    <w:rsid w:val="00BB7E10"/>
    <w:rsid w:val="00BC4555"/>
    <w:rsid w:val="00BD3A99"/>
    <w:rsid w:val="00BE6CFC"/>
    <w:rsid w:val="00BF2444"/>
    <w:rsid w:val="00BF42E2"/>
    <w:rsid w:val="00BF745F"/>
    <w:rsid w:val="00C002EF"/>
    <w:rsid w:val="00C07ADE"/>
    <w:rsid w:val="00C11141"/>
    <w:rsid w:val="00C11597"/>
    <w:rsid w:val="00C12DF3"/>
    <w:rsid w:val="00C12E32"/>
    <w:rsid w:val="00C16E9F"/>
    <w:rsid w:val="00C17780"/>
    <w:rsid w:val="00C33B03"/>
    <w:rsid w:val="00C450A7"/>
    <w:rsid w:val="00C5043F"/>
    <w:rsid w:val="00C57772"/>
    <w:rsid w:val="00C60F89"/>
    <w:rsid w:val="00C65422"/>
    <w:rsid w:val="00C660DC"/>
    <w:rsid w:val="00C74761"/>
    <w:rsid w:val="00C80BEE"/>
    <w:rsid w:val="00C830A8"/>
    <w:rsid w:val="00C96A89"/>
    <w:rsid w:val="00CA05CA"/>
    <w:rsid w:val="00CA7001"/>
    <w:rsid w:val="00CB26AE"/>
    <w:rsid w:val="00CB5DFE"/>
    <w:rsid w:val="00CC1615"/>
    <w:rsid w:val="00CC618A"/>
    <w:rsid w:val="00CD0C28"/>
    <w:rsid w:val="00CD1EAA"/>
    <w:rsid w:val="00CD4941"/>
    <w:rsid w:val="00CE3B84"/>
    <w:rsid w:val="00CF48CF"/>
    <w:rsid w:val="00D03807"/>
    <w:rsid w:val="00D0584A"/>
    <w:rsid w:val="00D072A7"/>
    <w:rsid w:val="00D110B4"/>
    <w:rsid w:val="00D121AE"/>
    <w:rsid w:val="00D24FCB"/>
    <w:rsid w:val="00D32526"/>
    <w:rsid w:val="00D35063"/>
    <w:rsid w:val="00D3786E"/>
    <w:rsid w:val="00D37873"/>
    <w:rsid w:val="00D37DE9"/>
    <w:rsid w:val="00D40F30"/>
    <w:rsid w:val="00D44FD5"/>
    <w:rsid w:val="00D467AD"/>
    <w:rsid w:val="00D5144E"/>
    <w:rsid w:val="00D57E2E"/>
    <w:rsid w:val="00D60A80"/>
    <w:rsid w:val="00D62CAA"/>
    <w:rsid w:val="00D64988"/>
    <w:rsid w:val="00D6738E"/>
    <w:rsid w:val="00D74B25"/>
    <w:rsid w:val="00D81FF6"/>
    <w:rsid w:val="00D8763B"/>
    <w:rsid w:val="00D91E89"/>
    <w:rsid w:val="00DA3FDC"/>
    <w:rsid w:val="00DB02B1"/>
    <w:rsid w:val="00DB2D7B"/>
    <w:rsid w:val="00DC16E0"/>
    <w:rsid w:val="00DC439C"/>
    <w:rsid w:val="00DC579E"/>
    <w:rsid w:val="00DD46C8"/>
    <w:rsid w:val="00DD5EC6"/>
    <w:rsid w:val="00DE054B"/>
    <w:rsid w:val="00DE146C"/>
    <w:rsid w:val="00DE351C"/>
    <w:rsid w:val="00E05938"/>
    <w:rsid w:val="00E05FCD"/>
    <w:rsid w:val="00E272A1"/>
    <w:rsid w:val="00E34AA2"/>
    <w:rsid w:val="00E434DE"/>
    <w:rsid w:val="00E44C45"/>
    <w:rsid w:val="00E50409"/>
    <w:rsid w:val="00E50C24"/>
    <w:rsid w:val="00E51D94"/>
    <w:rsid w:val="00E60F5F"/>
    <w:rsid w:val="00E64B33"/>
    <w:rsid w:val="00E83FF6"/>
    <w:rsid w:val="00E85422"/>
    <w:rsid w:val="00E906F3"/>
    <w:rsid w:val="00EA0E8D"/>
    <w:rsid w:val="00EA5049"/>
    <w:rsid w:val="00EA7796"/>
    <w:rsid w:val="00EB0E04"/>
    <w:rsid w:val="00EB1903"/>
    <w:rsid w:val="00EB30CA"/>
    <w:rsid w:val="00EB5937"/>
    <w:rsid w:val="00EC05EC"/>
    <w:rsid w:val="00EC6635"/>
    <w:rsid w:val="00EE7333"/>
    <w:rsid w:val="00F03591"/>
    <w:rsid w:val="00F1266B"/>
    <w:rsid w:val="00F17BA0"/>
    <w:rsid w:val="00F217DE"/>
    <w:rsid w:val="00F30D3F"/>
    <w:rsid w:val="00F314E5"/>
    <w:rsid w:val="00F336E0"/>
    <w:rsid w:val="00F371C0"/>
    <w:rsid w:val="00F37BA6"/>
    <w:rsid w:val="00F42FB8"/>
    <w:rsid w:val="00F47FF7"/>
    <w:rsid w:val="00F55FA2"/>
    <w:rsid w:val="00F57831"/>
    <w:rsid w:val="00F57AB4"/>
    <w:rsid w:val="00F625DF"/>
    <w:rsid w:val="00F746E9"/>
    <w:rsid w:val="00F750EF"/>
    <w:rsid w:val="00F83AC9"/>
    <w:rsid w:val="00F849AF"/>
    <w:rsid w:val="00F91D31"/>
    <w:rsid w:val="00F94B29"/>
    <w:rsid w:val="00F94B8A"/>
    <w:rsid w:val="00FA02CC"/>
    <w:rsid w:val="00FA56C2"/>
    <w:rsid w:val="00FB1DAC"/>
    <w:rsid w:val="00FB445F"/>
    <w:rsid w:val="00FC128E"/>
    <w:rsid w:val="00FC1B03"/>
    <w:rsid w:val="00FC5866"/>
    <w:rsid w:val="00FC70F4"/>
    <w:rsid w:val="00FE4DB9"/>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9348F70"/>
  <w15:chartTrackingRefBased/>
  <w15:docId w15:val="{C576CE0D-EC61-47CF-931A-33DC694F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2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912CC"/>
    <w:pPr>
      <w:keepNext/>
      <w:tabs>
        <w:tab w:val="left" w:pos="480"/>
        <w:tab w:val="left" w:pos="960"/>
        <w:tab w:val="left" w:pos="6840"/>
      </w:tabs>
      <w:jc w:val="both"/>
      <w:outlineLvl w:val="0"/>
    </w:pPr>
    <w:rPr>
      <w:rFonts w:ascii="Arial" w:hAnsi="Arial"/>
      <w:b/>
      <w:bCs/>
      <w:spacing w:val="-3"/>
      <w:sz w:val="20"/>
      <w:szCs w:val="20"/>
      <w:u w:val="single"/>
    </w:rPr>
  </w:style>
  <w:style w:type="paragraph" w:styleId="Heading2">
    <w:name w:val="heading 2"/>
    <w:basedOn w:val="Normal"/>
    <w:next w:val="Normal"/>
    <w:link w:val="Heading2Char"/>
    <w:uiPriority w:val="99"/>
    <w:semiHidden/>
    <w:unhideWhenUsed/>
    <w:qFormat/>
    <w:rsid w:val="003912CC"/>
    <w:pPr>
      <w:keepNext/>
      <w:tabs>
        <w:tab w:val="left" w:pos="-1440"/>
        <w:tab w:val="left" w:leader="do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12CC"/>
    <w:rPr>
      <w:rFonts w:ascii="Arial" w:eastAsia="Times New Roman" w:hAnsi="Arial" w:cs="Times New Roman"/>
      <w:b/>
      <w:bCs/>
      <w:spacing w:val="-3"/>
      <w:sz w:val="20"/>
      <w:szCs w:val="20"/>
      <w:u w:val="single"/>
    </w:rPr>
  </w:style>
  <w:style w:type="character" w:customStyle="1" w:styleId="Heading2Char">
    <w:name w:val="Heading 2 Char"/>
    <w:basedOn w:val="DefaultParagraphFont"/>
    <w:link w:val="Heading2"/>
    <w:uiPriority w:val="99"/>
    <w:semiHidden/>
    <w:rsid w:val="003912CC"/>
    <w:rPr>
      <w:rFonts w:ascii="Arial" w:eastAsia="Times New Roman" w:hAnsi="Arial" w:cs="Times New Roman"/>
      <w:b/>
      <w:bCs/>
      <w:sz w:val="20"/>
      <w:szCs w:val="20"/>
      <w:u w:val="single"/>
    </w:rPr>
  </w:style>
  <w:style w:type="paragraph" w:styleId="HTMLPreformatted">
    <w:name w:val="HTML Preformatted"/>
    <w:basedOn w:val="Normal"/>
    <w:link w:val="HTMLPreformattedChar"/>
    <w:uiPriority w:val="99"/>
    <w:semiHidden/>
    <w:unhideWhenUsed/>
    <w:rsid w:val="0039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3912CC"/>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3912CC"/>
    <w:rPr>
      <w:rFonts w:ascii="Univers Condensed" w:eastAsia="Times New Roman" w:hAnsi="Univers Condensed" w:cs="Times New Roman"/>
      <w:sz w:val="20"/>
      <w:szCs w:val="20"/>
    </w:rPr>
  </w:style>
  <w:style w:type="paragraph" w:styleId="FootnoteText">
    <w:name w:val="footnote text"/>
    <w:basedOn w:val="Normal"/>
    <w:link w:val="FootnoteTextChar"/>
    <w:uiPriority w:val="99"/>
    <w:semiHidden/>
    <w:unhideWhenUsed/>
    <w:rsid w:val="003912CC"/>
    <w:rPr>
      <w:rFonts w:ascii="Univers Condensed" w:hAnsi="Univers Condensed"/>
      <w:sz w:val="20"/>
      <w:szCs w:val="20"/>
    </w:rPr>
  </w:style>
  <w:style w:type="character" w:customStyle="1" w:styleId="CommentTextChar">
    <w:name w:val="Comment Text Char"/>
    <w:basedOn w:val="DefaultParagraphFont"/>
    <w:link w:val="CommentText"/>
    <w:uiPriority w:val="99"/>
    <w:semiHidden/>
    <w:rsid w:val="003912CC"/>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3912CC"/>
    <w:rPr>
      <w:sz w:val="20"/>
      <w:szCs w:val="20"/>
    </w:rPr>
  </w:style>
  <w:style w:type="character" w:customStyle="1" w:styleId="HeaderChar">
    <w:name w:val="Header Char"/>
    <w:basedOn w:val="DefaultParagraphFont"/>
    <w:link w:val="Header"/>
    <w:uiPriority w:val="99"/>
    <w:rsid w:val="003912C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912CC"/>
    <w:pPr>
      <w:tabs>
        <w:tab w:val="center" w:pos="4680"/>
        <w:tab w:val="right" w:pos="9360"/>
      </w:tabs>
    </w:pPr>
    <w:rPr>
      <w:sz w:val="20"/>
      <w:szCs w:val="20"/>
    </w:rPr>
  </w:style>
  <w:style w:type="character" w:customStyle="1" w:styleId="FooterChar">
    <w:name w:val="Footer Char"/>
    <w:basedOn w:val="DefaultParagraphFont"/>
    <w:link w:val="Footer"/>
    <w:uiPriority w:val="99"/>
    <w:rsid w:val="003912C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12CC"/>
    <w:pPr>
      <w:tabs>
        <w:tab w:val="center" w:pos="4680"/>
        <w:tab w:val="right" w:pos="9360"/>
      </w:tabs>
    </w:pPr>
    <w:rPr>
      <w:sz w:val="20"/>
      <w:szCs w:val="20"/>
    </w:rPr>
  </w:style>
  <w:style w:type="paragraph" w:styleId="BodyText">
    <w:name w:val="Body Text"/>
    <w:basedOn w:val="Normal"/>
    <w:link w:val="BodyTextChar"/>
    <w:uiPriority w:val="99"/>
    <w:semiHidden/>
    <w:unhideWhenUsed/>
    <w:rsid w:val="003912CC"/>
    <w:pPr>
      <w:widowControl w:val="0"/>
      <w:spacing w:after="120"/>
    </w:pPr>
    <w:rPr>
      <w:rFonts w:ascii="Courier" w:hAnsi="Courier"/>
      <w:sz w:val="20"/>
      <w:szCs w:val="20"/>
    </w:rPr>
  </w:style>
  <w:style w:type="character" w:customStyle="1" w:styleId="BodyTextChar">
    <w:name w:val="Body Text Char"/>
    <w:basedOn w:val="DefaultParagraphFont"/>
    <w:link w:val="BodyText"/>
    <w:uiPriority w:val="99"/>
    <w:semiHidden/>
    <w:rsid w:val="003912CC"/>
    <w:rPr>
      <w:rFonts w:ascii="Courier" w:eastAsia="Times New Roman" w:hAnsi="Courier" w:cs="Times New Roman"/>
      <w:sz w:val="20"/>
      <w:szCs w:val="20"/>
    </w:rPr>
  </w:style>
  <w:style w:type="character" w:customStyle="1" w:styleId="PlainTextChar">
    <w:name w:val="Plain Text Char"/>
    <w:basedOn w:val="DefaultParagraphFont"/>
    <w:link w:val="PlainText"/>
    <w:uiPriority w:val="99"/>
    <w:semiHidden/>
    <w:rsid w:val="003912CC"/>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3912CC"/>
    <w:rPr>
      <w:rFonts w:ascii="Courier New" w:hAnsi="Courier New"/>
      <w:sz w:val="20"/>
      <w:szCs w:val="20"/>
    </w:rPr>
  </w:style>
  <w:style w:type="character" w:customStyle="1" w:styleId="CommentSubjectChar">
    <w:name w:val="Comment Subject Char"/>
    <w:basedOn w:val="CommentTextChar"/>
    <w:link w:val="CommentSubject"/>
    <w:uiPriority w:val="99"/>
    <w:semiHidden/>
    <w:rsid w:val="003912C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912CC"/>
    <w:rPr>
      <w:b/>
      <w:bCs/>
    </w:rPr>
  </w:style>
  <w:style w:type="character" w:customStyle="1" w:styleId="BalloonTextChar">
    <w:name w:val="Balloon Text Char"/>
    <w:basedOn w:val="DefaultParagraphFont"/>
    <w:link w:val="BalloonText"/>
    <w:uiPriority w:val="99"/>
    <w:semiHidden/>
    <w:rsid w:val="003912CC"/>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3912CC"/>
    <w:rPr>
      <w:rFonts w:ascii="Tahoma" w:hAnsi="Tahoma"/>
      <w:sz w:val="16"/>
      <w:szCs w:val="16"/>
    </w:rPr>
  </w:style>
  <w:style w:type="paragraph" w:styleId="ListParagraph">
    <w:name w:val="List Paragraph"/>
    <w:basedOn w:val="Normal"/>
    <w:uiPriority w:val="99"/>
    <w:qFormat/>
    <w:rsid w:val="003912CC"/>
    <w:pPr>
      <w:widowControl w:val="0"/>
      <w:ind w:left="720"/>
    </w:pPr>
    <w:rPr>
      <w:rFonts w:ascii="Courier" w:hAnsi="Courier" w:cs="Courier"/>
    </w:rPr>
  </w:style>
  <w:style w:type="character" w:customStyle="1" w:styleId="QuickFormat1Char">
    <w:name w:val="QuickFormat1 Char"/>
    <w:link w:val="QuickFormat1"/>
    <w:uiPriority w:val="99"/>
    <w:semiHidden/>
    <w:locked/>
    <w:rsid w:val="003912CC"/>
    <w:rPr>
      <w:rFonts w:ascii="Times New Roman" w:hAnsi="Times New Roman" w:cs="Times New Roman"/>
      <w:b/>
      <w:color w:val="000000"/>
      <w:lang w:val="x-none" w:eastAsia="x-none"/>
    </w:rPr>
  </w:style>
  <w:style w:type="paragraph" w:customStyle="1" w:styleId="QuickFormat1">
    <w:name w:val="QuickFormat1"/>
    <w:basedOn w:val="Normal"/>
    <w:link w:val="QuickFormat1Char"/>
    <w:uiPriority w:val="99"/>
    <w:semiHidden/>
    <w:rsid w:val="003912CC"/>
    <w:pPr>
      <w:widowControl w:val="0"/>
      <w:snapToGrid w:val="0"/>
      <w:jc w:val="center"/>
    </w:pPr>
    <w:rPr>
      <w:rFonts w:eastAsiaTheme="minorHAnsi"/>
      <w:b/>
      <w:color w:val="000000"/>
      <w:sz w:val="22"/>
      <w:szCs w:val="22"/>
      <w:lang w:val="x-none" w:eastAsia="x-none"/>
    </w:rPr>
  </w:style>
  <w:style w:type="paragraph" w:customStyle="1" w:styleId="Default">
    <w:name w:val="Default"/>
    <w:uiPriority w:val="99"/>
    <w:semiHidden/>
    <w:rsid w:val="003912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EmptyCellLayoutStyle">
    <w:name w:val="EmptyCellLayoutStyle"/>
    <w:uiPriority w:val="99"/>
    <w:semiHidden/>
    <w:rsid w:val="003912CC"/>
    <w:pPr>
      <w:spacing w:line="256" w:lineRule="auto"/>
    </w:pPr>
    <w:rPr>
      <w:rFonts w:ascii="Times New Roman" w:eastAsia="Times New Roman" w:hAnsi="Times New Roman" w:cs="Times New Roman"/>
      <w:sz w:val="2"/>
      <w:szCs w:val="20"/>
    </w:rPr>
  </w:style>
  <w:style w:type="table" w:customStyle="1" w:styleId="TableGrid4">
    <w:name w:val="Table Grid4"/>
    <w:basedOn w:val="TableNormal"/>
    <w:next w:val="TableGrid"/>
    <w:rsid w:val="00A44C1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4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F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7532">
      <w:bodyDiv w:val="1"/>
      <w:marLeft w:val="0"/>
      <w:marRight w:val="0"/>
      <w:marTop w:val="0"/>
      <w:marBottom w:val="0"/>
      <w:divBdr>
        <w:top w:val="none" w:sz="0" w:space="0" w:color="auto"/>
        <w:left w:val="none" w:sz="0" w:space="0" w:color="auto"/>
        <w:bottom w:val="none" w:sz="0" w:space="0" w:color="auto"/>
        <w:right w:val="none" w:sz="0" w:space="0" w:color="auto"/>
      </w:divBdr>
    </w:div>
    <w:div w:id="280646489">
      <w:bodyDiv w:val="1"/>
      <w:marLeft w:val="0"/>
      <w:marRight w:val="0"/>
      <w:marTop w:val="0"/>
      <w:marBottom w:val="0"/>
      <w:divBdr>
        <w:top w:val="none" w:sz="0" w:space="0" w:color="auto"/>
        <w:left w:val="none" w:sz="0" w:space="0" w:color="auto"/>
        <w:bottom w:val="none" w:sz="0" w:space="0" w:color="auto"/>
        <w:right w:val="none" w:sz="0" w:space="0" w:color="auto"/>
      </w:divBdr>
    </w:div>
    <w:div w:id="900561812">
      <w:bodyDiv w:val="1"/>
      <w:marLeft w:val="0"/>
      <w:marRight w:val="0"/>
      <w:marTop w:val="0"/>
      <w:marBottom w:val="0"/>
      <w:divBdr>
        <w:top w:val="none" w:sz="0" w:space="0" w:color="auto"/>
        <w:left w:val="none" w:sz="0" w:space="0" w:color="auto"/>
        <w:bottom w:val="none" w:sz="0" w:space="0" w:color="auto"/>
        <w:right w:val="none" w:sz="0" w:space="0" w:color="auto"/>
      </w:divBdr>
    </w:div>
    <w:div w:id="958490514">
      <w:bodyDiv w:val="1"/>
      <w:marLeft w:val="0"/>
      <w:marRight w:val="0"/>
      <w:marTop w:val="0"/>
      <w:marBottom w:val="0"/>
      <w:divBdr>
        <w:top w:val="none" w:sz="0" w:space="0" w:color="auto"/>
        <w:left w:val="none" w:sz="0" w:space="0" w:color="auto"/>
        <w:bottom w:val="none" w:sz="0" w:space="0" w:color="auto"/>
        <w:right w:val="none" w:sz="0" w:space="0" w:color="auto"/>
      </w:divBdr>
    </w:div>
    <w:div w:id="1015612236">
      <w:bodyDiv w:val="1"/>
      <w:marLeft w:val="0"/>
      <w:marRight w:val="0"/>
      <w:marTop w:val="0"/>
      <w:marBottom w:val="0"/>
      <w:divBdr>
        <w:top w:val="none" w:sz="0" w:space="0" w:color="auto"/>
        <w:left w:val="none" w:sz="0" w:space="0" w:color="auto"/>
        <w:bottom w:val="none" w:sz="0" w:space="0" w:color="auto"/>
        <w:right w:val="none" w:sz="0" w:space="0" w:color="auto"/>
      </w:divBdr>
    </w:div>
    <w:div w:id="1109084588">
      <w:bodyDiv w:val="1"/>
      <w:marLeft w:val="0"/>
      <w:marRight w:val="0"/>
      <w:marTop w:val="0"/>
      <w:marBottom w:val="0"/>
      <w:divBdr>
        <w:top w:val="none" w:sz="0" w:space="0" w:color="auto"/>
        <w:left w:val="none" w:sz="0" w:space="0" w:color="auto"/>
        <w:bottom w:val="none" w:sz="0" w:space="0" w:color="auto"/>
        <w:right w:val="none" w:sz="0" w:space="0" w:color="auto"/>
      </w:divBdr>
    </w:div>
    <w:div w:id="1137379162">
      <w:bodyDiv w:val="1"/>
      <w:marLeft w:val="0"/>
      <w:marRight w:val="0"/>
      <w:marTop w:val="0"/>
      <w:marBottom w:val="0"/>
      <w:divBdr>
        <w:top w:val="none" w:sz="0" w:space="0" w:color="auto"/>
        <w:left w:val="none" w:sz="0" w:space="0" w:color="auto"/>
        <w:bottom w:val="none" w:sz="0" w:space="0" w:color="auto"/>
        <w:right w:val="none" w:sz="0" w:space="0" w:color="auto"/>
      </w:divBdr>
    </w:div>
    <w:div w:id="1190028737">
      <w:bodyDiv w:val="1"/>
      <w:marLeft w:val="0"/>
      <w:marRight w:val="0"/>
      <w:marTop w:val="0"/>
      <w:marBottom w:val="0"/>
      <w:divBdr>
        <w:top w:val="none" w:sz="0" w:space="0" w:color="auto"/>
        <w:left w:val="none" w:sz="0" w:space="0" w:color="auto"/>
        <w:bottom w:val="none" w:sz="0" w:space="0" w:color="auto"/>
        <w:right w:val="none" w:sz="0" w:space="0" w:color="auto"/>
      </w:divBdr>
    </w:div>
    <w:div w:id="1191333003">
      <w:bodyDiv w:val="1"/>
      <w:marLeft w:val="0"/>
      <w:marRight w:val="0"/>
      <w:marTop w:val="0"/>
      <w:marBottom w:val="0"/>
      <w:divBdr>
        <w:top w:val="none" w:sz="0" w:space="0" w:color="auto"/>
        <w:left w:val="none" w:sz="0" w:space="0" w:color="auto"/>
        <w:bottom w:val="none" w:sz="0" w:space="0" w:color="auto"/>
        <w:right w:val="none" w:sz="0" w:space="0" w:color="auto"/>
      </w:divBdr>
    </w:div>
    <w:div w:id="1238975655">
      <w:bodyDiv w:val="1"/>
      <w:marLeft w:val="0"/>
      <w:marRight w:val="0"/>
      <w:marTop w:val="0"/>
      <w:marBottom w:val="0"/>
      <w:divBdr>
        <w:top w:val="none" w:sz="0" w:space="0" w:color="auto"/>
        <w:left w:val="none" w:sz="0" w:space="0" w:color="auto"/>
        <w:bottom w:val="none" w:sz="0" w:space="0" w:color="auto"/>
        <w:right w:val="none" w:sz="0" w:space="0" w:color="auto"/>
      </w:divBdr>
    </w:div>
    <w:div w:id="1279684466">
      <w:bodyDiv w:val="1"/>
      <w:marLeft w:val="0"/>
      <w:marRight w:val="0"/>
      <w:marTop w:val="0"/>
      <w:marBottom w:val="0"/>
      <w:divBdr>
        <w:top w:val="none" w:sz="0" w:space="0" w:color="auto"/>
        <w:left w:val="none" w:sz="0" w:space="0" w:color="auto"/>
        <w:bottom w:val="none" w:sz="0" w:space="0" w:color="auto"/>
        <w:right w:val="none" w:sz="0" w:space="0" w:color="auto"/>
      </w:divBdr>
    </w:div>
    <w:div w:id="1428770420">
      <w:bodyDiv w:val="1"/>
      <w:marLeft w:val="0"/>
      <w:marRight w:val="0"/>
      <w:marTop w:val="0"/>
      <w:marBottom w:val="0"/>
      <w:divBdr>
        <w:top w:val="none" w:sz="0" w:space="0" w:color="auto"/>
        <w:left w:val="none" w:sz="0" w:space="0" w:color="auto"/>
        <w:bottom w:val="none" w:sz="0" w:space="0" w:color="auto"/>
        <w:right w:val="none" w:sz="0" w:space="0" w:color="auto"/>
      </w:divBdr>
    </w:div>
    <w:div w:id="1481730183">
      <w:bodyDiv w:val="1"/>
      <w:marLeft w:val="0"/>
      <w:marRight w:val="0"/>
      <w:marTop w:val="0"/>
      <w:marBottom w:val="0"/>
      <w:divBdr>
        <w:top w:val="none" w:sz="0" w:space="0" w:color="auto"/>
        <w:left w:val="none" w:sz="0" w:space="0" w:color="auto"/>
        <w:bottom w:val="none" w:sz="0" w:space="0" w:color="auto"/>
        <w:right w:val="none" w:sz="0" w:space="0" w:color="auto"/>
      </w:divBdr>
    </w:div>
    <w:div w:id="1699352134">
      <w:bodyDiv w:val="1"/>
      <w:marLeft w:val="0"/>
      <w:marRight w:val="0"/>
      <w:marTop w:val="0"/>
      <w:marBottom w:val="0"/>
      <w:divBdr>
        <w:top w:val="none" w:sz="0" w:space="0" w:color="auto"/>
        <w:left w:val="none" w:sz="0" w:space="0" w:color="auto"/>
        <w:bottom w:val="none" w:sz="0" w:space="0" w:color="auto"/>
        <w:right w:val="none" w:sz="0" w:space="0" w:color="auto"/>
      </w:divBdr>
    </w:div>
    <w:div w:id="1847285521">
      <w:bodyDiv w:val="1"/>
      <w:marLeft w:val="0"/>
      <w:marRight w:val="0"/>
      <w:marTop w:val="0"/>
      <w:marBottom w:val="0"/>
      <w:divBdr>
        <w:top w:val="none" w:sz="0" w:space="0" w:color="auto"/>
        <w:left w:val="none" w:sz="0" w:space="0" w:color="auto"/>
        <w:bottom w:val="none" w:sz="0" w:space="0" w:color="auto"/>
        <w:right w:val="none" w:sz="0" w:space="0" w:color="auto"/>
      </w:divBdr>
    </w:div>
    <w:div w:id="19668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0712-9453-4FC0-9760-EE736DA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6434</Words>
  <Characters>36676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Richard (DOB)</dc:creator>
  <cp:keywords/>
  <dc:description/>
  <cp:lastModifiedBy>Weydt, Irene (DOB)</cp:lastModifiedBy>
  <cp:revision>5</cp:revision>
  <cp:lastPrinted>2021-03-29T22:42:00Z</cp:lastPrinted>
  <dcterms:created xsi:type="dcterms:W3CDTF">2021-03-02T22:00:00Z</dcterms:created>
  <dcterms:modified xsi:type="dcterms:W3CDTF">2021-03-29T22:43:00Z</dcterms:modified>
</cp:coreProperties>
</file>