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8A50" w14:textId="77777777" w:rsidR="00F97AB4" w:rsidRDefault="000E6C50">
      <w:pPr>
        <w:tabs>
          <w:tab w:val="left" w:pos="9299"/>
        </w:tabs>
        <w:spacing w:line="23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35F9BFE">
          <v:group id="docshapegroup1" o:spid="_x0000_s1034" alt="Decorative-ignore" style="width:.6pt;height:1.2pt;mso-position-horizontal-relative:char;mso-position-vertical-relative:line" coordsize="12,24">
            <v:shape id="docshape2" o:spid="_x0000_s1035" style="position:absolute;width:12;height:24" coordsize="12,24" path="m,l,23,12,12,,xe" fillcolor="gray" stroked="f">
              <v:path arrowok="t"/>
            </v:shape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F2FF839">
          <v:group id="docshapegroup3" o:spid="_x0000_s1032" alt="Decorative-ignore" style="width:.6pt;height:1.2pt;mso-position-horizontal-relative:char;mso-position-vertical-relative:line" coordsize="12,24">
            <v:shape id="docshape4" o:spid="_x0000_s1033" style="position:absolute;width:12;height:24" coordsize="12,24" path="m12,l,12,12,23,12,xe" fillcolor="gray" stroked="f">
              <v:path arrowok="t"/>
            </v:shape>
            <w10:anchorlock/>
          </v:group>
        </w:pict>
      </w:r>
    </w:p>
    <w:p w14:paraId="2534FC5A" w14:textId="77777777" w:rsidR="00F97AB4" w:rsidRDefault="000E6C50">
      <w:pPr>
        <w:pStyle w:val="BodyText"/>
        <w:spacing w:before="10"/>
        <w:rPr>
          <w:rFonts w:ascii="Times New Roman"/>
          <w:sz w:val="27"/>
        </w:rPr>
      </w:pPr>
      <w:r>
        <w:pict w14:anchorId="4E52987E">
          <v:rect id="docshape5" o:spid="_x0000_s1031" alt="Decorative-ignore" style="position:absolute;margin-left:76.6pt;margin-top:17.25pt;width:458.8pt;height:.6pt;z-index:-15727616;mso-wrap-distance-left:0;mso-wrap-distance-right:0;mso-position-horizontal-relative:page" fillcolor="#e0e0e0" stroked="f">
            <w10:wrap type="topAndBottom" anchorx="page"/>
          </v:rect>
        </w:pict>
      </w:r>
    </w:p>
    <w:p w14:paraId="7CC1C1A3" w14:textId="77777777" w:rsidR="00F97AB4" w:rsidRDefault="000E6C50">
      <w:pPr>
        <w:pStyle w:val="BodyText"/>
        <w:spacing w:before="45"/>
        <w:ind w:left="112"/>
      </w:pPr>
      <w:r>
        <w:rPr>
          <w:rFonts w:ascii="Calibri"/>
          <w:b/>
        </w:rPr>
        <w:t xml:space="preserve">From: </w:t>
      </w:r>
      <w:r>
        <w:t>Bloom,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rPr>
          <w:spacing w:val="-2"/>
        </w:rPr>
        <w:t>&lt;</w:t>
      </w:r>
      <w:hyperlink r:id="rId5">
        <w:r>
          <w:rPr>
            <w:color w:val="0562C1"/>
            <w:spacing w:val="-2"/>
            <w:u w:val="single" w:color="0562C1"/>
          </w:rPr>
          <w:t>Crystal.Bloom@huschblackwell.com</w:t>
        </w:r>
      </w:hyperlink>
      <w:r>
        <w:rPr>
          <w:spacing w:val="-2"/>
        </w:rPr>
        <w:t>&gt;</w:t>
      </w:r>
    </w:p>
    <w:p w14:paraId="302E8C37" w14:textId="77777777" w:rsidR="00F97AB4" w:rsidRDefault="000E6C50">
      <w:pPr>
        <w:pStyle w:val="BodyText"/>
        <w:spacing w:before="23"/>
        <w:ind w:left="112"/>
      </w:pPr>
      <w:r>
        <w:rPr>
          <w:rFonts w:ascii="Calibri"/>
          <w:b/>
        </w:rPr>
        <w:t>Sent:</w:t>
      </w:r>
      <w:r>
        <w:rPr>
          <w:rFonts w:ascii="Calibri"/>
          <w:b/>
          <w:spacing w:val="4"/>
        </w:rPr>
        <w:t xml:space="preserve"> </w:t>
      </w:r>
      <w:r>
        <w:t>Monday,</w:t>
      </w:r>
      <w:r>
        <w:rPr>
          <w:spacing w:val="4"/>
        </w:rPr>
        <w:t xml:space="preserve"> </w:t>
      </w:r>
      <w:r>
        <w:t>February</w:t>
      </w:r>
      <w:r>
        <w:rPr>
          <w:spacing w:val="4"/>
        </w:rPr>
        <w:t xml:space="preserve"> </w:t>
      </w:r>
      <w:r>
        <w:t>13,</w:t>
      </w:r>
      <w:r>
        <w:rPr>
          <w:spacing w:val="4"/>
        </w:rPr>
        <w:t xml:space="preserve"> </w:t>
      </w:r>
      <w:proofErr w:type="gramStart"/>
      <w:r>
        <w:t>2023</w:t>
      </w:r>
      <w:proofErr w:type="gramEnd"/>
      <w:r>
        <w:rPr>
          <w:spacing w:val="4"/>
        </w:rPr>
        <w:t xml:space="preserve"> </w:t>
      </w:r>
      <w:r>
        <w:t>1:09</w:t>
      </w:r>
      <w:r>
        <w:rPr>
          <w:spacing w:val="4"/>
        </w:rPr>
        <w:t xml:space="preserve"> </w:t>
      </w:r>
      <w:r>
        <w:rPr>
          <w:spacing w:val="-5"/>
        </w:rPr>
        <w:t>PM</w:t>
      </w:r>
    </w:p>
    <w:p w14:paraId="04C5F985" w14:textId="77777777" w:rsidR="00F97AB4" w:rsidRDefault="000E6C50">
      <w:pPr>
        <w:pStyle w:val="BodyText"/>
        <w:spacing w:before="22" w:line="266" w:lineRule="auto"/>
        <w:ind w:left="112" w:right="181" w:hanging="1"/>
      </w:pPr>
      <w:r>
        <w:rPr>
          <w:rFonts w:ascii="Calibri"/>
          <w:b/>
        </w:rPr>
        <w:t xml:space="preserve">To: </w:t>
      </w:r>
      <w:r>
        <w:t>Allen, Jennica F. (DPH) &lt;</w:t>
      </w:r>
      <w:hyperlink r:id="rId6">
        <w:r>
          <w:rPr>
            <w:color w:val="0562C1"/>
            <w:u w:val="single" w:color="0562C1"/>
          </w:rPr>
          <w:t>jennica.f.allen@mass.gov</w:t>
        </w:r>
      </w:hyperlink>
      <w:r>
        <w:t>&gt;; del Rosario, Jessica (DPH) &lt;</w:t>
      </w:r>
      <w:hyperlink r:id="rId7">
        <w:r>
          <w:rPr>
            <w:color w:val="0562C1"/>
            <w:u w:val="single" w:color="0562C1"/>
          </w:rPr>
          <w:t>Jessica.delRosario@mass.gov</w:t>
        </w:r>
      </w:hyperlink>
      <w:r>
        <w:t>&gt;; Teague, Katelyn</w:t>
      </w:r>
      <w:r>
        <w:rPr>
          <w:spacing w:val="40"/>
        </w:rPr>
        <w:t xml:space="preserve"> </w:t>
      </w:r>
      <w:r>
        <w:t>(DPH) &lt;</w:t>
      </w:r>
      <w:hyperlink r:id="rId8">
        <w:r>
          <w:rPr>
            <w:color w:val="0562C1"/>
            <w:u w:val="single" w:color="0562C1"/>
          </w:rPr>
          <w:t>Katelyn.Teague@mass.gov</w:t>
        </w:r>
      </w:hyperlink>
      <w:r>
        <w:t>&gt;; Maffei, Elizabeth (DPH) &lt;</w:t>
      </w:r>
      <w:hyperlink r:id="rId9">
        <w:r>
          <w:rPr>
            <w:color w:val="0562C1"/>
            <w:u w:val="single" w:color="0562C1"/>
          </w:rPr>
          <w:t>elizabeth.maffei@mass.gov</w:t>
        </w:r>
      </w:hyperlink>
      <w:r>
        <w:t>&gt;; Renaud, Dennis (DPH)</w:t>
      </w:r>
    </w:p>
    <w:p w14:paraId="3A020722" w14:textId="77777777" w:rsidR="00F97AB4" w:rsidRDefault="000E6C50">
      <w:pPr>
        <w:pStyle w:val="BodyText"/>
        <w:ind w:left="112"/>
      </w:pPr>
      <w:r>
        <w:t>&lt;</w:t>
      </w:r>
      <w:hyperlink r:id="rId10">
        <w:r>
          <w:rPr>
            <w:color w:val="0562C1"/>
            <w:u w:val="single" w:color="0562C1"/>
          </w:rPr>
          <w:t>Dennis</w:t>
        </w:r>
        <w:r>
          <w:rPr>
            <w:color w:val="0562C1"/>
            <w:u w:val="single" w:color="0562C1"/>
          </w:rPr>
          <w:t>.Renaud@mass.gov</w:t>
        </w:r>
      </w:hyperlink>
      <w:r>
        <w:t>&gt;;</w:t>
      </w:r>
      <w:r>
        <w:rPr>
          <w:spacing w:val="5"/>
        </w:rPr>
        <w:t xml:space="preserve"> </w:t>
      </w:r>
      <w:r>
        <w:t>Conover,</w:t>
      </w:r>
      <w:r>
        <w:rPr>
          <w:spacing w:val="6"/>
        </w:rPr>
        <w:t xml:space="preserve"> </w:t>
      </w:r>
      <w:r>
        <w:t>Lynn</w:t>
      </w:r>
      <w:r>
        <w:rPr>
          <w:spacing w:val="6"/>
        </w:rPr>
        <w:t xml:space="preserve"> </w:t>
      </w:r>
      <w:r>
        <w:t>(DPH)</w:t>
      </w:r>
      <w:r>
        <w:rPr>
          <w:spacing w:val="6"/>
        </w:rPr>
        <w:t xml:space="preserve"> </w:t>
      </w:r>
      <w:r>
        <w:t>&lt;</w:t>
      </w:r>
      <w:hyperlink r:id="rId11">
        <w:r>
          <w:rPr>
            <w:color w:val="0562C1"/>
            <w:u w:val="single" w:color="0562C1"/>
          </w:rPr>
          <w:t>lynn.conover@mass.gov</w:t>
        </w:r>
      </w:hyperlink>
      <w:r>
        <w:t>&gt;;</w:t>
      </w:r>
      <w:r>
        <w:rPr>
          <w:spacing w:val="5"/>
        </w:rPr>
        <w:t xml:space="preserve"> </w:t>
      </w:r>
      <w:r>
        <w:t>Rodman,</w:t>
      </w:r>
      <w:r>
        <w:rPr>
          <w:spacing w:val="6"/>
        </w:rPr>
        <w:t xml:space="preserve"> </w:t>
      </w:r>
      <w:r>
        <w:t>Rebecca</w:t>
      </w:r>
      <w:r>
        <w:rPr>
          <w:spacing w:val="6"/>
        </w:rPr>
        <w:t xml:space="preserve"> </w:t>
      </w:r>
      <w:r>
        <w:rPr>
          <w:spacing w:val="-2"/>
        </w:rPr>
        <w:t>(DPH)</w:t>
      </w:r>
    </w:p>
    <w:p w14:paraId="7AD87672" w14:textId="77777777" w:rsidR="00F97AB4" w:rsidRDefault="000E6C50">
      <w:pPr>
        <w:pStyle w:val="BodyText"/>
        <w:spacing w:before="23"/>
        <w:ind w:left="112"/>
      </w:pPr>
      <w:r>
        <w:rPr>
          <w:spacing w:val="-2"/>
        </w:rPr>
        <w:t>&lt;</w:t>
      </w:r>
      <w:hyperlink r:id="rId12">
        <w:r>
          <w:rPr>
            <w:color w:val="0562C1"/>
            <w:spacing w:val="-2"/>
            <w:u w:val="single" w:color="0562C1"/>
          </w:rPr>
          <w:t>rebecca.rodman@mass.gov</w:t>
        </w:r>
      </w:hyperlink>
      <w:r>
        <w:rPr>
          <w:spacing w:val="-2"/>
        </w:rPr>
        <w:t>&gt;</w:t>
      </w:r>
    </w:p>
    <w:p w14:paraId="5D44DE1C" w14:textId="77777777" w:rsidR="00F97AB4" w:rsidRDefault="000E6C50">
      <w:pPr>
        <w:pStyle w:val="BodyText"/>
        <w:spacing w:before="23"/>
        <w:ind w:left="112"/>
      </w:pPr>
      <w:r>
        <w:rPr>
          <w:rFonts w:ascii="Calibri"/>
          <w:b/>
        </w:rPr>
        <w:t>Cc:</w:t>
      </w:r>
      <w:r>
        <w:rPr>
          <w:rFonts w:ascii="Calibri"/>
          <w:b/>
          <w:spacing w:val="-1"/>
        </w:rPr>
        <w:t xml:space="preserve"> </w:t>
      </w:r>
      <w:r>
        <w:t>Ciolfi,</w:t>
      </w:r>
      <w:r>
        <w:rPr>
          <w:spacing w:val="-1"/>
        </w:rPr>
        <w:t xml:space="preserve"> </w:t>
      </w:r>
      <w:r>
        <w:t>Kasey</w:t>
      </w:r>
      <w:r>
        <w:rPr>
          <w:spacing w:val="-1"/>
        </w:rPr>
        <w:t xml:space="preserve"> </w:t>
      </w:r>
      <w:r>
        <w:rPr>
          <w:spacing w:val="-2"/>
        </w:rPr>
        <w:t>&lt;</w:t>
      </w:r>
      <w:hyperlink r:id="rId13">
        <w:r>
          <w:rPr>
            <w:color w:val="0562C1"/>
            <w:spacing w:val="-2"/>
            <w:u w:val="single" w:color="0562C1"/>
          </w:rPr>
          <w:t>Kasey.Ciolfi@huschblackwell.com</w:t>
        </w:r>
      </w:hyperlink>
      <w:r>
        <w:rPr>
          <w:spacing w:val="-2"/>
        </w:rPr>
        <w:t>&gt;</w:t>
      </w:r>
    </w:p>
    <w:p w14:paraId="3609CB30" w14:textId="77777777" w:rsidR="00F97AB4" w:rsidRDefault="000E6C50">
      <w:pPr>
        <w:spacing w:before="23"/>
        <w:ind w:left="112"/>
        <w:rPr>
          <w:sz w:val="17"/>
        </w:rPr>
      </w:pPr>
      <w:r>
        <w:rPr>
          <w:rFonts w:ascii="Calibri"/>
          <w:b/>
          <w:sz w:val="17"/>
        </w:rPr>
        <w:t>Subject:</w:t>
      </w:r>
      <w:r>
        <w:rPr>
          <w:rFonts w:ascii="Calibri"/>
          <w:b/>
          <w:spacing w:val="3"/>
          <w:sz w:val="17"/>
        </w:rPr>
        <w:t xml:space="preserve"> </w:t>
      </w:r>
      <w:r>
        <w:rPr>
          <w:sz w:val="17"/>
        </w:rPr>
        <w:t>Navigator</w:t>
      </w:r>
      <w:r>
        <w:rPr>
          <w:spacing w:val="3"/>
          <w:sz w:val="17"/>
        </w:rPr>
        <w:t xml:space="preserve"> </w:t>
      </w:r>
      <w:r>
        <w:rPr>
          <w:sz w:val="17"/>
        </w:rPr>
        <w:t>Homes</w:t>
      </w:r>
      <w:r>
        <w:rPr>
          <w:spacing w:val="3"/>
          <w:sz w:val="17"/>
        </w:rPr>
        <w:t xml:space="preserve"> </w:t>
      </w:r>
      <w:r>
        <w:rPr>
          <w:sz w:val="17"/>
        </w:rPr>
        <w:t>Workforce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Housing</w:t>
      </w:r>
    </w:p>
    <w:p w14:paraId="30C4C34F" w14:textId="77777777" w:rsidR="00F97AB4" w:rsidRDefault="000E6C50">
      <w:pPr>
        <w:pStyle w:val="BodyText"/>
        <w:spacing w:before="9"/>
        <w:rPr>
          <w:sz w:val="18"/>
        </w:rPr>
      </w:pPr>
      <w:r>
        <w:pict w14:anchorId="51B1084B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0" type="#_x0000_t202" style="position:absolute;margin-left:76.6pt;margin-top:12.7pt;width:458.8pt;height:25.35pt;z-index:-15727104;mso-wrap-distance-left:0;mso-wrap-distance-right:0;mso-position-horizontal-relative:page" fillcolor="#f7f14f" stroked="f">
            <v:textbox inset="0,0,0,0">
              <w:txbxContent>
                <w:p w14:paraId="710AEB87" w14:textId="77777777" w:rsidR="00F97AB4" w:rsidRDefault="000E6C50">
                  <w:pPr>
                    <w:pStyle w:val="BodyText"/>
                    <w:spacing w:before="47" w:line="254" w:lineRule="auto"/>
                    <w:ind w:left="46" w:right="49"/>
                    <w:rPr>
                      <w:rFonts w:ascii="Arial"/>
                      <w:color w:val="000000"/>
                    </w:rPr>
                  </w:pPr>
                  <w:r>
                    <w:rPr>
                      <w:rFonts w:ascii="Arial"/>
                      <w:color w:val="000000"/>
                    </w:rPr>
                    <w:t>CAUTION: This email originated from a sender outside of the Commonwealth of Massachusetts mail system.</w:t>
                  </w:r>
                  <w:r>
                    <w:rPr>
                      <w:rFonts w:ascii="Arial"/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</w:rPr>
                    <w:t>Do not click on links or open attachments unless you recognize the sender and know the content is safe.</w:t>
                  </w:r>
                </w:p>
              </w:txbxContent>
            </v:textbox>
            <w10:wrap type="topAndBottom" anchorx="page"/>
          </v:shape>
        </w:pict>
      </w:r>
    </w:p>
    <w:p w14:paraId="0785837F" w14:textId="77777777" w:rsidR="00F97AB4" w:rsidRDefault="00F97AB4">
      <w:pPr>
        <w:pStyle w:val="BodyText"/>
        <w:rPr>
          <w:sz w:val="16"/>
        </w:rPr>
      </w:pPr>
    </w:p>
    <w:p w14:paraId="281251CA" w14:textId="77777777" w:rsidR="00F97AB4" w:rsidRDefault="00F97AB4">
      <w:pPr>
        <w:pStyle w:val="BodyText"/>
        <w:spacing w:before="10"/>
      </w:pPr>
    </w:p>
    <w:p w14:paraId="61D88421" w14:textId="77777777" w:rsidR="00F97AB4" w:rsidRDefault="000E6C50">
      <w:pPr>
        <w:pStyle w:val="BodyText"/>
        <w:spacing w:before="1"/>
        <w:ind w:left="112"/>
      </w:pPr>
      <w:r>
        <w:rPr>
          <w:spacing w:val="-2"/>
        </w:rPr>
        <w:t>Hello,</w:t>
      </w:r>
    </w:p>
    <w:p w14:paraId="4A51C659" w14:textId="77777777" w:rsidR="00F97AB4" w:rsidRDefault="00F97AB4">
      <w:pPr>
        <w:pStyle w:val="BodyText"/>
        <w:spacing w:before="8"/>
        <w:rPr>
          <w:sz w:val="20"/>
        </w:rPr>
      </w:pPr>
    </w:p>
    <w:p w14:paraId="3E330E70" w14:textId="77777777" w:rsidR="00F97AB4" w:rsidRDefault="000E6C50">
      <w:pPr>
        <w:pStyle w:val="BodyText"/>
        <w:ind w:left="112"/>
      </w:pPr>
      <w:r>
        <w:t>Thank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discussion</w:t>
      </w:r>
      <w:r>
        <w:rPr>
          <w:spacing w:val="4"/>
        </w:rPr>
        <w:t xml:space="preserve"> </w:t>
      </w:r>
      <w:r>
        <w:t>last</w:t>
      </w:r>
      <w:r>
        <w:rPr>
          <w:spacing w:val="3"/>
        </w:rPr>
        <w:t xml:space="preserve"> </w:t>
      </w:r>
      <w:r>
        <w:t>week.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follow-up,</w:t>
      </w:r>
      <w:r>
        <w:rPr>
          <w:spacing w:val="4"/>
        </w:rPr>
        <w:t xml:space="preserve"> </w:t>
      </w:r>
      <w:r>
        <w:t>please</w:t>
      </w:r>
      <w:r>
        <w:rPr>
          <w:spacing w:val="3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assist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2"/>
        </w:rPr>
        <w:t>review.</w:t>
      </w:r>
    </w:p>
    <w:p w14:paraId="47BDAAD1" w14:textId="77777777" w:rsidR="00F97AB4" w:rsidRDefault="00F97AB4">
      <w:pPr>
        <w:pStyle w:val="BodyText"/>
        <w:spacing w:before="9"/>
        <w:rPr>
          <w:sz w:val="20"/>
        </w:rPr>
      </w:pPr>
    </w:p>
    <w:p w14:paraId="524EDC61" w14:textId="77777777" w:rsidR="00F97AB4" w:rsidRDefault="000E6C50">
      <w:pPr>
        <w:pStyle w:val="ListParagraph"/>
        <w:numPr>
          <w:ilvl w:val="0"/>
          <w:numId w:val="1"/>
        </w:numPr>
        <w:tabs>
          <w:tab w:val="left" w:pos="573"/>
        </w:tabs>
        <w:spacing w:line="266" w:lineRule="auto"/>
        <w:ind w:right="400"/>
        <w:rPr>
          <w:sz w:val="17"/>
        </w:rPr>
      </w:pPr>
      <w:r>
        <w:rPr>
          <w:sz w:val="17"/>
        </w:rPr>
        <w:t>The Purchase and Sale agreement between Martha’s Vineyard Hospital (Seller) and Navigator (Buyer)</w:t>
      </w:r>
      <w:r>
        <w:rPr>
          <w:spacing w:val="40"/>
          <w:sz w:val="17"/>
        </w:rPr>
        <w:t xml:space="preserve"> </w:t>
      </w:r>
      <w:r>
        <w:rPr>
          <w:sz w:val="17"/>
        </w:rPr>
        <w:t>for the sale of</w:t>
      </w:r>
      <w:r>
        <w:rPr>
          <w:spacing w:val="40"/>
          <w:sz w:val="17"/>
        </w:rPr>
        <w:t xml:space="preserve"> </w:t>
      </w:r>
      <w:r>
        <w:rPr>
          <w:sz w:val="17"/>
        </w:rPr>
        <w:t>Windemere includes a provision related to workforce housing. This provision is in effect as the transaction closed last year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and Navigator is </w:t>
      </w:r>
      <w:r>
        <w:rPr>
          <w:sz w:val="17"/>
        </w:rPr>
        <w:t>now the owner of Windemere. While the formal agreement noted in the provision below has not been</w:t>
      </w:r>
      <w:r>
        <w:rPr>
          <w:spacing w:val="40"/>
          <w:sz w:val="17"/>
        </w:rPr>
        <w:t xml:space="preserve"> </w:t>
      </w:r>
      <w:r>
        <w:rPr>
          <w:sz w:val="17"/>
        </w:rPr>
        <w:t>developed as it is premature, the provision includes a commitment to providing workforce housing for 10 years from the</w:t>
      </w:r>
      <w:r>
        <w:rPr>
          <w:spacing w:val="40"/>
          <w:sz w:val="17"/>
        </w:rPr>
        <w:t xml:space="preserve"> </w:t>
      </w:r>
      <w:r>
        <w:rPr>
          <w:sz w:val="17"/>
        </w:rPr>
        <w:t>opening of the new facility with the abi</w:t>
      </w:r>
      <w:r>
        <w:rPr>
          <w:sz w:val="17"/>
        </w:rPr>
        <w:t>lity to extend two times for 5 years each. Please see excerpt below.</w:t>
      </w:r>
    </w:p>
    <w:p w14:paraId="366967E1" w14:textId="77777777" w:rsidR="00F97AB4" w:rsidRDefault="000E6C50">
      <w:pPr>
        <w:pStyle w:val="BodyText"/>
        <w:spacing w:before="3"/>
        <w:rPr>
          <w:sz w:val="12"/>
        </w:rPr>
      </w:pPr>
      <w:r>
        <w:pict w14:anchorId="0F97FC04">
          <v:shape id="docshape7" o:spid="_x0000_s1029" alt="Decorative-ignore" style="position:absolute;margin-left:76.6pt;margin-top:8.7pt;width:2pt;height:.1pt;z-index:-15726592;mso-wrap-distance-left:0;mso-wrap-distance-right:0;mso-position-horizontal-relative:page" coordorigin="1532,174" coordsize="40,0" path="m1532,174r39,e" filled="f" strokeweight=".58pt">
            <v:path arrowok="t"/>
            <w10:wrap type="topAndBottom" anchorx="page"/>
          </v:shape>
        </w:pict>
      </w:r>
    </w:p>
    <w:p w14:paraId="04C2F922" w14:textId="77777777" w:rsidR="00F97AB4" w:rsidRDefault="000E6C50">
      <w:pPr>
        <w:spacing w:before="51" w:line="266" w:lineRule="auto"/>
        <w:ind w:left="112" w:right="181" w:hanging="1"/>
        <w:rPr>
          <w:i/>
          <w:sz w:val="17"/>
        </w:rPr>
      </w:pPr>
      <w:r>
        <w:rPr>
          <w:i/>
          <w:sz w:val="17"/>
          <w:u w:val="single"/>
        </w:rPr>
        <w:t>Workforce Housing Agreement</w:t>
      </w:r>
      <w:r>
        <w:rPr>
          <w:i/>
          <w:sz w:val="17"/>
        </w:rPr>
        <w:t>.</w:t>
      </w:r>
      <w:r>
        <w:rPr>
          <w:i/>
          <w:spacing w:val="80"/>
          <w:sz w:val="17"/>
        </w:rPr>
        <w:t xml:space="preserve"> </w:t>
      </w:r>
      <w:r>
        <w:rPr>
          <w:i/>
          <w:sz w:val="17"/>
        </w:rPr>
        <w:t>Within three (3) months of with the execution of this Agreement, Seller and Buyer shall enter into 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Workforce Housing Agreement, which shall provide, among</w:t>
      </w:r>
      <w:r>
        <w:rPr>
          <w:i/>
          <w:sz w:val="17"/>
        </w:rPr>
        <w:t xml:space="preserve"> other things, that Seller, or its Affiliates, shall provide Buyer, for use by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Buyer’s employees, access to thirty (30) beds of workforce housing in the Workforce Housing.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The Workforce Housing Agreement</w:t>
      </w:r>
      <w:r>
        <w:rPr>
          <w:i/>
          <w:spacing w:val="80"/>
          <w:sz w:val="17"/>
        </w:rPr>
        <w:t xml:space="preserve"> </w:t>
      </w:r>
      <w:r>
        <w:rPr>
          <w:i/>
          <w:sz w:val="17"/>
        </w:rPr>
        <w:t>shall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also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provide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that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if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Workforce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Housing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is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not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open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available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for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use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when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New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Facility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opens,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Seller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or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its</w:t>
      </w:r>
      <w:r>
        <w:rPr>
          <w:i/>
          <w:spacing w:val="11"/>
          <w:sz w:val="17"/>
        </w:rPr>
        <w:t xml:space="preserve"> </w:t>
      </w:r>
      <w:r>
        <w:rPr>
          <w:i/>
          <w:sz w:val="17"/>
        </w:rPr>
        <w:t>Affiliate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will provide access to thirty (30) beds for use by Buyer’s employees in housing Seller or its Affiliates own, control, or lease.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The rent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 xml:space="preserve">charged to Buyer’s employees at the Workforce Housing, or at such other housing provided by Seller or its Affiliates, </w:t>
      </w:r>
      <w:r>
        <w:rPr>
          <w:i/>
          <w:sz w:val="17"/>
        </w:rPr>
        <w:t>shall be at 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discount from market and no higher than subsidized rent generally charged to employees of Seller or its Affiliates in housing owned,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controlled, or leased by Seller or its Affiliates.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If the Workforce Housing Agreement is not executed, this S</w:t>
      </w:r>
      <w:r>
        <w:rPr>
          <w:i/>
          <w:sz w:val="17"/>
        </w:rPr>
        <w:t>ection 17(k) shall bind Seller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to the same extent as if the Workforce Housing Agreement is executed.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Notwithstanding the foregoing, if Seller does not build or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operate the Workforce Housing, it shall be obligated to fulfill all of its obligations in this S</w:t>
      </w:r>
      <w:r>
        <w:rPr>
          <w:i/>
          <w:sz w:val="17"/>
        </w:rPr>
        <w:t>ection 17(k) for a period of ten (10) years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 xml:space="preserve">from the opening of the New Facility, with two </w:t>
      </w:r>
      <w:proofErr w:type="gramStart"/>
      <w:r>
        <w:rPr>
          <w:i/>
          <w:sz w:val="17"/>
        </w:rPr>
        <w:t>five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year</w:t>
      </w:r>
      <w:proofErr w:type="gramEnd"/>
      <w:r>
        <w:rPr>
          <w:i/>
          <w:sz w:val="17"/>
        </w:rPr>
        <w:t xml:space="preserve"> extensions requiring the approval of both Seller and Buyer, not to be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unreasonably withheld, conditioned, or delayed.</w:t>
      </w:r>
    </w:p>
    <w:p w14:paraId="46DC5163" w14:textId="77777777" w:rsidR="00F97AB4" w:rsidRDefault="00F97AB4">
      <w:pPr>
        <w:pStyle w:val="BodyText"/>
        <w:spacing w:before="8"/>
        <w:rPr>
          <w:i/>
          <w:sz w:val="18"/>
        </w:rPr>
      </w:pPr>
    </w:p>
    <w:p w14:paraId="0D2B1A1C" w14:textId="77777777" w:rsidR="00F97AB4" w:rsidRDefault="000E6C50">
      <w:pPr>
        <w:pStyle w:val="ListParagraph"/>
        <w:numPr>
          <w:ilvl w:val="0"/>
          <w:numId w:val="1"/>
        </w:numPr>
        <w:tabs>
          <w:tab w:val="left" w:pos="573"/>
        </w:tabs>
        <w:spacing w:before="1" w:line="266" w:lineRule="auto"/>
        <w:ind w:right="509"/>
        <w:rPr>
          <w:sz w:val="17"/>
        </w:rPr>
      </w:pPr>
      <w:r>
        <w:rPr>
          <w:sz w:val="17"/>
        </w:rPr>
        <w:t>MVH currently leases 85 units of hou</w:t>
      </w:r>
      <w:r>
        <w:rPr>
          <w:sz w:val="17"/>
        </w:rPr>
        <w:t>sing and owns 7 units. Eighty of the leased units are long term and five are seasonal</w:t>
      </w:r>
      <w:r>
        <w:rPr>
          <w:spacing w:val="40"/>
          <w:sz w:val="17"/>
        </w:rPr>
        <w:t xml:space="preserve"> </w:t>
      </w:r>
      <w:r>
        <w:rPr>
          <w:sz w:val="17"/>
        </w:rPr>
        <w:t>rentals. Of this, 25-30 units are typically utilized by Windemere staff.</w:t>
      </w:r>
      <w:r>
        <w:rPr>
          <w:spacing w:val="40"/>
          <w:sz w:val="17"/>
        </w:rPr>
        <w:t xml:space="preserve"> </w:t>
      </w:r>
      <w:r>
        <w:rPr>
          <w:sz w:val="17"/>
        </w:rPr>
        <w:t>With respect to the new housing, MVH may hire a</w:t>
      </w:r>
      <w:r>
        <w:rPr>
          <w:spacing w:val="40"/>
          <w:sz w:val="17"/>
        </w:rPr>
        <w:t xml:space="preserve"> </w:t>
      </w:r>
      <w:r>
        <w:rPr>
          <w:sz w:val="17"/>
        </w:rPr>
        <w:t>manager to operate it.</w:t>
      </w:r>
    </w:p>
    <w:p w14:paraId="4995612A" w14:textId="77777777" w:rsidR="00F97AB4" w:rsidRDefault="00F97AB4" w:rsidP="000E6C50">
      <w:pPr>
        <w:pStyle w:val="BodyText"/>
        <w:tabs>
          <w:tab w:val="left" w:pos="2160"/>
        </w:tabs>
        <w:spacing w:before="9"/>
        <w:rPr>
          <w:sz w:val="18"/>
        </w:rPr>
      </w:pPr>
    </w:p>
    <w:p w14:paraId="02BD5C8E" w14:textId="77777777" w:rsidR="00F97AB4" w:rsidRDefault="000E6C50">
      <w:pPr>
        <w:pStyle w:val="ListParagraph"/>
        <w:numPr>
          <w:ilvl w:val="0"/>
          <w:numId w:val="1"/>
        </w:numPr>
        <w:tabs>
          <w:tab w:val="left" w:pos="573"/>
        </w:tabs>
        <w:spacing w:before="1" w:line="266" w:lineRule="auto"/>
        <w:ind w:right="315"/>
        <w:rPr>
          <w:sz w:val="17"/>
        </w:rPr>
      </w:pPr>
      <w:r>
        <w:rPr>
          <w:sz w:val="17"/>
        </w:rPr>
        <w:t>The Applicant and MVH wer</w:t>
      </w:r>
      <w:r>
        <w:rPr>
          <w:sz w:val="17"/>
        </w:rPr>
        <w:t>e required to seek approval from the Martha’s Vineyard Commission (MVC) for the workforce</w:t>
      </w:r>
      <w:r>
        <w:rPr>
          <w:spacing w:val="40"/>
          <w:sz w:val="17"/>
        </w:rPr>
        <w:t xml:space="preserve"> </w:t>
      </w:r>
      <w:r>
        <w:rPr>
          <w:sz w:val="17"/>
        </w:rPr>
        <w:t>housing and the new skilled nursing facility. The following materials provide information regarding the new housing, as well</w:t>
      </w:r>
      <w:r>
        <w:rPr>
          <w:spacing w:val="40"/>
          <w:sz w:val="17"/>
        </w:rPr>
        <w:t xml:space="preserve"> </w:t>
      </w:r>
      <w:r>
        <w:rPr>
          <w:sz w:val="17"/>
        </w:rPr>
        <w:t>as studies providing data on the island’s</w:t>
      </w:r>
      <w:r>
        <w:rPr>
          <w:sz w:val="17"/>
        </w:rPr>
        <w:t xml:space="preserve"> housing needs. We have highlighted relevant sections as some documents are</w:t>
      </w:r>
      <w:r>
        <w:rPr>
          <w:spacing w:val="40"/>
          <w:sz w:val="17"/>
        </w:rPr>
        <w:t xml:space="preserve"> </w:t>
      </w:r>
      <w:r>
        <w:rPr>
          <w:sz w:val="17"/>
        </w:rPr>
        <w:t>lengthy and cover other topics.</w:t>
      </w:r>
    </w:p>
    <w:p w14:paraId="35947453" w14:textId="77777777" w:rsidR="00F97AB4" w:rsidRDefault="00F97AB4">
      <w:pPr>
        <w:pStyle w:val="BodyText"/>
        <w:spacing w:before="9"/>
        <w:rPr>
          <w:sz w:val="18"/>
        </w:rPr>
      </w:pPr>
    </w:p>
    <w:p w14:paraId="1B3F6B99" w14:textId="77777777" w:rsidR="00F97AB4" w:rsidRDefault="000E6C50">
      <w:pPr>
        <w:pStyle w:val="ListParagraph"/>
        <w:numPr>
          <w:ilvl w:val="1"/>
          <w:numId w:val="1"/>
        </w:numPr>
        <w:tabs>
          <w:tab w:val="left" w:pos="1034"/>
        </w:tabs>
        <w:spacing w:line="266" w:lineRule="auto"/>
        <w:ind w:right="648"/>
        <w:rPr>
          <w:sz w:val="17"/>
        </w:rPr>
      </w:pPr>
      <w:r>
        <w:rPr>
          <w:sz w:val="17"/>
        </w:rPr>
        <w:t>Navigator/MVH’s Application for DRI review- This is the narrative that was filed with MVC to explain the housing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proposal.</w:t>
      </w:r>
    </w:p>
    <w:p w14:paraId="6B0F9616" w14:textId="77777777" w:rsidR="00F97AB4" w:rsidRDefault="000E6C50">
      <w:pPr>
        <w:pStyle w:val="ListParagraph"/>
        <w:numPr>
          <w:ilvl w:val="1"/>
          <w:numId w:val="1"/>
        </w:numPr>
        <w:tabs>
          <w:tab w:val="left" w:pos="1034"/>
        </w:tabs>
        <w:spacing w:line="207" w:lineRule="exact"/>
        <w:ind w:hanging="209"/>
        <w:rPr>
          <w:sz w:val="17"/>
        </w:rPr>
      </w:pPr>
      <w:r>
        <w:rPr>
          <w:sz w:val="17"/>
        </w:rPr>
        <w:t>MVC</w:t>
      </w:r>
      <w:r>
        <w:rPr>
          <w:spacing w:val="3"/>
          <w:sz w:val="17"/>
        </w:rPr>
        <w:t xml:space="preserve"> </w:t>
      </w:r>
      <w:r>
        <w:rPr>
          <w:sz w:val="17"/>
        </w:rPr>
        <w:t>Decision</w:t>
      </w:r>
      <w:r>
        <w:rPr>
          <w:spacing w:val="3"/>
          <w:sz w:val="17"/>
        </w:rPr>
        <w:t xml:space="preserve"> </w:t>
      </w:r>
      <w:r>
        <w:rPr>
          <w:sz w:val="17"/>
        </w:rPr>
        <w:t>on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Applicat</w:t>
      </w:r>
      <w:r>
        <w:rPr>
          <w:spacing w:val="-2"/>
          <w:sz w:val="17"/>
        </w:rPr>
        <w:t>ion</w:t>
      </w:r>
    </w:p>
    <w:p w14:paraId="4FFDAB19" w14:textId="77777777" w:rsidR="00F97AB4" w:rsidRDefault="000E6C50">
      <w:pPr>
        <w:pStyle w:val="ListParagraph"/>
        <w:numPr>
          <w:ilvl w:val="1"/>
          <w:numId w:val="1"/>
        </w:numPr>
        <w:tabs>
          <w:tab w:val="left" w:pos="1034"/>
        </w:tabs>
        <w:spacing w:before="23" w:line="266" w:lineRule="auto"/>
        <w:ind w:right="496" w:hanging="196"/>
        <w:rPr>
          <w:sz w:val="17"/>
        </w:rPr>
      </w:pPr>
      <w:r>
        <w:rPr>
          <w:sz w:val="17"/>
        </w:rPr>
        <w:t>MVC’s Policy for Developments of Regional Impact: Housing Policy- This is the policy utilized by MVC to review the</w:t>
      </w:r>
      <w:r>
        <w:rPr>
          <w:spacing w:val="40"/>
          <w:sz w:val="17"/>
        </w:rPr>
        <w:t xml:space="preserve"> </w:t>
      </w:r>
      <w:r>
        <w:rPr>
          <w:sz w:val="17"/>
        </w:rPr>
        <w:t>application filed by Navigator/MVC seeking approval to develop the housing.</w:t>
      </w:r>
    </w:p>
    <w:p w14:paraId="5199C781" w14:textId="77777777" w:rsidR="00F97AB4" w:rsidRDefault="000E6C50">
      <w:pPr>
        <w:pStyle w:val="ListParagraph"/>
        <w:numPr>
          <w:ilvl w:val="1"/>
          <w:numId w:val="1"/>
        </w:numPr>
        <w:tabs>
          <w:tab w:val="left" w:pos="1034"/>
        </w:tabs>
        <w:spacing w:line="207" w:lineRule="exact"/>
        <w:ind w:hanging="209"/>
        <w:rPr>
          <w:sz w:val="17"/>
        </w:rPr>
      </w:pPr>
      <w:r>
        <w:rPr>
          <w:sz w:val="17"/>
        </w:rPr>
        <w:t>Martha’s</w:t>
      </w:r>
      <w:r>
        <w:rPr>
          <w:spacing w:val="1"/>
          <w:sz w:val="17"/>
        </w:rPr>
        <w:t xml:space="preserve"> </w:t>
      </w:r>
      <w:r>
        <w:rPr>
          <w:sz w:val="17"/>
        </w:rPr>
        <w:t>Vineyard</w:t>
      </w:r>
      <w:r>
        <w:rPr>
          <w:spacing w:val="1"/>
          <w:sz w:val="17"/>
        </w:rPr>
        <w:t xml:space="preserve"> </w:t>
      </w:r>
      <w:r>
        <w:rPr>
          <w:sz w:val="17"/>
        </w:rPr>
        <w:t>Housing</w:t>
      </w:r>
      <w:r>
        <w:rPr>
          <w:spacing w:val="1"/>
          <w:sz w:val="17"/>
        </w:rPr>
        <w:t xml:space="preserve"> </w:t>
      </w:r>
      <w:r>
        <w:rPr>
          <w:sz w:val="17"/>
        </w:rPr>
        <w:t>Needs</w:t>
      </w:r>
      <w:r>
        <w:rPr>
          <w:spacing w:val="2"/>
          <w:sz w:val="17"/>
        </w:rPr>
        <w:t xml:space="preserve"> </w:t>
      </w:r>
      <w:r>
        <w:rPr>
          <w:sz w:val="17"/>
        </w:rPr>
        <w:t>Assessment</w:t>
      </w:r>
      <w:r>
        <w:rPr>
          <w:spacing w:val="1"/>
          <w:sz w:val="17"/>
        </w:rPr>
        <w:t xml:space="preserve"> </w:t>
      </w:r>
      <w:r>
        <w:rPr>
          <w:sz w:val="17"/>
        </w:rPr>
        <w:t>2020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Update</w:t>
      </w:r>
    </w:p>
    <w:p w14:paraId="13878F82" w14:textId="77777777" w:rsidR="00F97AB4" w:rsidRDefault="000E6C50">
      <w:pPr>
        <w:pStyle w:val="ListParagraph"/>
        <w:numPr>
          <w:ilvl w:val="1"/>
          <w:numId w:val="1"/>
        </w:numPr>
        <w:tabs>
          <w:tab w:val="left" w:pos="1034"/>
        </w:tabs>
        <w:spacing w:before="23"/>
        <w:ind w:hanging="209"/>
        <w:rPr>
          <w:sz w:val="17"/>
        </w:rPr>
      </w:pPr>
      <w:r>
        <w:rPr>
          <w:sz w:val="17"/>
        </w:rPr>
        <w:t>Martha’s</w:t>
      </w:r>
      <w:r>
        <w:rPr>
          <w:spacing w:val="3"/>
          <w:sz w:val="17"/>
        </w:rPr>
        <w:t xml:space="preserve"> </w:t>
      </w:r>
      <w:r>
        <w:rPr>
          <w:sz w:val="17"/>
        </w:rPr>
        <w:t>Vineyard</w:t>
      </w:r>
      <w:r>
        <w:rPr>
          <w:spacing w:val="4"/>
          <w:sz w:val="17"/>
        </w:rPr>
        <w:t xml:space="preserve"> </w:t>
      </w:r>
      <w:r>
        <w:rPr>
          <w:sz w:val="17"/>
        </w:rPr>
        <w:t>Statistical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Profile</w:t>
      </w:r>
    </w:p>
    <w:p w14:paraId="52993A6E" w14:textId="77777777" w:rsidR="00F97AB4" w:rsidRDefault="00F97AB4">
      <w:pPr>
        <w:rPr>
          <w:sz w:val="17"/>
        </w:rPr>
        <w:sectPr w:rsidR="00F97AB4">
          <w:type w:val="continuous"/>
          <w:pgSz w:w="12240" w:h="15840"/>
          <w:pgMar w:top="1820" w:right="1380" w:bottom="280" w:left="1420" w:header="720" w:footer="720" w:gutter="0"/>
          <w:cols w:space="720"/>
        </w:sectPr>
      </w:pPr>
    </w:p>
    <w:p w14:paraId="5B635D62" w14:textId="77777777" w:rsidR="00F97AB4" w:rsidRDefault="000E6C50">
      <w:pPr>
        <w:pStyle w:val="ListParagraph"/>
        <w:numPr>
          <w:ilvl w:val="0"/>
          <w:numId w:val="1"/>
        </w:numPr>
        <w:tabs>
          <w:tab w:val="left" w:pos="573"/>
        </w:tabs>
        <w:spacing w:before="42" w:line="266" w:lineRule="auto"/>
        <w:ind w:right="520"/>
        <w:rPr>
          <w:sz w:val="17"/>
        </w:rPr>
      </w:pPr>
      <w:r>
        <w:rPr>
          <w:sz w:val="17"/>
        </w:rPr>
        <w:lastRenderedPageBreak/>
        <w:t>As noted in the attached DRI application, Dukes County Regional Housing Authority will set the rents for the housing and</w:t>
      </w:r>
      <w:r>
        <w:rPr>
          <w:spacing w:val="40"/>
          <w:sz w:val="17"/>
        </w:rPr>
        <w:t xml:space="preserve"> </w:t>
      </w:r>
      <w:r>
        <w:rPr>
          <w:sz w:val="17"/>
        </w:rPr>
        <w:t>carry out the application process. The following documents</w:t>
      </w:r>
    </w:p>
    <w:p w14:paraId="0E026720" w14:textId="77777777" w:rsidR="00F97AB4" w:rsidRDefault="000E6C50">
      <w:pPr>
        <w:pStyle w:val="BodyText"/>
        <w:spacing w:line="207" w:lineRule="exact"/>
        <w:ind w:left="860"/>
      </w:pPr>
      <w:r>
        <w:t>f.</w:t>
      </w:r>
      <w:r>
        <w:rPr>
          <w:spacing w:val="45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Dukes County</w:t>
      </w:r>
      <w:r>
        <w:rPr>
          <w:spacing w:val="1"/>
        </w:rPr>
        <w:t xml:space="preserve"> </w:t>
      </w:r>
      <w:r>
        <w:t xml:space="preserve">Income </w:t>
      </w:r>
      <w:r>
        <w:rPr>
          <w:spacing w:val="-2"/>
        </w:rPr>
        <w:t>Chart</w:t>
      </w:r>
    </w:p>
    <w:p w14:paraId="0D3AE708" w14:textId="77777777" w:rsidR="00F97AB4" w:rsidRDefault="000E6C50">
      <w:pPr>
        <w:pStyle w:val="BodyText"/>
        <w:spacing w:before="22"/>
        <w:ind w:left="825"/>
      </w:pPr>
      <w:r>
        <w:t>g.</w:t>
      </w:r>
      <w:r>
        <w:rPr>
          <w:spacing w:val="45"/>
        </w:rPr>
        <w:t xml:space="preserve"> </w:t>
      </w:r>
      <w:r>
        <w:t xml:space="preserve">Housing Application currently used by </w:t>
      </w:r>
      <w:r>
        <w:rPr>
          <w:spacing w:val="-2"/>
        </w:rPr>
        <w:t>D</w:t>
      </w:r>
      <w:r>
        <w:rPr>
          <w:spacing w:val="-2"/>
        </w:rPr>
        <w:t>CRHA</w:t>
      </w:r>
    </w:p>
    <w:p w14:paraId="27BDDE6C" w14:textId="77777777" w:rsidR="00F97AB4" w:rsidRDefault="000E6C50">
      <w:pPr>
        <w:pStyle w:val="BodyText"/>
        <w:spacing w:before="1" w:line="460" w:lineRule="atLeast"/>
        <w:ind w:left="112" w:right="376"/>
      </w:pPr>
      <w:r>
        <w:t>I hope this information is helpful. Please do not hesitate to contact me if you have questions or need additional information.</w:t>
      </w:r>
      <w:r>
        <w:rPr>
          <w:spacing w:val="40"/>
        </w:rPr>
        <w:t xml:space="preserve"> </w:t>
      </w:r>
      <w:r>
        <w:rPr>
          <w:spacing w:val="-2"/>
        </w:rPr>
        <w:t>Thanks,</w:t>
      </w:r>
    </w:p>
    <w:p w14:paraId="3A0A97C5" w14:textId="77777777" w:rsidR="00F97AB4" w:rsidRDefault="000E6C50">
      <w:pPr>
        <w:pStyle w:val="BodyText"/>
        <w:spacing w:before="23"/>
        <w:ind w:left="112"/>
      </w:pPr>
      <w:r>
        <w:rPr>
          <w:spacing w:val="-2"/>
        </w:rPr>
        <w:t>Crystal</w:t>
      </w:r>
    </w:p>
    <w:p w14:paraId="436D45CB" w14:textId="77777777" w:rsidR="00F97AB4" w:rsidRDefault="00F97AB4">
      <w:pPr>
        <w:pStyle w:val="BodyText"/>
        <w:rPr>
          <w:sz w:val="16"/>
        </w:rPr>
      </w:pPr>
    </w:p>
    <w:p w14:paraId="521B65CB" w14:textId="77777777" w:rsidR="00F97AB4" w:rsidRDefault="00F97AB4">
      <w:pPr>
        <w:pStyle w:val="BodyText"/>
        <w:spacing w:before="2"/>
        <w:rPr>
          <w:sz w:val="23"/>
        </w:rPr>
      </w:pPr>
    </w:p>
    <w:p w14:paraId="001D0FEA" w14:textId="77777777" w:rsidR="00F97AB4" w:rsidRDefault="000E6C50">
      <w:pPr>
        <w:spacing w:before="1" w:line="247" w:lineRule="auto"/>
        <w:ind w:left="112" w:right="8336" w:hanging="1"/>
        <w:rPr>
          <w:rFonts w:ascii="Verdana"/>
          <w:b/>
          <w:sz w:val="12"/>
        </w:rPr>
      </w:pPr>
      <w:r>
        <w:rPr>
          <w:rFonts w:ascii="Verdana"/>
          <w:b/>
          <w:color w:val="000001"/>
          <w:w w:val="105"/>
          <w:sz w:val="12"/>
        </w:rPr>
        <w:t>Crystal</w:t>
      </w:r>
      <w:r>
        <w:rPr>
          <w:rFonts w:ascii="Verdana"/>
          <w:b/>
          <w:color w:val="000001"/>
          <w:spacing w:val="-11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 xml:space="preserve">Bloom </w:t>
      </w:r>
      <w:r>
        <w:rPr>
          <w:rFonts w:ascii="Verdana"/>
          <w:b/>
          <w:color w:val="000001"/>
          <w:spacing w:val="-2"/>
          <w:w w:val="105"/>
          <w:sz w:val="12"/>
        </w:rPr>
        <w:t>Partner</w:t>
      </w:r>
    </w:p>
    <w:p w14:paraId="75F83E73" w14:textId="77777777" w:rsidR="00F97AB4" w:rsidRDefault="000E6C50">
      <w:pPr>
        <w:spacing w:before="112"/>
        <w:ind w:left="112"/>
        <w:rPr>
          <w:rFonts w:ascii="Verdana"/>
          <w:b/>
          <w:sz w:val="11"/>
        </w:rPr>
      </w:pPr>
      <w:r>
        <w:rPr>
          <w:rFonts w:ascii="Verdana"/>
          <w:b/>
          <w:color w:val="00339F"/>
          <w:w w:val="105"/>
          <w:sz w:val="11"/>
        </w:rPr>
        <w:t>HUSCH</w:t>
      </w:r>
      <w:r>
        <w:rPr>
          <w:rFonts w:ascii="Verdana"/>
          <w:b/>
          <w:color w:val="00339F"/>
          <w:spacing w:val="-9"/>
          <w:w w:val="105"/>
          <w:sz w:val="11"/>
        </w:rPr>
        <w:t xml:space="preserve"> </w:t>
      </w:r>
      <w:r>
        <w:rPr>
          <w:rFonts w:ascii="Verdana"/>
          <w:b/>
          <w:color w:val="000001"/>
          <w:w w:val="105"/>
          <w:sz w:val="11"/>
        </w:rPr>
        <w:t>BLACKWELL</w:t>
      </w:r>
      <w:r>
        <w:rPr>
          <w:rFonts w:ascii="Verdana"/>
          <w:b/>
          <w:color w:val="000001"/>
          <w:spacing w:val="-9"/>
          <w:w w:val="105"/>
          <w:sz w:val="11"/>
        </w:rPr>
        <w:t xml:space="preserve"> </w:t>
      </w:r>
      <w:r>
        <w:rPr>
          <w:rFonts w:ascii="Verdana"/>
          <w:b/>
          <w:color w:val="000001"/>
          <w:spacing w:val="-5"/>
          <w:w w:val="105"/>
          <w:sz w:val="11"/>
        </w:rPr>
        <w:t>LLP</w:t>
      </w:r>
    </w:p>
    <w:p w14:paraId="4F80B5B1" w14:textId="77777777" w:rsidR="00F97AB4" w:rsidRDefault="000E6C50">
      <w:pPr>
        <w:spacing w:before="29" w:line="247" w:lineRule="auto"/>
        <w:ind w:left="112" w:right="7809"/>
        <w:rPr>
          <w:rFonts w:ascii="Verdana"/>
          <w:sz w:val="12"/>
        </w:rPr>
      </w:pPr>
      <w:r>
        <w:rPr>
          <w:rFonts w:ascii="Verdana"/>
          <w:color w:val="000001"/>
          <w:w w:val="105"/>
          <w:sz w:val="12"/>
        </w:rPr>
        <w:t>One</w:t>
      </w:r>
      <w:r>
        <w:rPr>
          <w:rFonts w:ascii="Verdana"/>
          <w:color w:val="000001"/>
          <w:spacing w:val="-12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</w:rPr>
        <w:t>Beacon</w:t>
      </w:r>
      <w:r>
        <w:rPr>
          <w:rFonts w:ascii="Verdana"/>
          <w:color w:val="000001"/>
          <w:spacing w:val="-11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</w:rPr>
        <w:t>Street, Suite 1320</w:t>
      </w:r>
    </w:p>
    <w:p w14:paraId="17C72F87" w14:textId="77777777" w:rsidR="00F97AB4" w:rsidRDefault="000E6C50">
      <w:pPr>
        <w:spacing w:line="146" w:lineRule="exact"/>
        <w:ind w:left="112"/>
        <w:rPr>
          <w:rFonts w:ascii="Verdana" w:hAnsi="Verdana"/>
          <w:sz w:val="12"/>
        </w:rPr>
      </w:pPr>
      <w:r>
        <w:rPr>
          <w:rFonts w:ascii="Verdana" w:hAnsi="Verdana"/>
          <w:color w:val="000001"/>
          <w:w w:val="105"/>
          <w:sz w:val="12"/>
        </w:rPr>
        <w:t>Boston,</w:t>
      </w:r>
      <w:r>
        <w:rPr>
          <w:rFonts w:ascii="Verdana" w:hAnsi="Verdana"/>
          <w:color w:val="000001"/>
          <w:spacing w:val="-1"/>
          <w:w w:val="105"/>
          <w:sz w:val="12"/>
        </w:rPr>
        <w:t xml:space="preserve"> </w:t>
      </w:r>
      <w:r>
        <w:rPr>
          <w:rFonts w:ascii="Verdana" w:hAnsi="Verdana"/>
          <w:color w:val="000001"/>
          <w:w w:val="105"/>
          <w:sz w:val="12"/>
        </w:rPr>
        <w:t xml:space="preserve">MA </w:t>
      </w:r>
      <w:r>
        <w:rPr>
          <w:rFonts w:ascii="Verdana" w:hAnsi="Verdana"/>
          <w:color w:val="000001"/>
          <w:spacing w:val="-2"/>
          <w:w w:val="105"/>
          <w:sz w:val="12"/>
        </w:rPr>
        <w:t>02108</w:t>
      </w:r>
      <w:r>
        <w:rPr>
          <w:rFonts w:ascii="Times New Roman" w:hAnsi="Times New Roman"/>
          <w:color w:val="000001"/>
          <w:spacing w:val="-2"/>
          <w:w w:val="105"/>
          <w:sz w:val="12"/>
        </w:rPr>
        <w:t>‑</w:t>
      </w:r>
      <w:r>
        <w:rPr>
          <w:rFonts w:ascii="Verdana" w:hAnsi="Verdana"/>
          <w:color w:val="000001"/>
          <w:spacing w:val="-2"/>
          <w:w w:val="105"/>
          <w:sz w:val="12"/>
        </w:rPr>
        <w:t>3106</w:t>
      </w:r>
    </w:p>
    <w:p w14:paraId="4F771AEB" w14:textId="77777777" w:rsidR="00F97AB4" w:rsidRDefault="000E6C50">
      <w:pPr>
        <w:spacing w:before="61"/>
        <w:ind w:left="112"/>
        <w:rPr>
          <w:rFonts w:ascii="Verdana"/>
          <w:sz w:val="12"/>
        </w:rPr>
      </w:pPr>
      <w:r>
        <w:rPr>
          <w:rFonts w:ascii="Verdana"/>
          <w:color w:val="000001"/>
          <w:w w:val="105"/>
          <w:sz w:val="12"/>
        </w:rPr>
        <w:t>Direct:</w:t>
      </w:r>
      <w:r>
        <w:rPr>
          <w:rFonts w:ascii="Verdana"/>
          <w:color w:val="000001"/>
          <w:spacing w:val="-2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  <w:u w:val="single" w:color="0562C1"/>
        </w:rPr>
        <w:t>617-598-</w:t>
      </w:r>
      <w:r>
        <w:rPr>
          <w:rFonts w:ascii="Verdana"/>
          <w:color w:val="000001"/>
          <w:spacing w:val="-4"/>
          <w:w w:val="105"/>
          <w:sz w:val="12"/>
          <w:u w:val="single" w:color="0562C1"/>
        </w:rPr>
        <w:t>6783</w:t>
      </w:r>
    </w:p>
    <w:p w14:paraId="27509126" w14:textId="77777777" w:rsidR="00F97AB4" w:rsidRDefault="000E6C50">
      <w:pPr>
        <w:spacing w:before="4"/>
        <w:ind w:left="112"/>
        <w:rPr>
          <w:rFonts w:ascii="Verdana"/>
          <w:sz w:val="12"/>
        </w:rPr>
      </w:pPr>
      <w:r>
        <w:rPr>
          <w:rFonts w:ascii="Verdana"/>
          <w:color w:val="000001"/>
          <w:w w:val="105"/>
          <w:sz w:val="12"/>
        </w:rPr>
        <w:t>Fax:</w:t>
      </w:r>
      <w:r>
        <w:rPr>
          <w:rFonts w:ascii="Verdana"/>
          <w:color w:val="000001"/>
          <w:spacing w:val="-1"/>
          <w:w w:val="105"/>
          <w:sz w:val="12"/>
        </w:rPr>
        <w:t xml:space="preserve"> </w:t>
      </w:r>
      <w:r>
        <w:rPr>
          <w:rFonts w:ascii="Verdana"/>
          <w:color w:val="000001"/>
          <w:w w:val="105"/>
          <w:sz w:val="12"/>
          <w:u w:val="single" w:color="0562C1"/>
        </w:rPr>
        <w:t>617-720-</w:t>
      </w:r>
      <w:r>
        <w:rPr>
          <w:rFonts w:ascii="Verdana"/>
          <w:color w:val="000001"/>
          <w:spacing w:val="-4"/>
          <w:w w:val="105"/>
          <w:sz w:val="12"/>
          <w:u w:val="single" w:color="0562C1"/>
        </w:rPr>
        <w:t>5092</w:t>
      </w:r>
    </w:p>
    <w:p w14:paraId="58DD283C" w14:textId="77777777" w:rsidR="00F97AB4" w:rsidRDefault="000E6C50">
      <w:pPr>
        <w:spacing w:before="3" w:line="247" w:lineRule="auto"/>
        <w:ind w:left="112" w:right="5941"/>
        <w:rPr>
          <w:rFonts w:ascii="Verdana"/>
          <w:sz w:val="12"/>
        </w:rPr>
      </w:pPr>
      <w:hyperlink r:id="rId14">
        <w:r>
          <w:rPr>
            <w:rFonts w:ascii="Verdana"/>
            <w:color w:val="0000FF"/>
            <w:spacing w:val="-2"/>
            <w:w w:val="105"/>
            <w:sz w:val="12"/>
            <w:u w:val="single" w:color="0562C1"/>
          </w:rPr>
          <w:t>Crystal.Bloom@huschblackwell.com</w:t>
        </w:r>
      </w:hyperlink>
      <w:r>
        <w:rPr>
          <w:rFonts w:ascii="Verdana"/>
          <w:color w:val="0000FF"/>
          <w:spacing w:val="-2"/>
          <w:w w:val="105"/>
          <w:sz w:val="12"/>
        </w:rPr>
        <w:t xml:space="preserve"> </w:t>
      </w:r>
      <w:r>
        <w:rPr>
          <w:rFonts w:ascii="Verdana"/>
          <w:color w:val="0000FF"/>
          <w:spacing w:val="-2"/>
          <w:w w:val="105"/>
          <w:sz w:val="12"/>
          <w:u w:val="single" w:color="0562C1"/>
        </w:rPr>
        <w:t>huschblackwell.com</w:t>
      </w:r>
    </w:p>
    <w:p w14:paraId="375D5FF0" w14:textId="77777777" w:rsidR="00F97AB4" w:rsidRPr="00C52838" w:rsidRDefault="000E6C50">
      <w:pPr>
        <w:spacing w:before="22"/>
        <w:ind w:left="135"/>
        <w:rPr>
          <w:rFonts w:ascii="Verdana"/>
          <w:sz w:val="12"/>
          <w:u w:val="single"/>
        </w:rPr>
      </w:pPr>
      <w:proofErr w:type="spellStart"/>
      <w:r w:rsidRPr="00C52838">
        <w:rPr>
          <w:rFonts w:ascii="Verdana"/>
          <w:color w:val="0000FF"/>
          <w:spacing w:val="-2"/>
          <w:w w:val="105"/>
          <w:sz w:val="12"/>
          <w:u w:val="single"/>
        </w:rPr>
        <w:t>vBio</w:t>
      </w:r>
      <w:r w:rsidRPr="00C52838">
        <w:rPr>
          <w:rFonts w:ascii="Verdana"/>
          <w:color w:val="0000FF"/>
          <w:spacing w:val="-2"/>
          <w:w w:val="105"/>
          <w:sz w:val="12"/>
          <w:u w:val="single"/>
        </w:rPr>
        <w:t>|vCard</w:t>
      </w:r>
      <w:proofErr w:type="spellEnd"/>
    </w:p>
    <w:p w14:paraId="1436415F" w14:textId="735263F8" w:rsidR="00F97AB4" w:rsidRDefault="00F97AB4">
      <w:pPr>
        <w:pStyle w:val="BodyText"/>
        <w:spacing w:line="20" w:lineRule="exact"/>
        <w:ind w:left="469"/>
        <w:rPr>
          <w:rFonts w:ascii="Verdana"/>
          <w:sz w:val="2"/>
        </w:rPr>
      </w:pPr>
    </w:p>
    <w:p w14:paraId="0076A26C" w14:textId="77777777" w:rsidR="00F97AB4" w:rsidRDefault="000E6C50">
      <w:pPr>
        <w:spacing w:before="111" w:line="321" w:lineRule="auto"/>
        <w:ind w:left="112" w:right="5941"/>
        <w:rPr>
          <w:rFonts w:ascii="Verdana"/>
          <w:b/>
          <w:sz w:val="12"/>
        </w:rPr>
      </w:pPr>
      <w:r>
        <w:rPr>
          <w:rFonts w:ascii="Verdana"/>
          <w:b/>
          <w:color w:val="000001"/>
          <w:w w:val="105"/>
          <w:sz w:val="12"/>
        </w:rPr>
        <w:t>Healthcare,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Life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Sciences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&amp;</w:t>
      </w:r>
      <w:r>
        <w:rPr>
          <w:rFonts w:ascii="Verdana"/>
          <w:b/>
          <w:color w:val="000001"/>
          <w:spacing w:val="-7"/>
          <w:w w:val="105"/>
          <w:sz w:val="12"/>
        </w:rPr>
        <w:t xml:space="preserve"> </w:t>
      </w:r>
      <w:r>
        <w:rPr>
          <w:rFonts w:ascii="Verdana"/>
          <w:b/>
          <w:color w:val="000001"/>
          <w:w w:val="105"/>
          <w:sz w:val="12"/>
        </w:rPr>
        <w:t>Education Healthcare Regulatory</w:t>
      </w:r>
    </w:p>
    <w:p w14:paraId="6241B298" w14:textId="3AD20340" w:rsidR="00F97AB4" w:rsidRDefault="000E6C50">
      <w:pPr>
        <w:spacing w:before="92" w:line="266" w:lineRule="auto"/>
        <w:ind w:left="112"/>
        <w:rPr>
          <w:rFonts w:ascii="Verdana" w:hAnsi="Verdana"/>
          <w:b/>
          <w:sz w:val="12"/>
        </w:rPr>
      </w:pPr>
      <w:r>
        <w:rPr>
          <w:rFonts w:ascii="Verdana" w:hAnsi="Verdana"/>
          <w:b/>
          <w:color w:val="00339F"/>
          <w:w w:val="105"/>
          <w:sz w:val="12"/>
        </w:rPr>
        <w:t xml:space="preserve">Husch Blackwell is redefining partnership and client service. With 800+ lawyers in more than 20 offices across the United States, including </w:t>
      </w:r>
      <w:r w:rsidRPr="00C52838">
        <w:rPr>
          <w:rFonts w:ascii="Verdana" w:hAnsi="Verdana"/>
          <w:b/>
          <w:color w:val="00339F"/>
          <w:w w:val="105"/>
          <w:sz w:val="12"/>
          <w:u w:val="single"/>
        </w:rPr>
        <w:t>The Link</w:t>
      </w:r>
      <w:r>
        <w:rPr>
          <w:rFonts w:ascii="Verdana" w:hAnsi="Verdana"/>
          <w:b/>
          <w:color w:val="00339F"/>
          <w:w w:val="105"/>
          <w:sz w:val="12"/>
        </w:rPr>
        <w:t xml:space="preserve"> virtual office, we are a national law firm with a coast</w:t>
      </w:r>
      <w:r>
        <w:rPr>
          <w:rFonts w:ascii="Times New Roman" w:hAnsi="Times New Roman"/>
          <w:color w:val="00339F"/>
          <w:w w:val="105"/>
          <w:sz w:val="12"/>
        </w:rPr>
        <w:t>‑</w:t>
      </w:r>
      <w:r>
        <w:rPr>
          <w:rFonts w:ascii="Verdana" w:hAnsi="Verdana"/>
          <w:b/>
          <w:color w:val="00339F"/>
          <w:w w:val="105"/>
          <w:sz w:val="12"/>
        </w:rPr>
        <w:t>to</w:t>
      </w:r>
      <w:r>
        <w:rPr>
          <w:rFonts w:ascii="Times New Roman" w:hAnsi="Times New Roman"/>
          <w:color w:val="00339F"/>
          <w:w w:val="105"/>
          <w:sz w:val="12"/>
        </w:rPr>
        <w:t>‑</w:t>
      </w:r>
      <w:r>
        <w:rPr>
          <w:rFonts w:ascii="Verdana" w:hAnsi="Verdana"/>
          <w:b/>
          <w:color w:val="00339F"/>
          <w:w w:val="105"/>
          <w:sz w:val="12"/>
        </w:rPr>
        <w:t>coas</w:t>
      </w:r>
      <w:r>
        <w:rPr>
          <w:rFonts w:ascii="Verdana" w:hAnsi="Verdana"/>
          <w:b/>
          <w:color w:val="00339F"/>
          <w:w w:val="105"/>
          <w:sz w:val="12"/>
        </w:rPr>
        <w:t>t footprint</w:t>
      </w:r>
    </w:p>
    <w:p w14:paraId="0D6D5541" w14:textId="77777777" w:rsidR="00F97AB4" w:rsidRDefault="000E6C50">
      <w:pPr>
        <w:spacing w:line="144" w:lineRule="exact"/>
        <w:ind w:left="112"/>
        <w:rPr>
          <w:rFonts w:ascii="Verdana"/>
          <w:b/>
          <w:sz w:val="12"/>
        </w:rPr>
      </w:pPr>
      <w:r>
        <w:rPr>
          <w:rFonts w:ascii="Verdana"/>
          <w:b/>
          <w:color w:val="00339F"/>
          <w:w w:val="105"/>
          <w:sz w:val="12"/>
        </w:rPr>
        <w:t>focused</w:t>
      </w:r>
      <w:r>
        <w:rPr>
          <w:rFonts w:ascii="Verdana"/>
          <w:b/>
          <w:color w:val="00339F"/>
          <w:spacing w:val="-4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on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tackling</w:t>
      </w:r>
      <w:r>
        <w:rPr>
          <w:rFonts w:ascii="Verdana"/>
          <w:b/>
          <w:color w:val="00339F"/>
          <w:spacing w:val="-4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the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most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complex</w:t>
      </w:r>
      <w:r>
        <w:rPr>
          <w:rFonts w:ascii="Verdana"/>
          <w:b/>
          <w:color w:val="00339F"/>
          <w:spacing w:val="-4"/>
          <w:w w:val="105"/>
          <w:sz w:val="12"/>
        </w:rPr>
        <w:t xml:space="preserve"> </w:t>
      </w:r>
      <w:r>
        <w:rPr>
          <w:rFonts w:ascii="Verdana"/>
          <w:b/>
          <w:color w:val="00339F"/>
          <w:w w:val="105"/>
          <w:sz w:val="12"/>
        </w:rPr>
        <w:t>business</w:t>
      </w:r>
      <w:r>
        <w:rPr>
          <w:rFonts w:ascii="Verdana"/>
          <w:b/>
          <w:color w:val="00339F"/>
          <w:spacing w:val="-3"/>
          <w:w w:val="105"/>
          <w:sz w:val="12"/>
        </w:rPr>
        <w:t xml:space="preserve"> </w:t>
      </w:r>
      <w:r>
        <w:rPr>
          <w:rFonts w:ascii="Verdana"/>
          <w:b/>
          <w:color w:val="00339F"/>
          <w:spacing w:val="-2"/>
          <w:w w:val="105"/>
          <w:sz w:val="12"/>
        </w:rPr>
        <w:t>challenges.</w:t>
      </w:r>
    </w:p>
    <w:sectPr w:rsidR="00F97AB4">
      <w:pgSz w:w="12240" w:h="15840"/>
      <w:pgMar w:top="1040" w:right="13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355BA"/>
    <w:multiLevelType w:val="hybridMultilevel"/>
    <w:tmpl w:val="FB245F50"/>
    <w:lvl w:ilvl="0" w:tplc="E6B2ED32">
      <w:start w:val="1"/>
      <w:numFmt w:val="decimal"/>
      <w:lvlText w:val="%1."/>
      <w:lvlJc w:val="left"/>
      <w:pPr>
        <w:ind w:left="572" w:hanging="20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7"/>
        <w:w w:val="101"/>
        <w:sz w:val="17"/>
        <w:szCs w:val="17"/>
        <w:lang w:val="en-US" w:eastAsia="en-US" w:bidi="ar-SA"/>
      </w:rPr>
    </w:lvl>
    <w:lvl w:ilvl="1" w:tplc="3B08F238">
      <w:start w:val="1"/>
      <w:numFmt w:val="lowerLetter"/>
      <w:lvlText w:val="%2."/>
      <w:lvlJc w:val="left"/>
      <w:pPr>
        <w:ind w:left="1033" w:hanging="20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7"/>
        <w:szCs w:val="17"/>
        <w:lang w:val="en-US" w:eastAsia="en-US" w:bidi="ar-SA"/>
      </w:rPr>
    </w:lvl>
    <w:lvl w:ilvl="2" w:tplc="0DB64D0E">
      <w:numFmt w:val="bullet"/>
      <w:lvlText w:val="•"/>
      <w:lvlJc w:val="left"/>
      <w:pPr>
        <w:ind w:left="1973" w:hanging="208"/>
      </w:pPr>
      <w:rPr>
        <w:rFonts w:hint="default"/>
        <w:lang w:val="en-US" w:eastAsia="en-US" w:bidi="ar-SA"/>
      </w:rPr>
    </w:lvl>
    <w:lvl w:ilvl="3" w:tplc="6BD2CAB8">
      <w:numFmt w:val="bullet"/>
      <w:lvlText w:val="•"/>
      <w:lvlJc w:val="left"/>
      <w:pPr>
        <w:ind w:left="2906" w:hanging="208"/>
      </w:pPr>
      <w:rPr>
        <w:rFonts w:hint="default"/>
        <w:lang w:val="en-US" w:eastAsia="en-US" w:bidi="ar-SA"/>
      </w:rPr>
    </w:lvl>
    <w:lvl w:ilvl="4" w:tplc="A530CF6A">
      <w:numFmt w:val="bullet"/>
      <w:lvlText w:val="•"/>
      <w:lvlJc w:val="left"/>
      <w:pPr>
        <w:ind w:left="3840" w:hanging="208"/>
      </w:pPr>
      <w:rPr>
        <w:rFonts w:hint="default"/>
        <w:lang w:val="en-US" w:eastAsia="en-US" w:bidi="ar-SA"/>
      </w:rPr>
    </w:lvl>
    <w:lvl w:ilvl="5" w:tplc="CB54FE4C">
      <w:numFmt w:val="bullet"/>
      <w:lvlText w:val="•"/>
      <w:lvlJc w:val="left"/>
      <w:pPr>
        <w:ind w:left="4773" w:hanging="208"/>
      </w:pPr>
      <w:rPr>
        <w:rFonts w:hint="default"/>
        <w:lang w:val="en-US" w:eastAsia="en-US" w:bidi="ar-SA"/>
      </w:rPr>
    </w:lvl>
    <w:lvl w:ilvl="6" w:tplc="596C196E">
      <w:numFmt w:val="bullet"/>
      <w:lvlText w:val="•"/>
      <w:lvlJc w:val="left"/>
      <w:pPr>
        <w:ind w:left="5706" w:hanging="208"/>
      </w:pPr>
      <w:rPr>
        <w:rFonts w:hint="default"/>
        <w:lang w:val="en-US" w:eastAsia="en-US" w:bidi="ar-SA"/>
      </w:rPr>
    </w:lvl>
    <w:lvl w:ilvl="7" w:tplc="18F614C4">
      <w:numFmt w:val="bullet"/>
      <w:lvlText w:val="•"/>
      <w:lvlJc w:val="left"/>
      <w:pPr>
        <w:ind w:left="6640" w:hanging="208"/>
      </w:pPr>
      <w:rPr>
        <w:rFonts w:hint="default"/>
        <w:lang w:val="en-US" w:eastAsia="en-US" w:bidi="ar-SA"/>
      </w:rPr>
    </w:lvl>
    <w:lvl w:ilvl="8" w:tplc="247E494A">
      <w:numFmt w:val="bullet"/>
      <w:lvlText w:val="•"/>
      <w:lvlJc w:val="left"/>
      <w:pPr>
        <w:ind w:left="7573" w:hanging="208"/>
      </w:pPr>
      <w:rPr>
        <w:rFonts w:hint="default"/>
        <w:lang w:val="en-US" w:eastAsia="en-US" w:bidi="ar-SA"/>
      </w:rPr>
    </w:lvl>
  </w:abstractNum>
  <w:num w:numId="1" w16cid:durableId="6325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AB4"/>
    <w:rsid w:val="000E6C50"/>
    <w:rsid w:val="00C52838"/>
    <w:rsid w:val="00F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BE85D70"/>
  <w15:docId w15:val="{5BAE68DC-F73D-4C61-96F1-26CAD594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033" w:hanging="2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lyn.Teague@mass.gov" TargetMode="External"/><Relationship Id="rId13" Type="http://schemas.openxmlformats.org/officeDocument/2006/relationships/hyperlink" Target="mailto:Kasey.Ciolfi@huschblackw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delRosario@mass.gov" TargetMode="External"/><Relationship Id="rId12" Type="http://schemas.openxmlformats.org/officeDocument/2006/relationships/hyperlink" Target="mailto:rebecca.rodman@mass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ennica.f.allen@mass.gov" TargetMode="External"/><Relationship Id="rId11" Type="http://schemas.openxmlformats.org/officeDocument/2006/relationships/hyperlink" Target="mailto:lynn.conover@mass.gov" TargetMode="External"/><Relationship Id="rId5" Type="http://schemas.openxmlformats.org/officeDocument/2006/relationships/hyperlink" Target="mailto:Crystal.Bloom@huschblackwel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ennis.Renaud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affei@mass.gov" TargetMode="External"/><Relationship Id="rId14" Type="http://schemas.openxmlformats.org/officeDocument/2006/relationships/hyperlink" Target="mailto:Crystal.Bloom@huschblack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3</cp:revision>
  <dcterms:created xsi:type="dcterms:W3CDTF">2023-03-03T15:31:00Z</dcterms:created>
  <dcterms:modified xsi:type="dcterms:W3CDTF">2023-03-03T17:09:00Z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22.3.98</vt:lpwstr>
  </property>
</Properties>
</file>