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D883" w14:textId="77777777" w:rsidR="00203F75" w:rsidRDefault="00203F75">
      <w:pPr>
        <w:spacing w:line="360" w:lineRule="auto"/>
        <w:rPr>
          <w:sz w:val="24"/>
        </w:rPr>
      </w:pPr>
    </w:p>
    <w:p w14:paraId="39A6EF9C" w14:textId="77777777" w:rsidR="00203F75" w:rsidRDefault="00203F75">
      <w:pPr>
        <w:spacing w:line="360" w:lineRule="auto"/>
        <w:rPr>
          <w:sz w:val="24"/>
        </w:rPr>
      </w:pPr>
    </w:p>
    <w:p w14:paraId="5442FB3A" w14:textId="77777777" w:rsidR="00203F75" w:rsidRDefault="00203F75">
      <w:pPr>
        <w:spacing w:line="360" w:lineRule="auto"/>
        <w:rPr>
          <w:sz w:val="24"/>
        </w:rPr>
      </w:pPr>
    </w:p>
    <w:p w14:paraId="28ACCBD2" w14:textId="77777777" w:rsidR="00203F75" w:rsidRDefault="00203F75">
      <w:pPr>
        <w:spacing w:line="360" w:lineRule="auto"/>
        <w:rPr>
          <w:sz w:val="24"/>
        </w:rPr>
      </w:pPr>
    </w:p>
    <w:p w14:paraId="0813F269" w14:textId="77777777" w:rsidR="00203F75" w:rsidRDefault="00203F75">
      <w:pPr>
        <w:spacing w:line="360" w:lineRule="auto"/>
        <w:rPr>
          <w:sz w:val="24"/>
        </w:rPr>
      </w:pPr>
    </w:p>
    <w:p w14:paraId="004765B0" w14:textId="77777777" w:rsidR="00203F75" w:rsidRPr="00BD08F5" w:rsidRDefault="00203F75">
      <w:pPr>
        <w:spacing w:line="360" w:lineRule="auto"/>
        <w:rPr>
          <w:sz w:val="24"/>
          <w:lang w:val="pt-BR"/>
        </w:rPr>
      </w:pPr>
      <w:r w:rsidRPr="00BD08F5">
        <w:rPr>
          <w:sz w:val="24"/>
          <w:lang w:val="pt-BR"/>
        </w:rPr>
        <w:t xml:space="preserve">M E M O R A N D U M </w:t>
      </w:r>
    </w:p>
    <w:p w14:paraId="4E14C59D" w14:textId="77777777" w:rsidR="00203F75" w:rsidRDefault="00203F75">
      <w:pPr>
        <w:spacing w:line="360" w:lineRule="auto"/>
        <w:rPr>
          <w:sz w:val="24"/>
        </w:rPr>
      </w:pPr>
      <w:r>
        <w:rPr>
          <w:sz w:val="24"/>
        </w:rPr>
        <w:t>TO</w:t>
      </w:r>
      <w:proofErr w:type="gramStart"/>
      <w:r>
        <w:rPr>
          <w:sz w:val="24"/>
        </w:rPr>
        <w:t>:</w:t>
      </w:r>
      <w:r>
        <w:rPr>
          <w:sz w:val="24"/>
        </w:rPr>
        <w:tab/>
      </w:r>
      <w:r>
        <w:rPr>
          <w:sz w:val="24"/>
        </w:rPr>
        <w:tab/>
      </w:r>
      <w:r w:rsidRPr="00743D63">
        <w:rPr>
          <w:noProof/>
          <w:sz w:val="24"/>
        </w:rPr>
        <w:t>New</w:t>
      </w:r>
      <w:proofErr w:type="gramEnd"/>
      <w:r w:rsidRPr="00743D63">
        <w:rPr>
          <w:noProof/>
          <w:sz w:val="24"/>
        </w:rPr>
        <w:t xml:space="preserve"> Bedford</w:t>
      </w:r>
      <w:r>
        <w:rPr>
          <w:b/>
          <w:sz w:val="24"/>
        </w:rPr>
        <w:t xml:space="preserve"> </w:t>
      </w:r>
      <w:r>
        <w:rPr>
          <w:sz w:val="24"/>
        </w:rPr>
        <w:t xml:space="preserve">Retirement Board </w:t>
      </w:r>
    </w:p>
    <w:p w14:paraId="0DEDE61E" w14:textId="77777777" w:rsidR="00203F75" w:rsidRDefault="00203F75">
      <w:pPr>
        <w:spacing w:line="360" w:lineRule="auto"/>
        <w:rPr>
          <w:sz w:val="24"/>
        </w:rPr>
      </w:pPr>
      <w:r>
        <w:rPr>
          <w:sz w:val="24"/>
        </w:rPr>
        <w:t>FROM:</w:t>
      </w:r>
      <w:r>
        <w:rPr>
          <w:sz w:val="24"/>
        </w:rPr>
        <w:tab/>
        <w:t xml:space="preserve">William T. Keefe, Executive Director </w:t>
      </w:r>
    </w:p>
    <w:p w14:paraId="7AA1B2BC" w14:textId="77777777" w:rsidR="00203F75" w:rsidRDefault="00203F75">
      <w:pPr>
        <w:spacing w:line="360" w:lineRule="auto"/>
        <w:rPr>
          <w:sz w:val="24"/>
        </w:rPr>
      </w:pPr>
      <w:r>
        <w:rPr>
          <w:sz w:val="24"/>
        </w:rPr>
        <w:t>RE</w:t>
      </w:r>
      <w:proofErr w:type="gramStart"/>
      <w:r>
        <w:rPr>
          <w:sz w:val="24"/>
        </w:rPr>
        <w:t>:</w:t>
      </w:r>
      <w:r>
        <w:rPr>
          <w:sz w:val="24"/>
        </w:rPr>
        <w:tab/>
      </w:r>
      <w:r>
        <w:rPr>
          <w:sz w:val="24"/>
        </w:rPr>
        <w:tab/>
        <w:t>Appropriation</w:t>
      </w:r>
      <w:proofErr w:type="gramEnd"/>
      <w:r>
        <w:rPr>
          <w:sz w:val="24"/>
        </w:rPr>
        <w:t xml:space="preserve"> for Fiscal Year 2027</w:t>
      </w:r>
    </w:p>
    <w:p w14:paraId="2852CC16" w14:textId="71C12151" w:rsidR="00203F75" w:rsidRDefault="00203F75">
      <w:pPr>
        <w:spacing w:line="360" w:lineRule="auto"/>
        <w:rPr>
          <w:sz w:val="24"/>
        </w:rPr>
      </w:pPr>
      <w:r>
        <w:rPr>
          <w:sz w:val="24"/>
        </w:rPr>
        <w:t>DATE</w:t>
      </w:r>
      <w:proofErr w:type="gramStart"/>
      <w:r>
        <w:rPr>
          <w:sz w:val="24"/>
        </w:rPr>
        <w:t>:</w:t>
      </w:r>
      <w:r>
        <w:rPr>
          <w:sz w:val="24"/>
        </w:rPr>
        <w:tab/>
      </w:r>
      <w:r>
        <w:rPr>
          <w:sz w:val="24"/>
        </w:rPr>
        <w:tab/>
      </w:r>
      <w:r w:rsidR="002A2F6A">
        <w:rPr>
          <w:sz w:val="24"/>
        </w:rPr>
        <w:t>November</w:t>
      </w:r>
      <w:proofErr w:type="gramEnd"/>
      <w:r w:rsidR="002A2F6A">
        <w:rPr>
          <w:sz w:val="24"/>
        </w:rPr>
        <w:t xml:space="preserve"> 24, 2025</w:t>
      </w:r>
    </w:p>
    <w:tbl>
      <w:tblPr>
        <w:tblW w:w="0" w:type="auto"/>
        <w:tblInd w:w="108" w:type="dxa"/>
        <w:tblLayout w:type="fixed"/>
        <w:tblLook w:val="0000" w:firstRow="0" w:lastRow="0" w:firstColumn="0" w:lastColumn="0" w:noHBand="0" w:noVBand="0"/>
      </w:tblPr>
      <w:tblGrid>
        <w:gridCol w:w="7920"/>
        <w:gridCol w:w="1890"/>
      </w:tblGrid>
      <w:tr w:rsidR="00203F75" w14:paraId="586FDFEA" w14:textId="77777777">
        <w:tc>
          <w:tcPr>
            <w:tcW w:w="7920" w:type="dxa"/>
          </w:tcPr>
          <w:p w14:paraId="0B6C3027" w14:textId="77777777" w:rsidR="00203F75" w:rsidRDefault="00203F75">
            <w:pPr>
              <w:jc w:val="right"/>
              <w:rPr>
                <w:sz w:val="24"/>
              </w:rPr>
            </w:pPr>
          </w:p>
        </w:tc>
        <w:tc>
          <w:tcPr>
            <w:tcW w:w="1890" w:type="dxa"/>
          </w:tcPr>
          <w:p w14:paraId="507FF892" w14:textId="77777777" w:rsidR="00203F75" w:rsidRDefault="00203F75">
            <w:pPr>
              <w:jc w:val="right"/>
              <w:rPr>
                <w:sz w:val="24"/>
              </w:rPr>
            </w:pPr>
          </w:p>
        </w:tc>
      </w:tr>
      <w:tr w:rsidR="00203F75" w14:paraId="066DA548" w14:textId="77777777">
        <w:tc>
          <w:tcPr>
            <w:tcW w:w="7920" w:type="dxa"/>
          </w:tcPr>
          <w:p w14:paraId="56EDFCE8" w14:textId="77777777" w:rsidR="00203F75" w:rsidRDefault="00203F75" w:rsidP="008757DB">
            <w:pPr>
              <w:jc w:val="right"/>
              <w:rPr>
                <w:sz w:val="24"/>
              </w:rPr>
            </w:pPr>
            <w:r>
              <w:rPr>
                <w:sz w:val="24"/>
              </w:rPr>
              <w:t>Required Fiscal Year 2027 Appropriation:</w:t>
            </w:r>
          </w:p>
        </w:tc>
        <w:tc>
          <w:tcPr>
            <w:tcW w:w="1890" w:type="dxa"/>
          </w:tcPr>
          <w:p w14:paraId="030C3583" w14:textId="77777777" w:rsidR="00203F75" w:rsidRDefault="00203F75">
            <w:pPr>
              <w:jc w:val="right"/>
              <w:rPr>
                <w:b/>
                <w:sz w:val="24"/>
              </w:rPr>
            </w:pPr>
            <w:r w:rsidRPr="00743D63">
              <w:rPr>
                <w:b/>
                <w:noProof/>
                <w:sz w:val="24"/>
              </w:rPr>
              <w:t>$54,404,536</w:t>
            </w:r>
          </w:p>
        </w:tc>
      </w:tr>
    </w:tbl>
    <w:p w14:paraId="376A6199" w14:textId="77777777" w:rsidR="00203F75" w:rsidRDefault="00203F75">
      <w:pPr>
        <w:rPr>
          <w:sz w:val="24"/>
        </w:rPr>
      </w:pPr>
    </w:p>
    <w:p w14:paraId="072EFC06" w14:textId="77777777" w:rsidR="00203F75" w:rsidRDefault="00203F75">
      <w:pPr>
        <w:rPr>
          <w:sz w:val="24"/>
        </w:rPr>
      </w:pPr>
      <w:r>
        <w:rPr>
          <w:sz w:val="24"/>
        </w:rPr>
        <w:t xml:space="preserve">This Commission is hereby furnishing you with the amount </w:t>
      </w:r>
      <w:proofErr w:type="gramStart"/>
      <w:r>
        <w:rPr>
          <w:sz w:val="24"/>
        </w:rPr>
        <w:t>to be appropriated</w:t>
      </w:r>
      <w:proofErr w:type="gramEnd"/>
      <w:r>
        <w:rPr>
          <w:sz w:val="24"/>
        </w:rPr>
        <w:t xml:space="preserve"> for your retirement system for Fiscal Year 2027 which commences July 1, 2026.</w:t>
      </w:r>
    </w:p>
    <w:p w14:paraId="30872761" w14:textId="77777777" w:rsidR="00203F75" w:rsidRDefault="00203F75">
      <w:pPr>
        <w:rPr>
          <w:sz w:val="24"/>
        </w:rPr>
      </w:pPr>
    </w:p>
    <w:p w14:paraId="4BFE8CBA" w14:textId="77777777" w:rsidR="00203F75" w:rsidRDefault="00203F75">
      <w:pPr>
        <w:rPr>
          <w:b/>
          <w:i/>
          <w:sz w:val="24"/>
        </w:rPr>
      </w:pPr>
      <w:r>
        <w:rPr>
          <w:sz w:val="24"/>
        </w:rPr>
        <w:t>Attached please find the portion of the Fiscal Year 2027 appropriation to be paid by each of the governmental units within your system.</w:t>
      </w:r>
    </w:p>
    <w:p w14:paraId="7F69A943" w14:textId="77777777" w:rsidR="00203F75" w:rsidRDefault="00203F75">
      <w:pPr>
        <w:rPr>
          <w:sz w:val="24"/>
        </w:rPr>
      </w:pPr>
    </w:p>
    <w:p w14:paraId="138F6C8C" w14:textId="77777777" w:rsidR="00203F75" w:rsidRDefault="00203F75">
      <w:pPr>
        <w:rPr>
          <w:sz w:val="24"/>
        </w:rPr>
      </w:pPr>
      <w:r>
        <w:rPr>
          <w:sz w:val="24"/>
        </w:rPr>
        <w:t xml:space="preserve">The current schedule is due to be updated by Fiscal Year </w:t>
      </w:r>
      <w:r w:rsidRPr="00743D63">
        <w:rPr>
          <w:noProof/>
          <w:color w:val="000000"/>
          <w:sz w:val="24"/>
        </w:rPr>
        <w:t>2027</w:t>
      </w:r>
      <w:r>
        <w:rPr>
          <w:sz w:val="24"/>
        </w:rPr>
        <w:t xml:space="preserve">.   </w:t>
      </w:r>
    </w:p>
    <w:p w14:paraId="0043FE6C" w14:textId="77777777" w:rsidR="00203F75" w:rsidRDefault="00203F75">
      <w:pPr>
        <w:rPr>
          <w:sz w:val="24"/>
        </w:rPr>
      </w:pPr>
    </w:p>
    <w:p w14:paraId="4B841441" w14:textId="77777777" w:rsidR="00203F75" w:rsidRDefault="00203F75">
      <w:pPr>
        <w:rPr>
          <w:sz w:val="24"/>
        </w:rPr>
      </w:pPr>
      <w:r>
        <w:rPr>
          <w:sz w:val="24"/>
        </w:rPr>
        <w:t>As we indicated in PERAC Memo #27/2025, we are sending this letter only to the Retirement Board. Upon receipt, please forward this letter to the appropriate governmental bodies.</w:t>
      </w:r>
    </w:p>
    <w:p w14:paraId="2509E319" w14:textId="77777777" w:rsidR="00203F75" w:rsidRDefault="00203F75">
      <w:pPr>
        <w:rPr>
          <w:sz w:val="24"/>
        </w:rPr>
      </w:pPr>
    </w:p>
    <w:p w14:paraId="075A0403" w14:textId="77777777" w:rsidR="00203F75" w:rsidRDefault="00203F75">
      <w:pPr>
        <w:rPr>
          <w:sz w:val="24"/>
        </w:rPr>
      </w:pPr>
      <w:r>
        <w:rPr>
          <w:sz w:val="24"/>
        </w:rPr>
        <w:t>If you have any questions, please contact PERAC’s Actuary, John Boorack, at (617) 666-4446 Extension 935.</w:t>
      </w:r>
    </w:p>
    <w:p w14:paraId="235896F9" w14:textId="77777777" w:rsidR="00203F75" w:rsidRDefault="00203F75">
      <w:pPr>
        <w:rPr>
          <w:sz w:val="24"/>
        </w:rPr>
      </w:pPr>
    </w:p>
    <w:p w14:paraId="18A4848F" w14:textId="77777777" w:rsidR="00203F75" w:rsidRDefault="00203F75">
      <w:pPr>
        <w:rPr>
          <w:sz w:val="24"/>
        </w:rPr>
      </w:pPr>
    </w:p>
    <w:p w14:paraId="7A7E1AF7" w14:textId="77777777" w:rsidR="00203F75" w:rsidRDefault="00203F75">
      <w:pPr>
        <w:rPr>
          <w:sz w:val="24"/>
        </w:rPr>
      </w:pPr>
    </w:p>
    <w:p w14:paraId="52DD7EB3" w14:textId="77777777" w:rsidR="00203F75" w:rsidRDefault="00203F75">
      <w:pPr>
        <w:rPr>
          <w:sz w:val="24"/>
        </w:rPr>
      </w:pPr>
      <w:r>
        <w:rPr>
          <w:sz w:val="24"/>
        </w:rPr>
        <w:t>WTK/</w:t>
      </w:r>
      <w:proofErr w:type="spellStart"/>
      <w:r>
        <w:rPr>
          <w:sz w:val="24"/>
        </w:rPr>
        <w:t>jfb</w:t>
      </w:r>
      <w:proofErr w:type="spellEnd"/>
    </w:p>
    <w:p w14:paraId="1652745E" w14:textId="77777777" w:rsidR="00203F75" w:rsidRDefault="00203F75">
      <w:pPr>
        <w:rPr>
          <w:sz w:val="24"/>
        </w:rPr>
      </w:pPr>
      <w:r>
        <w:rPr>
          <w:sz w:val="24"/>
        </w:rPr>
        <w:t>Attachment</w:t>
      </w:r>
    </w:p>
    <w:p w14:paraId="7446FDBB" w14:textId="77777777" w:rsidR="00203F75" w:rsidRDefault="00203F75">
      <w:pPr>
        <w:rPr>
          <w:sz w:val="24"/>
        </w:rPr>
      </w:pPr>
    </w:p>
    <w:p w14:paraId="33395515" w14:textId="77777777" w:rsidR="002A2F6A" w:rsidRDefault="002A2F6A">
      <w:pPr>
        <w:rPr>
          <w:sz w:val="24"/>
        </w:rPr>
      </w:pPr>
    </w:p>
    <w:p w14:paraId="43DE2C2D" w14:textId="77777777" w:rsidR="002A2F6A" w:rsidRDefault="002A2F6A">
      <w:pPr>
        <w:rPr>
          <w:sz w:val="24"/>
        </w:rPr>
      </w:pPr>
    </w:p>
    <w:p w14:paraId="7BBD7D7B" w14:textId="77777777" w:rsidR="002A2F6A" w:rsidRDefault="002A2F6A">
      <w:pPr>
        <w:rPr>
          <w:sz w:val="24"/>
        </w:rPr>
      </w:pPr>
    </w:p>
    <w:p w14:paraId="6D886D75" w14:textId="77777777" w:rsidR="002A2F6A" w:rsidRDefault="002A2F6A">
      <w:pPr>
        <w:rPr>
          <w:sz w:val="24"/>
        </w:rPr>
      </w:pPr>
    </w:p>
    <w:p w14:paraId="063A2EC8" w14:textId="77777777" w:rsidR="002A2F6A" w:rsidRDefault="002A2F6A">
      <w:pPr>
        <w:rPr>
          <w:sz w:val="24"/>
        </w:rPr>
      </w:pPr>
    </w:p>
    <w:p w14:paraId="79511D6D" w14:textId="2547D7B9" w:rsidR="002A2F6A" w:rsidRPr="002A2F6A" w:rsidRDefault="002A2F6A">
      <w:pPr>
        <w:rPr>
          <w:i/>
          <w:iCs/>
          <w:sz w:val="16"/>
          <w:szCs w:val="16"/>
        </w:rPr>
      </w:pPr>
      <w:r w:rsidRPr="002A2F6A">
        <w:rPr>
          <w:i/>
          <w:iCs/>
          <w:sz w:val="16"/>
          <w:szCs w:val="16"/>
        </w:rPr>
        <w:fldChar w:fldCharType="begin"/>
      </w:r>
      <w:r w:rsidRPr="002A2F6A">
        <w:rPr>
          <w:i/>
          <w:iCs/>
          <w:sz w:val="16"/>
          <w:szCs w:val="16"/>
        </w:rPr>
        <w:instrText xml:space="preserve"> FILENAME  \* Lower \p  \* MERGEFORMAT </w:instrText>
      </w:r>
      <w:r w:rsidRPr="002A2F6A">
        <w:rPr>
          <w:i/>
          <w:iCs/>
          <w:sz w:val="16"/>
          <w:szCs w:val="16"/>
        </w:rPr>
        <w:fldChar w:fldCharType="separate"/>
      </w:r>
      <w:r w:rsidR="00D0335F">
        <w:rPr>
          <w:i/>
          <w:iCs/>
          <w:noProof/>
          <w:sz w:val="16"/>
          <w:szCs w:val="16"/>
        </w:rPr>
        <w:t>p:\actuaria\approp\approp27\fy27 for web\new bedford approp 27.docx</w:t>
      </w:r>
      <w:r w:rsidRPr="002A2F6A">
        <w:rPr>
          <w:i/>
          <w:iCs/>
          <w:sz w:val="16"/>
          <w:szCs w:val="16"/>
        </w:rPr>
        <w:fldChar w:fldCharType="end"/>
      </w:r>
    </w:p>
    <w:p w14:paraId="6280E8FD" w14:textId="77777777" w:rsidR="00203F75" w:rsidRDefault="00203F75">
      <w:pPr>
        <w:rPr>
          <w:sz w:val="24"/>
        </w:rPr>
        <w:sectPr w:rsidR="00203F75" w:rsidSect="00D0335F">
          <w:type w:val="oddPage"/>
          <w:pgSz w:w="12240" w:h="15840" w:code="1"/>
          <w:pgMar w:top="1440" w:right="1440" w:bottom="1080" w:left="1440" w:header="706" w:footer="706" w:gutter="0"/>
          <w:paperSrc w:first="260" w:other="15"/>
          <w:pgNumType w:start="1"/>
          <w:cols w:space="720"/>
        </w:sectPr>
      </w:pPr>
    </w:p>
    <w:p w14:paraId="06772E12" w14:textId="77777777" w:rsidR="00203F75" w:rsidRDefault="00203F75">
      <w:pPr>
        <w:jc w:val="center"/>
        <w:rPr>
          <w:sz w:val="24"/>
        </w:rPr>
      </w:pPr>
      <w:r w:rsidRPr="00743D63">
        <w:rPr>
          <w:b/>
          <w:noProof/>
          <w:sz w:val="24"/>
        </w:rPr>
        <w:lastRenderedPageBreak/>
        <w:t>New Bedford</w:t>
      </w:r>
      <w:r>
        <w:rPr>
          <w:b/>
          <w:sz w:val="24"/>
        </w:rPr>
        <w:t xml:space="preserve"> Retirement Board</w:t>
      </w:r>
    </w:p>
    <w:p w14:paraId="252F1B31" w14:textId="77777777" w:rsidR="00203F75" w:rsidRDefault="00203F75">
      <w:pPr>
        <w:jc w:val="center"/>
        <w:rPr>
          <w:sz w:val="24"/>
        </w:rPr>
      </w:pPr>
      <w:r>
        <w:rPr>
          <w:sz w:val="24"/>
        </w:rPr>
        <w:t>Appropriation by Governmental Unit</w:t>
      </w:r>
    </w:p>
    <w:p w14:paraId="1B32F88D" w14:textId="77777777" w:rsidR="00203F75" w:rsidRDefault="00203F75">
      <w:pPr>
        <w:jc w:val="center"/>
        <w:rPr>
          <w:sz w:val="24"/>
          <w:u w:val="single"/>
        </w:rPr>
      </w:pPr>
    </w:p>
    <w:p w14:paraId="0D75F338" w14:textId="77777777" w:rsidR="00203F75" w:rsidRDefault="00203F75">
      <w:pPr>
        <w:jc w:val="center"/>
        <w:rPr>
          <w:sz w:val="24"/>
        </w:rPr>
      </w:pPr>
      <w:r>
        <w:rPr>
          <w:sz w:val="24"/>
        </w:rPr>
        <w:t xml:space="preserve">Fiscal Year </w:t>
      </w:r>
      <w:r>
        <w:rPr>
          <w:sz w:val="24"/>
          <w:szCs w:val="24"/>
        </w:rPr>
        <w:t>2027</w:t>
      </w:r>
      <w:r>
        <w:rPr>
          <w:sz w:val="24"/>
        </w:rPr>
        <w:t xml:space="preserve"> - July 1, </w:t>
      </w:r>
      <w:proofErr w:type="gramStart"/>
      <w:r>
        <w:rPr>
          <w:sz w:val="24"/>
          <w:szCs w:val="24"/>
        </w:rPr>
        <w:t>2026</w:t>
      </w:r>
      <w:proofErr w:type="gramEnd"/>
      <w:r>
        <w:rPr>
          <w:sz w:val="24"/>
        </w:rPr>
        <w:t xml:space="preserve"> to June 30, </w:t>
      </w:r>
      <w:r>
        <w:rPr>
          <w:sz w:val="24"/>
          <w:szCs w:val="24"/>
        </w:rPr>
        <w:t>2027</w:t>
      </w:r>
    </w:p>
    <w:p w14:paraId="01007574" w14:textId="77777777" w:rsidR="00203F75" w:rsidRDefault="00203F75">
      <w:pPr>
        <w:jc w:val="center"/>
        <w:rPr>
          <w:sz w:val="24"/>
        </w:rPr>
      </w:pPr>
    </w:p>
    <w:p w14:paraId="09A688E8" w14:textId="77777777" w:rsidR="00203F75" w:rsidRDefault="00203F75">
      <w:pPr>
        <w:jc w:val="center"/>
        <w:rPr>
          <w:b/>
          <w:sz w:val="24"/>
        </w:rPr>
      </w:pPr>
      <w:r>
        <w:rPr>
          <w:sz w:val="24"/>
        </w:rPr>
        <w:t xml:space="preserve">Aggregate amount of appropriation:   </w:t>
      </w:r>
      <w:r>
        <w:rPr>
          <w:b/>
          <w:sz w:val="24"/>
        </w:rPr>
        <w:t>$</w:t>
      </w:r>
      <w:r w:rsidRPr="00743D63">
        <w:rPr>
          <w:b/>
          <w:noProof/>
          <w:sz w:val="24"/>
        </w:rPr>
        <w:t>54,404,536</w:t>
      </w:r>
    </w:p>
    <w:p w14:paraId="54DEF4BD" w14:textId="77777777" w:rsidR="00203F75" w:rsidRDefault="00203F75">
      <w:pPr>
        <w:jc w:val="center"/>
        <w:rPr>
          <w:sz w:val="24"/>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888"/>
        <w:gridCol w:w="2092"/>
        <w:gridCol w:w="1688"/>
        <w:gridCol w:w="1980"/>
        <w:gridCol w:w="1944"/>
      </w:tblGrid>
      <w:tr w:rsidR="00203F75" w14:paraId="4C289F0B" w14:textId="77777777">
        <w:trPr>
          <w:jc w:val="center"/>
        </w:trPr>
        <w:tc>
          <w:tcPr>
            <w:tcW w:w="3888" w:type="dxa"/>
            <w:tcBorders>
              <w:bottom w:val="nil"/>
            </w:tcBorders>
            <w:shd w:val="pct10" w:color="auto" w:fill="auto"/>
          </w:tcPr>
          <w:p w14:paraId="085FCE71" w14:textId="77777777" w:rsidR="00203F75" w:rsidRDefault="00203F75">
            <w:pPr>
              <w:jc w:val="center"/>
              <w:rPr>
                <w:b/>
              </w:rPr>
            </w:pPr>
            <w:r>
              <w:rPr>
                <w:b/>
              </w:rPr>
              <w:t>UNIT</w:t>
            </w:r>
          </w:p>
        </w:tc>
        <w:tc>
          <w:tcPr>
            <w:tcW w:w="2092" w:type="dxa"/>
            <w:tcBorders>
              <w:bottom w:val="nil"/>
            </w:tcBorders>
            <w:shd w:val="pct10" w:color="auto" w:fill="auto"/>
          </w:tcPr>
          <w:p w14:paraId="5E7F83B0" w14:textId="77777777" w:rsidR="00203F75" w:rsidRDefault="00203F75">
            <w:pPr>
              <w:jc w:val="center"/>
              <w:rPr>
                <w:b/>
              </w:rPr>
            </w:pPr>
            <w:r>
              <w:rPr>
                <w:b/>
              </w:rPr>
              <w:t>Percent of Aggregate Amount</w:t>
            </w:r>
          </w:p>
        </w:tc>
        <w:tc>
          <w:tcPr>
            <w:tcW w:w="1688" w:type="dxa"/>
            <w:tcBorders>
              <w:bottom w:val="nil"/>
            </w:tcBorders>
            <w:shd w:val="pct10" w:color="auto" w:fill="auto"/>
          </w:tcPr>
          <w:p w14:paraId="5CEBF172" w14:textId="77777777" w:rsidR="00203F75" w:rsidRDefault="00203F75">
            <w:pPr>
              <w:jc w:val="center"/>
              <w:rPr>
                <w:b/>
              </w:rPr>
            </w:pPr>
            <w:r>
              <w:rPr>
                <w:b/>
              </w:rPr>
              <w:t>Funding Schedule</w:t>
            </w:r>
          </w:p>
          <w:p w14:paraId="629A7B94" w14:textId="77777777" w:rsidR="00203F75" w:rsidRDefault="00203F75">
            <w:pPr>
              <w:jc w:val="center"/>
              <w:rPr>
                <w:b/>
              </w:rPr>
            </w:pPr>
            <w:r>
              <w:rPr>
                <w:b/>
              </w:rPr>
              <w:t>(excluding ERI)</w:t>
            </w:r>
          </w:p>
        </w:tc>
        <w:tc>
          <w:tcPr>
            <w:tcW w:w="1980" w:type="dxa"/>
            <w:tcBorders>
              <w:bottom w:val="nil"/>
            </w:tcBorders>
            <w:shd w:val="pct10" w:color="auto" w:fill="auto"/>
          </w:tcPr>
          <w:p w14:paraId="5B83BC73" w14:textId="77777777" w:rsidR="00203F75" w:rsidRDefault="00203F75">
            <w:pPr>
              <w:jc w:val="center"/>
              <w:rPr>
                <w:b/>
              </w:rPr>
            </w:pPr>
            <w:r>
              <w:rPr>
                <w:b/>
              </w:rPr>
              <w:t>ERI</w:t>
            </w:r>
          </w:p>
        </w:tc>
        <w:tc>
          <w:tcPr>
            <w:tcW w:w="1944" w:type="dxa"/>
            <w:tcBorders>
              <w:bottom w:val="nil"/>
            </w:tcBorders>
            <w:shd w:val="pct10" w:color="auto" w:fill="auto"/>
          </w:tcPr>
          <w:p w14:paraId="67E15FE4" w14:textId="77777777" w:rsidR="00203F75" w:rsidRDefault="00203F75">
            <w:pPr>
              <w:jc w:val="center"/>
              <w:rPr>
                <w:b/>
              </w:rPr>
            </w:pPr>
            <w:r>
              <w:rPr>
                <w:b/>
              </w:rPr>
              <w:t>Total Appropriation</w:t>
            </w:r>
          </w:p>
        </w:tc>
      </w:tr>
      <w:tr w:rsidR="00203F75" w14:paraId="4E96E06F" w14:textId="77777777">
        <w:trPr>
          <w:jc w:val="center"/>
        </w:trPr>
        <w:tc>
          <w:tcPr>
            <w:tcW w:w="3888" w:type="dxa"/>
            <w:tcBorders>
              <w:bottom w:val="nil"/>
            </w:tcBorders>
          </w:tcPr>
          <w:p w14:paraId="4D6A5471" w14:textId="77777777" w:rsidR="00203F75" w:rsidRDefault="00203F75">
            <w:pPr>
              <w:rPr>
                <w:sz w:val="24"/>
              </w:rPr>
            </w:pPr>
          </w:p>
        </w:tc>
        <w:tc>
          <w:tcPr>
            <w:tcW w:w="2092" w:type="dxa"/>
            <w:tcBorders>
              <w:bottom w:val="nil"/>
            </w:tcBorders>
          </w:tcPr>
          <w:p w14:paraId="03365F07" w14:textId="77777777" w:rsidR="00203F75" w:rsidRDefault="00203F75">
            <w:pPr>
              <w:jc w:val="right"/>
              <w:rPr>
                <w:sz w:val="24"/>
              </w:rPr>
            </w:pPr>
          </w:p>
        </w:tc>
        <w:tc>
          <w:tcPr>
            <w:tcW w:w="1688" w:type="dxa"/>
            <w:tcBorders>
              <w:bottom w:val="nil"/>
            </w:tcBorders>
          </w:tcPr>
          <w:p w14:paraId="57E83934" w14:textId="77777777" w:rsidR="00203F75" w:rsidRDefault="00203F75">
            <w:pPr>
              <w:jc w:val="right"/>
              <w:rPr>
                <w:sz w:val="24"/>
              </w:rPr>
            </w:pPr>
          </w:p>
        </w:tc>
        <w:tc>
          <w:tcPr>
            <w:tcW w:w="1980" w:type="dxa"/>
            <w:tcBorders>
              <w:bottom w:val="nil"/>
            </w:tcBorders>
          </w:tcPr>
          <w:p w14:paraId="02E75970" w14:textId="77777777" w:rsidR="00203F75" w:rsidRDefault="00203F75">
            <w:pPr>
              <w:jc w:val="right"/>
              <w:rPr>
                <w:sz w:val="24"/>
              </w:rPr>
            </w:pPr>
          </w:p>
        </w:tc>
        <w:tc>
          <w:tcPr>
            <w:tcW w:w="1944" w:type="dxa"/>
            <w:tcBorders>
              <w:bottom w:val="nil"/>
            </w:tcBorders>
          </w:tcPr>
          <w:p w14:paraId="005EC421" w14:textId="77777777" w:rsidR="00203F75" w:rsidRDefault="00203F75">
            <w:pPr>
              <w:jc w:val="right"/>
              <w:rPr>
                <w:sz w:val="24"/>
              </w:rPr>
            </w:pPr>
          </w:p>
        </w:tc>
      </w:tr>
      <w:tr w:rsidR="00203F75" w:rsidRPr="00105877" w14:paraId="2F278B40" w14:textId="77777777">
        <w:trPr>
          <w:jc w:val="center"/>
        </w:trPr>
        <w:tc>
          <w:tcPr>
            <w:tcW w:w="3888" w:type="dxa"/>
            <w:tcBorders>
              <w:top w:val="nil"/>
              <w:bottom w:val="nil"/>
            </w:tcBorders>
          </w:tcPr>
          <w:p w14:paraId="0D2CE6E0" w14:textId="77777777" w:rsidR="00203F75" w:rsidRPr="001834EE" w:rsidRDefault="00203F75">
            <w:pPr>
              <w:rPr>
                <w:sz w:val="22"/>
              </w:rPr>
            </w:pPr>
            <w:r w:rsidRPr="00743D63">
              <w:rPr>
                <w:noProof/>
                <w:sz w:val="22"/>
              </w:rPr>
              <w:t>City of New Bedford</w:t>
            </w:r>
          </w:p>
          <w:p w14:paraId="0EA1DFD1" w14:textId="77777777" w:rsidR="00203F75" w:rsidRPr="001834EE" w:rsidRDefault="00203F75">
            <w:pPr>
              <w:rPr>
                <w:sz w:val="22"/>
              </w:rPr>
            </w:pPr>
            <w:r w:rsidRPr="00743D63">
              <w:rPr>
                <w:noProof/>
                <w:sz w:val="22"/>
              </w:rPr>
              <w:t>New Bedford Housing Authority</w:t>
            </w:r>
          </w:p>
          <w:p w14:paraId="7314107E" w14:textId="77777777" w:rsidR="00203F75" w:rsidRPr="001834EE" w:rsidRDefault="00203F75">
            <w:pPr>
              <w:rPr>
                <w:sz w:val="22"/>
              </w:rPr>
            </w:pPr>
            <w:r w:rsidRPr="00743D63">
              <w:rPr>
                <w:noProof/>
                <w:sz w:val="22"/>
              </w:rPr>
              <w:t>Gtr. New Bedford Reg. Tech. Voc. H.S.</w:t>
            </w:r>
          </w:p>
          <w:p w14:paraId="63C99B1F" w14:textId="77777777" w:rsidR="00203F75" w:rsidRPr="001834EE" w:rsidRDefault="00203F75">
            <w:pPr>
              <w:rPr>
                <w:sz w:val="22"/>
              </w:rPr>
            </w:pPr>
            <w:r w:rsidRPr="00743D63">
              <w:rPr>
                <w:noProof/>
                <w:sz w:val="22"/>
              </w:rPr>
              <w:t>Greater New Bedford Refuse Mgmt.</w:t>
            </w:r>
          </w:p>
          <w:p w14:paraId="4850DD16" w14:textId="77777777" w:rsidR="00203F75" w:rsidRPr="00105877" w:rsidRDefault="00203F75">
            <w:pPr>
              <w:rPr>
                <w:sz w:val="22"/>
                <w:lang w:val="fr-FR"/>
              </w:rPr>
            </w:pPr>
            <w:r w:rsidRPr="00743D63">
              <w:rPr>
                <w:noProof/>
                <w:sz w:val="22"/>
                <w:lang w:val="fr-FR"/>
              </w:rPr>
              <w:t>Southeast Regional Transit Auth.</w:t>
            </w:r>
          </w:p>
        </w:tc>
        <w:tc>
          <w:tcPr>
            <w:tcW w:w="2092" w:type="dxa"/>
            <w:tcBorders>
              <w:top w:val="nil"/>
              <w:bottom w:val="nil"/>
            </w:tcBorders>
          </w:tcPr>
          <w:p w14:paraId="613E7340" w14:textId="77777777" w:rsidR="00203F75" w:rsidRPr="00B12E37" w:rsidRDefault="00203F75">
            <w:pPr>
              <w:ind w:right="544"/>
              <w:jc w:val="right"/>
              <w:rPr>
                <w:sz w:val="22"/>
                <w:lang w:val="fr-FR"/>
              </w:rPr>
            </w:pPr>
            <w:r w:rsidRPr="00743D63">
              <w:rPr>
                <w:noProof/>
                <w:sz w:val="22"/>
                <w:lang w:val="fr-FR"/>
              </w:rPr>
              <w:t>88.16%</w:t>
            </w:r>
          </w:p>
          <w:p w14:paraId="33D84B6C" w14:textId="77777777" w:rsidR="00203F75" w:rsidRPr="00B12E37" w:rsidRDefault="00203F75">
            <w:pPr>
              <w:ind w:right="544"/>
              <w:jc w:val="right"/>
              <w:rPr>
                <w:sz w:val="22"/>
                <w:lang w:val="fr-FR"/>
              </w:rPr>
            </w:pPr>
            <w:r w:rsidRPr="00743D63">
              <w:rPr>
                <w:noProof/>
                <w:sz w:val="22"/>
                <w:lang w:val="fr-FR"/>
              </w:rPr>
              <w:t>5.86%</w:t>
            </w:r>
          </w:p>
          <w:p w14:paraId="0BD23AAA" w14:textId="77777777" w:rsidR="00203F75" w:rsidRPr="00B12E37" w:rsidRDefault="00203F75">
            <w:pPr>
              <w:ind w:right="544"/>
              <w:jc w:val="right"/>
              <w:rPr>
                <w:sz w:val="22"/>
                <w:lang w:val="fr-FR"/>
              </w:rPr>
            </w:pPr>
            <w:r w:rsidRPr="00743D63">
              <w:rPr>
                <w:noProof/>
                <w:sz w:val="22"/>
                <w:lang w:val="fr-FR"/>
              </w:rPr>
              <w:t>4.48%</w:t>
            </w:r>
          </w:p>
          <w:p w14:paraId="1B2149BA" w14:textId="77777777" w:rsidR="00203F75" w:rsidRPr="00B12E37" w:rsidRDefault="00203F75">
            <w:pPr>
              <w:ind w:right="544"/>
              <w:jc w:val="right"/>
              <w:rPr>
                <w:sz w:val="22"/>
                <w:lang w:val="fr-FR"/>
              </w:rPr>
            </w:pPr>
            <w:r w:rsidRPr="00743D63">
              <w:rPr>
                <w:noProof/>
                <w:sz w:val="22"/>
                <w:lang w:val="fr-FR"/>
              </w:rPr>
              <w:t>0.88%</w:t>
            </w:r>
          </w:p>
          <w:p w14:paraId="6716205C" w14:textId="77777777" w:rsidR="00203F75" w:rsidRPr="00105877" w:rsidRDefault="00203F75">
            <w:pPr>
              <w:ind w:right="544"/>
              <w:jc w:val="right"/>
              <w:rPr>
                <w:sz w:val="22"/>
                <w:lang w:val="fr-FR"/>
              </w:rPr>
            </w:pPr>
            <w:r w:rsidRPr="00743D63">
              <w:rPr>
                <w:noProof/>
                <w:sz w:val="22"/>
                <w:lang w:val="fr-FR"/>
              </w:rPr>
              <w:t>0.62%</w:t>
            </w:r>
          </w:p>
        </w:tc>
        <w:tc>
          <w:tcPr>
            <w:tcW w:w="1688" w:type="dxa"/>
            <w:tcBorders>
              <w:top w:val="nil"/>
              <w:bottom w:val="nil"/>
            </w:tcBorders>
          </w:tcPr>
          <w:p w14:paraId="56E467AD" w14:textId="77777777" w:rsidR="00203F75" w:rsidRPr="00105877" w:rsidRDefault="00203F75">
            <w:pPr>
              <w:ind w:right="162"/>
              <w:jc w:val="right"/>
              <w:rPr>
                <w:sz w:val="22"/>
                <w:lang w:val="fr-FR"/>
              </w:rPr>
            </w:pPr>
            <w:r w:rsidRPr="00743D63">
              <w:rPr>
                <w:noProof/>
                <w:sz w:val="22"/>
                <w:lang w:val="fr-FR"/>
              </w:rPr>
              <w:t>$47,963,039</w:t>
            </w:r>
          </w:p>
          <w:p w14:paraId="136A342A" w14:textId="77777777" w:rsidR="00203F75" w:rsidRPr="00105877" w:rsidRDefault="00203F75">
            <w:pPr>
              <w:ind w:right="162"/>
              <w:jc w:val="right"/>
              <w:rPr>
                <w:sz w:val="22"/>
                <w:lang w:val="fr-FR"/>
              </w:rPr>
            </w:pPr>
            <w:r w:rsidRPr="00743D63">
              <w:rPr>
                <w:noProof/>
                <w:sz w:val="22"/>
                <w:lang w:val="fr-FR"/>
              </w:rPr>
              <w:t>$3,188,106</w:t>
            </w:r>
          </w:p>
          <w:p w14:paraId="6C5FDA57" w14:textId="77777777" w:rsidR="00203F75" w:rsidRPr="00105877" w:rsidRDefault="00203F75">
            <w:pPr>
              <w:ind w:right="162"/>
              <w:jc w:val="right"/>
              <w:rPr>
                <w:sz w:val="22"/>
                <w:lang w:val="fr-FR"/>
              </w:rPr>
            </w:pPr>
            <w:r w:rsidRPr="00743D63">
              <w:rPr>
                <w:noProof/>
                <w:sz w:val="22"/>
                <w:lang w:val="fr-FR"/>
              </w:rPr>
              <w:t>$2,437,323</w:t>
            </w:r>
          </w:p>
          <w:p w14:paraId="34482674" w14:textId="77777777" w:rsidR="00203F75" w:rsidRPr="00105877" w:rsidRDefault="00203F75">
            <w:pPr>
              <w:ind w:right="162"/>
              <w:jc w:val="right"/>
              <w:rPr>
                <w:sz w:val="22"/>
                <w:lang w:val="fr-FR"/>
              </w:rPr>
            </w:pPr>
            <w:r w:rsidRPr="00743D63">
              <w:rPr>
                <w:noProof/>
                <w:sz w:val="22"/>
                <w:lang w:val="fr-FR"/>
              </w:rPr>
              <w:t>$478,760</w:t>
            </w:r>
          </w:p>
          <w:p w14:paraId="4EF80AE1" w14:textId="77777777" w:rsidR="00203F75" w:rsidRPr="00105877" w:rsidRDefault="00203F75">
            <w:pPr>
              <w:ind w:right="162"/>
              <w:jc w:val="right"/>
              <w:rPr>
                <w:sz w:val="22"/>
                <w:lang w:val="fr-FR"/>
              </w:rPr>
            </w:pPr>
            <w:r w:rsidRPr="00743D63">
              <w:rPr>
                <w:noProof/>
                <w:sz w:val="22"/>
                <w:lang w:val="fr-FR"/>
              </w:rPr>
              <w:t>$337,308</w:t>
            </w:r>
          </w:p>
        </w:tc>
        <w:tc>
          <w:tcPr>
            <w:tcW w:w="1980" w:type="dxa"/>
            <w:tcBorders>
              <w:top w:val="nil"/>
              <w:bottom w:val="nil"/>
            </w:tcBorders>
          </w:tcPr>
          <w:p w14:paraId="1CC6324E" w14:textId="77777777" w:rsidR="00203F75" w:rsidRDefault="00203F75">
            <w:pPr>
              <w:ind w:right="252"/>
              <w:jc w:val="right"/>
              <w:rPr>
                <w:sz w:val="22"/>
              </w:rPr>
            </w:pPr>
            <w:r w:rsidRPr="00743D63">
              <w:rPr>
                <w:noProof/>
                <w:sz w:val="22"/>
              </w:rPr>
              <w:t>$0</w:t>
            </w:r>
          </w:p>
          <w:p w14:paraId="7A84A8A2" w14:textId="77777777" w:rsidR="00203F75" w:rsidRDefault="00203F75">
            <w:pPr>
              <w:ind w:right="252"/>
              <w:jc w:val="right"/>
              <w:rPr>
                <w:sz w:val="22"/>
              </w:rPr>
            </w:pPr>
            <w:r w:rsidRPr="00743D63">
              <w:rPr>
                <w:noProof/>
                <w:sz w:val="22"/>
              </w:rPr>
              <w:t>$0</w:t>
            </w:r>
          </w:p>
          <w:p w14:paraId="4E4647EF" w14:textId="77777777" w:rsidR="00203F75" w:rsidRDefault="00203F75">
            <w:pPr>
              <w:ind w:right="252"/>
              <w:jc w:val="right"/>
              <w:rPr>
                <w:sz w:val="22"/>
              </w:rPr>
            </w:pPr>
            <w:r w:rsidRPr="00743D63">
              <w:rPr>
                <w:noProof/>
                <w:sz w:val="22"/>
              </w:rPr>
              <w:t>$0</w:t>
            </w:r>
          </w:p>
          <w:p w14:paraId="79428A0A" w14:textId="77777777" w:rsidR="00203F75" w:rsidRDefault="00203F75">
            <w:pPr>
              <w:ind w:right="252"/>
              <w:jc w:val="right"/>
              <w:rPr>
                <w:sz w:val="22"/>
              </w:rPr>
            </w:pPr>
            <w:r w:rsidRPr="00743D63">
              <w:rPr>
                <w:noProof/>
                <w:sz w:val="22"/>
              </w:rPr>
              <w:t>$0</w:t>
            </w:r>
          </w:p>
          <w:p w14:paraId="08B6A942" w14:textId="77777777" w:rsidR="00203F75" w:rsidRDefault="00203F75">
            <w:pPr>
              <w:ind w:right="252"/>
              <w:jc w:val="right"/>
              <w:rPr>
                <w:sz w:val="22"/>
              </w:rPr>
            </w:pPr>
            <w:r w:rsidRPr="00743D63">
              <w:rPr>
                <w:noProof/>
                <w:sz w:val="22"/>
              </w:rPr>
              <w:t>$0</w:t>
            </w:r>
          </w:p>
        </w:tc>
        <w:tc>
          <w:tcPr>
            <w:tcW w:w="1944" w:type="dxa"/>
            <w:tcBorders>
              <w:top w:val="nil"/>
              <w:bottom w:val="nil"/>
            </w:tcBorders>
          </w:tcPr>
          <w:p w14:paraId="6287F3C2" w14:textId="77777777" w:rsidR="00203F75" w:rsidRPr="00105877" w:rsidRDefault="00203F75">
            <w:pPr>
              <w:ind w:right="162"/>
              <w:jc w:val="right"/>
              <w:rPr>
                <w:sz w:val="22"/>
                <w:lang w:val="nl-NL"/>
              </w:rPr>
            </w:pPr>
            <w:r w:rsidRPr="00743D63">
              <w:rPr>
                <w:noProof/>
                <w:sz w:val="22"/>
              </w:rPr>
              <w:t>$47,963,039</w:t>
            </w:r>
          </w:p>
          <w:p w14:paraId="149F4ED1" w14:textId="77777777" w:rsidR="00203F75" w:rsidRPr="00105877" w:rsidRDefault="00203F75">
            <w:pPr>
              <w:ind w:right="162"/>
              <w:jc w:val="right"/>
              <w:rPr>
                <w:sz w:val="22"/>
                <w:lang w:val="nl-NL"/>
              </w:rPr>
            </w:pPr>
            <w:r w:rsidRPr="00743D63">
              <w:rPr>
                <w:noProof/>
                <w:sz w:val="22"/>
                <w:lang w:val="nl-NL"/>
              </w:rPr>
              <w:t>$3,188,106</w:t>
            </w:r>
          </w:p>
          <w:p w14:paraId="3E9F6CA3" w14:textId="77777777" w:rsidR="00203F75" w:rsidRPr="00105877" w:rsidRDefault="00203F75">
            <w:pPr>
              <w:ind w:right="162"/>
              <w:jc w:val="right"/>
              <w:rPr>
                <w:sz w:val="22"/>
                <w:lang w:val="nl-NL"/>
              </w:rPr>
            </w:pPr>
            <w:r w:rsidRPr="00743D63">
              <w:rPr>
                <w:noProof/>
                <w:sz w:val="22"/>
                <w:lang w:val="nl-NL"/>
              </w:rPr>
              <w:t>$2,437,323</w:t>
            </w:r>
          </w:p>
          <w:p w14:paraId="05177259" w14:textId="77777777" w:rsidR="00203F75" w:rsidRPr="00105877" w:rsidRDefault="00203F75">
            <w:pPr>
              <w:ind w:right="162"/>
              <w:jc w:val="right"/>
              <w:rPr>
                <w:sz w:val="22"/>
                <w:lang w:val="nl-NL"/>
              </w:rPr>
            </w:pPr>
            <w:r w:rsidRPr="00743D63">
              <w:rPr>
                <w:noProof/>
                <w:sz w:val="22"/>
                <w:lang w:val="nl-NL"/>
              </w:rPr>
              <w:t>$478,760</w:t>
            </w:r>
          </w:p>
          <w:p w14:paraId="6F8A7E98" w14:textId="77777777" w:rsidR="00203F75" w:rsidRPr="00105877" w:rsidRDefault="00203F75">
            <w:pPr>
              <w:ind w:right="162"/>
              <w:jc w:val="right"/>
              <w:rPr>
                <w:sz w:val="22"/>
              </w:rPr>
            </w:pPr>
            <w:r w:rsidRPr="00743D63">
              <w:rPr>
                <w:noProof/>
                <w:sz w:val="22"/>
              </w:rPr>
              <w:t>$337,308</w:t>
            </w:r>
          </w:p>
        </w:tc>
      </w:tr>
      <w:tr w:rsidR="00203F75" w14:paraId="12265921" w14:textId="77777777">
        <w:trPr>
          <w:jc w:val="center"/>
        </w:trPr>
        <w:tc>
          <w:tcPr>
            <w:tcW w:w="3888" w:type="dxa"/>
            <w:shd w:val="pct10" w:color="auto" w:fill="auto"/>
          </w:tcPr>
          <w:p w14:paraId="1B15DDCF" w14:textId="77777777" w:rsidR="00203F75" w:rsidRDefault="00203F75">
            <w:pPr>
              <w:rPr>
                <w:b/>
                <w:sz w:val="22"/>
              </w:rPr>
            </w:pPr>
            <w:r>
              <w:rPr>
                <w:b/>
                <w:sz w:val="22"/>
              </w:rPr>
              <w:t>UNIT TOTAL</w:t>
            </w:r>
          </w:p>
        </w:tc>
        <w:tc>
          <w:tcPr>
            <w:tcW w:w="2092" w:type="dxa"/>
            <w:shd w:val="pct10" w:color="auto" w:fill="auto"/>
          </w:tcPr>
          <w:p w14:paraId="30EB1396" w14:textId="3360E8B4" w:rsidR="00203F75" w:rsidRDefault="00203F75">
            <w:pPr>
              <w:ind w:right="544"/>
              <w:jc w:val="right"/>
              <w:rPr>
                <w:b/>
                <w:sz w:val="22"/>
              </w:rPr>
            </w:pPr>
            <w:r>
              <w:rPr>
                <w:b/>
                <w:sz w:val="22"/>
              </w:rPr>
              <w:fldChar w:fldCharType="begin"/>
            </w:r>
            <w:r>
              <w:rPr>
                <w:b/>
                <w:sz w:val="22"/>
              </w:rPr>
              <w:instrText xml:space="preserve"> = SUM(ABOVE)* 100 \#  ##0% </w:instrText>
            </w:r>
            <w:r>
              <w:rPr>
                <w:b/>
                <w:sz w:val="22"/>
              </w:rPr>
              <w:fldChar w:fldCharType="separate"/>
            </w:r>
            <w:r w:rsidR="00D0335F">
              <w:rPr>
                <w:b/>
                <w:noProof/>
                <w:sz w:val="22"/>
              </w:rPr>
              <w:t>100%</w:t>
            </w:r>
            <w:r>
              <w:rPr>
                <w:b/>
                <w:sz w:val="22"/>
              </w:rPr>
              <w:fldChar w:fldCharType="end"/>
            </w:r>
          </w:p>
        </w:tc>
        <w:tc>
          <w:tcPr>
            <w:tcW w:w="1688" w:type="dxa"/>
            <w:shd w:val="pct10" w:color="auto" w:fill="auto"/>
          </w:tcPr>
          <w:p w14:paraId="455B1C9C" w14:textId="6B06B9ED" w:rsidR="00203F75" w:rsidRDefault="00203F75">
            <w:pPr>
              <w:ind w:right="184"/>
              <w:jc w:val="right"/>
              <w:rPr>
                <w:b/>
                <w:sz w:val="22"/>
              </w:rPr>
            </w:pPr>
            <w:r>
              <w:rPr>
                <w:b/>
                <w:sz w:val="22"/>
              </w:rPr>
              <w:fldChar w:fldCharType="begin"/>
            </w:r>
            <w:r>
              <w:rPr>
                <w:b/>
                <w:sz w:val="22"/>
              </w:rPr>
              <w:instrText xml:space="preserve"> = SUM(ABOVE) \# $#,##0</w:instrText>
            </w:r>
            <w:r>
              <w:rPr>
                <w:b/>
                <w:sz w:val="22"/>
              </w:rPr>
              <w:fldChar w:fldCharType="separate"/>
            </w:r>
            <w:r w:rsidR="00D0335F">
              <w:rPr>
                <w:b/>
                <w:noProof/>
                <w:sz w:val="22"/>
              </w:rPr>
              <w:t>$54,404,536</w:t>
            </w:r>
            <w:r>
              <w:rPr>
                <w:b/>
                <w:sz w:val="22"/>
              </w:rPr>
              <w:fldChar w:fldCharType="end"/>
            </w:r>
          </w:p>
        </w:tc>
        <w:tc>
          <w:tcPr>
            <w:tcW w:w="1980" w:type="dxa"/>
            <w:shd w:val="pct10" w:color="auto" w:fill="auto"/>
          </w:tcPr>
          <w:p w14:paraId="53657293" w14:textId="2817A9AD" w:rsidR="00203F75" w:rsidRDefault="00203F75">
            <w:pPr>
              <w:ind w:right="252"/>
              <w:jc w:val="right"/>
              <w:rPr>
                <w:b/>
                <w:sz w:val="22"/>
              </w:rPr>
            </w:pPr>
            <w:r>
              <w:rPr>
                <w:b/>
                <w:sz w:val="22"/>
              </w:rPr>
              <w:fldChar w:fldCharType="begin"/>
            </w:r>
            <w:r>
              <w:rPr>
                <w:b/>
                <w:sz w:val="22"/>
              </w:rPr>
              <w:instrText xml:space="preserve"> = SUM(ABOVE) \# $#,##0</w:instrText>
            </w:r>
            <w:r>
              <w:rPr>
                <w:b/>
                <w:sz w:val="22"/>
              </w:rPr>
              <w:fldChar w:fldCharType="separate"/>
            </w:r>
            <w:r w:rsidR="00D0335F">
              <w:rPr>
                <w:b/>
                <w:noProof/>
                <w:sz w:val="22"/>
              </w:rPr>
              <w:t>$   0</w:t>
            </w:r>
            <w:r>
              <w:rPr>
                <w:b/>
                <w:sz w:val="22"/>
              </w:rPr>
              <w:fldChar w:fldCharType="end"/>
            </w:r>
          </w:p>
        </w:tc>
        <w:tc>
          <w:tcPr>
            <w:tcW w:w="1944" w:type="dxa"/>
            <w:shd w:val="pct10" w:color="auto" w:fill="auto"/>
          </w:tcPr>
          <w:p w14:paraId="75E94C70" w14:textId="01FB477F" w:rsidR="00203F75" w:rsidRDefault="00203F75">
            <w:pPr>
              <w:ind w:right="162"/>
              <w:jc w:val="right"/>
              <w:rPr>
                <w:b/>
                <w:sz w:val="22"/>
              </w:rPr>
            </w:pPr>
            <w:r>
              <w:rPr>
                <w:b/>
                <w:sz w:val="22"/>
              </w:rPr>
              <w:fldChar w:fldCharType="begin"/>
            </w:r>
            <w:r>
              <w:rPr>
                <w:b/>
                <w:sz w:val="22"/>
              </w:rPr>
              <w:instrText xml:space="preserve"> =SUM(ABOVE) \# "$#,##0" </w:instrText>
            </w:r>
            <w:r>
              <w:rPr>
                <w:b/>
                <w:sz w:val="22"/>
              </w:rPr>
              <w:fldChar w:fldCharType="separate"/>
            </w:r>
            <w:r w:rsidR="00D0335F">
              <w:rPr>
                <w:b/>
                <w:noProof/>
                <w:sz w:val="22"/>
              </w:rPr>
              <w:t>$54,404,536</w:t>
            </w:r>
            <w:r>
              <w:rPr>
                <w:b/>
                <w:sz w:val="22"/>
              </w:rPr>
              <w:fldChar w:fldCharType="end"/>
            </w:r>
          </w:p>
        </w:tc>
      </w:tr>
      <w:tr w:rsidR="00203F75" w14:paraId="5312D013" w14:textId="77777777">
        <w:trPr>
          <w:jc w:val="center"/>
        </w:trPr>
        <w:tc>
          <w:tcPr>
            <w:tcW w:w="3888" w:type="dxa"/>
            <w:shd w:val="pct10" w:color="auto" w:fill="auto"/>
          </w:tcPr>
          <w:p w14:paraId="643604F4" w14:textId="77777777" w:rsidR="00203F75" w:rsidRDefault="00203F75">
            <w:pPr>
              <w:rPr>
                <w:b/>
                <w:sz w:val="24"/>
              </w:rPr>
            </w:pPr>
          </w:p>
        </w:tc>
        <w:tc>
          <w:tcPr>
            <w:tcW w:w="2092" w:type="dxa"/>
            <w:shd w:val="pct10" w:color="auto" w:fill="auto"/>
          </w:tcPr>
          <w:p w14:paraId="0768E6CD" w14:textId="77777777" w:rsidR="00203F75" w:rsidRDefault="00203F75">
            <w:pPr>
              <w:ind w:right="544"/>
              <w:jc w:val="right"/>
              <w:rPr>
                <w:b/>
                <w:sz w:val="24"/>
              </w:rPr>
            </w:pPr>
          </w:p>
        </w:tc>
        <w:tc>
          <w:tcPr>
            <w:tcW w:w="1688" w:type="dxa"/>
            <w:shd w:val="pct10" w:color="auto" w:fill="auto"/>
          </w:tcPr>
          <w:p w14:paraId="5E6AF800" w14:textId="77777777" w:rsidR="00203F75" w:rsidRDefault="00203F75">
            <w:pPr>
              <w:ind w:right="184"/>
              <w:jc w:val="right"/>
              <w:rPr>
                <w:b/>
                <w:sz w:val="24"/>
              </w:rPr>
            </w:pPr>
          </w:p>
        </w:tc>
        <w:tc>
          <w:tcPr>
            <w:tcW w:w="1980" w:type="dxa"/>
            <w:shd w:val="pct10" w:color="auto" w:fill="auto"/>
          </w:tcPr>
          <w:p w14:paraId="48B8F450" w14:textId="77777777" w:rsidR="00203F75" w:rsidRDefault="00203F75">
            <w:pPr>
              <w:ind w:right="252"/>
              <w:jc w:val="right"/>
              <w:rPr>
                <w:b/>
                <w:sz w:val="24"/>
              </w:rPr>
            </w:pPr>
          </w:p>
        </w:tc>
        <w:tc>
          <w:tcPr>
            <w:tcW w:w="1944" w:type="dxa"/>
            <w:shd w:val="pct10" w:color="auto" w:fill="auto"/>
          </w:tcPr>
          <w:p w14:paraId="7A817282" w14:textId="77777777" w:rsidR="00203F75" w:rsidRDefault="00203F75">
            <w:pPr>
              <w:ind w:right="162"/>
              <w:jc w:val="right"/>
              <w:rPr>
                <w:b/>
                <w:sz w:val="24"/>
              </w:rPr>
            </w:pPr>
          </w:p>
        </w:tc>
      </w:tr>
    </w:tbl>
    <w:p w14:paraId="13C543A5" w14:textId="77777777" w:rsidR="00203F75" w:rsidRDefault="00203F75">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11C0C326" w14:textId="77777777" w:rsidR="00203F75" w:rsidRDefault="00203F75">
      <w:pPr>
        <w:ind w:left="720" w:right="720"/>
        <w:rPr>
          <w:noProof/>
          <w:sz w:val="24"/>
        </w:rPr>
      </w:pPr>
      <w:r>
        <w:rPr>
          <w:noProof/>
          <w:sz w:val="24"/>
        </w:rPr>
        <w:t>The Total Appropriation column shown above is in accordance with your current funding schedule and the scheduled payment date(s) in that schedule.  Whenever payments are made after the scheduled date(s), the total appropriation should be revised to reflect interest at the rate assumed in the most recent actuarial valuation.  Payments should be made before the end of the fiscal year.</w:t>
      </w:r>
    </w:p>
    <w:p w14:paraId="2B0B30BE" w14:textId="77777777" w:rsidR="00203F75" w:rsidRDefault="00203F75">
      <w:pPr>
        <w:ind w:left="720" w:right="720"/>
        <w:rPr>
          <w:sz w:val="24"/>
        </w:rPr>
        <w:sectPr w:rsidR="00203F75" w:rsidSect="00203F75">
          <w:pgSz w:w="15840" w:h="12240" w:orient="landscape" w:code="1"/>
          <w:pgMar w:top="1440" w:right="864" w:bottom="1440" w:left="864" w:header="706" w:footer="706" w:gutter="0"/>
          <w:paperSrc w:first="11" w:other="11"/>
          <w:cols w:space="720"/>
        </w:sectPr>
      </w:pPr>
    </w:p>
    <w:p w14:paraId="6759BBBE" w14:textId="77777777" w:rsidR="00203F75" w:rsidRDefault="00203F75">
      <w:pPr>
        <w:ind w:left="720" w:right="720"/>
        <w:rPr>
          <w:sz w:val="24"/>
        </w:rPr>
      </w:pPr>
    </w:p>
    <w:sectPr w:rsidR="00203F75" w:rsidSect="00203F75">
      <w:type w:val="continuous"/>
      <w:pgSz w:w="15840" w:h="12240" w:orient="landscape" w:code="1"/>
      <w:pgMar w:top="1440" w:right="864" w:bottom="1440" w:left="864" w:header="706" w:footer="706"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96"/>
    <w:rsid w:val="0002525A"/>
    <w:rsid w:val="000269A9"/>
    <w:rsid w:val="000361DC"/>
    <w:rsid w:val="00082D7D"/>
    <w:rsid w:val="000950E9"/>
    <w:rsid w:val="000A785E"/>
    <w:rsid w:val="000F328C"/>
    <w:rsid w:val="00105877"/>
    <w:rsid w:val="00107703"/>
    <w:rsid w:val="00125F4C"/>
    <w:rsid w:val="00134428"/>
    <w:rsid w:val="001636DB"/>
    <w:rsid w:val="001707C4"/>
    <w:rsid w:val="00182A8E"/>
    <w:rsid w:val="001834EE"/>
    <w:rsid w:val="00184CB7"/>
    <w:rsid w:val="00195DE8"/>
    <w:rsid w:val="001A3B02"/>
    <w:rsid w:val="001C27D0"/>
    <w:rsid w:val="001C34B1"/>
    <w:rsid w:val="001E2325"/>
    <w:rsid w:val="001E49CA"/>
    <w:rsid w:val="001F20A0"/>
    <w:rsid w:val="001F2D55"/>
    <w:rsid w:val="002016C5"/>
    <w:rsid w:val="002020A7"/>
    <w:rsid w:val="00203F75"/>
    <w:rsid w:val="00212FD0"/>
    <w:rsid w:val="00225A24"/>
    <w:rsid w:val="002429E6"/>
    <w:rsid w:val="00242E95"/>
    <w:rsid w:val="00252E6B"/>
    <w:rsid w:val="00286F4E"/>
    <w:rsid w:val="002A2F6A"/>
    <w:rsid w:val="002A694B"/>
    <w:rsid w:val="002C052A"/>
    <w:rsid w:val="002C0A8B"/>
    <w:rsid w:val="002C44A5"/>
    <w:rsid w:val="002E0E41"/>
    <w:rsid w:val="002F0E34"/>
    <w:rsid w:val="002F40CB"/>
    <w:rsid w:val="00301CC2"/>
    <w:rsid w:val="003066A2"/>
    <w:rsid w:val="00352C4C"/>
    <w:rsid w:val="00355E0C"/>
    <w:rsid w:val="003644F5"/>
    <w:rsid w:val="003647E1"/>
    <w:rsid w:val="00372FC5"/>
    <w:rsid w:val="003937F2"/>
    <w:rsid w:val="003A0425"/>
    <w:rsid w:val="003A04C1"/>
    <w:rsid w:val="003B478D"/>
    <w:rsid w:val="003B6C54"/>
    <w:rsid w:val="003D6AB7"/>
    <w:rsid w:val="003F3434"/>
    <w:rsid w:val="00427022"/>
    <w:rsid w:val="0043378E"/>
    <w:rsid w:val="00445CDD"/>
    <w:rsid w:val="00475669"/>
    <w:rsid w:val="00491B56"/>
    <w:rsid w:val="004960E7"/>
    <w:rsid w:val="004976C8"/>
    <w:rsid w:val="004D2487"/>
    <w:rsid w:val="005009C0"/>
    <w:rsid w:val="00517188"/>
    <w:rsid w:val="005256AB"/>
    <w:rsid w:val="005627D1"/>
    <w:rsid w:val="00566BD0"/>
    <w:rsid w:val="00576CA2"/>
    <w:rsid w:val="00593821"/>
    <w:rsid w:val="005C2293"/>
    <w:rsid w:val="005C62F3"/>
    <w:rsid w:val="005E236F"/>
    <w:rsid w:val="005F4188"/>
    <w:rsid w:val="006444DD"/>
    <w:rsid w:val="00646E93"/>
    <w:rsid w:val="0065136E"/>
    <w:rsid w:val="00677E60"/>
    <w:rsid w:val="006A5A6C"/>
    <w:rsid w:val="006C1127"/>
    <w:rsid w:val="006D4318"/>
    <w:rsid w:val="006E3C98"/>
    <w:rsid w:val="006E5C73"/>
    <w:rsid w:val="006F238F"/>
    <w:rsid w:val="00700447"/>
    <w:rsid w:val="00707DD7"/>
    <w:rsid w:val="00733C96"/>
    <w:rsid w:val="00757DD8"/>
    <w:rsid w:val="0076468A"/>
    <w:rsid w:val="007814AA"/>
    <w:rsid w:val="00786790"/>
    <w:rsid w:val="00790A77"/>
    <w:rsid w:val="007B22FB"/>
    <w:rsid w:val="007B4444"/>
    <w:rsid w:val="007D1A15"/>
    <w:rsid w:val="007D49FA"/>
    <w:rsid w:val="007E512B"/>
    <w:rsid w:val="007E5916"/>
    <w:rsid w:val="00803E30"/>
    <w:rsid w:val="0080667B"/>
    <w:rsid w:val="00835BB1"/>
    <w:rsid w:val="00836EBC"/>
    <w:rsid w:val="00863504"/>
    <w:rsid w:val="00867183"/>
    <w:rsid w:val="008757DB"/>
    <w:rsid w:val="008856D7"/>
    <w:rsid w:val="00886712"/>
    <w:rsid w:val="00892EFD"/>
    <w:rsid w:val="00893589"/>
    <w:rsid w:val="0089773A"/>
    <w:rsid w:val="008B6C33"/>
    <w:rsid w:val="008C2D95"/>
    <w:rsid w:val="008E386D"/>
    <w:rsid w:val="008F440F"/>
    <w:rsid w:val="0091711E"/>
    <w:rsid w:val="009219DF"/>
    <w:rsid w:val="00942A90"/>
    <w:rsid w:val="009474F1"/>
    <w:rsid w:val="00965F5C"/>
    <w:rsid w:val="00965FAC"/>
    <w:rsid w:val="00974CB2"/>
    <w:rsid w:val="009850C9"/>
    <w:rsid w:val="009A0CD3"/>
    <w:rsid w:val="009B62E4"/>
    <w:rsid w:val="009B6CAF"/>
    <w:rsid w:val="009D17D0"/>
    <w:rsid w:val="009D6609"/>
    <w:rsid w:val="00A06A86"/>
    <w:rsid w:val="00A10105"/>
    <w:rsid w:val="00A26DC8"/>
    <w:rsid w:val="00A544C0"/>
    <w:rsid w:val="00A631F8"/>
    <w:rsid w:val="00A7644A"/>
    <w:rsid w:val="00A87B0F"/>
    <w:rsid w:val="00A90893"/>
    <w:rsid w:val="00AA35C3"/>
    <w:rsid w:val="00AB08D4"/>
    <w:rsid w:val="00AE54E6"/>
    <w:rsid w:val="00AE604A"/>
    <w:rsid w:val="00AE607A"/>
    <w:rsid w:val="00B12E37"/>
    <w:rsid w:val="00B345FB"/>
    <w:rsid w:val="00B46202"/>
    <w:rsid w:val="00B642ED"/>
    <w:rsid w:val="00B74B44"/>
    <w:rsid w:val="00B95291"/>
    <w:rsid w:val="00B959D1"/>
    <w:rsid w:val="00BA6748"/>
    <w:rsid w:val="00BC14E9"/>
    <w:rsid w:val="00BD08F5"/>
    <w:rsid w:val="00BD0EBA"/>
    <w:rsid w:val="00BD2257"/>
    <w:rsid w:val="00BF36AC"/>
    <w:rsid w:val="00C122B2"/>
    <w:rsid w:val="00C15094"/>
    <w:rsid w:val="00C24E3D"/>
    <w:rsid w:val="00C26098"/>
    <w:rsid w:val="00C302D1"/>
    <w:rsid w:val="00C36C7E"/>
    <w:rsid w:val="00C412A7"/>
    <w:rsid w:val="00C44C0E"/>
    <w:rsid w:val="00C66F13"/>
    <w:rsid w:val="00C67CC1"/>
    <w:rsid w:val="00C83D9C"/>
    <w:rsid w:val="00CA4669"/>
    <w:rsid w:val="00CE4D6B"/>
    <w:rsid w:val="00CF1FF4"/>
    <w:rsid w:val="00D0335F"/>
    <w:rsid w:val="00D26AC7"/>
    <w:rsid w:val="00D366FD"/>
    <w:rsid w:val="00D7581F"/>
    <w:rsid w:val="00D76892"/>
    <w:rsid w:val="00DB54F7"/>
    <w:rsid w:val="00DC69FE"/>
    <w:rsid w:val="00DC6CBC"/>
    <w:rsid w:val="00DD131F"/>
    <w:rsid w:val="00DD690D"/>
    <w:rsid w:val="00DF633A"/>
    <w:rsid w:val="00E03A86"/>
    <w:rsid w:val="00E03D01"/>
    <w:rsid w:val="00E209B2"/>
    <w:rsid w:val="00E22CB9"/>
    <w:rsid w:val="00E321E5"/>
    <w:rsid w:val="00E4057E"/>
    <w:rsid w:val="00E50F94"/>
    <w:rsid w:val="00E83D5B"/>
    <w:rsid w:val="00EA2480"/>
    <w:rsid w:val="00EA60CD"/>
    <w:rsid w:val="00EB172E"/>
    <w:rsid w:val="00EB5487"/>
    <w:rsid w:val="00EC3638"/>
    <w:rsid w:val="00EE0043"/>
    <w:rsid w:val="00F010C7"/>
    <w:rsid w:val="00F013E2"/>
    <w:rsid w:val="00F17AFB"/>
    <w:rsid w:val="00F50AAE"/>
    <w:rsid w:val="00F520B6"/>
    <w:rsid w:val="00F62CF5"/>
    <w:rsid w:val="00F90365"/>
    <w:rsid w:val="00FA1227"/>
    <w:rsid w:val="00FA12A4"/>
    <w:rsid w:val="00FB3210"/>
    <w:rsid w:val="00FB4FBC"/>
    <w:rsid w:val="00FC0DB3"/>
    <w:rsid w:val="00FC676B"/>
    <w:rsid w:val="00FF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923D0"/>
  <w15:docId w15:val="{29B03D3C-9FBB-4B9A-90F6-319F7B78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6"/>
    </w:rPr>
  </w:style>
  <w:style w:type="paragraph" w:styleId="Heading2">
    <w:name w:val="heading 2"/>
    <w:basedOn w:val="Normal"/>
    <w:next w:val="Normal"/>
    <w:qFormat/>
    <w:pPr>
      <w:keepNext/>
      <w:jc w:val="center"/>
      <w:outlineLvl w:val="1"/>
    </w:pPr>
    <w:rPr>
      <w:b/>
      <w:position w:val="-32"/>
      <w:sz w:val="22"/>
    </w:rPr>
  </w:style>
  <w:style w:type="paragraph" w:styleId="Heading3">
    <w:name w:val="heading 3"/>
    <w:basedOn w:val="Normal"/>
    <w:next w:val="Normal"/>
    <w:qFormat/>
    <w:pPr>
      <w:keepNext/>
      <w:jc w:val="center"/>
      <w:outlineLvl w:val="2"/>
    </w:pPr>
    <w:rPr>
      <w:sz w:val="26"/>
    </w:rPr>
  </w:style>
  <w:style w:type="paragraph" w:styleId="Heading4">
    <w:name w:val="heading 4"/>
    <w:basedOn w:val="Normal"/>
    <w:next w:val="Normal"/>
    <w:qFormat/>
    <w:pPr>
      <w:keepNext/>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C9EEC-AE46-48A6-B659-F84FAF08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296</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PERAC</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 Faller</dc:creator>
  <cp:lastModifiedBy>Larkin, Timothy A. (PER)</cp:lastModifiedBy>
  <cp:revision>4</cp:revision>
  <cp:lastPrinted>2025-11-24T19:10:00Z</cp:lastPrinted>
  <dcterms:created xsi:type="dcterms:W3CDTF">2025-11-24T15:55:00Z</dcterms:created>
  <dcterms:modified xsi:type="dcterms:W3CDTF">2025-11-24T20:22:00Z</dcterms:modified>
</cp:coreProperties>
</file>